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F414" w14:textId="77777777" w:rsidR="00EE69B7" w:rsidRPr="00F84E3C" w:rsidRDefault="00EE69B7" w:rsidP="00A81968">
      <w:pPr>
        <w:spacing w:after="120" w:line="240" w:lineRule="auto"/>
        <w:ind w:left="3969"/>
        <w:jc w:val="both"/>
        <w:rPr>
          <w:rFonts w:ascii="Arial" w:hAnsi="Arial" w:cs="Arial"/>
          <w:b/>
        </w:rPr>
      </w:pPr>
      <w:bookmarkStart w:id="0" w:name="_Toc5673433"/>
      <w:r w:rsidRPr="00F84E3C">
        <w:rPr>
          <w:rFonts w:ascii="Arial" w:hAnsi="Arial" w:cs="Arial"/>
          <w:b/>
          <w:noProof/>
        </w:rPr>
        <w:drawing>
          <wp:anchor distT="0" distB="0" distL="114300" distR="114300" simplePos="0" relativeHeight="251658240" behindDoc="1" locked="0" layoutInCell="1" allowOverlap="1" wp14:anchorId="42926113" wp14:editId="04A30121">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E3C">
        <w:rPr>
          <w:rFonts w:ascii="Arial" w:hAnsi="Arial" w:cs="Arial"/>
          <w:b/>
        </w:rPr>
        <w:t>JUICIO PARA LA PROTECCIÓN DE LOS DERECHOS POLÍTICO-ELECTORALES DEL CIUDADANO</w:t>
      </w:r>
    </w:p>
    <w:p w14:paraId="22156C79" w14:textId="77777777" w:rsidR="00EE69B7" w:rsidRPr="00F84E3C" w:rsidRDefault="00EE69B7" w:rsidP="00A81968">
      <w:pPr>
        <w:spacing w:after="120" w:line="240" w:lineRule="auto"/>
        <w:ind w:left="3969"/>
        <w:jc w:val="both"/>
        <w:rPr>
          <w:rFonts w:ascii="Arial" w:hAnsi="Arial" w:cs="Arial"/>
        </w:rPr>
      </w:pPr>
      <w:r w:rsidRPr="00F84E3C">
        <w:rPr>
          <w:rFonts w:ascii="Arial" w:hAnsi="Arial" w:cs="Arial"/>
          <w:b/>
        </w:rPr>
        <w:t xml:space="preserve">EXPEDIENTE: </w:t>
      </w:r>
      <w:r w:rsidR="00C71A3F" w:rsidRPr="00F84E3C">
        <w:rPr>
          <w:rFonts w:ascii="Arial" w:hAnsi="Arial" w:cs="Arial"/>
        </w:rPr>
        <w:t>SM-JDC-408/2020</w:t>
      </w:r>
    </w:p>
    <w:p w14:paraId="2AEF2331" w14:textId="77777777" w:rsidR="00EE69B7" w:rsidRPr="00F84E3C" w:rsidRDefault="00EE69B7" w:rsidP="00A81968">
      <w:pPr>
        <w:spacing w:after="120" w:line="240" w:lineRule="auto"/>
        <w:ind w:left="3969"/>
        <w:jc w:val="both"/>
        <w:rPr>
          <w:rFonts w:ascii="Arial" w:hAnsi="Arial" w:cs="Arial"/>
          <w:b/>
        </w:rPr>
      </w:pPr>
      <w:r w:rsidRPr="00F84E3C">
        <w:rPr>
          <w:rFonts w:ascii="Arial" w:hAnsi="Arial" w:cs="Arial"/>
          <w:b/>
        </w:rPr>
        <w:t xml:space="preserve">IMPUGNANTE: </w:t>
      </w:r>
      <w:r w:rsidRPr="00F84E3C">
        <w:rPr>
          <w:rFonts w:ascii="Arial" w:hAnsi="Arial" w:cs="Arial"/>
        </w:rPr>
        <w:t>ARMANDO DE LA CRUZ URIBE VALLE</w:t>
      </w:r>
    </w:p>
    <w:p w14:paraId="3325E259" w14:textId="1BE16813" w:rsidR="00EE69B7" w:rsidRPr="00F84E3C" w:rsidRDefault="00EE69B7" w:rsidP="00A81968">
      <w:pPr>
        <w:spacing w:after="120" w:line="240" w:lineRule="auto"/>
        <w:ind w:left="3969"/>
        <w:jc w:val="both"/>
        <w:rPr>
          <w:rFonts w:ascii="Arial" w:hAnsi="Arial" w:cs="Arial"/>
        </w:rPr>
      </w:pPr>
      <w:r w:rsidRPr="00F84E3C">
        <w:rPr>
          <w:rFonts w:ascii="Arial" w:hAnsi="Arial" w:cs="Arial"/>
          <w:b/>
        </w:rPr>
        <w:t xml:space="preserve">RESPONSABLE: </w:t>
      </w:r>
      <w:bookmarkStart w:id="1" w:name="_Hlk51675450"/>
      <w:r w:rsidRPr="00F84E3C">
        <w:rPr>
          <w:rFonts w:ascii="Arial" w:hAnsi="Arial" w:cs="Arial"/>
        </w:rPr>
        <w:t xml:space="preserve">TRIBUNAL </w:t>
      </w:r>
      <w:r w:rsidR="00BA7853" w:rsidRPr="00F84E3C">
        <w:rPr>
          <w:rFonts w:ascii="Arial" w:hAnsi="Arial" w:cs="Arial"/>
        </w:rPr>
        <w:t>ESTATAL ELECTORAL DE</w:t>
      </w:r>
      <w:r w:rsidRPr="00F84E3C">
        <w:rPr>
          <w:rFonts w:ascii="Arial" w:hAnsi="Arial" w:cs="Arial"/>
        </w:rPr>
        <w:t xml:space="preserve"> </w:t>
      </w:r>
      <w:r w:rsidR="00B87A0D" w:rsidRPr="00F84E3C">
        <w:rPr>
          <w:rFonts w:ascii="Arial" w:hAnsi="Arial" w:cs="Arial"/>
        </w:rPr>
        <w:t>GUANAJUATO</w:t>
      </w:r>
    </w:p>
    <w:bookmarkEnd w:id="1"/>
    <w:p w14:paraId="4F69381D" w14:textId="77777777" w:rsidR="00EE69B7" w:rsidRPr="00F84E3C" w:rsidRDefault="00EE69B7" w:rsidP="00A81968">
      <w:pPr>
        <w:spacing w:after="120" w:line="240" w:lineRule="auto"/>
        <w:ind w:left="3969"/>
        <w:jc w:val="both"/>
        <w:rPr>
          <w:rFonts w:ascii="Arial" w:hAnsi="Arial" w:cs="Arial"/>
        </w:rPr>
      </w:pPr>
      <w:r w:rsidRPr="00F84E3C">
        <w:rPr>
          <w:rFonts w:ascii="Arial" w:hAnsi="Arial" w:cs="Arial"/>
          <w:b/>
        </w:rPr>
        <w:t xml:space="preserve">MAGISTRADO PONENTE: </w:t>
      </w:r>
      <w:r w:rsidRPr="00F84E3C">
        <w:rPr>
          <w:rFonts w:ascii="Arial" w:hAnsi="Arial" w:cs="Arial"/>
        </w:rPr>
        <w:t>ERNESTO CAMACHO OCHOA</w:t>
      </w:r>
    </w:p>
    <w:p w14:paraId="129A8AD4" w14:textId="148129DC" w:rsidR="00EE69B7" w:rsidRPr="00F84E3C" w:rsidRDefault="00EE69B7" w:rsidP="00A81968">
      <w:pPr>
        <w:spacing w:after="120" w:line="240" w:lineRule="auto"/>
        <w:ind w:left="3969"/>
        <w:jc w:val="both"/>
        <w:rPr>
          <w:rFonts w:ascii="Arial" w:hAnsi="Arial" w:cs="Arial"/>
        </w:rPr>
      </w:pPr>
      <w:r w:rsidRPr="00F84E3C">
        <w:rPr>
          <w:rFonts w:ascii="Arial" w:hAnsi="Arial" w:cs="Arial"/>
          <w:b/>
        </w:rPr>
        <w:t>SECRETARI</w:t>
      </w:r>
      <w:r w:rsidR="00AF5026" w:rsidRPr="00F84E3C">
        <w:rPr>
          <w:rFonts w:ascii="Arial" w:hAnsi="Arial" w:cs="Arial"/>
          <w:b/>
        </w:rPr>
        <w:t>ADO</w:t>
      </w:r>
      <w:r w:rsidRPr="00F84E3C">
        <w:rPr>
          <w:rFonts w:ascii="Arial" w:hAnsi="Arial" w:cs="Arial"/>
          <w:b/>
        </w:rPr>
        <w:t>:</w:t>
      </w:r>
      <w:r w:rsidR="00A81968" w:rsidRPr="00F84E3C">
        <w:rPr>
          <w:rFonts w:ascii="Arial" w:hAnsi="Arial" w:cs="Arial"/>
          <w:b/>
        </w:rPr>
        <w:t xml:space="preserve"> </w:t>
      </w:r>
      <w:r w:rsidR="00B87A0D" w:rsidRPr="00F84E3C">
        <w:rPr>
          <w:rFonts w:ascii="Arial" w:hAnsi="Arial" w:cs="Arial"/>
        </w:rPr>
        <w:t xml:space="preserve">ANA CECILIA LOBATO TAPIA </w:t>
      </w:r>
      <w:r w:rsidR="00AF5026" w:rsidRPr="00F84E3C">
        <w:rPr>
          <w:rFonts w:ascii="Arial" w:hAnsi="Arial" w:cs="Arial"/>
        </w:rPr>
        <w:t>Y RUBÉN ARTURO MARROQUÍN MITRE</w:t>
      </w:r>
    </w:p>
    <w:p w14:paraId="4DCC95C5" w14:textId="77777777" w:rsidR="00EE69B7" w:rsidRPr="00F84E3C" w:rsidRDefault="00EE69B7" w:rsidP="00EE69B7">
      <w:pPr>
        <w:spacing w:after="0" w:line="240" w:lineRule="auto"/>
        <w:jc w:val="both"/>
        <w:rPr>
          <w:rFonts w:ascii="Arial" w:hAnsi="Arial" w:cs="Arial"/>
          <w:sz w:val="24"/>
          <w:szCs w:val="21"/>
        </w:rPr>
      </w:pPr>
    </w:p>
    <w:p w14:paraId="3C9A8D98" w14:textId="629D7DBB" w:rsidR="00EE69B7" w:rsidRPr="00F84E3C" w:rsidRDefault="00EE69B7" w:rsidP="00EE69B7">
      <w:pPr>
        <w:spacing w:after="0" w:line="360" w:lineRule="auto"/>
        <w:jc w:val="both"/>
        <w:rPr>
          <w:rFonts w:ascii="Arial" w:hAnsi="Arial" w:cs="Arial"/>
          <w:sz w:val="24"/>
        </w:rPr>
      </w:pPr>
      <w:r w:rsidRPr="00F84E3C">
        <w:rPr>
          <w:rFonts w:ascii="Arial" w:hAnsi="Arial" w:cs="Arial"/>
          <w:sz w:val="24"/>
        </w:rPr>
        <w:t xml:space="preserve">Monterrey, Nuevo León, a </w:t>
      </w:r>
      <w:r w:rsidR="00167EC1" w:rsidRPr="00F84E3C">
        <w:rPr>
          <w:rFonts w:ascii="Arial" w:hAnsi="Arial" w:cs="Arial"/>
          <w:sz w:val="24"/>
        </w:rPr>
        <w:t xml:space="preserve">15 </w:t>
      </w:r>
      <w:r w:rsidRPr="00F84E3C">
        <w:rPr>
          <w:rFonts w:ascii="Arial" w:hAnsi="Arial" w:cs="Arial"/>
          <w:sz w:val="24"/>
        </w:rPr>
        <w:t xml:space="preserve">de </w:t>
      </w:r>
      <w:r w:rsidR="00B87A0D" w:rsidRPr="00F84E3C">
        <w:rPr>
          <w:rFonts w:ascii="Arial" w:hAnsi="Arial" w:cs="Arial"/>
          <w:sz w:val="24"/>
        </w:rPr>
        <w:t xml:space="preserve">enero </w:t>
      </w:r>
      <w:r w:rsidRPr="00F84E3C">
        <w:rPr>
          <w:rFonts w:ascii="Arial" w:hAnsi="Arial" w:cs="Arial"/>
          <w:sz w:val="24"/>
        </w:rPr>
        <w:t>de 202</w:t>
      </w:r>
      <w:r w:rsidR="00B87A0D" w:rsidRPr="00F84E3C">
        <w:rPr>
          <w:rFonts w:ascii="Arial" w:hAnsi="Arial" w:cs="Arial"/>
          <w:sz w:val="24"/>
        </w:rPr>
        <w:t>1</w:t>
      </w:r>
      <w:r w:rsidRPr="00F84E3C">
        <w:rPr>
          <w:rFonts w:ascii="Arial" w:hAnsi="Arial" w:cs="Arial"/>
          <w:sz w:val="24"/>
        </w:rPr>
        <w:t>.</w:t>
      </w:r>
    </w:p>
    <w:p w14:paraId="1036D0B2" w14:textId="77777777" w:rsidR="00EE69B7" w:rsidRPr="00F84E3C" w:rsidRDefault="00EE69B7" w:rsidP="00EE69B7">
      <w:pPr>
        <w:spacing w:after="0" w:line="240" w:lineRule="auto"/>
        <w:jc w:val="both"/>
        <w:rPr>
          <w:rFonts w:ascii="Arial" w:hAnsi="Arial" w:cs="Arial"/>
          <w:b/>
          <w:sz w:val="24"/>
          <w:szCs w:val="24"/>
        </w:rPr>
      </w:pPr>
    </w:p>
    <w:p w14:paraId="1C663A0C" w14:textId="14492A6F" w:rsidR="00BD4206" w:rsidRPr="00F84E3C" w:rsidRDefault="00EE69B7" w:rsidP="00BD4206">
      <w:pPr>
        <w:spacing w:after="0" w:line="360" w:lineRule="auto"/>
        <w:jc w:val="both"/>
        <w:rPr>
          <w:rFonts w:ascii="Arial" w:eastAsia="Calibri" w:hAnsi="Arial" w:cs="Arial"/>
          <w:sz w:val="24"/>
          <w:szCs w:val="24"/>
        </w:rPr>
      </w:pPr>
      <w:bookmarkStart w:id="2" w:name="_Hlk54293699"/>
      <w:r w:rsidRPr="00F84E3C">
        <w:rPr>
          <w:rFonts w:ascii="Arial" w:hAnsi="Arial" w:cs="Arial"/>
          <w:b/>
          <w:bCs/>
          <w:sz w:val="24"/>
          <w:szCs w:val="24"/>
        </w:rPr>
        <w:t xml:space="preserve">Sentencia </w:t>
      </w:r>
      <w:r w:rsidRPr="00F84E3C">
        <w:rPr>
          <w:rFonts w:ascii="Arial" w:hAnsi="Arial" w:cs="Arial"/>
          <w:bCs/>
          <w:sz w:val="24"/>
          <w:szCs w:val="24"/>
        </w:rPr>
        <w:t xml:space="preserve">de la Sala Monterrey </w:t>
      </w:r>
      <w:bookmarkStart w:id="3" w:name="_Hlk15568957"/>
      <w:r w:rsidRPr="00F84E3C">
        <w:rPr>
          <w:rFonts w:ascii="Arial" w:hAnsi="Arial" w:cs="Arial"/>
          <w:bCs/>
          <w:sz w:val="24"/>
          <w:szCs w:val="24"/>
        </w:rPr>
        <w:t xml:space="preserve">que </w:t>
      </w:r>
      <w:bookmarkStart w:id="4" w:name="_Hlk61562235"/>
      <w:bookmarkEnd w:id="3"/>
      <w:r w:rsidR="00511C57" w:rsidRPr="00F84E3C">
        <w:rPr>
          <w:rFonts w:ascii="Arial" w:hAnsi="Arial" w:cs="Arial"/>
          <w:b/>
          <w:bCs/>
          <w:sz w:val="24"/>
          <w:szCs w:val="24"/>
        </w:rPr>
        <w:t>confirma</w:t>
      </w:r>
      <w:r w:rsidRPr="00F84E3C">
        <w:rPr>
          <w:rFonts w:ascii="Arial" w:hAnsi="Arial" w:cs="Arial"/>
          <w:sz w:val="24"/>
          <w:szCs w:val="24"/>
        </w:rPr>
        <w:t xml:space="preserve"> </w:t>
      </w:r>
      <w:r w:rsidRPr="00F84E3C">
        <w:rPr>
          <w:rFonts w:ascii="Arial" w:eastAsia="Calibri" w:hAnsi="Arial" w:cs="Arial"/>
          <w:bCs/>
          <w:sz w:val="24"/>
          <w:szCs w:val="24"/>
        </w:rPr>
        <w:t xml:space="preserve">la </w:t>
      </w:r>
      <w:r w:rsidRPr="00F84E3C">
        <w:rPr>
          <w:rFonts w:ascii="Arial" w:eastAsia="Calibri" w:hAnsi="Arial" w:cs="Arial"/>
          <w:sz w:val="24"/>
          <w:szCs w:val="24"/>
        </w:rPr>
        <w:t>resolución</w:t>
      </w:r>
      <w:r w:rsidRPr="00F84E3C">
        <w:rPr>
          <w:rFonts w:ascii="Arial" w:eastAsia="Calibri" w:hAnsi="Arial" w:cs="Arial"/>
          <w:bCs/>
          <w:sz w:val="24"/>
          <w:szCs w:val="24"/>
        </w:rPr>
        <w:t xml:space="preserve"> del Tribunal de </w:t>
      </w:r>
      <w:r w:rsidR="006D187F" w:rsidRPr="00F84E3C">
        <w:rPr>
          <w:rFonts w:ascii="Arial" w:eastAsia="Calibri" w:hAnsi="Arial" w:cs="Arial"/>
          <w:bCs/>
          <w:sz w:val="24"/>
          <w:szCs w:val="24"/>
        </w:rPr>
        <w:t xml:space="preserve">Guanajuato que </w:t>
      </w:r>
      <w:r w:rsidR="006D187F" w:rsidRPr="00F84E3C">
        <w:rPr>
          <w:rFonts w:ascii="Arial" w:eastAsia="Calibri" w:hAnsi="Arial" w:cs="Arial"/>
          <w:b/>
          <w:bCs/>
          <w:sz w:val="24"/>
          <w:szCs w:val="24"/>
        </w:rPr>
        <w:t>sobreseyó</w:t>
      </w:r>
      <w:r w:rsidR="004D62EF" w:rsidRPr="00F84E3C">
        <w:rPr>
          <w:rFonts w:ascii="Arial" w:eastAsia="Calibri" w:hAnsi="Arial" w:cs="Arial"/>
          <w:bCs/>
          <w:sz w:val="24"/>
          <w:szCs w:val="24"/>
        </w:rPr>
        <w:t xml:space="preserve"> </w:t>
      </w:r>
      <w:r w:rsidR="00651A51" w:rsidRPr="00F84E3C">
        <w:rPr>
          <w:rFonts w:ascii="Arial" w:eastAsia="Calibri" w:hAnsi="Arial" w:cs="Arial"/>
          <w:bCs/>
          <w:sz w:val="24"/>
          <w:szCs w:val="24"/>
        </w:rPr>
        <w:t>la demanda del actor</w:t>
      </w:r>
      <w:r w:rsidR="0065492C" w:rsidRPr="00F84E3C">
        <w:rPr>
          <w:rFonts w:ascii="Arial" w:eastAsia="Calibri" w:hAnsi="Arial" w:cs="Arial"/>
          <w:bCs/>
          <w:sz w:val="24"/>
          <w:szCs w:val="24"/>
        </w:rPr>
        <w:t xml:space="preserve"> del juicio </w:t>
      </w:r>
      <w:r w:rsidR="0065492C" w:rsidRPr="00F84E3C">
        <w:rPr>
          <w:rFonts w:ascii="Arial" w:hAnsi="Arial" w:cs="Arial"/>
          <w:bCs/>
          <w:sz w:val="24"/>
          <w:szCs w:val="24"/>
        </w:rPr>
        <w:t>TEEG-JPDC/60/2020</w:t>
      </w:r>
      <w:r w:rsidR="00EF6E29" w:rsidRPr="00F84E3C">
        <w:rPr>
          <w:rFonts w:ascii="Arial" w:hAnsi="Arial" w:cs="Arial"/>
          <w:bCs/>
          <w:sz w:val="24"/>
          <w:szCs w:val="24"/>
        </w:rPr>
        <w:t>,</w:t>
      </w:r>
      <w:r w:rsidR="009B0F58" w:rsidRPr="00F84E3C">
        <w:rPr>
          <w:rFonts w:ascii="Arial" w:hAnsi="Arial" w:cs="Arial"/>
          <w:bCs/>
          <w:sz w:val="24"/>
          <w:szCs w:val="24"/>
        </w:rPr>
        <w:t xml:space="preserve"> </w:t>
      </w:r>
      <w:r w:rsidR="006D3B26" w:rsidRPr="00F84E3C">
        <w:rPr>
          <w:rFonts w:ascii="Arial" w:hAnsi="Arial" w:cs="Arial"/>
          <w:bCs/>
          <w:sz w:val="24"/>
          <w:szCs w:val="24"/>
        </w:rPr>
        <w:t xml:space="preserve">en el que, a través de una notificación del </w:t>
      </w:r>
      <w:r w:rsidR="00EA1E08" w:rsidRPr="00F84E3C">
        <w:rPr>
          <w:rFonts w:ascii="Arial" w:hAnsi="Arial" w:cs="Arial"/>
          <w:bCs/>
          <w:sz w:val="24"/>
          <w:szCs w:val="24"/>
        </w:rPr>
        <w:t>I</w:t>
      </w:r>
      <w:r w:rsidR="006D3B26" w:rsidRPr="00F84E3C">
        <w:rPr>
          <w:rFonts w:ascii="Arial" w:hAnsi="Arial" w:cs="Arial"/>
          <w:bCs/>
          <w:sz w:val="24"/>
          <w:szCs w:val="24"/>
        </w:rPr>
        <w:t>nstituto</w:t>
      </w:r>
      <w:r w:rsidR="00EA1E08" w:rsidRPr="00F84E3C">
        <w:rPr>
          <w:rFonts w:ascii="Arial" w:hAnsi="Arial" w:cs="Arial"/>
          <w:bCs/>
          <w:sz w:val="24"/>
          <w:szCs w:val="24"/>
        </w:rPr>
        <w:t xml:space="preserve"> Local</w:t>
      </w:r>
      <w:r w:rsidR="006D3B26" w:rsidRPr="00F84E3C">
        <w:rPr>
          <w:rFonts w:ascii="Arial" w:hAnsi="Arial" w:cs="Arial"/>
          <w:bCs/>
          <w:sz w:val="24"/>
          <w:szCs w:val="24"/>
        </w:rPr>
        <w:t xml:space="preserve">, </w:t>
      </w:r>
      <w:r w:rsidR="00A4412B" w:rsidRPr="00F84E3C">
        <w:rPr>
          <w:rFonts w:ascii="Arial" w:hAnsi="Arial" w:cs="Arial"/>
          <w:bCs/>
          <w:sz w:val="24"/>
          <w:szCs w:val="24"/>
        </w:rPr>
        <w:t xml:space="preserve">impugnó </w:t>
      </w:r>
      <w:r w:rsidR="006D3B26" w:rsidRPr="00F84E3C">
        <w:rPr>
          <w:rFonts w:ascii="Arial" w:hAnsi="Arial" w:cs="Arial"/>
          <w:bCs/>
          <w:sz w:val="24"/>
          <w:szCs w:val="24"/>
        </w:rPr>
        <w:t>el registró que el INE realizó de la prórroga de la directiva estatal del PRI en ese estado</w:t>
      </w:r>
      <w:r w:rsidR="00B66F38" w:rsidRPr="00F84E3C">
        <w:rPr>
          <w:rFonts w:ascii="Arial" w:eastAsia="Calibri" w:hAnsi="Arial" w:cs="Arial"/>
          <w:bCs/>
          <w:sz w:val="24"/>
          <w:szCs w:val="24"/>
        </w:rPr>
        <w:t>,</w:t>
      </w:r>
      <w:r w:rsidR="00651A51" w:rsidRPr="00F84E3C">
        <w:rPr>
          <w:rFonts w:ascii="Arial" w:eastAsia="Calibri" w:hAnsi="Arial" w:cs="Arial"/>
          <w:bCs/>
          <w:sz w:val="24"/>
          <w:szCs w:val="24"/>
        </w:rPr>
        <w:t xml:space="preserve"> </w:t>
      </w:r>
      <w:r w:rsidR="007600F6" w:rsidRPr="00F84E3C">
        <w:rPr>
          <w:rFonts w:ascii="Arial" w:eastAsia="Calibri" w:hAnsi="Arial" w:cs="Arial"/>
          <w:bCs/>
          <w:sz w:val="24"/>
          <w:szCs w:val="24"/>
        </w:rPr>
        <w:t>al estimar</w:t>
      </w:r>
      <w:r w:rsidR="000E1629" w:rsidRPr="00F84E3C">
        <w:rPr>
          <w:rFonts w:ascii="Arial" w:eastAsia="Calibri" w:hAnsi="Arial" w:cs="Arial"/>
          <w:bCs/>
          <w:sz w:val="24"/>
          <w:szCs w:val="24"/>
        </w:rPr>
        <w:t>, el Tribunal Local,</w:t>
      </w:r>
      <w:r w:rsidR="007600F6" w:rsidRPr="00F84E3C">
        <w:rPr>
          <w:rFonts w:ascii="Arial" w:eastAsia="Calibri" w:hAnsi="Arial" w:cs="Arial"/>
          <w:bCs/>
          <w:sz w:val="24"/>
          <w:szCs w:val="24"/>
        </w:rPr>
        <w:t xml:space="preserve"> </w:t>
      </w:r>
      <w:r w:rsidR="008F7FCC" w:rsidRPr="00F84E3C">
        <w:rPr>
          <w:rFonts w:ascii="Arial" w:eastAsia="Calibri" w:hAnsi="Arial" w:cs="Arial"/>
          <w:bCs/>
          <w:sz w:val="24"/>
          <w:szCs w:val="24"/>
        </w:rPr>
        <w:t xml:space="preserve">que </w:t>
      </w:r>
      <w:r w:rsidR="00194A26" w:rsidRPr="00F84E3C">
        <w:rPr>
          <w:rFonts w:ascii="Arial" w:eastAsia="Calibri" w:hAnsi="Arial" w:cs="Arial"/>
          <w:bCs/>
          <w:sz w:val="24"/>
          <w:szCs w:val="24"/>
        </w:rPr>
        <w:t xml:space="preserve">en </w:t>
      </w:r>
      <w:r w:rsidR="00AB57F5" w:rsidRPr="00F84E3C">
        <w:rPr>
          <w:rFonts w:ascii="Arial" w:eastAsia="Calibri" w:hAnsi="Arial" w:cs="Arial"/>
          <w:bCs/>
          <w:sz w:val="24"/>
          <w:szCs w:val="24"/>
        </w:rPr>
        <w:t xml:space="preserve">el </w:t>
      </w:r>
      <w:r w:rsidR="008F7FCC" w:rsidRPr="00F84E3C">
        <w:rPr>
          <w:rFonts w:ascii="Arial" w:eastAsia="Calibri" w:hAnsi="Arial" w:cs="Arial"/>
          <w:bCs/>
          <w:sz w:val="24"/>
          <w:szCs w:val="24"/>
        </w:rPr>
        <w:t xml:space="preserve">diverso </w:t>
      </w:r>
      <w:r w:rsidR="0065492C" w:rsidRPr="00F84E3C">
        <w:rPr>
          <w:rFonts w:ascii="Arial" w:eastAsia="Calibri" w:hAnsi="Arial" w:cs="Arial"/>
          <w:bCs/>
          <w:sz w:val="24"/>
          <w:szCs w:val="24"/>
        </w:rPr>
        <w:t xml:space="preserve">juicio </w:t>
      </w:r>
      <w:r w:rsidR="00AB57F5" w:rsidRPr="00F84E3C">
        <w:rPr>
          <w:rFonts w:ascii="Arial" w:hAnsi="Arial" w:cs="Arial"/>
          <w:bCs/>
          <w:sz w:val="24"/>
          <w:szCs w:val="24"/>
        </w:rPr>
        <w:t>JPDC/65/2020</w:t>
      </w:r>
      <w:r w:rsidR="000A64BE" w:rsidRPr="00F84E3C">
        <w:rPr>
          <w:rFonts w:ascii="Arial" w:hAnsi="Arial" w:cs="Arial"/>
          <w:bCs/>
          <w:sz w:val="24"/>
          <w:szCs w:val="24"/>
        </w:rPr>
        <w:t>,</w:t>
      </w:r>
      <w:r w:rsidR="00AB57F5" w:rsidRPr="00F84E3C">
        <w:rPr>
          <w:rFonts w:ascii="Arial" w:hAnsi="Arial" w:cs="Arial"/>
          <w:bCs/>
          <w:sz w:val="24"/>
          <w:szCs w:val="24"/>
        </w:rPr>
        <w:t xml:space="preserve"> </w:t>
      </w:r>
      <w:r w:rsidR="000F4930" w:rsidRPr="00F84E3C">
        <w:rPr>
          <w:rFonts w:ascii="Arial" w:eastAsia="Calibri" w:hAnsi="Arial" w:cs="Arial"/>
          <w:bCs/>
          <w:sz w:val="24"/>
          <w:szCs w:val="24"/>
        </w:rPr>
        <w:t xml:space="preserve">presentado por el mismo actor </w:t>
      </w:r>
      <w:r w:rsidR="0065492C" w:rsidRPr="00F84E3C">
        <w:rPr>
          <w:rFonts w:ascii="Arial" w:eastAsia="Calibri" w:hAnsi="Arial" w:cs="Arial"/>
          <w:bCs/>
          <w:sz w:val="24"/>
          <w:szCs w:val="24"/>
        </w:rPr>
        <w:t>ante es</w:t>
      </w:r>
      <w:r w:rsidR="000E1629" w:rsidRPr="00F84E3C">
        <w:rPr>
          <w:rFonts w:ascii="Arial" w:eastAsia="Calibri" w:hAnsi="Arial" w:cs="Arial"/>
          <w:bCs/>
          <w:sz w:val="24"/>
          <w:szCs w:val="24"/>
        </w:rPr>
        <w:t>a instancia</w:t>
      </w:r>
      <w:r w:rsidR="000F4930" w:rsidRPr="00F84E3C">
        <w:rPr>
          <w:rFonts w:ascii="Arial" w:eastAsia="Calibri" w:hAnsi="Arial" w:cs="Arial"/>
          <w:bCs/>
          <w:sz w:val="24"/>
          <w:szCs w:val="24"/>
        </w:rPr>
        <w:t xml:space="preserve">, </w:t>
      </w:r>
      <w:r w:rsidR="001E5F2F" w:rsidRPr="00F84E3C">
        <w:rPr>
          <w:rFonts w:ascii="Arial" w:eastAsia="Calibri" w:hAnsi="Arial" w:cs="Arial"/>
          <w:bCs/>
          <w:sz w:val="24"/>
          <w:szCs w:val="24"/>
        </w:rPr>
        <w:t>contra</w:t>
      </w:r>
      <w:r w:rsidR="005D73DA" w:rsidRPr="00F84E3C">
        <w:rPr>
          <w:rFonts w:ascii="Arial" w:eastAsia="Calibri" w:hAnsi="Arial" w:cs="Arial"/>
          <w:bCs/>
          <w:sz w:val="24"/>
          <w:szCs w:val="24"/>
        </w:rPr>
        <w:t xml:space="preserve"> </w:t>
      </w:r>
      <w:r w:rsidR="00204C0C" w:rsidRPr="00F84E3C">
        <w:rPr>
          <w:rFonts w:ascii="Arial" w:eastAsia="Calibri" w:hAnsi="Arial" w:cs="Arial"/>
          <w:bCs/>
          <w:sz w:val="24"/>
          <w:szCs w:val="24"/>
        </w:rPr>
        <w:t xml:space="preserve">la inactividad </w:t>
      </w:r>
      <w:r w:rsidR="001E5F2F" w:rsidRPr="00F84E3C">
        <w:rPr>
          <w:rFonts w:ascii="Arial" w:eastAsia="Calibri" w:hAnsi="Arial" w:cs="Arial"/>
          <w:bCs/>
          <w:sz w:val="24"/>
          <w:szCs w:val="24"/>
        </w:rPr>
        <w:t xml:space="preserve"> procesal de</w:t>
      </w:r>
      <w:r w:rsidR="00204C0C" w:rsidRPr="00F84E3C">
        <w:rPr>
          <w:rFonts w:ascii="Arial" w:eastAsia="Calibri" w:hAnsi="Arial" w:cs="Arial"/>
          <w:bCs/>
          <w:sz w:val="24"/>
          <w:szCs w:val="24"/>
        </w:rPr>
        <w:t xml:space="preserve"> un medio partidista </w:t>
      </w:r>
      <w:r w:rsidR="001E5F2F" w:rsidRPr="00F84E3C">
        <w:rPr>
          <w:rFonts w:ascii="Arial" w:eastAsia="Calibri" w:hAnsi="Arial" w:cs="Arial"/>
          <w:bCs/>
          <w:sz w:val="24"/>
          <w:szCs w:val="24"/>
        </w:rPr>
        <w:t>en el que se impugnaba</w:t>
      </w:r>
      <w:r w:rsidR="00204C0C" w:rsidRPr="00F84E3C">
        <w:rPr>
          <w:rFonts w:ascii="Arial" w:eastAsia="Calibri" w:hAnsi="Arial" w:cs="Arial"/>
          <w:bCs/>
          <w:sz w:val="24"/>
          <w:szCs w:val="24"/>
        </w:rPr>
        <w:t xml:space="preserve"> esa</w:t>
      </w:r>
      <w:r w:rsidR="00C45F9E" w:rsidRPr="00F84E3C">
        <w:rPr>
          <w:rFonts w:ascii="Arial" w:eastAsia="Calibri" w:hAnsi="Arial" w:cs="Arial"/>
          <w:bCs/>
          <w:sz w:val="24"/>
          <w:szCs w:val="24"/>
        </w:rPr>
        <w:t xml:space="preserve"> </w:t>
      </w:r>
      <w:r w:rsidR="005D73DA" w:rsidRPr="00F84E3C">
        <w:rPr>
          <w:rFonts w:ascii="Arial" w:eastAsia="Calibri" w:hAnsi="Arial" w:cs="Arial"/>
          <w:bCs/>
          <w:sz w:val="24"/>
          <w:szCs w:val="24"/>
        </w:rPr>
        <w:t>misma prórroga de la directiva partidista</w:t>
      </w:r>
      <w:r w:rsidR="009D6BB7" w:rsidRPr="00F84E3C">
        <w:rPr>
          <w:rFonts w:ascii="Arial" w:eastAsia="Calibri" w:hAnsi="Arial" w:cs="Arial"/>
          <w:bCs/>
          <w:sz w:val="24"/>
          <w:szCs w:val="24"/>
        </w:rPr>
        <w:t xml:space="preserve"> y, por tanto, podría alcanzar su pretensión</w:t>
      </w:r>
      <w:r w:rsidR="008F7FCC" w:rsidRPr="00F84E3C">
        <w:rPr>
          <w:rFonts w:ascii="Arial" w:eastAsia="Calibri" w:hAnsi="Arial" w:cs="Arial"/>
          <w:bCs/>
          <w:sz w:val="24"/>
          <w:szCs w:val="24"/>
        </w:rPr>
        <w:t xml:space="preserve">; </w:t>
      </w:r>
      <w:r w:rsidR="008F7FCC" w:rsidRPr="00F84E3C">
        <w:rPr>
          <w:rFonts w:ascii="Arial" w:eastAsia="Calibri" w:hAnsi="Arial" w:cs="Arial"/>
          <w:b/>
          <w:bCs/>
          <w:sz w:val="24"/>
          <w:szCs w:val="24"/>
        </w:rPr>
        <w:t xml:space="preserve">porque </w:t>
      </w:r>
      <w:r w:rsidR="008F7FCC" w:rsidRPr="00F84E3C">
        <w:rPr>
          <w:rFonts w:ascii="Arial" w:hAnsi="Arial" w:cs="Arial"/>
          <w:b/>
          <w:bCs/>
          <w:sz w:val="24"/>
          <w:szCs w:val="24"/>
        </w:rPr>
        <w:t xml:space="preserve">este órgano jurisdiccional considera </w:t>
      </w:r>
      <w:r w:rsidR="008F7FCC" w:rsidRPr="00F84E3C">
        <w:rPr>
          <w:rFonts w:ascii="Arial" w:hAnsi="Arial" w:cs="Arial"/>
          <w:bCs/>
          <w:sz w:val="24"/>
          <w:szCs w:val="24"/>
        </w:rPr>
        <w:t>que</w:t>
      </w:r>
      <w:r w:rsidR="00C83097" w:rsidRPr="00F84E3C">
        <w:rPr>
          <w:rFonts w:ascii="Arial" w:hAnsi="Arial" w:cs="Arial"/>
          <w:bCs/>
          <w:sz w:val="24"/>
          <w:szCs w:val="24"/>
        </w:rPr>
        <w:t>, con independencia de la</w:t>
      </w:r>
      <w:r w:rsidR="00D421B3" w:rsidRPr="00F84E3C">
        <w:rPr>
          <w:rFonts w:ascii="Arial" w:hAnsi="Arial" w:cs="Arial"/>
          <w:bCs/>
          <w:sz w:val="24"/>
          <w:szCs w:val="24"/>
        </w:rPr>
        <w:t xml:space="preserve"> opción procesal elegida (</w:t>
      </w:r>
      <w:r w:rsidR="00E42E41" w:rsidRPr="00F84E3C">
        <w:rPr>
          <w:rFonts w:ascii="Arial" w:hAnsi="Arial" w:cs="Arial"/>
          <w:bCs/>
          <w:sz w:val="24"/>
          <w:szCs w:val="24"/>
        </w:rPr>
        <w:t xml:space="preserve">el </w:t>
      </w:r>
      <w:r w:rsidR="00D421B3" w:rsidRPr="00F84E3C">
        <w:rPr>
          <w:rFonts w:ascii="Arial" w:hAnsi="Arial" w:cs="Arial"/>
          <w:bCs/>
          <w:sz w:val="24"/>
          <w:szCs w:val="24"/>
        </w:rPr>
        <w:t>sobreseimiento</w:t>
      </w:r>
      <w:r w:rsidR="00E42E41" w:rsidRPr="00F84E3C">
        <w:rPr>
          <w:rFonts w:ascii="Arial" w:hAnsi="Arial" w:cs="Arial"/>
          <w:bCs/>
          <w:sz w:val="24"/>
          <w:szCs w:val="24"/>
        </w:rPr>
        <w:t xml:space="preserve"> que finalizó anticipadamente el juicio por resultar innecesario,</w:t>
      </w:r>
      <w:r w:rsidR="00D421B3" w:rsidRPr="00F84E3C">
        <w:rPr>
          <w:rFonts w:ascii="Arial" w:hAnsi="Arial" w:cs="Arial"/>
          <w:bCs/>
          <w:sz w:val="24"/>
          <w:szCs w:val="24"/>
        </w:rPr>
        <w:t xml:space="preserve"> o </w:t>
      </w:r>
      <w:r w:rsidR="00E42E41" w:rsidRPr="00F84E3C">
        <w:rPr>
          <w:rFonts w:ascii="Arial" w:hAnsi="Arial" w:cs="Arial"/>
          <w:bCs/>
          <w:sz w:val="24"/>
          <w:szCs w:val="24"/>
        </w:rPr>
        <w:t xml:space="preserve">bien, la </w:t>
      </w:r>
      <w:r w:rsidR="00D421B3" w:rsidRPr="00F84E3C">
        <w:rPr>
          <w:rFonts w:ascii="Arial" w:hAnsi="Arial" w:cs="Arial"/>
          <w:bCs/>
          <w:sz w:val="24"/>
          <w:szCs w:val="24"/>
        </w:rPr>
        <w:t xml:space="preserve">inoperancia de los planteamientos), </w:t>
      </w:r>
      <w:r w:rsidR="00E42E41" w:rsidRPr="00F84E3C">
        <w:rPr>
          <w:rFonts w:ascii="Arial" w:hAnsi="Arial" w:cs="Arial"/>
          <w:bCs/>
          <w:sz w:val="24"/>
          <w:szCs w:val="24"/>
        </w:rPr>
        <w:t>finalmente</w:t>
      </w:r>
      <w:r w:rsidR="00597D65" w:rsidRPr="00F84E3C">
        <w:rPr>
          <w:rFonts w:ascii="Arial" w:hAnsi="Arial" w:cs="Arial"/>
          <w:bCs/>
          <w:sz w:val="24"/>
          <w:szCs w:val="24"/>
        </w:rPr>
        <w:t xml:space="preserve">, </w:t>
      </w:r>
      <w:r w:rsidR="00E42E41" w:rsidRPr="00F84E3C">
        <w:rPr>
          <w:rFonts w:ascii="Arial" w:hAnsi="Arial" w:cs="Arial"/>
          <w:bCs/>
          <w:sz w:val="24"/>
          <w:szCs w:val="24"/>
        </w:rPr>
        <w:t xml:space="preserve">es correcto, como señala </w:t>
      </w:r>
      <w:r w:rsidR="00597D65" w:rsidRPr="00F84E3C">
        <w:rPr>
          <w:rFonts w:ascii="Arial" w:hAnsi="Arial" w:cs="Arial"/>
          <w:bCs/>
          <w:sz w:val="24"/>
          <w:szCs w:val="24"/>
        </w:rPr>
        <w:t>el Tribunal reso</w:t>
      </w:r>
      <w:r w:rsidR="00885734" w:rsidRPr="00F84E3C">
        <w:rPr>
          <w:rFonts w:ascii="Arial" w:hAnsi="Arial" w:cs="Arial"/>
          <w:bCs/>
          <w:sz w:val="24"/>
          <w:szCs w:val="24"/>
        </w:rPr>
        <w:t>lutor</w:t>
      </w:r>
      <w:r w:rsidR="00597D65" w:rsidRPr="00F84E3C">
        <w:rPr>
          <w:rFonts w:ascii="Arial" w:hAnsi="Arial" w:cs="Arial"/>
          <w:bCs/>
          <w:sz w:val="24"/>
          <w:szCs w:val="24"/>
        </w:rPr>
        <w:t xml:space="preserve">, </w:t>
      </w:r>
      <w:r w:rsidR="00E42E41" w:rsidRPr="00F84E3C">
        <w:rPr>
          <w:rFonts w:ascii="Arial" w:hAnsi="Arial" w:cs="Arial"/>
          <w:bCs/>
          <w:sz w:val="24"/>
          <w:szCs w:val="24"/>
        </w:rPr>
        <w:t xml:space="preserve">que </w:t>
      </w:r>
      <w:r w:rsidR="00A24528" w:rsidRPr="00F84E3C">
        <w:rPr>
          <w:rFonts w:ascii="Arial" w:hAnsi="Arial" w:cs="Arial"/>
          <w:bCs/>
          <w:sz w:val="24"/>
          <w:szCs w:val="24"/>
        </w:rPr>
        <w:t xml:space="preserve">en el diverso juicio </w:t>
      </w:r>
      <w:r w:rsidR="00B92D14" w:rsidRPr="00F84E3C">
        <w:rPr>
          <w:rFonts w:ascii="Arial" w:hAnsi="Arial" w:cs="Arial"/>
          <w:bCs/>
          <w:sz w:val="24"/>
          <w:szCs w:val="24"/>
        </w:rPr>
        <w:t xml:space="preserve">partidista </w:t>
      </w:r>
      <w:r w:rsidR="008F7FCC" w:rsidRPr="00F84E3C">
        <w:rPr>
          <w:rFonts w:ascii="Arial" w:hAnsi="Arial" w:cs="Arial"/>
          <w:bCs/>
          <w:sz w:val="24"/>
          <w:szCs w:val="24"/>
        </w:rPr>
        <w:t xml:space="preserve">el impugnante </w:t>
      </w:r>
      <w:r w:rsidR="00B31B21" w:rsidRPr="00F84E3C">
        <w:rPr>
          <w:rFonts w:ascii="Arial" w:hAnsi="Arial" w:cs="Arial"/>
          <w:bCs/>
          <w:sz w:val="24"/>
          <w:szCs w:val="24"/>
        </w:rPr>
        <w:t xml:space="preserve">podría alcanzar su </w:t>
      </w:r>
      <w:r w:rsidR="008F7FCC" w:rsidRPr="00F84E3C">
        <w:rPr>
          <w:rFonts w:ascii="Arial" w:hAnsi="Arial" w:cs="Arial"/>
          <w:bCs/>
          <w:sz w:val="24"/>
          <w:szCs w:val="24"/>
        </w:rPr>
        <w:t xml:space="preserve">pretensión </w:t>
      </w:r>
      <w:r w:rsidR="001A0760" w:rsidRPr="00F84E3C">
        <w:rPr>
          <w:rFonts w:ascii="Arial" w:hAnsi="Arial" w:cs="Arial"/>
          <w:bCs/>
          <w:sz w:val="24"/>
          <w:szCs w:val="24"/>
        </w:rPr>
        <w:t>de</w:t>
      </w:r>
      <w:r w:rsidR="008F7FCC" w:rsidRPr="00F84E3C">
        <w:rPr>
          <w:rFonts w:ascii="Arial" w:hAnsi="Arial" w:cs="Arial"/>
          <w:sz w:val="24"/>
          <w:szCs w:val="24"/>
        </w:rPr>
        <w:t xml:space="preserve"> </w:t>
      </w:r>
      <w:r w:rsidR="0091262C" w:rsidRPr="00F84E3C">
        <w:rPr>
          <w:rFonts w:ascii="Arial" w:hAnsi="Arial" w:cs="Arial"/>
          <w:sz w:val="24"/>
          <w:szCs w:val="24"/>
        </w:rPr>
        <w:t xml:space="preserve">dejar sin efectos </w:t>
      </w:r>
      <w:r w:rsidR="00597D65" w:rsidRPr="00F84E3C">
        <w:rPr>
          <w:rFonts w:ascii="Arial" w:hAnsi="Arial" w:cs="Arial"/>
          <w:sz w:val="24"/>
          <w:szCs w:val="24"/>
        </w:rPr>
        <w:t>la prórr</w:t>
      </w:r>
      <w:r w:rsidR="00885734" w:rsidRPr="00F84E3C">
        <w:rPr>
          <w:rFonts w:ascii="Arial" w:hAnsi="Arial" w:cs="Arial"/>
          <w:sz w:val="24"/>
          <w:szCs w:val="24"/>
        </w:rPr>
        <w:t>o</w:t>
      </w:r>
      <w:r w:rsidR="00597D65" w:rsidRPr="00F84E3C">
        <w:rPr>
          <w:rFonts w:ascii="Arial" w:hAnsi="Arial" w:cs="Arial"/>
          <w:sz w:val="24"/>
          <w:szCs w:val="24"/>
        </w:rPr>
        <w:t xml:space="preserve">ga de la directiva estatal y </w:t>
      </w:r>
      <w:r w:rsidR="00834A05" w:rsidRPr="00F84E3C">
        <w:rPr>
          <w:rFonts w:ascii="Arial" w:hAnsi="Arial" w:cs="Arial"/>
          <w:sz w:val="24"/>
          <w:szCs w:val="24"/>
        </w:rPr>
        <w:t xml:space="preserve">obtener su reconocimiento </w:t>
      </w:r>
      <w:r w:rsidR="00597D65" w:rsidRPr="00F84E3C">
        <w:rPr>
          <w:rFonts w:ascii="Arial" w:hAnsi="Arial" w:cs="Arial"/>
          <w:sz w:val="24"/>
          <w:szCs w:val="24"/>
        </w:rPr>
        <w:t xml:space="preserve">como </w:t>
      </w:r>
      <w:r w:rsidR="008F7FCC" w:rsidRPr="00F84E3C">
        <w:rPr>
          <w:rFonts w:ascii="Arial" w:hAnsi="Arial" w:cs="Arial"/>
          <w:sz w:val="24"/>
          <w:szCs w:val="24"/>
        </w:rPr>
        <w:t xml:space="preserve">Presidente </w:t>
      </w:r>
      <w:r w:rsidR="00597D65" w:rsidRPr="00F84E3C">
        <w:rPr>
          <w:rFonts w:ascii="Arial" w:hAnsi="Arial" w:cs="Arial"/>
          <w:sz w:val="24"/>
          <w:szCs w:val="24"/>
        </w:rPr>
        <w:t>del partido en la entidad</w:t>
      </w:r>
      <w:bookmarkEnd w:id="4"/>
      <w:r w:rsidR="008C726B" w:rsidRPr="00F84E3C">
        <w:rPr>
          <w:rFonts w:ascii="Arial" w:hAnsi="Arial" w:cs="Arial"/>
          <w:bCs/>
          <w:sz w:val="24"/>
          <w:szCs w:val="24"/>
        </w:rPr>
        <w:t>.</w:t>
      </w:r>
    </w:p>
    <w:bookmarkEnd w:id="2" w:displacedByCustomXml="next"/>
    <w:sdt>
      <w:sdtPr>
        <w:rPr>
          <w:rFonts w:ascii="Arial" w:eastAsiaTheme="minorHAnsi" w:hAnsi="Arial" w:cs="Arial"/>
          <w:color w:val="auto"/>
          <w:sz w:val="18"/>
          <w:szCs w:val="18"/>
          <w:lang w:val="es-ES" w:eastAsia="en-US"/>
        </w:rPr>
        <w:id w:val="-1961940485"/>
        <w:docPartObj>
          <w:docPartGallery w:val="Table of Contents"/>
          <w:docPartUnique/>
        </w:docPartObj>
      </w:sdtPr>
      <w:sdtEndPr>
        <w:rPr>
          <w:b/>
          <w:bCs/>
        </w:rPr>
      </w:sdtEndPr>
      <w:sdtContent>
        <w:p w14:paraId="53B50C8C" w14:textId="77777777" w:rsidR="00EE69B7" w:rsidRPr="00F84E3C" w:rsidRDefault="00EE69B7" w:rsidP="00EE69B7">
          <w:pPr>
            <w:pStyle w:val="TtuloTDC"/>
            <w:spacing w:before="0" w:line="240" w:lineRule="auto"/>
            <w:jc w:val="center"/>
            <w:rPr>
              <w:rFonts w:ascii="Arial" w:eastAsiaTheme="minorHAnsi" w:hAnsi="Arial" w:cs="Arial"/>
              <w:color w:val="auto"/>
              <w:sz w:val="18"/>
              <w:szCs w:val="18"/>
              <w:lang w:val="es-ES" w:eastAsia="en-US"/>
            </w:rPr>
          </w:pPr>
        </w:p>
        <w:p w14:paraId="63AF34D1" w14:textId="77777777" w:rsidR="00EE69B7" w:rsidRPr="00F84E3C" w:rsidRDefault="00EE69B7" w:rsidP="00EE69B7">
          <w:pPr>
            <w:pStyle w:val="TtuloTDC"/>
            <w:spacing w:before="0" w:line="240" w:lineRule="auto"/>
            <w:jc w:val="center"/>
            <w:rPr>
              <w:rFonts w:ascii="Arial" w:hAnsi="Arial" w:cs="Arial"/>
              <w:b/>
              <w:color w:val="auto"/>
              <w:sz w:val="18"/>
              <w:szCs w:val="18"/>
              <w:lang w:val="es-ES"/>
            </w:rPr>
          </w:pPr>
          <w:r w:rsidRPr="00F84E3C">
            <w:rPr>
              <w:rFonts w:ascii="Arial" w:hAnsi="Arial" w:cs="Arial"/>
              <w:b/>
              <w:color w:val="auto"/>
              <w:sz w:val="18"/>
              <w:szCs w:val="18"/>
              <w:lang w:val="es-ES"/>
            </w:rPr>
            <w:t>Índice</w:t>
          </w:r>
        </w:p>
        <w:p w14:paraId="0A0B6A54" w14:textId="4D0E9FC2" w:rsidR="00885734" w:rsidRPr="00F84E3C" w:rsidRDefault="00EE69B7">
          <w:pPr>
            <w:pStyle w:val="TDC1"/>
            <w:rPr>
              <w:rFonts w:ascii="Arial" w:eastAsiaTheme="minorEastAsia" w:hAnsi="Arial" w:cs="Arial"/>
              <w:noProof/>
              <w:sz w:val="18"/>
              <w:szCs w:val="18"/>
              <w:lang w:eastAsia="es-MX"/>
            </w:rPr>
          </w:pPr>
          <w:r w:rsidRPr="00F84E3C">
            <w:rPr>
              <w:rFonts w:ascii="Arial" w:hAnsi="Arial" w:cs="Arial"/>
              <w:b/>
              <w:bCs/>
              <w:sz w:val="18"/>
              <w:szCs w:val="18"/>
              <w:lang w:val="es-ES"/>
            </w:rPr>
            <w:fldChar w:fldCharType="begin"/>
          </w:r>
          <w:r w:rsidRPr="00F84E3C">
            <w:rPr>
              <w:rFonts w:ascii="Arial" w:hAnsi="Arial" w:cs="Arial"/>
              <w:b/>
              <w:bCs/>
              <w:sz w:val="18"/>
              <w:szCs w:val="18"/>
              <w:lang w:val="es-ES"/>
            </w:rPr>
            <w:instrText xml:space="preserve"> TOC \o "1-3" \h \z \u </w:instrText>
          </w:r>
          <w:r w:rsidRPr="00F84E3C">
            <w:rPr>
              <w:rFonts w:ascii="Arial" w:hAnsi="Arial" w:cs="Arial"/>
              <w:b/>
              <w:bCs/>
              <w:sz w:val="18"/>
              <w:szCs w:val="18"/>
              <w:lang w:val="es-ES"/>
            </w:rPr>
            <w:fldChar w:fldCharType="separate"/>
          </w:r>
          <w:hyperlink w:anchor="_Toc61560511" w:history="1">
            <w:r w:rsidR="00885734" w:rsidRPr="00F84E3C">
              <w:rPr>
                <w:rStyle w:val="Hipervnculo"/>
                <w:rFonts w:ascii="Arial" w:hAnsi="Arial" w:cs="Arial"/>
                <w:b/>
                <w:noProof/>
                <w:sz w:val="18"/>
                <w:szCs w:val="18"/>
              </w:rPr>
              <w:t>Glosario</w:t>
            </w:r>
            <w:r w:rsidR="00885734" w:rsidRPr="00F84E3C">
              <w:rPr>
                <w:rFonts w:ascii="Arial" w:hAnsi="Arial" w:cs="Arial"/>
                <w:noProof/>
                <w:webHidden/>
                <w:sz w:val="18"/>
                <w:szCs w:val="18"/>
              </w:rPr>
              <w:tab/>
            </w:r>
            <w:r w:rsidR="00885734" w:rsidRPr="00F84E3C">
              <w:rPr>
                <w:rFonts w:ascii="Arial" w:hAnsi="Arial" w:cs="Arial"/>
                <w:noProof/>
                <w:webHidden/>
                <w:sz w:val="18"/>
                <w:szCs w:val="18"/>
              </w:rPr>
              <w:fldChar w:fldCharType="begin"/>
            </w:r>
            <w:r w:rsidR="00885734" w:rsidRPr="00F84E3C">
              <w:rPr>
                <w:rFonts w:ascii="Arial" w:hAnsi="Arial" w:cs="Arial"/>
                <w:noProof/>
                <w:webHidden/>
                <w:sz w:val="18"/>
                <w:szCs w:val="18"/>
              </w:rPr>
              <w:instrText xml:space="preserve"> PAGEREF _Toc61560511 \h </w:instrText>
            </w:r>
            <w:r w:rsidR="00885734" w:rsidRPr="00F84E3C">
              <w:rPr>
                <w:rFonts w:ascii="Arial" w:hAnsi="Arial" w:cs="Arial"/>
                <w:noProof/>
                <w:webHidden/>
                <w:sz w:val="18"/>
                <w:szCs w:val="18"/>
              </w:rPr>
            </w:r>
            <w:r w:rsidR="00885734" w:rsidRPr="00F84E3C">
              <w:rPr>
                <w:rFonts w:ascii="Arial" w:hAnsi="Arial" w:cs="Arial"/>
                <w:noProof/>
                <w:webHidden/>
                <w:sz w:val="18"/>
                <w:szCs w:val="18"/>
              </w:rPr>
              <w:fldChar w:fldCharType="separate"/>
            </w:r>
            <w:r w:rsidR="00E86FB0" w:rsidRPr="00F84E3C">
              <w:rPr>
                <w:rFonts w:ascii="Arial" w:hAnsi="Arial" w:cs="Arial"/>
                <w:noProof/>
                <w:webHidden/>
                <w:sz w:val="18"/>
                <w:szCs w:val="18"/>
              </w:rPr>
              <w:t>1</w:t>
            </w:r>
            <w:r w:rsidR="00885734" w:rsidRPr="00F84E3C">
              <w:rPr>
                <w:rFonts w:ascii="Arial" w:hAnsi="Arial" w:cs="Arial"/>
                <w:noProof/>
                <w:webHidden/>
                <w:sz w:val="18"/>
                <w:szCs w:val="18"/>
              </w:rPr>
              <w:fldChar w:fldCharType="end"/>
            </w:r>
          </w:hyperlink>
        </w:p>
        <w:p w14:paraId="72FAC6BE" w14:textId="4CD0CF9D" w:rsidR="00885734" w:rsidRPr="00F84E3C" w:rsidRDefault="00442F9B">
          <w:pPr>
            <w:pStyle w:val="TDC1"/>
            <w:rPr>
              <w:rFonts w:ascii="Arial" w:eastAsiaTheme="minorEastAsia" w:hAnsi="Arial" w:cs="Arial"/>
              <w:noProof/>
              <w:sz w:val="18"/>
              <w:szCs w:val="18"/>
              <w:lang w:eastAsia="es-MX"/>
            </w:rPr>
          </w:pPr>
          <w:hyperlink w:anchor="_Toc61560512" w:history="1">
            <w:r w:rsidR="00885734" w:rsidRPr="00F84E3C">
              <w:rPr>
                <w:rStyle w:val="Hipervnculo"/>
                <w:rFonts w:ascii="Arial" w:hAnsi="Arial" w:cs="Arial"/>
                <w:b/>
                <w:noProof/>
                <w:sz w:val="18"/>
                <w:szCs w:val="18"/>
              </w:rPr>
              <w:t>Antecedentes</w:t>
            </w:r>
            <w:r w:rsidR="00885734" w:rsidRPr="00F84E3C">
              <w:rPr>
                <w:rFonts w:ascii="Arial" w:hAnsi="Arial" w:cs="Arial"/>
                <w:noProof/>
                <w:webHidden/>
                <w:sz w:val="18"/>
                <w:szCs w:val="18"/>
              </w:rPr>
              <w:tab/>
            </w:r>
            <w:r w:rsidR="00885734" w:rsidRPr="00F84E3C">
              <w:rPr>
                <w:rFonts w:ascii="Arial" w:hAnsi="Arial" w:cs="Arial"/>
                <w:noProof/>
                <w:webHidden/>
                <w:sz w:val="18"/>
                <w:szCs w:val="18"/>
              </w:rPr>
              <w:fldChar w:fldCharType="begin"/>
            </w:r>
            <w:r w:rsidR="00885734" w:rsidRPr="00F84E3C">
              <w:rPr>
                <w:rFonts w:ascii="Arial" w:hAnsi="Arial" w:cs="Arial"/>
                <w:noProof/>
                <w:webHidden/>
                <w:sz w:val="18"/>
                <w:szCs w:val="18"/>
              </w:rPr>
              <w:instrText xml:space="preserve"> PAGEREF _Toc61560512 \h </w:instrText>
            </w:r>
            <w:r w:rsidR="00885734" w:rsidRPr="00F84E3C">
              <w:rPr>
                <w:rFonts w:ascii="Arial" w:hAnsi="Arial" w:cs="Arial"/>
                <w:noProof/>
                <w:webHidden/>
                <w:sz w:val="18"/>
                <w:szCs w:val="18"/>
              </w:rPr>
            </w:r>
            <w:r w:rsidR="00885734" w:rsidRPr="00F84E3C">
              <w:rPr>
                <w:rFonts w:ascii="Arial" w:hAnsi="Arial" w:cs="Arial"/>
                <w:noProof/>
                <w:webHidden/>
                <w:sz w:val="18"/>
                <w:szCs w:val="18"/>
              </w:rPr>
              <w:fldChar w:fldCharType="separate"/>
            </w:r>
            <w:r w:rsidR="00E86FB0" w:rsidRPr="00F84E3C">
              <w:rPr>
                <w:rFonts w:ascii="Arial" w:hAnsi="Arial" w:cs="Arial"/>
                <w:noProof/>
                <w:webHidden/>
                <w:sz w:val="18"/>
                <w:szCs w:val="18"/>
              </w:rPr>
              <w:t>2</w:t>
            </w:r>
            <w:r w:rsidR="00885734" w:rsidRPr="00F84E3C">
              <w:rPr>
                <w:rFonts w:ascii="Arial" w:hAnsi="Arial" w:cs="Arial"/>
                <w:noProof/>
                <w:webHidden/>
                <w:sz w:val="18"/>
                <w:szCs w:val="18"/>
              </w:rPr>
              <w:fldChar w:fldCharType="end"/>
            </w:r>
          </w:hyperlink>
        </w:p>
        <w:p w14:paraId="19A76A00" w14:textId="4A61A7E8" w:rsidR="00885734" w:rsidRPr="00F84E3C" w:rsidRDefault="00442F9B">
          <w:pPr>
            <w:pStyle w:val="TDC1"/>
            <w:rPr>
              <w:rFonts w:ascii="Arial" w:eastAsiaTheme="minorEastAsia" w:hAnsi="Arial" w:cs="Arial"/>
              <w:noProof/>
              <w:sz w:val="18"/>
              <w:szCs w:val="18"/>
              <w:lang w:eastAsia="es-MX"/>
            </w:rPr>
          </w:pPr>
          <w:hyperlink w:anchor="_Toc61560513" w:history="1">
            <w:r w:rsidR="00885734" w:rsidRPr="00F84E3C">
              <w:rPr>
                <w:rStyle w:val="Hipervnculo"/>
                <w:rFonts w:ascii="Arial" w:hAnsi="Arial" w:cs="Arial"/>
                <w:b/>
                <w:noProof/>
                <w:sz w:val="18"/>
                <w:szCs w:val="18"/>
              </w:rPr>
              <w:t>Competencia, causal de improcedencia y procedencia</w:t>
            </w:r>
            <w:r w:rsidR="00885734" w:rsidRPr="00F84E3C">
              <w:rPr>
                <w:rFonts w:ascii="Arial" w:hAnsi="Arial" w:cs="Arial"/>
                <w:noProof/>
                <w:webHidden/>
                <w:sz w:val="18"/>
                <w:szCs w:val="18"/>
              </w:rPr>
              <w:tab/>
            </w:r>
            <w:r w:rsidR="00885734" w:rsidRPr="00F84E3C">
              <w:rPr>
                <w:rFonts w:ascii="Arial" w:hAnsi="Arial" w:cs="Arial"/>
                <w:noProof/>
                <w:webHidden/>
                <w:sz w:val="18"/>
                <w:szCs w:val="18"/>
              </w:rPr>
              <w:fldChar w:fldCharType="begin"/>
            </w:r>
            <w:r w:rsidR="00885734" w:rsidRPr="00F84E3C">
              <w:rPr>
                <w:rFonts w:ascii="Arial" w:hAnsi="Arial" w:cs="Arial"/>
                <w:noProof/>
                <w:webHidden/>
                <w:sz w:val="18"/>
                <w:szCs w:val="18"/>
              </w:rPr>
              <w:instrText xml:space="preserve"> PAGEREF _Toc61560513 \h </w:instrText>
            </w:r>
            <w:r w:rsidR="00885734" w:rsidRPr="00F84E3C">
              <w:rPr>
                <w:rFonts w:ascii="Arial" w:hAnsi="Arial" w:cs="Arial"/>
                <w:noProof/>
                <w:webHidden/>
                <w:sz w:val="18"/>
                <w:szCs w:val="18"/>
              </w:rPr>
            </w:r>
            <w:r w:rsidR="00885734" w:rsidRPr="00F84E3C">
              <w:rPr>
                <w:rFonts w:ascii="Arial" w:hAnsi="Arial" w:cs="Arial"/>
                <w:noProof/>
                <w:webHidden/>
                <w:sz w:val="18"/>
                <w:szCs w:val="18"/>
              </w:rPr>
              <w:fldChar w:fldCharType="separate"/>
            </w:r>
            <w:r w:rsidR="00E86FB0" w:rsidRPr="00F84E3C">
              <w:rPr>
                <w:rFonts w:ascii="Arial" w:hAnsi="Arial" w:cs="Arial"/>
                <w:noProof/>
                <w:webHidden/>
                <w:sz w:val="18"/>
                <w:szCs w:val="18"/>
              </w:rPr>
              <w:t>4</w:t>
            </w:r>
            <w:r w:rsidR="00885734" w:rsidRPr="00F84E3C">
              <w:rPr>
                <w:rFonts w:ascii="Arial" w:hAnsi="Arial" w:cs="Arial"/>
                <w:noProof/>
                <w:webHidden/>
                <w:sz w:val="18"/>
                <w:szCs w:val="18"/>
              </w:rPr>
              <w:fldChar w:fldCharType="end"/>
            </w:r>
          </w:hyperlink>
        </w:p>
        <w:p w14:paraId="469A48F5" w14:textId="22A6EB83" w:rsidR="00885734" w:rsidRPr="00F84E3C" w:rsidRDefault="00442F9B">
          <w:pPr>
            <w:pStyle w:val="TDC1"/>
            <w:rPr>
              <w:rFonts w:ascii="Arial" w:eastAsiaTheme="minorEastAsia" w:hAnsi="Arial" w:cs="Arial"/>
              <w:noProof/>
              <w:sz w:val="18"/>
              <w:szCs w:val="18"/>
              <w:lang w:eastAsia="es-MX"/>
            </w:rPr>
          </w:pPr>
          <w:hyperlink w:anchor="_Toc61560514" w:history="1">
            <w:r w:rsidR="00885734" w:rsidRPr="00F84E3C">
              <w:rPr>
                <w:rStyle w:val="Hipervnculo"/>
                <w:rFonts w:ascii="Arial" w:hAnsi="Arial" w:cs="Arial"/>
                <w:noProof/>
                <w:sz w:val="18"/>
                <w:szCs w:val="18"/>
              </w:rPr>
              <w:t>Estudio de fondo</w:t>
            </w:r>
            <w:r w:rsidR="00885734" w:rsidRPr="00F84E3C">
              <w:rPr>
                <w:rFonts w:ascii="Arial" w:hAnsi="Arial" w:cs="Arial"/>
                <w:noProof/>
                <w:webHidden/>
                <w:sz w:val="18"/>
                <w:szCs w:val="18"/>
              </w:rPr>
              <w:tab/>
            </w:r>
            <w:r w:rsidR="00885734" w:rsidRPr="00F84E3C">
              <w:rPr>
                <w:rFonts w:ascii="Arial" w:hAnsi="Arial" w:cs="Arial"/>
                <w:noProof/>
                <w:webHidden/>
                <w:sz w:val="18"/>
                <w:szCs w:val="18"/>
              </w:rPr>
              <w:fldChar w:fldCharType="begin"/>
            </w:r>
            <w:r w:rsidR="00885734" w:rsidRPr="00F84E3C">
              <w:rPr>
                <w:rFonts w:ascii="Arial" w:hAnsi="Arial" w:cs="Arial"/>
                <w:noProof/>
                <w:webHidden/>
                <w:sz w:val="18"/>
                <w:szCs w:val="18"/>
              </w:rPr>
              <w:instrText xml:space="preserve"> PAGEREF _Toc61560514 \h </w:instrText>
            </w:r>
            <w:r w:rsidR="00885734" w:rsidRPr="00F84E3C">
              <w:rPr>
                <w:rFonts w:ascii="Arial" w:hAnsi="Arial" w:cs="Arial"/>
                <w:noProof/>
                <w:webHidden/>
                <w:sz w:val="18"/>
                <w:szCs w:val="18"/>
              </w:rPr>
            </w:r>
            <w:r w:rsidR="00885734" w:rsidRPr="00F84E3C">
              <w:rPr>
                <w:rFonts w:ascii="Arial" w:hAnsi="Arial" w:cs="Arial"/>
                <w:noProof/>
                <w:webHidden/>
                <w:sz w:val="18"/>
                <w:szCs w:val="18"/>
              </w:rPr>
              <w:fldChar w:fldCharType="separate"/>
            </w:r>
            <w:r w:rsidR="00E86FB0" w:rsidRPr="00F84E3C">
              <w:rPr>
                <w:rFonts w:ascii="Arial" w:hAnsi="Arial" w:cs="Arial"/>
                <w:noProof/>
                <w:webHidden/>
                <w:sz w:val="18"/>
                <w:szCs w:val="18"/>
              </w:rPr>
              <w:t>5</w:t>
            </w:r>
            <w:r w:rsidR="00885734" w:rsidRPr="00F84E3C">
              <w:rPr>
                <w:rFonts w:ascii="Arial" w:hAnsi="Arial" w:cs="Arial"/>
                <w:noProof/>
                <w:webHidden/>
                <w:sz w:val="18"/>
                <w:szCs w:val="18"/>
              </w:rPr>
              <w:fldChar w:fldCharType="end"/>
            </w:r>
          </w:hyperlink>
        </w:p>
        <w:p w14:paraId="27EDB95F" w14:textId="08E8571E" w:rsidR="00885734" w:rsidRPr="00F84E3C" w:rsidRDefault="00442F9B">
          <w:pPr>
            <w:pStyle w:val="TDC2"/>
            <w:rPr>
              <w:rFonts w:eastAsiaTheme="minorEastAsia"/>
              <w:u w:val="none"/>
              <w:lang w:eastAsia="es-MX"/>
            </w:rPr>
          </w:pPr>
          <w:hyperlink w:anchor="_Toc61560515" w:history="1">
            <w:r w:rsidR="00885734" w:rsidRPr="00F84E3C">
              <w:rPr>
                <w:rStyle w:val="Hipervnculo"/>
                <w:b/>
              </w:rPr>
              <w:t>Apartado preliminar.</w:t>
            </w:r>
            <w:r w:rsidR="00885734" w:rsidRPr="00F84E3C">
              <w:rPr>
                <w:rStyle w:val="Hipervnculo"/>
                <w:u w:val="none"/>
              </w:rPr>
              <w:t xml:space="preserve"> Materia de la controversia</w:t>
            </w:r>
            <w:r w:rsidR="00885734" w:rsidRPr="00F84E3C">
              <w:rPr>
                <w:webHidden/>
                <w:u w:val="none"/>
              </w:rPr>
              <w:tab/>
            </w:r>
            <w:r w:rsidR="00885734" w:rsidRPr="00F84E3C">
              <w:rPr>
                <w:webHidden/>
                <w:u w:val="none"/>
              </w:rPr>
              <w:fldChar w:fldCharType="begin"/>
            </w:r>
            <w:r w:rsidR="00885734" w:rsidRPr="00F84E3C">
              <w:rPr>
                <w:webHidden/>
                <w:u w:val="none"/>
              </w:rPr>
              <w:instrText xml:space="preserve"> PAGEREF _Toc61560515 \h </w:instrText>
            </w:r>
            <w:r w:rsidR="00885734" w:rsidRPr="00F84E3C">
              <w:rPr>
                <w:webHidden/>
                <w:u w:val="none"/>
              </w:rPr>
            </w:r>
            <w:r w:rsidR="00885734" w:rsidRPr="00F84E3C">
              <w:rPr>
                <w:webHidden/>
                <w:u w:val="none"/>
              </w:rPr>
              <w:fldChar w:fldCharType="separate"/>
            </w:r>
            <w:r w:rsidR="00E86FB0" w:rsidRPr="00F84E3C">
              <w:rPr>
                <w:webHidden/>
                <w:u w:val="none"/>
              </w:rPr>
              <w:t>5</w:t>
            </w:r>
            <w:r w:rsidR="00885734" w:rsidRPr="00F84E3C">
              <w:rPr>
                <w:webHidden/>
                <w:u w:val="none"/>
              </w:rPr>
              <w:fldChar w:fldCharType="end"/>
            </w:r>
          </w:hyperlink>
        </w:p>
        <w:p w14:paraId="65ED273C" w14:textId="6DDAE8A1" w:rsidR="00885734" w:rsidRPr="00F84E3C" w:rsidRDefault="00442F9B">
          <w:pPr>
            <w:pStyle w:val="TDC2"/>
            <w:rPr>
              <w:rFonts w:eastAsiaTheme="minorEastAsia"/>
              <w:u w:val="none"/>
              <w:lang w:eastAsia="es-MX"/>
            </w:rPr>
          </w:pPr>
          <w:hyperlink w:anchor="_Toc61560516" w:history="1">
            <w:r w:rsidR="00885734" w:rsidRPr="00F84E3C">
              <w:rPr>
                <w:rStyle w:val="Hipervnculo"/>
                <w:b/>
              </w:rPr>
              <w:t>Apartado I.</w:t>
            </w:r>
            <w:r w:rsidR="00885734" w:rsidRPr="00F84E3C">
              <w:rPr>
                <w:rStyle w:val="Hipervnculo"/>
                <w:u w:val="none"/>
              </w:rPr>
              <w:t xml:space="preserve"> Decisión general</w:t>
            </w:r>
            <w:r w:rsidR="00885734" w:rsidRPr="00F84E3C">
              <w:rPr>
                <w:webHidden/>
                <w:u w:val="none"/>
              </w:rPr>
              <w:tab/>
            </w:r>
            <w:r w:rsidR="00885734" w:rsidRPr="00F84E3C">
              <w:rPr>
                <w:webHidden/>
                <w:u w:val="none"/>
              </w:rPr>
              <w:fldChar w:fldCharType="begin"/>
            </w:r>
            <w:r w:rsidR="00885734" w:rsidRPr="00F84E3C">
              <w:rPr>
                <w:webHidden/>
                <w:u w:val="none"/>
              </w:rPr>
              <w:instrText xml:space="preserve"> PAGEREF _Toc61560516 \h </w:instrText>
            </w:r>
            <w:r w:rsidR="00885734" w:rsidRPr="00F84E3C">
              <w:rPr>
                <w:webHidden/>
                <w:u w:val="none"/>
              </w:rPr>
            </w:r>
            <w:r w:rsidR="00885734" w:rsidRPr="00F84E3C">
              <w:rPr>
                <w:webHidden/>
                <w:u w:val="none"/>
              </w:rPr>
              <w:fldChar w:fldCharType="separate"/>
            </w:r>
            <w:r w:rsidR="00E86FB0" w:rsidRPr="00F84E3C">
              <w:rPr>
                <w:webHidden/>
                <w:u w:val="none"/>
              </w:rPr>
              <w:t>5</w:t>
            </w:r>
            <w:r w:rsidR="00885734" w:rsidRPr="00F84E3C">
              <w:rPr>
                <w:webHidden/>
                <w:u w:val="none"/>
              </w:rPr>
              <w:fldChar w:fldCharType="end"/>
            </w:r>
          </w:hyperlink>
        </w:p>
        <w:p w14:paraId="56070BB4" w14:textId="70022641" w:rsidR="00885734" w:rsidRPr="00F84E3C" w:rsidRDefault="00442F9B">
          <w:pPr>
            <w:pStyle w:val="TDC2"/>
            <w:rPr>
              <w:rFonts w:eastAsiaTheme="minorEastAsia"/>
              <w:u w:val="none"/>
              <w:lang w:eastAsia="es-MX"/>
            </w:rPr>
          </w:pPr>
          <w:hyperlink w:anchor="_Toc61560517" w:history="1">
            <w:r w:rsidR="00885734" w:rsidRPr="00F84E3C">
              <w:rPr>
                <w:rStyle w:val="Hipervnculo"/>
                <w:b/>
              </w:rPr>
              <w:t>Apartado II.</w:t>
            </w:r>
            <w:r w:rsidR="00885734" w:rsidRPr="00F84E3C">
              <w:rPr>
                <w:rStyle w:val="Hipervnculo"/>
                <w:u w:val="none"/>
              </w:rPr>
              <w:t xml:space="preserve"> Desarrollo o justificación de la decisión</w:t>
            </w:r>
            <w:r w:rsidR="00885734" w:rsidRPr="00F84E3C">
              <w:rPr>
                <w:webHidden/>
                <w:u w:val="none"/>
              </w:rPr>
              <w:tab/>
            </w:r>
            <w:r w:rsidR="00885734" w:rsidRPr="00F84E3C">
              <w:rPr>
                <w:webHidden/>
                <w:u w:val="none"/>
              </w:rPr>
              <w:fldChar w:fldCharType="begin"/>
            </w:r>
            <w:r w:rsidR="00885734" w:rsidRPr="00F84E3C">
              <w:rPr>
                <w:webHidden/>
                <w:u w:val="none"/>
              </w:rPr>
              <w:instrText xml:space="preserve"> PAGEREF _Toc61560517 \h </w:instrText>
            </w:r>
            <w:r w:rsidR="00885734" w:rsidRPr="00F84E3C">
              <w:rPr>
                <w:webHidden/>
                <w:u w:val="none"/>
              </w:rPr>
            </w:r>
            <w:r w:rsidR="00885734" w:rsidRPr="00F84E3C">
              <w:rPr>
                <w:webHidden/>
                <w:u w:val="none"/>
              </w:rPr>
              <w:fldChar w:fldCharType="separate"/>
            </w:r>
            <w:r w:rsidR="00E86FB0" w:rsidRPr="00F84E3C">
              <w:rPr>
                <w:webHidden/>
                <w:u w:val="none"/>
              </w:rPr>
              <w:t>6</w:t>
            </w:r>
            <w:r w:rsidR="00885734" w:rsidRPr="00F84E3C">
              <w:rPr>
                <w:webHidden/>
                <w:u w:val="none"/>
              </w:rPr>
              <w:fldChar w:fldCharType="end"/>
            </w:r>
          </w:hyperlink>
        </w:p>
        <w:p w14:paraId="6758C93C" w14:textId="305B064B" w:rsidR="00885734" w:rsidRPr="00F84E3C" w:rsidRDefault="00442F9B">
          <w:pPr>
            <w:pStyle w:val="TDC1"/>
            <w:rPr>
              <w:rFonts w:ascii="Arial" w:eastAsiaTheme="minorEastAsia" w:hAnsi="Arial" w:cs="Arial"/>
              <w:noProof/>
              <w:sz w:val="18"/>
              <w:szCs w:val="18"/>
              <w:lang w:eastAsia="es-MX"/>
            </w:rPr>
          </w:pPr>
          <w:hyperlink w:anchor="_Toc61560518" w:history="1">
            <w:r w:rsidR="00885734" w:rsidRPr="00F84E3C">
              <w:rPr>
                <w:rStyle w:val="Hipervnculo"/>
                <w:rFonts w:ascii="Arial" w:hAnsi="Arial" w:cs="Arial"/>
                <w:b/>
                <w:noProof/>
                <w:sz w:val="18"/>
                <w:szCs w:val="18"/>
                <w:u w:val="none"/>
              </w:rPr>
              <w:t>Resuelve</w:t>
            </w:r>
            <w:r w:rsidR="00885734" w:rsidRPr="00F84E3C">
              <w:rPr>
                <w:rFonts w:ascii="Arial" w:hAnsi="Arial" w:cs="Arial"/>
                <w:noProof/>
                <w:webHidden/>
                <w:sz w:val="18"/>
                <w:szCs w:val="18"/>
              </w:rPr>
              <w:tab/>
            </w:r>
            <w:r w:rsidR="00885734" w:rsidRPr="00F84E3C">
              <w:rPr>
                <w:rFonts w:ascii="Arial" w:hAnsi="Arial" w:cs="Arial"/>
                <w:noProof/>
                <w:webHidden/>
                <w:sz w:val="18"/>
                <w:szCs w:val="18"/>
              </w:rPr>
              <w:fldChar w:fldCharType="begin"/>
            </w:r>
            <w:r w:rsidR="00885734" w:rsidRPr="00F84E3C">
              <w:rPr>
                <w:rFonts w:ascii="Arial" w:hAnsi="Arial" w:cs="Arial"/>
                <w:noProof/>
                <w:webHidden/>
                <w:sz w:val="18"/>
                <w:szCs w:val="18"/>
              </w:rPr>
              <w:instrText xml:space="preserve"> PAGEREF _Toc61560518 \h </w:instrText>
            </w:r>
            <w:r w:rsidR="00885734" w:rsidRPr="00F84E3C">
              <w:rPr>
                <w:rFonts w:ascii="Arial" w:hAnsi="Arial" w:cs="Arial"/>
                <w:noProof/>
                <w:webHidden/>
                <w:sz w:val="18"/>
                <w:szCs w:val="18"/>
              </w:rPr>
            </w:r>
            <w:r w:rsidR="00885734" w:rsidRPr="00F84E3C">
              <w:rPr>
                <w:rFonts w:ascii="Arial" w:hAnsi="Arial" w:cs="Arial"/>
                <w:noProof/>
                <w:webHidden/>
                <w:sz w:val="18"/>
                <w:szCs w:val="18"/>
              </w:rPr>
              <w:fldChar w:fldCharType="separate"/>
            </w:r>
            <w:r w:rsidR="00E86FB0" w:rsidRPr="00F84E3C">
              <w:rPr>
                <w:rFonts w:ascii="Arial" w:hAnsi="Arial" w:cs="Arial"/>
                <w:noProof/>
                <w:webHidden/>
                <w:sz w:val="18"/>
                <w:szCs w:val="18"/>
              </w:rPr>
              <w:t>9</w:t>
            </w:r>
            <w:r w:rsidR="00885734" w:rsidRPr="00F84E3C">
              <w:rPr>
                <w:rFonts w:ascii="Arial" w:hAnsi="Arial" w:cs="Arial"/>
                <w:noProof/>
                <w:webHidden/>
                <w:sz w:val="18"/>
                <w:szCs w:val="18"/>
              </w:rPr>
              <w:fldChar w:fldCharType="end"/>
            </w:r>
          </w:hyperlink>
        </w:p>
        <w:p w14:paraId="511D0CBF" w14:textId="08BB0715" w:rsidR="00EE69B7" w:rsidRPr="00F84E3C" w:rsidRDefault="00EE69B7" w:rsidP="00EE69B7">
          <w:pPr>
            <w:spacing w:after="0" w:line="240" w:lineRule="auto"/>
            <w:rPr>
              <w:rFonts w:ascii="Arial" w:hAnsi="Arial" w:cs="Arial"/>
              <w:sz w:val="18"/>
              <w:szCs w:val="18"/>
            </w:rPr>
          </w:pPr>
          <w:r w:rsidRPr="00F84E3C">
            <w:rPr>
              <w:rFonts w:ascii="Arial" w:hAnsi="Arial" w:cs="Arial"/>
              <w:b/>
              <w:bCs/>
              <w:sz w:val="18"/>
              <w:szCs w:val="18"/>
              <w:lang w:val="es-ES"/>
            </w:rPr>
            <w:fldChar w:fldCharType="end"/>
          </w:r>
        </w:p>
      </w:sdtContent>
    </w:sdt>
    <w:p w14:paraId="627EDB98" w14:textId="77777777" w:rsidR="00EE69B7" w:rsidRPr="00F84E3C" w:rsidRDefault="00EE69B7" w:rsidP="00EE69B7">
      <w:pPr>
        <w:pStyle w:val="Ttulo1"/>
        <w:spacing w:before="0" w:beforeAutospacing="0" w:after="0" w:afterAutospacing="0"/>
        <w:jc w:val="center"/>
        <w:rPr>
          <w:rFonts w:cs="Arial"/>
          <w:sz w:val="18"/>
          <w:szCs w:val="18"/>
        </w:rPr>
      </w:pPr>
      <w:bookmarkStart w:id="5" w:name="_Toc13662329"/>
      <w:bookmarkStart w:id="6" w:name="_Toc61560511"/>
      <w:r w:rsidRPr="00F84E3C">
        <w:rPr>
          <w:rFonts w:cs="Arial"/>
          <w:caps w:val="0"/>
          <w:sz w:val="18"/>
          <w:szCs w:val="18"/>
        </w:rPr>
        <w:t>Glosario</w:t>
      </w:r>
      <w:bookmarkEnd w:id="5"/>
      <w:bookmarkEnd w:id="6"/>
    </w:p>
    <w:tbl>
      <w:tblPr>
        <w:tblW w:w="8364" w:type="dxa"/>
        <w:tblLook w:val="01E0" w:firstRow="1" w:lastRow="1" w:firstColumn="1" w:lastColumn="1" w:noHBand="0" w:noVBand="0"/>
      </w:tblPr>
      <w:tblGrid>
        <w:gridCol w:w="3197"/>
        <w:gridCol w:w="5167"/>
      </w:tblGrid>
      <w:tr w:rsidR="00EE69B7" w:rsidRPr="00F84E3C" w14:paraId="686156F7" w14:textId="77777777" w:rsidTr="000C0836">
        <w:trPr>
          <w:trHeight w:val="20"/>
        </w:trPr>
        <w:tc>
          <w:tcPr>
            <w:tcW w:w="3197" w:type="dxa"/>
          </w:tcPr>
          <w:p w14:paraId="37BB38C0" w14:textId="77777777" w:rsidR="00EE69B7" w:rsidRPr="00F84E3C" w:rsidRDefault="00EE69B7" w:rsidP="000C0836">
            <w:pPr>
              <w:spacing w:after="0" w:line="240" w:lineRule="auto"/>
              <w:ind w:left="-100"/>
              <w:rPr>
                <w:rFonts w:ascii="Arial" w:hAnsi="Arial" w:cs="Arial"/>
                <w:b/>
                <w:sz w:val="18"/>
                <w:szCs w:val="18"/>
              </w:rPr>
            </w:pPr>
            <w:r w:rsidRPr="00F84E3C">
              <w:rPr>
                <w:rFonts w:ascii="Arial" w:hAnsi="Arial" w:cs="Arial"/>
                <w:b/>
                <w:sz w:val="18"/>
                <w:szCs w:val="18"/>
              </w:rPr>
              <w:t xml:space="preserve">Actor, </w:t>
            </w:r>
            <w:r w:rsidR="00FC1389" w:rsidRPr="00F84E3C">
              <w:rPr>
                <w:rFonts w:ascii="Arial" w:hAnsi="Arial" w:cs="Arial"/>
                <w:b/>
                <w:sz w:val="18"/>
                <w:szCs w:val="18"/>
              </w:rPr>
              <w:t xml:space="preserve">Armando de la Cruz </w:t>
            </w:r>
            <w:r w:rsidRPr="00F84E3C">
              <w:rPr>
                <w:rFonts w:ascii="Arial" w:hAnsi="Arial" w:cs="Arial"/>
                <w:b/>
                <w:sz w:val="18"/>
                <w:szCs w:val="18"/>
              </w:rPr>
              <w:t>y/o impugnante</w:t>
            </w:r>
            <w:r w:rsidR="00FC1389" w:rsidRPr="00F84E3C">
              <w:rPr>
                <w:rFonts w:ascii="Arial" w:hAnsi="Arial" w:cs="Arial"/>
                <w:b/>
                <w:sz w:val="18"/>
                <w:szCs w:val="18"/>
              </w:rPr>
              <w:t>:</w:t>
            </w:r>
          </w:p>
        </w:tc>
        <w:tc>
          <w:tcPr>
            <w:tcW w:w="5167" w:type="dxa"/>
          </w:tcPr>
          <w:p w14:paraId="247CF21F" w14:textId="77777777" w:rsidR="00EE69B7" w:rsidRPr="00F84E3C" w:rsidRDefault="00FC1389" w:rsidP="000C0836">
            <w:pPr>
              <w:spacing w:after="0" w:line="240" w:lineRule="auto"/>
              <w:ind w:left="-100"/>
              <w:rPr>
                <w:rFonts w:ascii="Arial" w:hAnsi="Arial" w:cs="Arial"/>
                <w:sz w:val="18"/>
                <w:szCs w:val="18"/>
                <w:lang w:eastAsia="es-MX"/>
              </w:rPr>
            </w:pPr>
            <w:r w:rsidRPr="00F84E3C">
              <w:rPr>
                <w:rFonts w:ascii="Arial" w:hAnsi="Arial" w:cs="Arial"/>
                <w:sz w:val="18"/>
                <w:szCs w:val="18"/>
                <w:lang w:eastAsia="es-MX"/>
              </w:rPr>
              <w:t>Armando de la Cruz Uribe Valle</w:t>
            </w:r>
            <w:r w:rsidR="008675FC" w:rsidRPr="00F84E3C">
              <w:rPr>
                <w:rFonts w:ascii="Arial" w:hAnsi="Arial" w:cs="Arial"/>
                <w:sz w:val="18"/>
                <w:szCs w:val="18"/>
                <w:lang w:eastAsia="es-MX"/>
              </w:rPr>
              <w:t>.</w:t>
            </w:r>
          </w:p>
        </w:tc>
      </w:tr>
      <w:tr w:rsidR="002D6F95" w:rsidRPr="00F84E3C" w14:paraId="347AC81D" w14:textId="77777777" w:rsidTr="000C0836">
        <w:trPr>
          <w:trHeight w:val="20"/>
        </w:trPr>
        <w:tc>
          <w:tcPr>
            <w:tcW w:w="3197" w:type="dxa"/>
          </w:tcPr>
          <w:p w14:paraId="79523B69" w14:textId="661A85DE" w:rsidR="002D6F95" w:rsidRPr="00F84E3C" w:rsidRDefault="002D6F95" w:rsidP="000C0836">
            <w:pPr>
              <w:spacing w:after="0" w:line="240" w:lineRule="auto"/>
              <w:ind w:left="-100"/>
              <w:rPr>
                <w:rFonts w:ascii="Arial" w:hAnsi="Arial" w:cs="Arial"/>
                <w:b/>
                <w:sz w:val="18"/>
                <w:szCs w:val="18"/>
              </w:rPr>
            </w:pPr>
            <w:r w:rsidRPr="00F84E3C">
              <w:rPr>
                <w:rFonts w:ascii="Arial" w:hAnsi="Arial" w:cs="Arial"/>
                <w:b/>
                <w:sz w:val="18"/>
                <w:szCs w:val="18"/>
              </w:rPr>
              <w:t>CEN</w:t>
            </w:r>
            <w:r w:rsidR="00BA7853" w:rsidRPr="00F84E3C">
              <w:rPr>
                <w:rFonts w:ascii="Arial" w:hAnsi="Arial" w:cs="Arial"/>
                <w:b/>
                <w:sz w:val="18"/>
                <w:szCs w:val="18"/>
              </w:rPr>
              <w:t>:</w:t>
            </w:r>
          </w:p>
        </w:tc>
        <w:tc>
          <w:tcPr>
            <w:tcW w:w="5167" w:type="dxa"/>
          </w:tcPr>
          <w:p w14:paraId="62BE2ABF" w14:textId="77777777" w:rsidR="002D6F95" w:rsidRPr="00F84E3C" w:rsidRDefault="002D6F95" w:rsidP="000C0836">
            <w:pPr>
              <w:spacing w:after="0" w:line="240" w:lineRule="auto"/>
              <w:ind w:left="-100"/>
              <w:rPr>
                <w:rFonts w:ascii="Arial" w:hAnsi="Arial" w:cs="Arial"/>
                <w:sz w:val="18"/>
                <w:szCs w:val="18"/>
                <w:lang w:eastAsia="es-MX"/>
              </w:rPr>
            </w:pPr>
            <w:r w:rsidRPr="00F84E3C">
              <w:rPr>
                <w:rFonts w:ascii="Arial" w:hAnsi="Arial" w:cs="Arial"/>
                <w:sz w:val="18"/>
                <w:szCs w:val="18"/>
                <w:lang w:eastAsia="es-MX"/>
              </w:rPr>
              <w:t>Comité Ejecutivo Nacional</w:t>
            </w:r>
            <w:r w:rsidR="008675FC" w:rsidRPr="00F84E3C">
              <w:rPr>
                <w:rFonts w:ascii="Arial" w:hAnsi="Arial" w:cs="Arial"/>
                <w:sz w:val="18"/>
                <w:szCs w:val="18"/>
                <w:lang w:eastAsia="es-MX"/>
              </w:rPr>
              <w:t>.</w:t>
            </w:r>
          </w:p>
        </w:tc>
      </w:tr>
      <w:tr w:rsidR="002D6F95" w:rsidRPr="00F84E3C" w14:paraId="7EEC169B" w14:textId="77777777" w:rsidTr="000C0836">
        <w:trPr>
          <w:trHeight w:val="20"/>
        </w:trPr>
        <w:tc>
          <w:tcPr>
            <w:tcW w:w="3197" w:type="dxa"/>
          </w:tcPr>
          <w:p w14:paraId="655BDB7F" w14:textId="4280E694" w:rsidR="002D6F95" w:rsidRPr="00F84E3C" w:rsidRDefault="002D6F95" w:rsidP="000C0836">
            <w:pPr>
              <w:spacing w:after="0" w:line="240" w:lineRule="auto"/>
              <w:ind w:left="-100"/>
              <w:rPr>
                <w:rFonts w:ascii="Arial" w:hAnsi="Arial" w:cs="Arial"/>
                <w:b/>
                <w:sz w:val="18"/>
                <w:szCs w:val="18"/>
              </w:rPr>
            </w:pPr>
            <w:r w:rsidRPr="00F84E3C">
              <w:rPr>
                <w:rFonts w:ascii="Arial" w:hAnsi="Arial" w:cs="Arial"/>
                <w:b/>
                <w:sz w:val="18"/>
                <w:szCs w:val="18"/>
              </w:rPr>
              <w:t>Comité Estatal</w:t>
            </w:r>
            <w:r w:rsidR="00BA7853" w:rsidRPr="00F84E3C">
              <w:rPr>
                <w:rFonts w:ascii="Arial" w:hAnsi="Arial" w:cs="Arial"/>
                <w:b/>
                <w:sz w:val="18"/>
                <w:szCs w:val="18"/>
              </w:rPr>
              <w:t>:</w:t>
            </w:r>
            <w:r w:rsidRPr="00F84E3C">
              <w:rPr>
                <w:rFonts w:ascii="Arial" w:hAnsi="Arial" w:cs="Arial"/>
                <w:b/>
                <w:sz w:val="18"/>
                <w:szCs w:val="18"/>
              </w:rPr>
              <w:t xml:space="preserve"> </w:t>
            </w:r>
          </w:p>
        </w:tc>
        <w:tc>
          <w:tcPr>
            <w:tcW w:w="5167" w:type="dxa"/>
          </w:tcPr>
          <w:p w14:paraId="1000849C" w14:textId="77777777" w:rsidR="002D6F95" w:rsidRPr="00F84E3C" w:rsidRDefault="002D6F95" w:rsidP="000C0836">
            <w:pPr>
              <w:spacing w:after="0" w:line="240" w:lineRule="auto"/>
              <w:ind w:left="-100"/>
              <w:rPr>
                <w:rFonts w:ascii="Arial" w:hAnsi="Arial" w:cs="Arial"/>
                <w:sz w:val="18"/>
                <w:szCs w:val="18"/>
                <w:lang w:eastAsia="es-MX"/>
              </w:rPr>
            </w:pPr>
            <w:r w:rsidRPr="00F84E3C">
              <w:rPr>
                <w:rFonts w:ascii="Arial" w:hAnsi="Arial" w:cs="Arial"/>
                <w:sz w:val="18"/>
                <w:szCs w:val="18"/>
                <w:lang w:eastAsia="es-MX"/>
              </w:rPr>
              <w:t>Comité Directivo Estatal del Partido Revolucionario Institucional en el Estado de Guanajuato</w:t>
            </w:r>
            <w:r w:rsidR="008675FC" w:rsidRPr="00F84E3C">
              <w:rPr>
                <w:rFonts w:ascii="Arial" w:hAnsi="Arial" w:cs="Arial"/>
                <w:sz w:val="18"/>
                <w:szCs w:val="18"/>
                <w:lang w:eastAsia="es-MX"/>
              </w:rPr>
              <w:t>.</w:t>
            </w:r>
          </w:p>
        </w:tc>
      </w:tr>
      <w:tr w:rsidR="00EA1E08" w:rsidRPr="00F84E3C" w14:paraId="648D4B2F" w14:textId="77777777" w:rsidTr="000C0836">
        <w:trPr>
          <w:trHeight w:val="20"/>
        </w:trPr>
        <w:tc>
          <w:tcPr>
            <w:tcW w:w="3197" w:type="dxa"/>
          </w:tcPr>
          <w:p w14:paraId="4E722068" w14:textId="4C1DA27E" w:rsidR="00EA1E08" w:rsidRPr="00F84E3C" w:rsidRDefault="00EA1E08" w:rsidP="000C0836">
            <w:pPr>
              <w:spacing w:after="0" w:line="240" w:lineRule="auto"/>
              <w:ind w:left="-100"/>
              <w:rPr>
                <w:rFonts w:ascii="Arial" w:hAnsi="Arial" w:cs="Arial"/>
                <w:b/>
                <w:sz w:val="18"/>
                <w:szCs w:val="18"/>
              </w:rPr>
            </w:pPr>
            <w:r w:rsidRPr="00F84E3C">
              <w:rPr>
                <w:rFonts w:ascii="Arial" w:hAnsi="Arial" w:cs="Arial"/>
                <w:b/>
                <w:sz w:val="18"/>
                <w:szCs w:val="18"/>
              </w:rPr>
              <w:t>INE:</w:t>
            </w:r>
          </w:p>
        </w:tc>
        <w:tc>
          <w:tcPr>
            <w:tcW w:w="5167" w:type="dxa"/>
          </w:tcPr>
          <w:p w14:paraId="0B5204C2" w14:textId="47A97C98" w:rsidR="00EA1E08" w:rsidRPr="00F84E3C" w:rsidRDefault="00EA1E08" w:rsidP="000C0836">
            <w:pPr>
              <w:spacing w:after="0" w:line="240" w:lineRule="auto"/>
              <w:ind w:left="-100"/>
              <w:rPr>
                <w:rFonts w:ascii="Arial" w:hAnsi="Arial" w:cs="Arial"/>
                <w:sz w:val="18"/>
                <w:szCs w:val="18"/>
                <w:lang w:eastAsia="es-MX"/>
              </w:rPr>
            </w:pPr>
            <w:r w:rsidRPr="00F84E3C">
              <w:rPr>
                <w:rFonts w:ascii="Arial" w:hAnsi="Arial" w:cs="Arial"/>
                <w:sz w:val="18"/>
                <w:szCs w:val="18"/>
                <w:lang w:eastAsia="es-MX"/>
              </w:rPr>
              <w:t>Instituto Nacional Electoral.</w:t>
            </w:r>
          </w:p>
        </w:tc>
      </w:tr>
      <w:tr w:rsidR="00EE69B7" w:rsidRPr="00F84E3C" w14:paraId="33046B59" w14:textId="77777777" w:rsidTr="000C0836">
        <w:trPr>
          <w:trHeight w:val="20"/>
        </w:trPr>
        <w:tc>
          <w:tcPr>
            <w:tcW w:w="3197" w:type="dxa"/>
          </w:tcPr>
          <w:p w14:paraId="422C3284" w14:textId="041455D6" w:rsidR="00EE69B7" w:rsidRPr="00F84E3C" w:rsidRDefault="00EE69B7" w:rsidP="000C0836">
            <w:pPr>
              <w:spacing w:after="0" w:line="240" w:lineRule="auto"/>
              <w:ind w:left="-100"/>
              <w:rPr>
                <w:rFonts w:ascii="Arial" w:hAnsi="Arial" w:cs="Arial"/>
                <w:b/>
                <w:sz w:val="18"/>
                <w:szCs w:val="18"/>
              </w:rPr>
            </w:pPr>
            <w:bookmarkStart w:id="7" w:name="_Hlk46146003"/>
            <w:r w:rsidRPr="00F84E3C">
              <w:rPr>
                <w:rFonts w:ascii="Arial" w:hAnsi="Arial" w:cs="Arial"/>
                <w:b/>
                <w:sz w:val="18"/>
                <w:szCs w:val="18"/>
              </w:rPr>
              <w:lastRenderedPageBreak/>
              <w:t>Instituto Local</w:t>
            </w:r>
            <w:r w:rsidR="00BA7853" w:rsidRPr="00F84E3C">
              <w:rPr>
                <w:rFonts w:ascii="Arial" w:hAnsi="Arial" w:cs="Arial"/>
                <w:b/>
                <w:sz w:val="18"/>
                <w:szCs w:val="18"/>
              </w:rPr>
              <w:t xml:space="preserve">/ </w:t>
            </w:r>
            <w:proofErr w:type="spellStart"/>
            <w:r w:rsidR="00BA7853" w:rsidRPr="00F84E3C">
              <w:rPr>
                <w:rFonts w:ascii="Arial" w:hAnsi="Arial" w:cs="Arial"/>
                <w:b/>
                <w:sz w:val="18"/>
                <w:szCs w:val="18"/>
              </w:rPr>
              <w:t>IEEG</w:t>
            </w:r>
            <w:proofErr w:type="spellEnd"/>
            <w:r w:rsidRPr="00F84E3C">
              <w:rPr>
                <w:rFonts w:ascii="Arial" w:hAnsi="Arial" w:cs="Arial"/>
                <w:b/>
                <w:sz w:val="18"/>
                <w:szCs w:val="18"/>
              </w:rPr>
              <w:t>:</w:t>
            </w:r>
          </w:p>
        </w:tc>
        <w:tc>
          <w:tcPr>
            <w:tcW w:w="5167" w:type="dxa"/>
          </w:tcPr>
          <w:p w14:paraId="349AD5AF" w14:textId="77777777" w:rsidR="00EE69B7" w:rsidRPr="00F84E3C" w:rsidRDefault="00EE69B7" w:rsidP="000C0836">
            <w:pPr>
              <w:spacing w:after="0" w:line="240" w:lineRule="auto"/>
              <w:ind w:left="-100"/>
              <w:jc w:val="both"/>
              <w:rPr>
                <w:rFonts w:ascii="Arial" w:hAnsi="Arial" w:cs="Arial"/>
                <w:sz w:val="18"/>
                <w:szCs w:val="18"/>
              </w:rPr>
            </w:pPr>
            <w:r w:rsidRPr="00F84E3C">
              <w:rPr>
                <w:rFonts w:ascii="Arial" w:hAnsi="Arial" w:cs="Arial"/>
                <w:sz w:val="18"/>
                <w:szCs w:val="18"/>
              </w:rPr>
              <w:t>Instituto Electoral de</w:t>
            </w:r>
            <w:r w:rsidR="00FC1389" w:rsidRPr="00F84E3C">
              <w:rPr>
                <w:rFonts w:ascii="Arial" w:hAnsi="Arial" w:cs="Arial"/>
                <w:sz w:val="18"/>
                <w:szCs w:val="18"/>
              </w:rPr>
              <w:t xml:space="preserve"> Estado de Guanajuato</w:t>
            </w:r>
            <w:r w:rsidRPr="00F84E3C">
              <w:rPr>
                <w:rFonts w:ascii="Arial" w:hAnsi="Arial" w:cs="Arial"/>
                <w:sz w:val="18"/>
                <w:szCs w:val="18"/>
              </w:rPr>
              <w:t>.</w:t>
            </w:r>
          </w:p>
        </w:tc>
      </w:tr>
      <w:tr w:rsidR="002D6F95" w:rsidRPr="00F84E3C" w14:paraId="2C826923" w14:textId="77777777" w:rsidTr="000C0836">
        <w:trPr>
          <w:trHeight w:val="20"/>
        </w:trPr>
        <w:tc>
          <w:tcPr>
            <w:tcW w:w="3197" w:type="dxa"/>
          </w:tcPr>
          <w:p w14:paraId="4B9707D4" w14:textId="228E8824" w:rsidR="002D6F95" w:rsidRPr="00F84E3C" w:rsidRDefault="002D6F95" w:rsidP="000C0836">
            <w:pPr>
              <w:spacing w:after="0" w:line="240" w:lineRule="auto"/>
              <w:ind w:left="-100"/>
              <w:rPr>
                <w:rFonts w:ascii="Arial" w:hAnsi="Arial" w:cs="Arial"/>
                <w:b/>
                <w:sz w:val="18"/>
                <w:szCs w:val="18"/>
              </w:rPr>
            </w:pPr>
            <w:r w:rsidRPr="00F84E3C">
              <w:rPr>
                <w:rFonts w:ascii="Arial" w:hAnsi="Arial" w:cs="Arial"/>
                <w:b/>
                <w:sz w:val="18"/>
                <w:szCs w:val="18"/>
              </w:rPr>
              <w:t>PRI</w:t>
            </w:r>
            <w:r w:rsidR="00BA7853" w:rsidRPr="00F84E3C">
              <w:rPr>
                <w:rFonts w:ascii="Arial" w:hAnsi="Arial" w:cs="Arial"/>
                <w:b/>
                <w:sz w:val="18"/>
                <w:szCs w:val="18"/>
              </w:rPr>
              <w:t>:</w:t>
            </w:r>
          </w:p>
        </w:tc>
        <w:tc>
          <w:tcPr>
            <w:tcW w:w="5167" w:type="dxa"/>
          </w:tcPr>
          <w:p w14:paraId="7C142954" w14:textId="77777777" w:rsidR="002D6F95" w:rsidRPr="00F84E3C" w:rsidRDefault="002D6F95" w:rsidP="000C0836">
            <w:pPr>
              <w:spacing w:after="0" w:line="240" w:lineRule="auto"/>
              <w:ind w:left="-100"/>
              <w:jc w:val="both"/>
              <w:rPr>
                <w:rFonts w:ascii="Arial" w:hAnsi="Arial" w:cs="Arial"/>
                <w:sz w:val="18"/>
                <w:szCs w:val="18"/>
              </w:rPr>
            </w:pPr>
            <w:r w:rsidRPr="00F84E3C">
              <w:rPr>
                <w:rFonts w:ascii="Arial" w:hAnsi="Arial" w:cs="Arial"/>
                <w:sz w:val="18"/>
                <w:szCs w:val="18"/>
              </w:rPr>
              <w:t>Partido Revolucionario Institucional</w:t>
            </w:r>
            <w:r w:rsidR="008675FC" w:rsidRPr="00F84E3C">
              <w:rPr>
                <w:rFonts w:ascii="Arial" w:hAnsi="Arial" w:cs="Arial"/>
                <w:sz w:val="18"/>
                <w:szCs w:val="18"/>
              </w:rPr>
              <w:t>.</w:t>
            </w:r>
          </w:p>
        </w:tc>
      </w:tr>
      <w:tr w:rsidR="002D6F95" w:rsidRPr="00F84E3C" w14:paraId="7A621DCC" w14:textId="77777777" w:rsidTr="000C0836">
        <w:trPr>
          <w:trHeight w:val="20"/>
        </w:trPr>
        <w:tc>
          <w:tcPr>
            <w:tcW w:w="3197" w:type="dxa"/>
          </w:tcPr>
          <w:p w14:paraId="220833AA" w14:textId="51099588" w:rsidR="002D6F95" w:rsidRPr="00F84E3C" w:rsidRDefault="002D6F95" w:rsidP="002D6F95">
            <w:pPr>
              <w:spacing w:after="0" w:line="240" w:lineRule="auto"/>
              <w:ind w:left="-112"/>
              <w:rPr>
                <w:rFonts w:ascii="Arial" w:hAnsi="Arial" w:cs="Arial"/>
                <w:b/>
                <w:sz w:val="18"/>
                <w:szCs w:val="18"/>
              </w:rPr>
            </w:pPr>
            <w:r w:rsidRPr="00F84E3C">
              <w:rPr>
                <w:rFonts w:ascii="Arial" w:hAnsi="Arial" w:cs="Arial"/>
                <w:b/>
                <w:sz w:val="18"/>
                <w:szCs w:val="18"/>
              </w:rPr>
              <w:t>Ruth Noemí y Alejandro Arias</w:t>
            </w:r>
            <w:r w:rsidR="00BA7853" w:rsidRPr="00F84E3C">
              <w:rPr>
                <w:rFonts w:ascii="Arial" w:hAnsi="Arial" w:cs="Arial"/>
                <w:b/>
                <w:sz w:val="18"/>
                <w:szCs w:val="18"/>
              </w:rPr>
              <w:t>:</w:t>
            </w:r>
          </w:p>
        </w:tc>
        <w:tc>
          <w:tcPr>
            <w:tcW w:w="5167" w:type="dxa"/>
          </w:tcPr>
          <w:p w14:paraId="2FB2D355" w14:textId="77777777" w:rsidR="002D6F95" w:rsidRPr="00F84E3C" w:rsidRDefault="002D6F95" w:rsidP="000C0836">
            <w:pPr>
              <w:spacing w:after="0" w:line="240" w:lineRule="auto"/>
              <w:ind w:left="-100"/>
              <w:jc w:val="both"/>
              <w:rPr>
                <w:rFonts w:ascii="Arial" w:hAnsi="Arial" w:cs="Arial"/>
                <w:sz w:val="18"/>
                <w:szCs w:val="18"/>
              </w:rPr>
            </w:pPr>
            <w:r w:rsidRPr="00F84E3C">
              <w:rPr>
                <w:rFonts w:ascii="Arial" w:hAnsi="Arial" w:cs="Arial"/>
                <w:sz w:val="18"/>
                <w:szCs w:val="18"/>
              </w:rPr>
              <w:t>Ruth Noemí Tiscareño Angoitia y</w:t>
            </w:r>
            <w:r w:rsidR="008675FC" w:rsidRPr="00F84E3C">
              <w:rPr>
                <w:rFonts w:ascii="Arial" w:hAnsi="Arial" w:cs="Arial"/>
                <w:sz w:val="18"/>
                <w:szCs w:val="18"/>
              </w:rPr>
              <w:t xml:space="preserve"> Alejandro Arias Ávila.</w:t>
            </w:r>
          </w:p>
        </w:tc>
      </w:tr>
      <w:tr w:rsidR="00EE69B7" w:rsidRPr="00F84E3C" w14:paraId="7BFAB9D0" w14:textId="77777777" w:rsidTr="000C0836">
        <w:trPr>
          <w:trHeight w:val="20"/>
        </w:trPr>
        <w:tc>
          <w:tcPr>
            <w:tcW w:w="3197" w:type="dxa"/>
          </w:tcPr>
          <w:p w14:paraId="211E049C" w14:textId="77777777" w:rsidR="00EE69B7" w:rsidRPr="00F84E3C" w:rsidRDefault="00EE69B7" w:rsidP="000C0836">
            <w:pPr>
              <w:spacing w:after="0" w:line="240" w:lineRule="auto"/>
              <w:ind w:left="-100"/>
              <w:rPr>
                <w:rFonts w:ascii="Arial" w:hAnsi="Arial" w:cs="Arial"/>
                <w:b/>
                <w:sz w:val="18"/>
                <w:szCs w:val="18"/>
              </w:rPr>
            </w:pPr>
            <w:r w:rsidRPr="00F84E3C">
              <w:rPr>
                <w:rFonts w:ascii="Arial" w:hAnsi="Arial" w:cs="Arial"/>
                <w:b/>
                <w:sz w:val="18"/>
                <w:szCs w:val="18"/>
              </w:rPr>
              <w:t>Sala Superior:</w:t>
            </w:r>
          </w:p>
        </w:tc>
        <w:tc>
          <w:tcPr>
            <w:tcW w:w="5167" w:type="dxa"/>
          </w:tcPr>
          <w:p w14:paraId="17A3A4EC" w14:textId="77777777" w:rsidR="00EE69B7" w:rsidRPr="00F84E3C" w:rsidRDefault="00EE69B7" w:rsidP="000C0836">
            <w:pPr>
              <w:spacing w:after="0" w:line="240" w:lineRule="auto"/>
              <w:ind w:left="-100"/>
              <w:jc w:val="both"/>
              <w:rPr>
                <w:rFonts w:ascii="Arial" w:hAnsi="Arial" w:cs="Arial"/>
                <w:sz w:val="18"/>
                <w:szCs w:val="18"/>
              </w:rPr>
            </w:pPr>
            <w:r w:rsidRPr="00F84E3C">
              <w:rPr>
                <w:rFonts w:ascii="Arial" w:hAnsi="Arial" w:cs="Arial"/>
                <w:sz w:val="18"/>
                <w:szCs w:val="18"/>
              </w:rPr>
              <w:t>Sala Superior del Tribunal Electoral del Poder Judicial de la Federación</w:t>
            </w:r>
            <w:r w:rsidR="008675FC" w:rsidRPr="00F84E3C">
              <w:rPr>
                <w:rFonts w:ascii="Arial" w:hAnsi="Arial" w:cs="Arial"/>
                <w:sz w:val="18"/>
                <w:szCs w:val="18"/>
              </w:rPr>
              <w:t>.</w:t>
            </w:r>
          </w:p>
        </w:tc>
      </w:tr>
      <w:tr w:rsidR="00EE69B7" w:rsidRPr="00F84E3C" w14:paraId="51A3AD49" w14:textId="77777777" w:rsidTr="000C0836">
        <w:trPr>
          <w:trHeight w:val="20"/>
        </w:trPr>
        <w:tc>
          <w:tcPr>
            <w:tcW w:w="3197" w:type="dxa"/>
          </w:tcPr>
          <w:p w14:paraId="5CB756B9" w14:textId="77777777" w:rsidR="00EE69B7" w:rsidRPr="00F84E3C" w:rsidRDefault="00EE69B7" w:rsidP="000C0836">
            <w:pPr>
              <w:spacing w:after="0" w:line="240" w:lineRule="auto"/>
              <w:ind w:left="-100"/>
              <w:rPr>
                <w:rFonts w:ascii="Arial" w:hAnsi="Arial" w:cs="Arial"/>
                <w:b/>
                <w:sz w:val="18"/>
                <w:szCs w:val="18"/>
              </w:rPr>
            </w:pPr>
            <w:r w:rsidRPr="00F84E3C">
              <w:rPr>
                <w:rFonts w:ascii="Arial" w:hAnsi="Arial" w:cs="Arial"/>
                <w:b/>
                <w:sz w:val="18"/>
                <w:szCs w:val="18"/>
              </w:rPr>
              <w:t>Tribunal Local/Tribunal de</w:t>
            </w:r>
            <w:r w:rsidR="00FC1389" w:rsidRPr="00F84E3C">
              <w:rPr>
                <w:rFonts w:ascii="Arial" w:hAnsi="Arial" w:cs="Arial"/>
                <w:b/>
                <w:sz w:val="18"/>
                <w:szCs w:val="18"/>
              </w:rPr>
              <w:t xml:space="preserve"> Guanajuato</w:t>
            </w:r>
            <w:r w:rsidRPr="00F84E3C">
              <w:rPr>
                <w:rFonts w:ascii="Arial" w:hAnsi="Arial" w:cs="Arial"/>
                <w:b/>
                <w:sz w:val="18"/>
                <w:szCs w:val="18"/>
              </w:rPr>
              <w:t>:</w:t>
            </w:r>
          </w:p>
        </w:tc>
        <w:tc>
          <w:tcPr>
            <w:tcW w:w="5167" w:type="dxa"/>
          </w:tcPr>
          <w:p w14:paraId="0086E249" w14:textId="77777777" w:rsidR="00EE69B7" w:rsidRPr="00F84E3C" w:rsidRDefault="00EE69B7" w:rsidP="000C0836">
            <w:pPr>
              <w:spacing w:after="0" w:line="240" w:lineRule="auto"/>
              <w:ind w:left="-100"/>
              <w:jc w:val="both"/>
              <w:rPr>
                <w:rFonts w:ascii="Arial" w:hAnsi="Arial" w:cs="Arial"/>
                <w:sz w:val="18"/>
                <w:szCs w:val="18"/>
              </w:rPr>
            </w:pPr>
            <w:r w:rsidRPr="00F84E3C">
              <w:rPr>
                <w:rFonts w:ascii="Arial" w:hAnsi="Arial" w:cs="Arial"/>
                <w:sz w:val="18"/>
                <w:szCs w:val="18"/>
              </w:rPr>
              <w:t>Tribunal</w:t>
            </w:r>
            <w:r w:rsidR="00FC1389" w:rsidRPr="00F84E3C">
              <w:rPr>
                <w:rFonts w:ascii="Arial" w:hAnsi="Arial" w:cs="Arial"/>
                <w:sz w:val="18"/>
                <w:szCs w:val="18"/>
              </w:rPr>
              <w:t xml:space="preserve"> Estatal </w:t>
            </w:r>
            <w:r w:rsidRPr="00F84E3C">
              <w:rPr>
                <w:rFonts w:ascii="Arial" w:hAnsi="Arial" w:cs="Arial"/>
                <w:sz w:val="18"/>
                <w:szCs w:val="18"/>
              </w:rPr>
              <w:t>Electoral de</w:t>
            </w:r>
            <w:r w:rsidR="00FC1389" w:rsidRPr="00F84E3C">
              <w:rPr>
                <w:rFonts w:ascii="Arial" w:hAnsi="Arial" w:cs="Arial"/>
                <w:sz w:val="18"/>
                <w:szCs w:val="18"/>
              </w:rPr>
              <w:t xml:space="preserve"> Guanajuato</w:t>
            </w:r>
            <w:r w:rsidRPr="00F84E3C">
              <w:rPr>
                <w:rFonts w:ascii="Arial" w:hAnsi="Arial" w:cs="Arial"/>
                <w:sz w:val="18"/>
                <w:szCs w:val="18"/>
              </w:rPr>
              <w:t>.</w:t>
            </w:r>
          </w:p>
        </w:tc>
      </w:tr>
    </w:tbl>
    <w:p w14:paraId="0F3BAE27" w14:textId="77777777" w:rsidR="00EE69B7" w:rsidRPr="00F84E3C" w:rsidRDefault="00EE69B7" w:rsidP="008675FC">
      <w:pPr>
        <w:pStyle w:val="Ttulo1"/>
        <w:spacing w:before="0" w:beforeAutospacing="0" w:after="0" w:afterAutospacing="0" w:line="240" w:lineRule="auto"/>
        <w:jc w:val="center"/>
        <w:rPr>
          <w:rFonts w:cs="Arial"/>
          <w:caps w:val="0"/>
          <w:szCs w:val="22"/>
        </w:rPr>
      </w:pPr>
      <w:bookmarkStart w:id="8" w:name="_Toc13662330"/>
      <w:bookmarkEnd w:id="7"/>
    </w:p>
    <w:p w14:paraId="7F94CAEE" w14:textId="77777777" w:rsidR="00EE69B7" w:rsidRPr="00F84E3C" w:rsidRDefault="00EE69B7" w:rsidP="008675FC">
      <w:pPr>
        <w:pStyle w:val="Ttulo1"/>
        <w:spacing w:before="0" w:beforeAutospacing="0" w:after="0" w:afterAutospacing="0" w:line="240" w:lineRule="auto"/>
        <w:jc w:val="center"/>
        <w:rPr>
          <w:rFonts w:cs="Arial"/>
          <w:szCs w:val="22"/>
        </w:rPr>
      </w:pPr>
      <w:bookmarkStart w:id="9" w:name="_Toc61560512"/>
      <w:r w:rsidRPr="00F84E3C">
        <w:rPr>
          <w:rFonts w:cs="Arial"/>
          <w:caps w:val="0"/>
          <w:szCs w:val="22"/>
        </w:rPr>
        <w:t>Antecedentes</w:t>
      </w:r>
      <w:bookmarkEnd w:id="8"/>
      <w:bookmarkEnd w:id="9"/>
    </w:p>
    <w:p w14:paraId="0A3A1895" w14:textId="77777777" w:rsidR="00EE69B7" w:rsidRPr="00F84E3C" w:rsidRDefault="00EE69B7" w:rsidP="00EE69B7">
      <w:pPr>
        <w:spacing w:after="0" w:line="240" w:lineRule="auto"/>
        <w:rPr>
          <w:rFonts w:ascii="Arial" w:hAnsi="Arial" w:cs="Arial"/>
          <w:sz w:val="24"/>
        </w:rPr>
      </w:pPr>
    </w:p>
    <w:p w14:paraId="71CDB304" w14:textId="77777777" w:rsidR="00EE69B7" w:rsidRPr="00F84E3C" w:rsidRDefault="00EE69B7" w:rsidP="00EE69B7">
      <w:pPr>
        <w:spacing w:after="0" w:line="360" w:lineRule="auto"/>
        <w:jc w:val="both"/>
        <w:rPr>
          <w:rFonts w:ascii="Arial" w:hAnsi="Arial" w:cs="Arial"/>
          <w:b/>
          <w:bCs/>
          <w:sz w:val="24"/>
        </w:rPr>
      </w:pPr>
      <w:r w:rsidRPr="00F84E3C">
        <w:rPr>
          <w:rFonts w:ascii="Arial" w:hAnsi="Arial" w:cs="Arial"/>
          <w:bCs/>
          <w:sz w:val="24"/>
        </w:rPr>
        <w:t xml:space="preserve">De las constancias de autos y afirmaciones realizadas por las partes se advierten los siguientes </w:t>
      </w:r>
      <w:r w:rsidRPr="00F84E3C">
        <w:rPr>
          <w:rFonts w:ascii="Arial" w:hAnsi="Arial" w:cs="Arial"/>
          <w:b/>
          <w:bCs/>
          <w:sz w:val="24"/>
        </w:rPr>
        <w:t>hechos relevantes:</w:t>
      </w:r>
    </w:p>
    <w:p w14:paraId="7B5984B4" w14:textId="77777777" w:rsidR="00EE69B7" w:rsidRPr="00F84E3C" w:rsidRDefault="00EE69B7" w:rsidP="00EE69B7">
      <w:pPr>
        <w:spacing w:after="0" w:line="240" w:lineRule="auto"/>
        <w:jc w:val="both"/>
        <w:rPr>
          <w:rFonts w:ascii="Arial" w:hAnsi="Arial" w:cs="Arial"/>
          <w:b/>
          <w:bCs/>
          <w:sz w:val="24"/>
        </w:rPr>
      </w:pPr>
    </w:p>
    <w:p w14:paraId="3444EF18" w14:textId="77777777" w:rsidR="00EE69B7" w:rsidRPr="00F84E3C" w:rsidRDefault="00EE69B7" w:rsidP="008675FC">
      <w:pPr>
        <w:spacing w:after="0" w:line="240" w:lineRule="auto"/>
        <w:jc w:val="both"/>
        <w:rPr>
          <w:rFonts w:ascii="Arial" w:hAnsi="Arial" w:cs="Arial"/>
          <w:b/>
          <w:bCs/>
          <w:sz w:val="24"/>
        </w:rPr>
      </w:pPr>
      <w:r w:rsidRPr="00F84E3C">
        <w:rPr>
          <w:rFonts w:ascii="Arial" w:hAnsi="Arial" w:cs="Arial"/>
          <w:b/>
          <w:bCs/>
          <w:sz w:val="24"/>
        </w:rPr>
        <w:t xml:space="preserve">I. </w:t>
      </w:r>
      <w:r w:rsidR="0095495C" w:rsidRPr="00F84E3C">
        <w:rPr>
          <w:rFonts w:ascii="Arial" w:hAnsi="Arial" w:cs="Arial"/>
          <w:b/>
          <w:bCs/>
          <w:sz w:val="24"/>
        </w:rPr>
        <w:t>Hechos c</w:t>
      </w:r>
      <w:r w:rsidR="00651A51" w:rsidRPr="00F84E3C">
        <w:rPr>
          <w:rFonts w:ascii="Arial" w:hAnsi="Arial" w:cs="Arial"/>
          <w:b/>
          <w:bCs/>
          <w:sz w:val="24"/>
        </w:rPr>
        <w:t>ontext</w:t>
      </w:r>
      <w:r w:rsidR="0095495C" w:rsidRPr="00F84E3C">
        <w:rPr>
          <w:rFonts w:ascii="Arial" w:hAnsi="Arial" w:cs="Arial"/>
          <w:b/>
          <w:bCs/>
          <w:sz w:val="24"/>
        </w:rPr>
        <w:t>uales</w:t>
      </w:r>
      <w:r w:rsidR="00651A51" w:rsidRPr="00F84E3C">
        <w:rPr>
          <w:rFonts w:ascii="Arial" w:hAnsi="Arial" w:cs="Arial"/>
          <w:b/>
          <w:bCs/>
          <w:sz w:val="24"/>
        </w:rPr>
        <w:t xml:space="preserve"> </w:t>
      </w:r>
      <w:r w:rsidR="0095495C" w:rsidRPr="00F84E3C">
        <w:rPr>
          <w:rFonts w:ascii="Arial" w:hAnsi="Arial" w:cs="Arial"/>
          <w:b/>
          <w:bCs/>
          <w:sz w:val="24"/>
        </w:rPr>
        <w:t xml:space="preserve">que originaron </w:t>
      </w:r>
      <w:r w:rsidR="00651A51" w:rsidRPr="00F84E3C">
        <w:rPr>
          <w:rFonts w:ascii="Arial" w:hAnsi="Arial" w:cs="Arial"/>
          <w:b/>
          <w:bCs/>
          <w:sz w:val="24"/>
        </w:rPr>
        <w:t>la controversia</w:t>
      </w:r>
    </w:p>
    <w:p w14:paraId="53952F61" w14:textId="77777777" w:rsidR="00651A51" w:rsidRPr="00F84E3C" w:rsidRDefault="00651A51" w:rsidP="00EE69B7">
      <w:pPr>
        <w:spacing w:after="0" w:line="240" w:lineRule="auto"/>
        <w:jc w:val="both"/>
        <w:rPr>
          <w:rFonts w:ascii="Arial" w:hAnsi="Arial" w:cs="Arial"/>
          <w:b/>
          <w:bCs/>
          <w:sz w:val="24"/>
        </w:rPr>
      </w:pPr>
    </w:p>
    <w:p w14:paraId="1D4776E7" w14:textId="77777777" w:rsidR="008B421B" w:rsidRPr="00F84E3C" w:rsidRDefault="00651A51" w:rsidP="00553F60">
      <w:pPr>
        <w:spacing w:after="0" w:line="360" w:lineRule="auto"/>
        <w:jc w:val="both"/>
        <w:rPr>
          <w:rFonts w:ascii="Arial" w:hAnsi="Arial" w:cs="Arial"/>
          <w:bCs/>
          <w:sz w:val="24"/>
        </w:rPr>
      </w:pPr>
      <w:r w:rsidRPr="00F84E3C">
        <w:rPr>
          <w:rFonts w:ascii="Arial" w:hAnsi="Arial" w:cs="Arial"/>
          <w:b/>
          <w:bCs/>
          <w:sz w:val="24"/>
        </w:rPr>
        <w:t xml:space="preserve">1. </w:t>
      </w:r>
      <w:r w:rsidRPr="00F84E3C">
        <w:rPr>
          <w:rFonts w:ascii="Arial" w:hAnsi="Arial" w:cs="Arial"/>
          <w:bCs/>
          <w:sz w:val="24"/>
        </w:rPr>
        <w:t xml:space="preserve">El 16 de octubre de 2019, </w:t>
      </w:r>
      <w:r w:rsidRPr="00F84E3C">
        <w:rPr>
          <w:rFonts w:ascii="Arial" w:hAnsi="Arial" w:cs="Arial"/>
          <w:b/>
          <w:bCs/>
          <w:sz w:val="24"/>
        </w:rPr>
        <w:t>el CEN del PRI designó</w:t>
      </w:r>
      <w:r w:rsidR="009B500F" w:rsidRPr="00F84E3C">
        <w:rPr>
          <w:rFonts w:ascii="Arial" w:hAnsi="Arial" w:cs="Arial"/>
          <w:b/>
          <w:bCs/>
          <w:sz w:val="24"/>
        </w:rPr>
        <w:t xml:space="preserve"> </w:t>
      </w:r>
      <w:r w:rsidR="003A5DED" w:rsidRPr="00F84E3C">
        <w:rPr>
          <w:rFonts w:ascii="Arial" w:hAnsi="Arial" w:cs="Arial"/>
          <w:b/>
          <w:bCs/>
          <w:sz w:val="24"/>
        </w:rPr>
        <w:t>provisionalmente</w:t>
      </w:r>
      <w:r w:rsidR="003A5DED" w:rsidRPr="00F84E3C">
        <w:rPr>
          <w:rFonts w:ascii="Arial" w:hAnsi="Arial" w:cs="Arial"/>
          <w:bCs/>
          <w:sz w:val="24"/>
        </w:rPr>
        <w:t xml:space="preserve"> a</w:t>
      </w:r>
      <w:r w:rsidRPr="00F84E3C">
        <w:rPr>
          <w:rFonts w:ascii="Arial" w:hAnsi="Arial" w:cs="Arial"/>
          <w:bCs/>
          <w:sz w:val="24"/>
        </w:rPr>
        <w:t xml:space="preserve"> </w:t>
      </w:r>
      <w:r w:rsidR="00CF296F" w:rsidRPr="00F84E3C">
        <w:rPr>
          <w:rFonts w:ascii="Arial" w:eastAsia="Times New Roman" w:hAnsi="Arial" w:cs="Arial"/>
          <w:sz w:val="24"/>
          <w:szCs w:val="24"/>
          <w:lang w:val="es-ES_tradnl"/>
        </w:rPr>
        <w:t xml:space="preserve">Ruth Noemí </w:t>
      </w:r>
      <w:r w:rsidR="009F04A1" w:rsidRPr="00F84E3C">
        <w:rPr>
          <w:rFonts w:ascii="Arial" w:eastAsia="Times New Roman" w:hAnsi="Arial" w:cs="Arial"/>
          <w:sz w:val="24"/>
          <w:szCs w:val="24"/>
          <w:lang w:val="es-ES_tradnl"/>
        </w:rPr>
        <w:t xml:space="preserve">y Alejandro Arias, </w:t>
      </w:r>
      <w:r w:rsidR="009B500F" w:rsidRPr="00F84E3C">
        <w:rPr>
          <w:rFonts w:ascii="Arial" w:hAnsi="Arial" w:cs="Arial"/>
          <w:bCs/>
          <w:sz w:val="24"/>
        </w:rPr>
        <w:t xml:space="preserve">como </w:t>
      </w:r>
      <w:r w:rsidR="009F04A1" w:rsidRPr="00F84E3C">
        <w:rPr>
          <w:rFonts w:ascii="Arial" w:hAnsi="Arial" w:cs="Arial"/>
          <w:b/>
          <w:bCs/>
          <w:sz w:val="24"/>
        </w:rPr>
        <w:t>P</w:t>
      </w:r>
      <w:r w:rsidR="009B500F" w:rsidRPr="00F84E3C">
        <w:rPr>
          <w:rFonts w:ascii="Arial" w:hAnsi="Arial" w:cs="Arial"/>
          <w:b/>
          <w:bCs/>
          <w:sz w:val="24"/>
        </w:rPr>
        <w:t>residenta</w:t>
      </w:r>
      <w:r w:rsidR="001B3881" w:rsidRPr="00F84E3C">
        <w:rPr>
          <w:rFonts w:ascii="Arial" w:hAnsi="Arial" w:cs="Arial"/>
          <w:b/>
          <w:bCs/>
          <w:sz w:val="24"/>
        </w:rPr>
        <w:t xml:space="preserve"> y Secretario General</w:t>
      </w:r>
      <w:r w:rsidR="001B3881" w:rsidRPr="00F84E3C">
        <w:rPr>
          <w:rFonts w:ascii="Arial" w:hAnsi="Arial" w:cs="Arial"/>
          <w:bCs/>
          <w:sz w:val="24"/>
        </w:rPr>
        <w:t>, respectivamente,</w:t>
      </w:r>
      <w:r w:rsidR="009B500F" w:rsidRPr="00F84E3C">
        <w:rPr>
          <w:rFonts w:ascii="Arial" w:hAnsi="Arial" w:cs="Arial"/>
          <w:bCs/>
          <w:sz w:val="24"/>
        </w:rPr>
        <w:t xml:space="preserve"> del </w:t>
      </w:r>
      <w:r w:rsidR="009B500F" w:rsidRPr="00F84E3C">
        <w:rPr>
          <w:rFonts w:ascii="Arial" w:hAnsi="Arial" w:cs="Arial"/>
          <w:b/>
          <w:bCs/>
          <w:sz w:val="24"/>
        </w:rPr>
        <w:t>Comité Estatal</w:t>
      </w:r>
      <w:r w:rsidR="009B500F" w:rsidRPr="00F84E3C">
        <w:rPr>
          <w:rFonts w:ascii="Arial" w:hAnsi="Arial" w:cs="Arial"/>
          <w:bCs/>
          <w:sz w:val="24"/>
        </w:rPr>
        <w:t xml:space="preserve">, </w:t>
      </w:r>
      <w:r w:rsidR="00BA4BEA" w:rsidRPr="00F84E3C">
        <w:rPr>
          <w:rFonts w:ascii="Arial" w:hAnsi="Arial" w:cs="Arial"/>
          <w:bCs/>
          <w:sz w:val="24"/>
        </w:rPr>
        <w:t>quienes convocarían en un plazo no mayor a 60 días, a la elección ordinaria respectiva.</w:t>
      </w:r>
      <w:r w:rsidR="009B500F" w:rsidRPr="00F84E3C">
        <w:rPr>
          <w:rFonts w:ascii="Arial" w:hAnsi="Arial" w:cs="Arial"/>
          <w:bCs/>
          <w:sz w:val="24"/>
        </w:rPr>
        <w:t xml:space="preserve"> </w:t>
      </w:r>
    </w:p>
    <w:p w14:paraId="23959C39" w14:textId="77777777" w:rsidR="00C51D97" w:rsidRPr="00F84E3C" w:rsidRDefault="00C51D97" w:rsidP="00F230A2">
      <w:pPr>
        <w:spacing w:after="0" w:line="240" w:lineRule="auto"/>
        <w:jc w:val="both"/>
        <w:rPr>
          <w:rFonts w:ascii="Arial" w:hAnsi="Arial" w:cs="Arial"/>
          <w:bCs/>
          <w:sz w:val="24"/>
        </w:rPr>
      </w:pPr>
    </w:p>
    <w:p w14:paraId="62D94059" w14:textId="445525BC" w:rsidR="00F23883" w:rsidRPr="00F84E3C" w:rsidRDefault="00015AF8" w:rsidP="00AE7976">
      <w:pPr>
        <w:spacing w:after="0" w:line="360" w:lineRule="auto"/>
        <w:jc w:val="both"/>
        <w:rPr>
          <w:rFonts w:ascii="Arial" w:eastAsia="Times New Roman" w:hAnsi="Arial" w:cs="Arial"/>
          <w:sz w:val="24"/>
          <w:szCs w:val="24"/>
          <w:lang w:val="es-ES"/>
        </w:rPr>
      </w:pPr>
      <w:r w:rsidRPr="00F84E3C">
        <w:rPr>
          <w:rFonts w:ascii="Arial" w:eastAsia="Times New Roman" w:hAnsi="Arial" w:cs="Arial"/>
          <w:b/>
          <w:sz w:val="24"/>
          <w:szCs w:val="24"/>
          <w:lang w:val="es-ES"/>
        </w:rPr>
        <w:t>2.</w:t>
      </w:r>
      <w:r w:rsidRPr="00F84E3C">
        <w:rPr>
          <w:rFonts w:ascii="Arial" w:eastAsia="Times New Roman" w:hAnsi="Arial" w:cs="Arial"/>
          <w:sz w:val="24"/>
          <w:szCs w:val="24"/>
          <w:lang w:val="es-ES"/>
        </w:rPr>
        <w:t xml:space="preserve"> </w:t>
      </w:r>
      <w:r w:rsidR="00F23883" w:rsidRPr="00F84E3C">
        <w:rPr>
          <w:rFonts w:ascii="Arial" w:hAnsi="Arial" w:cs="Arial"/>
          <w:bCs/>
          <w:sz w:val="24"/>
        </w:rPr>
        <w:t>Asimismo, el mismo 9</w:t>
      </w:r>
      <w:r w:rsidR="00C70F2F" w:rsidRPr="00F84E3C">
        <w:rPr>
          <w:rFonts w:ascii="Arial" w:hAnsi="Arial" w:cs="Arial"/>
          <w:bCs/>
          <w:sz w:val="24"/>
        </w:rPr>
        <w:t xml:space="preserve"> de agosto</w:t>
      </w:r>
      <w:r w:rsidR="00F23883" w:rsidRPr="00F84E3C">
        <w:rPr>
          <w:rFonts w:ascii="Arial" w:hAnsi="Arial" w:cs="Arial"/>
          <w:bCs/>
          <w:sz w:val="24"/>
        </w:rPr>
        <w:t xml:space="preserve">, en </w:t>
      </w:r>
      <w:r w:rsidR="00F23883" w:rsidRPr="00F84E3C">
        <w:rPr>
          <w:rFonts w:ascii="Arial" w:hAnsi="Arial" w:cs="Arial"/>
          <w:b/>
          <w:bCs/>
          <w:sz w:val="24"/>
        </w:rPr>
        <w:t>sesión extraordinaria</w:t>
      </w:r>
      <w:r w:rsidR="00F23883" w:rsidRPr="00F84E3C">
        <w:rPr>
          <w:rFonts w:ascii="Arial" w:hAnsi="Arial" w:cs="Arial"/>
          <w:bCs/>
          <w:sz w:val="24"/>
        </w:rPr>
        <w:t xml:space="preserve">, privada y urgente del Consejo Político Estatal </w:t>
      </w:r>
      <w:r w:rsidR="00AE7976" w:rsidRPr="00F84E3C">
        <w:rPr>
          <w:rFonts w:ascii="Arial" w:hAnsi="Arial" w:cs="Arial"/>
          <w:bCs/>
          <w:sz w:val="24"/>
        </w:rPr>
        <w:t>(convocada por diversos</w:t>
      </w:r>
      <w:r w:rsidR="00AE7976" w:rsidRPr="00F84E3C">
        <w:rPr>
          <w:rFonts w:ascii="Arial" w:hAnsi="Arial" w:cs="Arial"/>
          <w:b/>
          <w:bCs/>
          <w:sz w:val="24"/>
        </w:rPr>
        <w:t xml:space="preserve"> integrantes del Consejo Político Estatal </w:t>
      </w:r>
      <w:r w:rsidR="00AE7976" w:rsidRPr="00F84E3C">
        <w:rPr>
          <w:rFonts w:ascii="Arial" w:hAnsi="Arial" w:cs="Arial"/>
          <w:bCs/>
          <w:sz w:val="24"/>
        </w:rPr>
        <w:t xml:space="preserve">el 7 previo), </w:t>
      </w:r>
      <w:r w:rsidR="00F23883" w:rsidRPr="00F84E3C">
        <w:rPr>
          <w:rFonts w:ascii="Arial" w:hAnsi="Arial" w:cs="Arial"/>
          <w:b/>
          <w:bCs/>
          <w:sz w:val="24"/>
        </w:rPr>
        <w:t xml:space="preserve">se nombró </w:t>
      </w:r>
      <w:r w:rsidR="00F23883" w:rsidRPr="00F84E3C">
        <w:rPr>
          <w:rFonts w:ascii="Arial" w:hAnsi="Arial" w:cs="Arial"/>
          <w:bCs/>
          <w:sz w:val="24"/>
        </w:rPr>
        <w:t xml:space="preserve">al ciudadano Armando Uribe y a </w:t>
      </w:r>
      <w:r w:rsidR="2833A215" w:rsidRPr="00F84E3C">
        <w:rPr>
          <w:rFonts w:ascii="Arial" w:hAnsi="Arial" w:cs="Arial"/>
          <w:sz w:val="24"/>
          <w:szCs w:val="24"/>
        </w:rPr>
        <w:t xml:space="preserve">Laura Chávez López, </w:t>
      </w:r>
      <w:r w:rsidR="00F23883" w:rsidRPr="00F84E3C">
        <w:rPr>
          <w:rFonts w:ascii="Arial" w:hAnsi="Arial" w:cs="Arial"/>
          <w:sz w:val="24"/>
          <w:szCs w:val="24"/>
        </w:rPr>
        <w:t>como</w:t>
      </w:r>
      <w:r w:rsidR="00F23883" w:rsidRPr="00F84E3C">
        <w:rPr>
          <w:rFonts w:ascii="Arial" w:hAnsi="Arial" w:cs="Arial"/>
          <w:bCs/>
          <w:sz w:val="24"/>
        </w:rPr>
        <w:t xml:space="preserve"> Presidente y Secretario, respectivamente</w:t>
      </w:r>
      <w:r w:rsidR="00F23883" w:rsidRPr="00F84E3C">
        <w:rPr>
          <w:rStyle w:val="Refdenotaalpie"/>
          <w:rFonts w:ascii="Arial" w:hAnsi="Arial" w:cs="Arial"/>
          <w:bCs/>
          <w:sz w:val="24"/>
        </w:rPr>
        <w:footnoteReference w:id="2"/>
      </w:r>
      <w:r w:rsidR="00F23883" w:rsidRPr="00F84E3C">
        <w:rPr>
          <w:rFonts w:ascii="Arial" w:hAnsi="Arial" w:cs="Arial"/>
          <w:bCs/>
          <w:sz w:val="24"/>
        </w:rPr>
        <w:t>. Al día siguiente</w:t>
      </w:r>
      <w:r w:rsidR="00F23883" w:rsidRPr="00F84E3C">
        <w:rPr>
          <w:rStyle w:val="Refdenotaalpie"/>
          <w:rFonts w:ascii="Arial" w:hAnsi="Arial" w:cs="Arial"/>
          <w:bCs/>
          <w:sz w:val="24"/>
        </w:rPr>
        <w:footnoteReference w:id="3"/>
      </w:r>
      <w:r w:rsidR="00F23883" w:rsidRPr="00F84E3C">
        <w:rPr>
          <w:rFonts w:ascii="Arial" w:hAnsi="Arial" w:cs="Arial"/>
          <w:bCs/>
          <w:sz w:val="24"/>
        </w:rPr>
        <w:t>, se informó al IEEG los nombres de los integrantes del nuevo Comité Estatal (CDE/PRI/002/2020)</w:t>
      </w:r>
      <w:r w:rsidR="00F23883" w:rsidRPr="00F84E3C">
        <w:rPr>
          <w:rStyle w:val="Refdenotaalpie"/>
          <w:rFonts w:ascii="Arial" w:hAnsi="Arial" w:cs="Arial"/>
          <w:bCs/>
          <w:sz w:val="24"/>
        </w:rPr>
        <w:footnoteReference w:id="4"/>
      </w:r>
      <w:r w:rsidR="00F23883" w:rsidRPr="00F84E3C">
        <w:rPr>
          <w:rFonts w:ascii="Arial" w:hAnsi="Arial" w:cs="Arial"/>
          <w:bCs/>
          <w:sz w:val="24"/>
        </w:rPr>
        <w:t>.</w:t>
      </w:r>
    </w:p>
    <w:p w14:paraId="178EF853" w14:textId="77777777" w:rsidR="00F23883" w:rsidRPr="00F84E3C" w:rsidRDefault="00F23883" w:rsidP="00AA2FFC">
      <w:pPr>
        <w:spacing w:after="0" w:line="240" w:lineRule="auto"/>
        <w:jc w:val="both"/>
        <w:rPr>
          <w:rFonts w:ascii="Arial" w:eastAsia="Times New Roman" w:hAnsi="Arial" w:cs="Arial"/>
          <w:sz w:val="24"/>
          <w:szCs w:val="24"/>
          <w:lang w:val="es-ES_tradnl"/>
        </w:rPr>
      </w:pPr>
    </w:p>
    <w:p w14:paraId="292CA39D" w14:textId="200E3769" w:rsidR="00782BEC" w:rsidRPr="00F84E3C" w:rsidRDefault="001F1F1E" w:rsidP="00782BEC">
      <w:pPr>
        <w:spacing w:after="0" w:line="360" w:lineRule="auto"/>
        <w:jc w:val="both"/>
        <w:rPr>
          <w:rFonts w:ascii="Arial" w:eastAsia="Times New Roman" w:hAnsi="Arial" w:cs="Arial"/>
          <w:sz w:val="24"/>
          <w:szCs w:val="24"/>
          <w:lang w:val="es-ES"/>
        </w:rPr>
      </w:pPr>
      <w:r w:rsidRPr="00F84E3C">
        <w:rPr>
          <w:rFonts w:ascii="Arial" w:eastAsia="Times New Roman" w:hAnsi="Arial" w:cs="Arial"/>
          <w:b/>
          <w:sz w:val="24"/>
          <w:szCs w:val="24"/>
          <w:lang w:val="es-ES"/>
        </w:rPr>
        <w:t xml:space="preserve">3. </w:t>
      </w:r>
      <w:r w:rsidR="00782BEC" w:rsidRPr="00F84E3C">
        <w:rPr>
          <w:rFonts w:ascii="Arial" w:eastAsia="Times New Roman" w:hAnsi="Arial" w:cs="Arial"/>
          <w:sz w:val="24"/>
          <w:szCs w:val="24"/>
          <w:lang w:val="es-ES"/>
        </w:rPr>
        <w:t xml:space="preserve">El 9 </w:t>
      </w:r>
      <w:r w:rsidR="002446FC" w:rsidRPr="00F84E3C">
        <w:rPr>
          <w:rFonts w:ascii="Arial" w:eastAsia="Times New Roman" w:hAnsi="Arial" w:cs="Arial"/>
          <w:sz w:val="24"/>
          <w:szCs w:val="24"/>
          <w:lang w:val="es-ES"/>
        </w:rPr>
        <w:t>de septiembre</w:t>
      </w:r>
      <w:r w:rsidR="00782BEC" w:rsidRPr="00F84E3C">
        <w:rPr>
          <w:rFonts w:ascii="Arial" w:eastAsia="Times New Roman" w:hAnsi="Arial" w:cs="Arial"/>
          <w:sz w:val="24"/>
          <w:szCs w:val="24"/>
          <w:lang w:val="es-ES"/>
        </w:rPr>
        <w:t xml:space="preserve">, </w:t>
      </w:r>
      <w:r w:rsidR="00782BEC" w:rsidRPr="00F84E3C">
        <w:rPr>
          <w:rFonts w:ascii="Arial" w:eastAsia="Times New Roman" w:hAnsi="Arial" w:cs="Arial"/>
          <w:b/>
          <w:sz w:val="24"/>
          <w:szCs w:val="24"/>
          <w:lang w:val="es-ES"/>
        </w:rPr>
        <w:t xml:space="preserve">el CEN del PRI autorizó la prorroga en la vigencia de la dirigencia de Ruth Noemí </w:t>
      </w:r>
      <w:r w:rsidR="00782BEC" w:rsidRPr="00F84E3C">
        <w:rPr>
          <w:rFonts w:ascii="Arial" w:eastAsia="Times New Roman" w:hAnsi="Arial" w:cs="Arial"/>
          <w:sz w:val="24"/>
          <w:szCs w:val="24"/>
          <w:lang w:val="es-ES"/>
        </w:rPr>
        <w:t>y Alejandro Arias como titulares de la Presidencia y Secretaría General, respectivamente, del Comité Estatal.</w:t>
      </w:r>
    </w:p>
    <w:p w14:paraId="0F898128" w14:textId="77777777" w:rsidR="00782BEC" w:rsidRPr="00F84E3C" w:rsidRDefault="00782BEC" w:rsidP="00AA2FFC">
      <w:pPr>
        <w:spacing w:after="0" w:line="240" w:lineRule="auto"/>
        <w:jc w:val="both"/>
        <w:rPr>
          <w:rFonts w:ascii="Arial" w:eastAsia="Times New Roman" w:hAnsi="Arial" w:cs="Arial"/>
          <w:sz w:val="24"/>
          <w:szCs w:val="24"/>
          <w:lang w:val="es-ES_tradnl"/>
        </w:rPr>
      </w:pPr>
    </w:p>
    <w:p w14:paraId="2A0611E6" w14:textId="67D29462" w:rsidR="00AA2FFC" w:rsidRPr="00F84E3C" w:rsidRDefault="001F1F1E" w:rsidP="00AA2FFC">
      <w:pPr>
        <w:spacing w:after="0" w:line="360" w:lineRule="auto"/>
        <w:jc w:val="both"/>
        <w:rPr>
          <w:rFonts w:ascii="Arial" w:eastAsia="Times New Roman" w:hAnsi="Arial" w:cs="Arial"/>
          <w:sz w:val="24"/>
          <w:szCs w:val="24"/>
          <w:lang w:val="es-ES_tradnl"/>
        </w:rPr>
      </w:pPr>
      <w:r w:rsidRPr="00F84E3C">
        <w:rPr>
          <w:rFonts w:ascii="Arial" w:eastAsia="Times New Roman" w:hAnsi="Arial" w:cs="Arial"/>
          <w:b/>
          <w:sz w:val="24"/>
          <w:szCs w:val="24"/>
          <w:lang w:val="es-ES_tradnl"/>
        </w:rPr>
        <w:t>4</w:t>
      </w:r>
      <w:r w:rsidR="00EC36C4" w:rsidRPr="00F84E3C">
        <w:rPr>
          <w:rFonts w:ascii="Arial" w:eastAsia="Times New Roman" w:hAnsi="Arial" w:cs="Arial"/>
          <w:b/>
          <w:sz w:val="24"/>
          <w:szCs w:val="24"/>
          <w:lang w:val="es-ES_tradnl"/>
        </w:rPr>
        <w:t xml:space="preserve">. </w:t>
      </w:r>
      <w:r w:rsidR="00EC36C4" w:rsidRPr="00F84E3C">
        <w:rPr>
          <w:rFonts w:ascii="Arial" w:eastAsia="Times New Roman" w:hAnsi="Arial" w:cs="Arial"/>
          <w:sz w:val="24"/>
          <w:szCs w:val="24"/>
          <w:lang w:val="es-ES_tradnl"/>
        </w:rPr>
        <w:t xml:space="preserve">El </w:t>
      </w:r>
      <w:r w:rsidR="00BE77EC" w:rsidRPr="00F84E3C">
        <w:rPr>
          <w:rFonts w:ascii="Arial" w:eastAsia="Times New Roman" w:hAnsi="Arial" w:cs="Arial"/>
          <w:sz w:val="24"/>
          <w:szCs w:val="24"/>
          <w:lang w:val="es-ES_tradnl"/>
        </w:rPr>
        <w:t>21</w:t>
      </w:r>
      <w:r w:rsidR="00EC36C4" w:rsidRPr="00F84E3C">
        <w:rPr>
          <w:rFonts w:ascii="Arial" w:eastAsia="Times New Roman" w:hAnsi="Arial" w:cs="Arial"/>
          <w:sz w:val="24"/>
          <w:szCs w:val="24"/>
          <w:lang w:val="es-ES_tradnl"/>
        </w:rPr>
        <w:t xml:space="preserve"> de octubre,</w:t>
      </w:r>
      <w:r w:rsidR="00BE77EC" w:rsidRPr="00F84E3C">
        <w:rPr>
          <w:rFonts w:ascii="Arial" w:eastAsia="Times New Roman" w:hAnsi="Arial" w:cs="Arial"/>
          <w:sz w:val="24"/>
          <w:szCs w:val="24"/>
          <w:lang w:val="es-ES_tradnl"/>
        </w:rPr>
        <w:t xml:space="preserve"> </w:t>
      </w:r>
      <w:r w:rsidR="002D15DE" w:rsidRPr="00F84E3C">
        <w:rPr>
          <w:rFonts w:ascii="Arial" w:eastAsia="Times New Roman" w:hAnsi="Arial" w:cs="Arial"/>
          <w:sz w:val="24"/>
          <w:szCs w:val="24"/>
          <w:lang w:val="es-ES_tradnl"/>
        </w:rPr>
        <w:t xml:space="preserve">la </w:t>
      </w:r>
      <w:r w:rsidR="00EC36C4" w:rsidRPr="00F84E3C">
        <w:rPr>
          <w:rFonts w:ascii="Arial" w:eastAsia="Times New Roman" w:hAnsi="Arial" w:cs="Arial"/>
          <w:sz w:val="24"/>
          <w:szCs w:val="24"/>
          <w:lang w:val="es-ES_tradnl"/>
        </w:rPr>
        <w:t xml:space="preserve">Secretaria Ejecutiva del Instituto </w:t>
      </w:r>
      <w:r w:rsidR="009241ED" w:rsidRPr="00F84E3C">
        <w:rPr>
          <w:rFonts w:ascii="Arial" w:eastAsia="Times New Roman" w:hAnsi="Arial" w:cs="Arial"/>
          <w:sz w:val="24"/>
          <w:szCs w:val="24"/>
          <w:lang w:val="es-ES_tradnl"/>
        </w:rPr>
        <w:t>Local</w:t>
      </w:r>
      <w:r w:rsidR="001A7DBE" w:rsidRPr="00F84E3C">
        <w:rPr>
          <w:rFonts w:ascii="Arial" w:eastAsia="Times New Roman" w:hAnsi="Arial" w:cs="Arial"/>
          <w:sz w:val="24"/>
          <w:szCs w:val="24"/>
          <w:lang w:val="es-ES_tradnl"/>
        </w:rPr>
        <w:t>, en respuesta</w:t>
      </w:r>
      <w:r w:rsidR="006D7D8F" w:rsidRPr="00F84E3C">
        <w:rPr>
          <w:rFonts w:ascii="Arial" w:eastAsia="Times New Roman" w:hAnsi="Arial" w:cs="Arial"/>
          <w:sz w:val="24"/>
          <w:szCs w:val="24"/>
          <w:lang w:val="es-ES_tradnl"/>
        </w:rPr>
        <w:t xml:space="preserve"> </w:t>
      </w:r>
      <w:r w:rsidR="002D15DE" w:rsidRPr="00F84E3C">
        <w:rPr>
          <w:rFonts w:ascii="Arial" w:eastAsia="Times New Roman" w:hAnsi="Arial" w:cs="Arial"/>
          <w:sz w:val="24"/>
          <w:szCs w:val="24"/>
          <w:lang w:val="es-ES_tradnl"/>
        </w:rPr>
        <w:t>a</w:t>
      </w:r>
      <w:r w:rsidR="006D7D8F" w:rsidRPr="00F84E3C">
        <w:rPr>
          <w:rFonts w:ascii="Arial" w:eastAsia="Times New Roman" w:hAnsi="Arial" w:cs="Arial"/>
          <w:sz w:val="24"/>
          <w:szCs w:val="24"/>
          <w:lang w:val="es-ES_tradnl"/>
        </w:rPr>
        <w:t xml:space="preserve"> </w:t>
      </w:r>
      <w:r w:rsidR="004D1B85" w:rsidRPr="00F84E3C">
        <w:rPr>
          <w:rFonts w:ascii="Arial" w:eastAsia="Times New Roman" w:hAnsi="Arial" w:cs="Arial"/>
          <w:sz w:val="24"/>
          <w:szCs w:val="24"/>
          <w:lang w:val="es-ES_tradnl"/>
        </w:rPr>
        <w:t xml:space="preserve">los </w:t>
      </w:r>
      <w:r w:rsidR="006D7D8F" w:rsidRPr="00F84E3C">
        <w:rPr>
          <w:rFonts w:ascii="Arial" w:eastAsia="Times New Roman" w:hAnsi="Arial" w:cs="Arial"/>
          <w:sz w:val="24"/>
          <w:szCs w:val="24"/>
          <w:lang w:val="es-ES_tradnl"/>
        </w:rPr>
        <w:t xml:space="preserve">diversos </w:t>
      </w:r>
      <w:r w:rsidR="001A7DBE" w:rsidRPr="00F84E3C">
        <w:rPr>
          <w:rFonts w:ascii="Arial" w:eastAsia="Times New Roman" w:hAnsi="Arial" w:cs="Arial"/>
          <w:sz w:val="24"/>
          <w:szCs w:val="24"/>
          <w:lang w:val="es-ES_tradnl"/>
        </w:rPr>
        <w:t xml:space="preserve">oficios </w:t>
      </w:r>
      <w:r w:rsidR="004D1B85" w:rsidRPr="00F84E3C">
        <w:rPr>
          <w:rFonts w:ascii="Arial" w:eastAsia="Times New Roman" w:hAnsi="Arial" w:cs="Arial"/>
          <w:sz w:val="24"/>
          <w:szCs w:val="24"/>
          <w:lang w:val="es-ES_tradnl"/>
        </w:rPr>
        <w:t xml:space="preserve">presentados por </w:t>
      </w:r>
      <w:r w:rsidR="003B5538" w:rsidRPr="00F84E3C">
        <w:rPr>
          <w:rFonts w:ascii="Arial" w:eastAsia="Times New Roman" w:hAnsi="Arial" w:cs="Arial"/>
          <w:sz w:val="24"/>
          <w:szCs w:val="24"/>
          <w:lang w:val="es-ES_tradnl"/>
        </w:rPr>
        <w:t>el actor</w:t>
      </w:r>
      <w:r w:rsidR="00B214BE" w:rsidRPr="00F84E3C">
        <w:rPr>
          <w:rFonts w:ascii="Arial" w:eastAsia="Times New Roman" w:hAnsi="Arial" w:cs="Arial"/>
          <w:sz w:val="24"/>
          <w:szCs w:val="24"/>
          <w:lang w:val="es-ES_tradnl"/>
        </w:rPr>
        <w:t xml:space="preserve"> </w:t>
      </w:r>
      <w:r w:rsidR="00E103A9" w:rsidRPr="00F84E3C">
        <w:rPr>
          <w:rFonts w:ascii="Arial" w:eastAsia="Times New Roman" w:hAnsi="Arial" w:cs="Arial"/>
          <w:sz w:val="24"/>
          <w:szCs w:val="24"/>
          <w:lang w:val="es-ES_tradnl"/>
        </w:rPr>
        <w:t xml:space="preserve">Armando Uribe </w:t>
      </w:r>
      <w:r w:rsidR="00A363EC" w:rsidRPr="00F84E3C">
        <w:rPr>
          <w:rFonts w:ascii="Arial" w:eastAsia="Times New Roman" w:hAnsi="Arial" w:cs="Arial"/>
          <w:sz w:val="24"/>
          <w:szCs w:val="24"/>
          <w:lang w:val="es-ES_tradnl"/>
        </w:rPr>
        <w:t xml:space="preserve">sobre las solicitudes de reconocimiento </w:t>
      </w:r>
      <w:r w:rsidR="00E103A9" w:rsidRPr="00F84E3C">
        <w:rPr>
          <w:rFonts w:ascii="Arial" w:eastAsia="Times New Roman" w:hAnsi="Arial" w:cs="Arial"/>
          <w:sz w:val="24"/>
          <w:szCs w:val="24"/>
          <w:lang w:val="es-ES_tradnl"/>
        </w:rPr>
        <w:t>d</w:t>
      </w:r>
      <w:r w:rsidR="00A363EC" w:rsidRPr="00F84E3C">
        <w:rPr>
          <w:rFonts w:ascii="Arial" w:eastAsia="Times New Roman" w:hAnsi="Arial" w:cs="Arial"/>
          <w:sz w:val="24"/>
          <w:szCs w:val="24"/>
          <w:lang w:val="es-ES_tradnl"/>
        </w:rPr>
        <w:t>el nuevo C</w:t>
      </w:r>
      <w:r w:rsidR="00C22BE0" w:rsidRPr="00F84E3C">
        <w:rPr>
          <w:rFonts w:ascii="Arial" w:eastAsia="Times New Roman" w:hAnsi="Arial" w:cs="Arial"/>
          <w:sz w:val="24"/>
          <w:szCs w:val="24"/>
          <w:lang w:val="es-ES_tradnl"/>
        </w:rPr>
        <w:t>o</w:t>
      </w:r>
      <w:r w:rsidR="00A363EC" w:rsidRPr="00F84E3C">
        <w:rPr>
          <w:rFonts w:ascii="Arial" w:eastAsia="Times New Roman" w:hAnsi="Arial" w:cs="Arial"/>
          <w:sz w:val="24"/>
          <w:szCs w:val="24"/>
          <w:lang w:val="es-ES_tradnl"/>
        </w:rPr>
        <w:t>mité Esta</w:t>
      </w:r>
      <w:r w:rsidR="00C22BE0" w:rsidRPr="00F84E3C">
        <w:rPr>
          <w:rFonts w:ascii="Arial" w:eastAsia="Times New Roman" w:hAnsi="Arial" w:cs="Arial"/>
          <w:sz w:val="24"/>
          <w:szCs w:val="24"/>
          <w:lang w:val="es-ES_tradnl"/>
        </w:rPr>
        <w:t>t</w:t>
      </w:r>
      <w:r w:rsidR="00A363EC" w:rsidRPr="00F84E3C">
        <w:rPr>
          <w:rFonts w:ascii="Arial" w:eastAsia="Times New Roman" w:hAnsi="Arial" w:cs="Arial"/>
          <w:sz w:val="24"/>
          <w:szCs w:val="24"/>
          <w:lang w:val="es-ES_tradnl"/>
        </w:rPr>
        <w:t xml:space="preserve">al, </w:t>
      </w:r>
      <w:r w:rsidR="006D1C41" w:rsidRPr="00F84E3C">
        <w:rPr>
          <w:rFonts w:ascii="Arial" w:eastAsia="Times New Roman" w:hAnsi="Arial" w:cs="Arial"/>
          <w:b/>
          <w:sz w:val="24"/>
          <w:szCs w:val="24"/>
          <w:lang w:val="es-ES_tradnl"/>
        </w:rPr>
        <w:t xml:space="preserve">le notificó </w:t>
      </w:r>
      <w:r w:rsidR="002D15DE" w:rsidRPr="00F84E3C">
        <w:rPr>
          <w:rFonts w:ascii="Arial" w:eastAsia="Times New Roman" w:hAnsi="Arial" w:cs="Arial"/>
          <w:b/>
          <w:sz w:val="24"/>
          <w:szCs w:val="24"/>
          <w:lang w:val="es-ES_tradnl"/>
        </w:rPr>
        <w:t>el oficio</w:t>
      </w:r>
      <w:r w:rsidR="002D15DE" w:rsidRPr="00F84E3C">
        <w:rPr>
          <w:rFonts w:ascii="Arial" w:eastAsia="Times New Roman" w:hAnsi="Arial" w:cs="Arial"/>
          <w:sz w:val="24"/>
          <w:szCs w:val="24"/>
          <w:lang w:val="es-ES_tradnl"/>
        </w:rPr>
        <w:t xml:space="preserve"> del</w:t>
      </w:r>
      <w:r w:rsidR="001A7DBE" w:rsidRPr="00F84E3C">
        <w:rPr>
          <w:rFonts w:ascii="Arial" w:eastAsia="Times New Roman" w:hAnsi="Arial" w:cs="Arial"/>
          <w:sz w:val="24"/>
          <w:szCs w:val="24"/>
          <w:lang w:val="es-ES_tradnl"/>
        </w:rPr>
        <w:t xml:space="preserve"> Director de Prerrogativas y Partidos Políticos del INE,</w:t>
      </w:r>
      <w:r w:rsidR="006D7D8F" w:rsidRPr="00F84E3C">
        <w:rPr>
          <w:rFonts w:ascii="Arial" w:eastAsia="Times New Roman" w:hAnsi="Arial" w:cs="Arial"/>
          <w:sz w:val="24"/>
          <w:szCs w:val="24"/>
          <w:lang w:val="es-ES_tradnl"/>
        </w:rPr>
        <w:t xml:space="preserve"> </w:t>
      </w:r>
      <w:r w:rsidR="006D1C41" w:rsidRPr="00F84E3C">
        <w:rPr>
          <w:rFonts w:ascii="Arial" w:eastAsia="Times New Roman" w:hAnsi="Arial" w:cs="Arial"/>
          <w:sz w:val="24"/>
          <w:szCs w:val="24"/>
          <w:lang w:val="es-ES_tradnl"/>
        </w:rPr>
        <w:t xml:space="preserve">en el que se </w:t>
      </w:r>
      <w:r w:rsidR="00AA2FFC" w:rsidRPr="00F84E3C">
        <w:rPr>
          <w:rFonts w:ascii="Arial" w:eastAsia="Times New Roman" w:hAnsi="Arial" w:cs="Arial"/>
          <w:sz w:val="24"/>
          <w:szCs w:val="24"/>
          <w:lang w:val="es-ES_tradnl"/>
        </w:rPr>
        <w:t xml:space="preserve">le </w:t>
      </w:r>
      <w:r w:rsidR="006D1C41" w:rsidRPr="00F84E3C">
        <w:rPr>
          <w:rFonts w:ascii="Arial" w:eastAsia="Times New Roman" w:hAnsi="Arial" w:cs="Arial"/>
          <w:sz w:val="24"/>
          <w:szCs w:val="24"/>
          <w:lang w:val="es-ES_tradnl"/>
        </w:rPr>
        <w:t xml:space="preserve">informaba </w:t>
      </w:r>
      <w:r w:rsidR="002D15DE" w:rsidRPr="00F84E3C">
        <w:rPr>
          <w:rFonts w:ascii="Arial" w:eastAsia="Times New Roman" w:hAnsi="Arial" w:cs="Arial"/>
          <w:sz w:val="24"/>
          <w:szCs w:val="24"/>
          <w:lang w:val="es-ES_tradnl"/>
        </w:rPr>
        <w:t xml:space="preserve">que el </w:t>
      </w:r>
      <w:r w:rsidR="008675FC" w:rsidRPr="00F84E3C">
        <w:rPr>
          <w:rFonts w:ascii="Arial" w:eastAsia="Times New Roman" w:hAnsi="Arial" w:cs="Arial"/>
          <w:sz w:val="24"/>
          <w:szCs w:val="24"/>
          <w:lang w:val="es-ES_tradnl"/>
        </w:rPr>
        <w:t>CEN</w:t>
      </w:r>
      <w:r w:rsidR="009D24A3" w:rsidRPr="00F84E3C">
        <w:rPr>
          <w:rFonts w:ascii="Arial" w:eastAsia="Times New Roman" w:hAnsi="Arial" w:cs="Arial"/>
          <w:sz w:val="24"/>
          <w:szCs w:val="24"/>
          <w:lang w:val="es-ES_tradnl"/>
        </w:rPr>
        <w:t xml:space="preserve"> del PRI </w:t>
      </w:r>
      <w:r w:rsidR="00AA2FFC" w:rsidRPr="00F84E3C">
        <w:rPr>
          <w:rFonts w:ascii="Arial" w:eastAsia="Times New Roman" w:hAnsi="Arial" w:cs="Arial"/>
          <w:sz w:val="24"/>
          <w:szCs w:val="24"/>
          <w:lang w:val="es-ES_tradnl"/>
        </w:rPr>
        <w:t xml:space="preserve">había </w:t>
      </w:r>
      <w:r w:rsidR="009D24A3" w:rsidRPr="00F84E3C">
        <w:rPr>
          <w:rFonts w:ascii="Arial" w:eastAsia="Times New Roman" w:hAnsi="Arial" w:cs="Arial"/>
          <w:sz w:val="24"/>
          <w:szCs w:val="24"/>
          <w:lang w:val="es-ES_tradnl"/>
        </w:rPr>
        <w:t>prorrog</w:t>
      </w:r>
      <w:r w:rsidR="00AA2FFC" w:rsidRPr="00F84E3C">
        <w:rPr>
          <w:rFonts w:ascii="Arial" w:eastAsia="Times New Roman" w:hAnsi="Arial" w:cs="Arial"/>
          <w:sz w:val="24"/>
          <w:szCs w:val="24"/>
          <w:lang w:val="es-ES_tradnl"/>
        </w:rPr>
        <w:t>ado</w:t>
      </w:r>
      <w:r w:rsidR="009D24A3" w:rsidRPr="00F84E3C">
        <w:rPr>
          <w:rFonts w:ascii="Arial" w:eastAsia="Times New Roman" w:hAnsi="Arial" w:cs="Arial"/>
          <w:sz w:val="24"/>
          <w:szCs w:val="24"/>
          <w:lang w:val="es-ES_tradnl"/>
        </w:rPr>
        <w:t xml:space="preserve"> el nombramiento de Ruth </w:t>
      </w:r>
      <w:r w:rsidR="009D24A3" w:rsidRPr="00F84E3C">
        <w:rPr>
          <w:rFonts w:ascii="Arial" w:eastAsia="Times New Roman" w:hAnsi="Arial" w:cs="Arial"/>
          <w:sz w:val="24"/>
          <w:szCs w:val="24"/>
          <w:lang w:val="es-ES_tradnl"/>
        </w:rPr>
        <w:lastRenderedPageBreak/>
        <w:t xml:space="preserve">Noemi, y Alejandro Arias como titulares de la </w:t>
      </w:r>
      <w:r w:rsidR="00B10AD9">
        <w:rPr>
          <w:rFonts w:ascii="Arial" w:eastAsia="Times New Roman" w:hAnsi="Arial" w:cs="Arial"/>
          <w:sz w:val="24"/>
          <w:szCs w:val="24"/>
          <w:lang w:val="es-ES_tradnl"/>
        </w:rPr>
        <w:t>P</w:t>
      </w:r>
      <w:r w:rsidR="009D24A3" w:rsidRPr="00F84E3C">
        <w:rPr>
          <w:rFonts w:ascii="Arial" w:eastAsia="Times New Roman" w:hAnsi="Arial" w:cs="Arial"/>
          <w:sz w:val="24"/>
          <w:szCs w:val="24"/>
          <w:lang w:val="es-ES_tradnl"/>
        </w:rPr>
        <w:t xml:space="preserve">residencia y la </w:t>
      </w:r>
      <w:r w:rsidR="00B10AD9">
        <w:rPr>
          <w:rFonts w:ascii="Arial" w:eastAsia="Times New Roman" w:hAnsi="Arial" w:cs="Arial"/>
          <w:sz w:val="24"/>
          <w:szCs w:val="24"/>
          <w:lang w:val="es-ES_tradnl"/>
        </w:rPr>
        <w:t>S</w:t>
      </w:r>
      <w:bookmarkStart w:id="10" w:name="_GoBack"/>
      <w:bookmarkEnd w:id="10"/>
      <w:r w:rsidR="009D24A3" w:rsidRPr="00F84E3C">
        <w:rPr>
          <w:rFonts w:ascii="Arial" w:eastAsia="Times New Roman" w:hAnsi="Arial" w:cs="Arial"/>
          <w:sz w:val="24"/>
          <w:szCs w:val="24"/>
          <w:lang w:val="es-ES_tradnl"/>
        </w:rPr>
        <w:t>ecretaría del Comité Ejecutivo Estatal de Guanajuato</w:t>
      </w:r>
      <w:r w:rsidR="009D24A3" w:rsidRPr="00F84E3C">
        <w:rPr>
          <w:rStyle w:val="Refdenotaalpie"/>
          <w:rFonts w:ascii="Arial" w:eastAsia="Times New Roman" w:hAnsi="Arial" w:cs="Arial"/>
          <w:sz w:val="24"/>
          <w:szCs w:val="24"/>
          <w:lang w:val="es-ES_tradnl"/>
        </w:rPr>
        <w:footnoteReference w:id="5"/>
      </w:r>
      <w:r w:rsidR="009D24A3" w:rsidRPr="00F84E3C">
        <w:rPr>
          <w:rFonts w:ascii="Arial" w:eastAsia="Times New Roman" w:hAnsi="Arial" w:cs="Arial"/>
          <w:sz w:val="24"/>
          <w:szCs w:val="24"/>
          <w:lang w:val="es-ES_tradnl"/>
        </w:rPr>
        <w:t>.</w:t>
      </w:r>
    </w:p>
    <w:p w14:paraId="45E97733" w14:textId="77777777" w:rsidR="00AA2FFC" w:rsidRPr="00F84E3C" w:rsidRDefault="00AA2FFC" w:rsidP="00AA2FFC">
      <w:pPr>
        <w:spacing w:after="0" w:line="240" w:lineRule="auto"/>
        <w:jc w:val="both"/>
        <w:rPr>
          <w:rFonts w:ascii="Arial" w:hAnsi="Arial" w:cs="Arial"/>
          <w:b/>
          <w:bCs/>
          <w:sz w:val="24"/>
          <w:szCs w:val="24"/>
        </w:rPr>
      </w:pPr>
    </w:p>
    <w:p w14:paraId="288EC6C8" w14:textId="77777777" w:rsidR="00EE69B7" w:rsidRPr="00F84E3C" w:rsidRDefault="00EE69B7" w:rsidP="00C21D73">
      <w:pPr>
        <w:spacing w:after="0" w:line="240" w:lineRule="auto"/>
        <w:jc w:val="both"/>
        <w:rPr>
          <w:rFonts w:ascii="Arial" w:eastAsia="Times New Roman" w:hAnsi="Arial" w:cs="Arial"/>
          <w:sz w:val="24"/>
          <w:szCs w:val="24"/>
          <w:lang w:val="es-ES_tradnl"/>
        </w:rPr>
      </w:pPr>
      <w:r w:rsidRPr="00F84E3C">
        <w:rPr>
          <w:rFonts w:ascii="Arial" w:hAnsi="Arial" w:cs="Arial"/>
          <w:b/>
          <w:bCs/>
          <w:sz w:val="24"/>
          <w:szCs w:val="24"/>
        </w:rPr>
        <w:t>II. Instancia local</w:t>
      </w:r>
    </w:p>
    <w:p w14:paraId="086CA5AD" w14:textId="77777777" w:rsidR="00EE69B7" w:rsidRPr="00F84E3C" w:rsidRDefault="00EE69B7" w:rsidP="00AA2FFC">
      <w:pPr>
        <w:spacing w:after="0" w:line="240" w:lineRule="auto"/>
        <w:jc w:val="both"/>
        <w:rPr>
          <w:rFonts w:ascii="Arial" w:hAnsi="Arial" w:cs="Arial"/>
          <w:b/>
          <w:bCs/>
          <w:sz w:val="24"/>
          <w:szCs w:val="24"/>
        </w:rPr>
      </w:pPr>
      <w:bookmarkStart w:id="11" w:name="_Hlk43678051"/>
    </w:p>
    <w:p w14:paraId="4B1C881B" w14:textId="767AC053" w:rsidR="00FC6E49" w:rsidRPr="00F84E3C" w:rsidRDefault="00EE69B7" w:rsidP="00EE69B7">
      <w:pPr>
        <w:spacing w:after="0" w:line="360" w:lineRule="auto"/>
        <w:jc w:val="both"/>
        <w:rPr>
          <w:rFonts w:ascii="Arial" w:hAnsi="Arial" w:cs="Arial"/>
          <w:color w:val="000000"/>
          <w:sz w:val="24"/>
          <w:szCs w:val="24"/>
        </w:rPr>
      </w:pPr>
      <w:r w:rsidRPr="00F84E3C">
        <w:rPr>
          <w:rFonts w:ascii="Arial" w:hAnsi="Arial" w:cs="Arial"/>
          <w:b/>
          <w:bCs/>
          <w:sz w:val="24"/>
          <w:szCs w:val="24"/>
        </w:rPr>
        <w:t xml:space="preserve">1. </w:t>
      </w:r>
      <w:bookmarkEnd w:id="11"/>
      <w:r w:rsidR="00711F5C" w:rsidRPr="00F84E3C">
        <w:rPr>
          <w:rFonts w:ascii="Arial" w:hAnsi="Arial" w:cs="Arial"/>
          <w:bCs/>
          <w:sz w:val="24"/>
          <w:szCs w:val="24"/>
        </w:rPr>
        <w:t xml:space="preserve">El 27 de octubre, </w:t>
      </w:r>
      <w:r w:rsidR="002240D3" w:rsidRPr="00F84E3C">
        <w:rPr>
          <w:rFonts w:ascii="Arial" w:hAnsi="Arial" w:cs="Arial"/>
          <w:b/>
          <w:sz w:val="24"/>
          <w:szCs w:val="24"/>
        </w:rPr>
        <w:t xml:space="preserve">Armando de la Cruz </w:t>
      </w:r>
      <w:r w:rsidR="00042029" w:rsidRPr="00F84E3C">
        <w:rPr>
          <w:rFonts w:ascii="Arial" w:hAnsi="Arial" w:cs="Arial"/>
          <w:b/>
          <w:sz w:val="24"/>
          <w:szCs w:val="24"/>
        </w:rPr>
        <w:t xml:space="preserve">presentó juicio ciudadano local </w:t>
      </w:r>
      <w:r w:rsidR="00042029" w:rsidRPr="00F84E3C">
        <w:rPr>
          <w:rFonts w:ascii="Arial" w:hAnsi="Arial" w:cs="Arial"/>
          <w:bCs/>
          <w:sz w:val="24"/>
          <w:szCs w:val="24"/>
        </w:rPr>
        <w:t>(</w:t>
      </w:r>
      <w:proofErr w:type="spellStart"/>
      <w:r w:rsidR="00042029" w:rsidRPr="00F84E3C">
        <w:rPr>
          <w:rFonts w:ascii="Arial" w:hAnsi="Arial" w:cs="Arial"/>
          <w:bCs/>
          <w:sz w:val="24"/>
          <w:szCs w:val="24"/>
        </w:rPr>
        <w:t>TEEG-JPDC</w:t>
      </w:r>
      <w:proofErr w:type="spellEnd"/>
      <w:r w:rsidR="00042029" w:rsidRPr="00F84E3C">
        <w:rPr>
          <w:rFonts w:ascii="Arial" w:hAnsi="Arial" w:cs="Arial"/>
          <w:bCs/>
          <w:sz w:val="24"/>
          <w:szCs w:val="24"/>
        </w:rPr>
        <w:t>/60/2020</w:t>
      </w:r>
      <w:r w:rsidR="00042029" w:rsidRPr="00F84E3C">
        <w:rPr>
          <w:rStyle w:val="Refdenotaalpie"/>
          <w:rFonts w:ascii="Arial" w:hAnsi="Arial" w:cs="Arial"/>
          <w:bCs/>
          <w:sz w:val="24"/>
          <w:szCs w:val="24"/>
        </w:rPr>
        <w:footnoteReference w:id="6"/>
      </w:r>
      <w:r w:rsidR="00042029" w:rsidRPr="00F84E3C">
        <w:rPr>
          <w:rFonts w:ascii="Arial" w:hAnsi="Arial" w:cs="Arial"/>
          <w:bCs/>
          <w:sz w:val="24"/>
          <w:szCs w:val="24"/>
        </w:rPr>
        <w:t>)</w:t>
      </w:r>
      <w:r w:rsidR="00E23551" w:rsidRPr="00F84E3C">
        <w:rPr>
          <w:rFonts w:ascii="Arial" w:hAnsi="Arial" w:cs="Arial"/>
          <w:b/>
          <w:sz w:val="24"/>
          <w:szCs w:val="24"/>
        </w:rPr>
        <w:t>,</w:t>
      </w:r>
      <w:r w:rsidR="00EA1E08" w:rsidRPr="00F84E3C">
        <w:rPr>
          <w:rFonts w:ascii="Arial" w:hAnsi="Arial" w:cs="Arial"/>
          <w:b/>
          <w:sz w:val="24"/>
          <w:szCs w:val="24"/>
        </w:rPr>
        <w:t xml:space="preserve"> </w:t>
      </w:r>
      <w:r w:rsidR="00EA1E08" w:rsidRPr="00F84E3C">
        <w:rPr>
          <w:rFonts w:ascii="Arial" w:hAnsi="Arial" w:cs="Arial"/>
          <w:sz w:val="24"/>
          <w:szCs w:val="24"/>
        </w:rPr>
        <w:t>contra</w:t>
      </w:r>
      <w:r w:rsidR="00EA1E08" w:rsidRPr="00F84E3C">
        <w:rPr>
          <w:rFonts w:ascii="Arial" w:hAnsi="Arial" w:cs="Arial"/>
          <w:b/>
          <w:sz w:val="24"/>
          <w:szCs w:val="24"/>
        </w:rPr>
        <w:t xml:space="preserve"> </w:t>
      </w:r>
      <w:r w:rsidR="00EA1E08" w:rsidRPr="00F84E3C">
        <w:rPr>
          <w:rFonts w:ascii="Arial" w:hAnsi="Arial" w:cs="Arial"/>
          <w:sz w:val="24"/>
          <w:szCs w:val="24"/>
        </w:rPr>
        <w:t xml:space="preserve">los </w:t>
      </w:r>
      <w:r w:rsidR="002240D3" w:rsidRPr="00F84E3C">
        <w:rPr>
          <w:rFonts w:ascii="Arial" w:hAnsi="Arial" w:cs="Arial"/>
          <w:sz w:val="24"/>
          <w:szCs w:val="24"/>
        </w:rPr>
        <w:t xml:space="preserve">oficios de </w:t>
      </w:r>
      <w:r w:rsidR="002240D3" w:rsidRPr="00F84E3C">
        <w:rPr>
          <w:rFonts w:ascii="Arial" w:hAnsi="Arial" w:cs="Arial"/>
          <w:bCs/>
          <w:sz w:val="24"/>
          <w:szCs w:val="24"/>
        </w:rPr>
        <w:t xml:space="preserve">la Secretaria Ejecutiva del Instituto Local y del </w:t>
      </w:r>
      <w:r w:rsidR="00D96A6E" w:rsidRPr="00F84E3C">
        <w:rPr>
          <w:rFonts w:ascii="Arial" w:hAnsi="Arial" w:cs="Arial"/>
          <w:bCs/>
          <w:sz w:val="24"/>
          <w:szCs w:val="24"/>
        </w:rPr>
        <w:t>D</w:t>
      </w:r>
      <w:r w:rsidR="002240D3" w:rsidRPr="00F84E3C">
        <w:rPr>
          <w:rFonts w:ascii="Arial" w:hAnsi="Arial" w:cs="Arial"/>
          <w:bCs/>
          <w:sz w:val="24"/>
          <w:szCs w:val="24"/>
        </w:rPr>
        <w:t>irector de Prerrogativas del INE</w:t>
      </w:r>
      <w:r w:rsidR="00ED21FF" w:rsidRPr="00F84E3C">
        <w:rPr>
          <w:rStyle w:val="Refdenotaalpie"/>
          <w:rFonts w:ascii="Arial" w:hAnsi="Arial" w:cs="Arial"/>
          <w:bCs/>
          <w:sz w:val="24"/>
          <w:szCs w:val="24"/>
        </w:rPr>
        <w:footnoteReference w:id="7"/>
      </w:r>
      <w:r w:rsidR="002240D3" w:rsidRPr="00F84E3C">
        <w:rPr>
          <w:rFonts w:ascii="Arial" w:hAnsi="Arial" w:cs="Arial"/>
          <w:bCs/>
          <w:sz w:val="24"/>
          <w:szCs w:val="24"/>
        </w:rPr>
        <w:t>,</w:t>
      </w:r>
      <w:r w:rsidR="00E23551" w:rsidRPr="00F84E3C">
        <w:rPr>
          <w:rFonts w:ascii="Arial" w:hAnsi="Arial" w:cs="Arial"/>
          <w:bCs/>
          <w:sz w:val="24"/>
          <w:szCs w:val="24"/>
        </w:rPr>
        <w:t xml:space="preserve"> </w:t>
      </w:r>
      <w:r w:rsidR="00EA1E08" w:rsidRPr="00F84E3C">
        <w:rPr>
          <w:rFonts w:ascii="Arial" w:hAnsi="Arial" w:cs="Arial"/>
          <w:bCs/>
          <w:sz w:val="24"/>
          <w:szCs w:val="24"/>
        </w:rPr>
        <w:t xml:space="preserve">por el que hacen de su conocimiento </w:t>
      </w:r>
      <w:r w:rsidR="00E23551" w:rsidRPr="00F84E3C">
        <w:rPr>
          <w:rFonts w:ascii="Arial" w:hAnsi="Arial" w:cs="Arial"/>
          <w:bCs/>
          <w:sz w:val="24"/>
          <w:szCs w:val="24"/>
        </w:rPr>
        <w:t xml:space="preserve">la prórroga de la directiva estatal del PRI en Guanajuato </w:t>
      </w:r>
      <w:r w:rsidR="009D209E" w:rsidRPr="00F84E3C">
        <w:rPr>
          <w:rFonts w:ascii="Arial" w:hAnsi="Arial" w:cs="Arial"/>
          <w:bCs/>
          <w:sz w:val="24"/>
          <w:szCs w:val="24"/>
        </w:rPr>
        <w:t xml:space="preserve">acordada por el </w:t>
      </w:r>
      <w:r w:rsidR="009D209E" w:rsidRPr="00F84E3C">
        <w:rPr>
          <w:rFonts w:ascii="Arial" w:hAnsi="Arial" w:cs="Arial"/>
          <w:color w:val="000000"/>
          <w:sz w:val="24"/>
          <w:szCs w:val="24"/>
        </w:rPr>
        <w:t>CEN del PRI</w:t>
      </w:r>
      <w:r w:rsidR="00F67863" w:rsidRPr="00F84E3C">
        <w:rPr>
          <w:rFonts w:ascii="Arial" w:hAnsi="Arial" w:cs="Arial"/>
          <w:bCs/>
          <w:sz w:val="24"/>
          <w:szCs w:val="24"/>
        </w:rPr>
        <w:t>.</w:t>
      </w:r>
    </w:p>
    <w:p w14:paraId="209E5EBC" w14:textId="77777777" w:rsidR="00F5184B" w:rsidRPr="00F84E3C" w:rsidRDefault="00F5184B" w:rsidP="008E5CE3">
      <w:pPr>
        <w:spacing w:after="0" w:line="240" w:lineRule="auto"/>
        <w:jc w:val="both"/>
        <w:rPr>
          <w:rFonts w:ascii="Arial" w:hAnsi="Arial" w:cs="Arial"/>
          <w:bCs/>
          <w:sz w:val="24"/>
          <w:szCs w:val="24"/>
        </w:rPr>
      </w:pPr>
    </w:p>
    <w:p w14:paraId="76A50D7D" w14:textId="3835D651" w:rsidR="00F5184B" w:rsidRPr="00F84E3C" w:rsidRDefault="00E803F8" w:rsidP="003D2758">
      <w:pPr>
        <w:spacing w:after="0" w:line="360" w:lineRule="auto"/>
        <w:jc w:val="both"/>
        <w:rPr>
          <w:rFonts w:ascii="Arial" w:hAnsi="Arial" w:cs="Arial"/>
          <w:bCs/>
          <w:sz w:val="24"/>
          <w:szCs w:val="24"/>
        </w:rPr>
      </w:pPr>
      <w:r w:rsidRPr="00F84E3C">
        <w:rPr>
          <w:rFonts w:ascii="Arial" w:hAnsi="Arial" w:cs="Arial"/>
          <w:b/>
          <w:color w:val="000000"/>
          <w:sz w:val="24"/>
          <w:szCs w:val="24"/>
        </w:rPr>
        <w:t>2.</w:t>
      </w:r>
      <w:r w:rsidRPr="00F84E3C">
        <w:rPr>
          <w:rFonts w:ascii="Arial" w:hAnsi="Arial" w:cs="Arial"/>
          <w:color w:val="000000"/>
          <w:sz w:val="24"/>
          <w:szCs w:val="24"/>
        </w:rPr>
        <w:t xml:space="preserve"> </w:t>
      </w:r>
      <w:r w:rsidR="00FA5611" w:rsidRPr="00F84E3C">
        <w:rPr>
          <w:rFonts w:ascii="Arial" w:hAnsi="Arial" w:cs="Arial"/>
          <w:b/>
          <w:bCs/>
          <w:color w:val="000000"/>
          <w:sz w:val="24"/>
          <w:szCs w:val="24"/>
        </w:rPr>
        <w:t xml:space="preserve">Asimismo, el actor Armando de la Cruz </w:t>
      </w:r>
      <w:r w:rsidR="00C57C43" w:rsidRPr="00F84E3C">
        <w:rPr>
          <w:rFonts w:ascii="Arial" w:hAnsi="Arial" w:cs="Arial"/>
          <w:b/>
          <w:bCs/>
          <w:color w:val="000000"/>
          <w:sz w:val="24"/>
          <w:szCs w:val="24"/>
        </w:rPr>
        <w:t>promovió juicio local</w:t>
      </w:r>
      <w:r w:rsidR="0012542C" w:rsidRPr="00F84E3C">
        <w:rPr>
          <w:rFonts w:ascii="Arial" w:hAnsi="Arial" w:cs="Arial"/>
          <w:color w:val="000000"/>
          <w:sz w:val="24"/>
          <w:szCs w:val="24"/>
        </w:rPr>
        <w:t xml:space="preserve"> en contra de</w:t>
      </w:r>
      <w:r w:rsidR="00F5184B" w:rsidRPr="00F84E3C">
        <w:rPr>
          <w:rFonts w:ascii="Arial" w:hAnsi="Arial" w:cs="Arial"/>
          <w:color w:val="000000"/>
          <w:sz w:val="24"/>
          <w:szCs w:val="24"/>
        </w:rPr>
        <w:t xml:space="preserve"> la falta de actividad </w:t>
      </w:r>
      <w:r w:rsidR="0012542C" w:rsidRPr="00F84E3C">
        <w:rPr>
          <w:rFonts w:ascii="Arial" w:hAnsi="Arial" w:cs="Arial"/>
          <w:color w:val="000000"/>
          <w:sz w:val="24"/>
          <w:szCs w:val="24"/>
        </w:rPr>
        <w:t xml:space="preserve">en </w:t>
      </w:r>
      <w:r w:rsidR="00972D24" w:rsidRPr="00F84E3C">
        <w:rPr>
          <w:rFonts w:ascii="Arial" w:hAnsi="Arial" w:cs="Arial"/>
          <w:color w:val="000000"/>
          <w:sz w:val="24"/>
          <w:szCs w:val="24"/>
        </w:rPr>
        <w:t xml:space="preserve">un juicio partidista </w:t>
      </w:r>
      <w:r w:rsidR="00F5184B" w:rsidRPr="00F84E3C">
        <w:rPr>
          <w:rFonts w:ascii="Arial" w:hAnsi="Arial" w:cs="Arial"/>
          <w:color w:val="000000"/>
          <w:sz w:val="24"/>
          <w:szCs w:val="24"/>
        </w:rPr>
        <w:t xml:space="preserve">que promovió </w:t>
      </w:r>
      <w:r w:rsidR="00872634" w:rsidRPr="00F84E3C">
        <w:rPr>
          <w:rFonts w:ascii="Arial" w:hAnsi="Arial" w:cs="Arial"/>
          <w:color w:val="000000"/>
          <w:sz w:val="24"/>
          <w:szCs w:val="24"/>
        </w:rPr>
        <w:t xml:space="preserve">el mismo acuerdo de prórroga emitido por el CEN </w:t>
      </w:r>
      <w:r w:rsidR="00EA1E08" w:rsidRPr="00F84E3C">
        <w:rPr>
          <w:rFonts w:ascii="Arial" w:hAnsi="Arial" w:cs="Arial"/>
          <w:color w:val="000000"/>
          <w:sz w:val="24"/>
          <w:szCs w:val="24"/>
        </w:rPr>
        <w:t>(</w:t>
      </w:r>
      <w:proofErr w:type="spellStart"/>
      <w:r w:rsidR="007072A8" w:rsidRPr="00F84E3C">
        <w:rPr>
          <w:rStyle w:val="Textoennegrita"/>
          <w:rFonts w:ascii="Arial" w:hAnsi="Arial" w:cs="Arial"/>
          <w:b w:val="0"/>
          <w:color w:val="000000"/>
          <w:sz w:val="24"/>
          <w:szCs w:val="24"/>
        </w:rPr>
        <w:t>TEEG</w:t>
      </w:r>
      <w:proofErr w:type="spellEnd"/>
      <w:r w:rsidR="007072A8" w:rsidRPr="00F84E3C">
        <w:rPr>
          <w:rStyle w:val="Textoennegrita"/>
          <w:rFonts w:ascii="Arial" w:hAnsi="Arial" w:cs="Arial"/>
          <w:b w:val="0"/>
          <w:color w:val="000000"/>
          <w:sz w:val="24"/>
          <w:szCs w:val="24"/>
        </w:rPr>
        <w:t>-</w:t>
      </w:r>
      <w:proofErr w:type="spellStart"/>
      <w:r w:rsidR="007072A8" w:rsidRPr="00F84E3C">
        <w:rPr>
          <w:rStyle w:val="Textoennegrita"/>
          <w:rFonts w:ascii="Arial" w:hAnsi="Arial" w:cs="Arial"/>
          <w:b w:val="0"/>
          <w:color w:val="000000"/>
          <w:sz w:val="24"/>
          <w:szCs w:val="24"/>
        </w:rPr>
        <w:t>JPDC</w:t>
      </w:r>
      <w:proofErr w:type="spellEnd"/>
      <w:r w:rsidR="007072A8" w:rsidRPr="00F84E3C">
        <w:rPr>
          <w:rStyle w:val="Textoennegrita"/>
          <w:rFonts w:ascii="Arial" w:hAnsi="Arial" w:cs="Arial"/>
          <w:b w:val="0"/>
          <w:color w:val="000000"/>
          <w:sz w:val="24"/>
          <w:szCs w:val="24"/>
        </w:rPr>
        <w:t>-65/2020</w:t>
      </w:r>
      <w:r w:rsidR="003046DF" w:rsidRPr="00F84E3C">
        <w:rPr>
          <w:rStyle w:val="Textoennegrita"/>
          <w:rFonts w:ascii="Arial" w:hAnsi="Arial" w:cs="Arial"/>
          <w:b w:val="0"/>
          <w:color w:val="000000"/>
          <w:sz w:val="24"/>
          <w:szCs w:val="24"/>
        </w:rPr>
        <w:t xml:space="preserve"> </w:t>
      </w:r>
      <w:r w:rsidR="007072A8" w:rsidRPr="00F84E3C">
        <w:rPr>
          <w:rFonts w:ascii="Arial" w:hAnsi="Arial" w:cs="Arial"/>
          <w:color w:val="000000"/>
          <w:sz w:val="24"/>
          <w:szCs w:val="24"/>
        </w:rPr>
        <w:t>acumulado al</w:t>
      </w:r>
      <w:r w:rsidR="007072A8" w:rsidRPr="00F84E3C">
        <w:rPr>
          <w:rFonts w:ascii="Arial" w:hAnsi="Arial" w:cs="Arial"/>
          <w:b/>
          <w:color w:val="000000"/>
          <w:sz w:val="24"/>
          <w:szCs w:val="24"/>
        </w:rPr>
        <w:t xml:space="preserve"> </w:t>
      </w:r>
      <w:proofErr w:type="spellStart"/>
      <w:r w:rsidR="007072A8" w:rsidRPr="00F84E3C">
        <w:rPr>
          <w:rStyle w:val="Textoennegrita"/>
          <w:rFonts w:ascii="Arial" w:hAnsi="Arial" w:cs="Arial"/>
          <w:b w:val="0"/>
          <w:color w:val="000000"/>
          <w:sz w:val="24"/>
          <w:szCs w:val="24"/>
        </w:rPr>
        <w:t>TEEG</w:t>
      </w:r>
      <w:proofErr w:type="spellEnd"/>
      <w:r w:rsidR="007072A8" w:rsidRPr="00F84E3C">
        <w:rPr>
          <w:rStyle w:val="Textoennegrita"/>
          <w:rFonts w:ascii="Arial" w:hAnsi="Arial" w:cs="Arial"/>
          <w:b w:val="0"/>
          <w:color w:val="000000"/>
          <w:sz w:val="24"/>
          <w:szCs w:val="24"/>
        </w:rPr>
        <w:t>-</w:t>
      </w:r>
      <w:proofErr w:type="spellStart"/>
      <w:r w:rsidR="007072A8" w:rsidRPr="00F84E3C">
        <w:rPr>
          <w:rStyle w:val="Textoennegrita"/>
          <w:rFonts w:ascii="Arial" w:hAnsi="Arial" w:cs="Arial"/>
          <w:b w:val="0"/>
          <w:color w:val="000000"/>
          <w:sz w:val="24"/>
          <w:szCs w:val="24"/>
        </w:rPr>
        <w:t>JPDC</w:t>
      </w:r>
      <w:proofErr w:type="spellEnd"/>
      <w:r w:rsidR="007072A8" w:rsidRPr="00F84E3C">
        <w:rPr>
          <w:rStyle w:val="Textoennegrita"/>
          <w:rFonts w:ascii="Arial" w:hAnsi="Arial" w:cs="Arial"/>
          <w:b w:val="0"/>
          <w:color w:val="000000"/>
          <w:sz w:val="24"/>
          <w:szCs w:val="24"/>
        </w:rPr>
        <w:t>-64/2020)</w:t>
      </w:r>
      <w:r w:rsidR="00B6224B" w:rsidRPr="00F84E3C">
        <w:rPr>
          <w:rFonts w:ascii="Arial" w:hAnsi="Arial" w:cs="Arial"/>
          <w:color w:val="000000"/>
          <w:sz w:val="24"/>
          <w:szCs w:val="24"/>
        </w:rPr>
        <w:t>.</w:t>
      </w:r>
    </w:p>
    <w:p w14:paraId="35036148" w14:textId="77777777" w:rsidR="00FC6E49" w:rsidRPr="00F84E3C" w:rsidRDefault="00FC6E49" w:rsidP="006A0993">
      <w:pPr>
        <w:spacing w:after="0" w:line="240" w:lineRule="auto"/>
        <w:jc w:val="both"/>
        <w:rPr>
          <w:rFonts w:ascii="Arial" w:hAnsi="Arial" w:cs="Arial"/>
          <w:bCs/>
          <w:sz w:val="24"/>
          <w:szCs w:val="24"/>
        </w:rPr>
      </w:pPr>
    </w:p>
    <w:p w14:paraId="5DB7DE26" w14:textId="59E38AFB" w:rsidR="00EE69B7" w:rsidRPr="00F84E3C" w:rsidRDefault="000B37A4" w:rsidP="00EE69B7">
      <w:pPr>
        <w:spacing w:after="0" w:line="360" w:lineRule="auto"/>
        <w:jc w:val="both"/>
        <w:rPr>
          <w:rFonts w:ascii="Arial" w:hAnsi="Arial" w:cs="Arial"/>
          <w:sz w:val="24"/>
          <w:szCs w:val="24"/>
        </w:rPr>
      </w:pPr>
      <w:r w:rsidRPr="00F84E3C">
        <w:rPr>
          <w:rFonts w:ascii="Arial" w:hAnsi="Arial" w:cs="Arial"/>
          <w:b/>
          <w:bCs/>
          <w:sz w:val="24"/>
          <w:szCs w:val="24"/>
        </w:rPr>
        <w:t>3</w:t>
      </w:r>
      <w:r w:rsidR="00EE69B7" w:rsidRPr="00F84E3C">
        <w:rPr>
          <w:rFonts w:ascii="Arial" w:hAnsi="Arial" w:cs="Arial"/>
          <w:b/>
          <w:bCs/>
          <w:sz w:val="24"/>
          <w:szCs w:val="24"/>
        </w:rPr>
        <w:t xml:space="preserve">. </w:t>
      </w:r>
      <w:r w:rsidR="00F04DA8" w:rsidRPr="00F84E3C">
        <w:rPr>
          <w:rFonts w:ascii="Arial" w:hAnsi="Arial" w:cs="Arial"/>
          <w:sz w:val="24"/>
          <w:szCs w:val="24"/>
        </w:rPr>
        <w:t xml:space="preserve">El 18 de diciembre, </w:t>
      </w:r>
      <w:r w:rsidR="00AD39AB" w:rsidRPr="00F84E3C">
        <w:rPr>
          <w:rFonts w:ascii="Arial" w:hAnsi="Arial" w:cs="Arial"/>
          <w:b/>
          <w:sz w:val="24"/>
          <w:szCs w:val="24"/>
        </w:rPr>
        <w:t>e</w:t>
      </w:r>
      <w:r w:rsidR="00354BBD" w:rsidRPr="00F84E3C">
        <w:rPr>
          <w:rFonts w:ascii="Arial" w:hAnsi="Arial" w:cs="Arial"/>
          <w:b/>
          <w:sz w:val="24"/>
          <w:szCs w:val="24"/>
        </w:rPr>
        <w:t xml:space="preserve">l Tribunal de </w:t>
      </w:r>
      <w:r w:rsidR="0028456B" w:rsidRPr="00F84E3C">
        <w:rPr>
          <w:rFonts w:ascii="Arial" w:hAnsi="Arial" w:cs="Arial"/>
          <w:b/>
          <w:sz w:val="24"/>
          <w:szCs w:val="24"/>
        </w:rPr>
        <w:t>Guanajuato</w:t>
      </w:r>
      <w:r w:rsidR="00354BBD" w:rsidRPr="00F84E3C">
        <w:rPr>
          <w:rFonts w:ascii="Arial" w:hAnsi="Arial" w:cs="Arial"/>
          <w:bCs/>
          <w:sz w:val="24"/>
          <w:szCs w:val="24"/>
        </w:rPr>
        <w:t xml:space="preserve"> </w:t>
      </w:r>
      <w:r w:rsidR="00354BBD" w:rsidRPr="00F84E3C">
        <w:rPr>
          <w:rFonts w:ascii="Arial" w:hAnsi="Arial" w:cs="Arial"/>
          <w:b/>
          <w:bCs/>
          <w:sz w:val="24"/>
          <w:szCs w:val="24"/>
        </w:rPr>
        <w:t>sobreseyó</w:t>
      </w:r>
      <w:r w:rsidR="00354BBD" w:rsidRPr="00F84E3C">
        <w:rPr>
          <w:rFonts w:ascii="Arial" w:hAnsi="Arial" w:cs="Arial"/>
          <w:bCs/>
          <w:sz w:val="24"/>
          <w:szCs w:val="24"/>
        </w:rPr>
        <w:t xml:space="preserve"> </w:t>
      </w:r>
      <w:r w:rsidR="00354BBD" w:rsidRPr="00F84E3C">
        <w:rPr>
          <w:rFonts w:ascii="Arial" w:hAnsi="Arial" w:cs="Arial"/>
          <w:b/>
          <w:bCs/>
          <w:sz w:val="24"/>
          <w:szCs w:val="24"/>
        </w:rPr>
        <w:t xml:space="preserve">el </w:t>
      </w:r>
      <w:r w:rsidR="007072A8" w:rsidRPr="00F84E3C">
        <w:rPr>
          <w:rFonts w:ascii="Arial" w:hAnsi="Arial" w:cs="Arial"/>
          <w:b/>
          <w:bCs/>
          <w:sz w:val="24"/>
          <w:szCs w:val="24"/>
        </w:rPr>
        <w:t xml:space="preserve">primero de los </w:t>
      </w:r>
      <w:r w:rsidR="00354BBD" w:rsidRPr="00F84E3C">
        <w:rPr>
          <w:rFonts w:ascii="Arial" w:hAnsi="Arial" w:cs="Arial"/>
          <w:b/>
          <w:bCs/>
          <w:sz w:val="24"/>
          <w:szCs w:val="24"/>
        </w:rPr>
        <w:t>juicio</w:t>
      </w:r>
      <w:r w:rsidR="007072A8" w:rsidRPr="00F84E3C">
        <w:rPr>
          <w:rFonts w:ascii="Arial" w:hAnsi="Arial" w:cs="Arial"/>
          <w:b/>
          <w:bCs/>
          <w:sz w:val="24"/>
          <w:szCs w:val="24"/>
        </w:rPr>
        <w:t>s</w:t>
      </w:r>
      <w:r w:rsidR="00354BBD" w:rsidRPr="00F84E3C">
        <w:rPr>
          <w:rFonts w:ascii="Arial" w:hAnsi="Arial" w:cs="Arial"/>
          <w:sz w:val="24"/>
          <w:szCs w:val="24"/>
        </w:rPr>
        <w:t xml:space="preserve"> </w:t>
      </w:r>
      <w:r w:rsidR="007072A8" w:rsidRPr="00F84E3C">
        <w:rPr>
          <w:rFonts w:ascii="Arial" w:hAnsi="Arial" w:cs="Arial"/>
          <w:bCs/>
          <w:sz w:val="24"/>
          <w:szCs w:val="24"/>
        </w:rPr>
        <w:t>(TEEG-JPDC/60/2020)</w:t>
      </w:r>
      <w:r w:rsidR="00354BBD" w:rsidRPr="00F84E3C">
        <w:rPr>
          <w:rFonts w:ascii="Arial" w:hAnsi="Arial" w:cs="Arial"/>
          <w:sz w:val="24"/>
          <w:szCs w:val="24"/>
        </w:rPr>
        <w:t>,</w:t>
      </w:r>
      <w:r w:rsidR="000B083B" w:rsidRPr="00F84E3C">
        <w:rPr>
          <w:rFonts w:ascii="Arial" w:hAnsi="Arial" w:cs="Arial"/>
          <w:sz w:val="24"/>
          <w:szCs w:val="24"/>
        </w:rPr>
        <w:t xml:space="preserve"> </w:t>
      </w:r>
      <w:r w:rsidR="000B083B" w:rsidRPr="00F84E3C">
        <w:rPr>
          <w:rFonts w:ascii="Arial" w:eastAsia="Calibri" w:hAnsi="Arial" w:cs="Arial"/>
          <w:bCs/>
          <w:sz w:val="24"/>
          <w:szCs w:val="24"/>
        </w:rPr>
        <w:t xml:space="preserve">al estimar, que en el diverso juicio </w:t>
      </w:r>
      <w:r w:rsidR="000B083B" w:rsidRPr="00F84E3C">
        <w:rPr>
          <w:rFonts w:ascii="Arial" w:hAnsi="Arial" w:cs="Arial"/>
          <w:bCs/>
          <w:sz w:val="24"/>
          <w:szCs w:val="24"/>
        </w:rPr>
        <w:t xml:space="preserve">JPDC/65/2020, </w:t>
      </w:r>
      <w:r w:rsidR="000B083B" w:rsidRPr="00F84E3C">
        <w:rPr>
          <w:rFonts w:ascii="Arial" w:eastAsia="Calibri" w:hAnsi="Arial" w:cs="Arial"/>
          <w:bCs/>
          <w:sz w:val="24"/>
          <w:szCs w:val="24"/>
        </w:rPr>
        <w:t xml:space="preserve">presentado por el mismo actor ante esa instancia, </w:t>
      </w:r>
      <w:r w:rsidR="002922B6" w:rsidRPr="00F84E3C">
        <w:rPr>
          <w:rFonts w:ascii="Arial" w:eastAsia="Calibri" w:hAnsi="Arial" w:cs="Arial"/>
          <w:bCs/>
          <w:sz w:val="24"/>
          <w:szCs w:val="24"/>
        </w:rPr>
        <w:t>donde se impugnaba la inactividad procesal de un medio partidista contra</w:t>
      </w:r>
      <w:r w:rsidR="000B083B" w:rsidRPr="00F84E3C">
        <w:rPr>
          <w:rFonts w:ascii="Arial" w:eastAsia="Calibri" w:hAnsi="Arial" w:cs="Arial"/>
          <w:bCs/>
          <w:sz w:val="24"/>
          <w:szCs w:val="24"/>
        </w:rPr>
        <w:t xml:space="preserve"> esa misma prórroga de la directiva partidista</w:t>
      </w:r>
      <w:r w:rsidR="000A64BE" w:rsidRPr="00F84E3C">
        <w:rPr>
          <w:rFonts w:ascii="Arial" w:eastAsia="Calibri" w:hAnsi="Arial" w:cs="Arial"/>
          <w:bCs/>
          <w:sz w:val="24"/>
          <w:szCs w:val="24"/>
        </w:rPr>
        <w:t xml:space="preserve"> y, por tanto, podría alcanzar su pretensión</w:t>
      </w:r>
      <w:r w:rsidR="006A0993" w:rsidRPr="00F84E3C">
        <w:rPr>
          <w:rStyle w:val="Refdenotaalpie"/>
          <w:rFonts w:ascii="Arial" w:hAnsi="Arial" w:cs="Arial"/>
          <w:sz w:val="24"/>
          <w:szCs w:val="24"/>
        </w:rPr>
        <w:footnoteReference w:id="8"/>
      </w:r>
      <w:r w:rsidR="00354BBD" w:rsidRPr="00F84E3C">
        <w:rPr>
          <w:rFonts w:ascii="Arial" w:hAnsi="Arial" w:cs="Arial"/>
          <w:sz w:val="24"/>
          <w:szCs w:val="24"/>
        </w:rPr>
        <w:t>.</w:t>
      </w:r>
    </w:p>
    <w:p w14:paraId="42EF979F" w14:textId="1D625CBA" w:rsidR="001C578C" w:rsidRDefault="001C578C" w:rsidP="006A0993">
      <w:pPr>
        <w:spacing w:after="0" w:line="240" w:lineRule="auto"/>
        <w:jc w:val="both"/>
        <w:rPr>
          <w:rFonts w:ascii="Arial" w:hAnsi="Arial" w:cs="Arial"/>
          <w:bCs/>
          <w:sz w:val="24"/>
          <w:szCs w:val="24"/>
        </w:rPr>
      </w:pPr>
    </w:p>
    <w:p w14:paraId="618BFA53" w14:textId="520F292E" w:rsidR="00B10AD9" w:rsidRDefault="00B10AD9" w:rsidP="006A0993">
      <w:pPr>
        <w:spacing w:after="0" w:line="240" w:lineRule="auto"/>
        <w:jc w:val="both"/>
        <w:rPr>
          <w:rFonts w:ascii="Arial" w:hAnsi="Arial" w:cs="Arial"/>
          <w:bCs/>
          <w:sz w:val="24"/>
          <w:szCs w:val="24"/>
        </w:rPr>
      </w:pPr>
    </w:p>
    <w:p w14:paraId="2AAB9A30" w14:textId="10416C03" w:rsidR="00B10AD9" w:rsidRDefault="00B10AD9" w:rsidP="006A0993">
      <w:pPr>
        <w:spacing w:after="0" w:line="240" w:lineRule="auto"/>
        <w:jc w:val="both"/>
        <w:rPr>
          <w:rFonts w:ascii="Arial" w:hAnsi="Arial" w:cs="Arial"/>
          <w:bCs/>
          <w:sz w:val="24"/>
          <w:szCs w:val="24"/>
        </w:rPr>
      </w:pPr>
    </w:p>
    <w:p w14:paraId="38D966C3" w14:textId="09A1FBCA" w:rsidR="00B10AD9" w:rsidRDefault="00B10AD9" w:rsidP="006A0993">
      <w:pPr>
        <w:spacing w:after="0" w:line="240" w:lineRule="auto"/>
        <w:jc w:val="both"/>
        <w:rPr>
          <w:rFonts w:ascii="Arial" w:hAnsi="Arial" w:cs="Arial"/>
          <w:bCs/>
          <w:sz w:val="24"/>
          <w:szCs w:val="24"/>
        </w:rPr>
      </w:pPr>
    </w:p>
    <w:p w14:paraId="26453ABE" w14:textId="061DD5FF" w:rsidR="00B10AD9" w:rsidRDefault="00B10AD9" w:rsidP="006A0993">
      <w:pPr>
        <w:spacing w:after="0" w:line="240" w:lineRule="auto"/>
        <w:jc w:val="both"/>
        <w:rPr>
          <w:rFonts w:ascii="Arial" w:hAnsi="Arial" w:cs="Arial"/>
          <w:bCs/>
          <w:sz w:val="24"/>
          <w:szCs w:val="24"/>
        </w:rPr>
      </w:pPr>
    </w:p>
    <w:p w14:paraId="271DC03F" w14:textId="77777777" w:rsidR="00EE69B7" w:rsidRPr="00F84E3C" w:rsidRDefault="00EE69B7" w:rsidP="00EE69B7">
      <w:pPr>
        <w:pStyle w:val="Prrafodelista"/>
        <w:spacing w:after="0" w:line="240" w:lineRule="auto"/>
        <w:ind w:left="0"/>
        <w:contextualSpacing w:val="0"/>
        <w:jc w:val="both"/>
        <w:rPr>
          <w:rFonts w:ascii="Arial" w:hAnsi="Arial" w:cs="Arial"/>
          <w:b/>
          <w:bCs/>
          <w:sz w:val="24"/>
          <w:szCs w:val="24"/>
        </w:rPr>
      </w:pPr>
      <w:bookmarkStart w:id="12" w:name="_Hlk14385223"/>
      <w:r w:rsidRPr="00F84E3C">
        <w:rPr>
          <w:rFonts w:ascii="Arial" w:hAnsi="Arial" w:cs="Arial"/>
          <w:b/>
          <w:bCs/>
          <w:sz w:val="24"/>
          <w:szCs w:val="24"/>
        </w:rPr>
        <w:lastRenderedPageBreak/>
        <w:t>III. Juicio ciudadano constitucional</w:t>
      </w:r>
    </w:p>
    <w:p w14:paraId="3B64F0F3" w14:textId="77777777" w:rsidR="00EE69B7" w:rsidRPr="00F84E3C" w:rsidRDefault="00EE69B7" w:rsidP="00EE69B7">
      <w:pPr>
        <w:spacing w:after="0" w:line="240" w:lineRule="auto"/>
        <w:jc w:val="both"/>
        <w:rPr>
          <w:rFonts w:ascii="Arial" w:hAnsi="Arial" w:cs="Arial"/>
          <w:b/>
          <w:sz w:val="24"/>
          <w:szCs w:val="24"/>
        </w:rPr>
      </w:pPr>
    </w:p>
    <w:p w14:paraId="2A7C7FBB" w14:textId="77777777" w:rsidR="00C71A3F" w:rsidRPr="00F84E3C" w:rsidRDefault="00EE69B7" w:rsidP="00A05973">
      <w:pPr>
        <w:spacing w:after="0" w:line="360" w:lineRule="auto"/>
        <w:jc w:val="both"/>
        <w:rPr>
          <w:rFonts w:ascii="Arial" w:hAnsi="Arial" w:cs="Arial"/>
          <w:sz w:val="24"/>
          <w:szCs w:val="24"/>
        </w:rPr>
      </w:pPr>
      <w:r w:rsidRPr="00F84E3C">
        <w:rPr>
          <w:rFonts w:ascii="Arial" w:hAnsi="Arial" w:cs="Arial"/>
          <w:b/>
          <w:sz w:val="24"/>
          <w:szCs w:val="24"/>
        </w:rPr>
        <w:t xml:space="preserve">1. </w:t>
      </w:r>
      <w:bookmarkEnd w:id="12"/>
      <w:r w:rsidR="00CF296F" w:rsidRPr="00F84E3C">
        <w:rPr>
          <w:rFonts w:ascii="Arial" w:hAnsi="Arial" w:cs="Arial"/>
          <w:bCs/>
          <w:sz w:val="24"/>
          <w:szCs w:val="24"/>
        </w:rPr>
        <w:t>Inconforme</w:t>
      </w:r>
      <w:r w:rsidR="00CF296F" w:rsidRPr="00F84E3C">
        <w:rPr>
          <w:rFonts w:ascii="Arial" w:hAnsi="Arial" w:cs="Arial"/>
          <w:b/>
          <w:sz w:val="24"/>
          <w:szCs w:val="24"/>
        </w:rPr>
        <w:t xml:space="preserve">, </w:t>
      </w:r>
      <w:r w:rsidR="00CF296F" w:rsidRPr="00F84E3C">
        <w:rPr>
          <w:rFonts w:ascii="Arial" w:hAnsi="Arial" w:cs="Arial"/>
          <w:sz w:val="24"/>
          <w:szCs w:val="24"/>
        </w:rPr>
        <w:t xml:space="preserve">el 24 de diciembre, </w:t>
      </w:r>
      <w:r w:rsidR="00CF296F" w:rsidRPr="00F84E3C">
        <w:rPr>
          <w:rFonts w:ascii="Arial" w:hAnsi="Arial" w:cs="Arial"/>
          <w:b/>
          <w:bCs/>
          <w:sz w:val="24"/>
          <w:szCs w:val="24"/>
        </w:rPr>
        <w:t>Armando de la Cruz, presentó juicio ciudadano constitucional</w:t>
      </w:r>
      <w:r w:rsidR="00AD75F2" w:rsidRPr="00F84E3C">
        <w:rPr>
          <w:rFonts w:ascii="Arial" w:hAnsi="Arial" w:cs="Arial"/>
          <w:sz w:val="24"/>
          <w:szCs w:val="24"/>
        </w:rPr>
        <w:t xml:space="preserve"> en el que plantea, esencialmente,</w:t>
      </w:r>
      <w:r w:rsidR="00CF296F" w:rsidRPr="00F84E3C">
        <w:rPr>
          <w:rFonts w:ascii="Arial" w:hAnsi="Arial" w:cs="Arial"/>
          <w:sz w:val="24"/>
          <w:szCs w:val="24"/>
        </w:rPr>
        <w:t xml:space="preserve"> que</w:t>
      </w:r>
      <w:r w:rsidR="00A05973" w:rsidRPr="00F84E3C">
        <w:rPr>
          <w:rFonts w:ascii="Arial" w:hAnsi="Arial" w:cs="Arial"/>
          <w:sz w:val="24"/>
          <w:szCs w:val="24"/>
        </w:rPr>
        <w:t xml:space="preserve"> el </w:t>
      </w:r>
      <w:r w:rsidR="00AD75F2" w:rsidRPr="00F84E3C">
        <w:rPr>
          <w:rFonts w:ascii="Arial" w:hAnsi="Arial" w:cs="Arial"/>
          <w:sz w:val="24"/>
          <w:szCs w:val="24"/>
        </w:rPr>
        <w:t>T</w:t>
      </w:r>
      <w:r w:rsidR="00A05973" w:rsidRPr="00F84E3C">
        <w:rPr>
          <w:rFonts w:ascii="Arial" w:hAnsi="Arial" w:cs="Arial"/>
          <w:sz w:val="24"/>
          <w:szCs w:val="24"/>
        </w:rPr>
        <w:t xml:space="preserve">ribunal </w:t>
      </w:r>
      <w:r w:rsidR="00AD75F2" w:rsidRPr="00F84E3C">
        <w:rPr>
          <w:rFonts w:ascii="Arial" w:hAnsi="Arial" w:cs="Arial"/>
          <w:sz w:val="24"/>
          <w:szCs w:val="24"/>
        </w:rPr>
        <w:t>L</w:t>
      </w:r>
      <w:r w:rsidR="00A05973" w:rsidRPr="00F84E3C">
        <w:rPr>
          <w:rFonts w:ascii="Arial" w:hAnsi="Arial" w:cs="Arial"/>
          <w:sz w:val="24"/>
          <w:szCs w:val="24"/>
        </w:rPr>
        <w:t>ocal no debió desechar el medio de impugnación que nos ocupa, sino que debió acumularlo al diverso que tenía en instrucción.</w:t>
      </w:r>
    </w:p>
    <w:p w14:paraId="053D0087" w14:textId="77777777" w:rsidR="00A05973" w:rsidRPr="00F84E3C" w:rsidRDefault="00A05973" w:rsidP="00AD75F2">
      <w:pPr>
        <w:spacing w:after="0" w:line="240" w:lineRule="auto"/>
        <w:jc w:val="both"/>
        <w:rPr>
          <w:rFonts w:ascii="Arial" w:hAnsi="Arial" w:cs="Arial"/>
          <w:sz w:val="24"/>
          <w:szCs w:val="24"/>
          <w:u w:val="single"/>
          <w:shd w:val="clear" w:color="auto" w:fill="FFFFFF"/>
        </w:rPr>
      </w:pPr>
    </w:p>
    <w:p w14:paraId="1049FB7C" w14:textId="77777777" w:rsidR="00EE69B7" w:rsidRPr="00F84E3C" w:rsidRDefault="00C71A3F" w:rsidP="00EE69B7">
      <w:pPr>
        <w:spacing w:after="0" w:line="360" w:lineRule="auto"/>
        <w:jc w:val="both"/>
        <w:rPr>
          <w:rFonts w:ascii="Arial" w:hAnsi="Arial" w:cs="Arial"/>
          <w:sz w:val="24"/>
          <w:szCs w:val="24"/>
          <w:shd w:val="clear" w:color="auto" w:fill="FFFFFF"/>
        </w:rPr>
      </w:pPr>
      <w:r w:rsidRPr="00F84E3C">
        <w:rPr>
          <w:rFonts w:ascii="Arial" w:hAnsi="Arial" w:cs="Arial"/>
          <w:b/>
          <w:bCs/>
          <w:sz w:val="24"/>
          <w:szCs w:val="24"/>
          <w:lang w:val="es-ES_tradnl"/>
        </w:rPr>
        <w:t>2</w:t>
      </w:r>
      <w:r w:rsidR="00EE69B7" w:rsidRPr="00F84E3C">
        <w:rPr>
          <w:rFonts w:ascii="Arial" w:hAnsi="Arial" w:cs="Arial"/>
          <w:b/>
          <w:bCs/>
          <w:sz w:val="24"/>
          <w:szCs w:val="24"/>
          <w:lang w:val="es-ES_tradnl"/>
        </w:rPr>
        <w:t xml:space="preserve">. Radicación, admisión y cierre de instrucción. </w:t>
      </w:r>
      <w:r w:rsidR="00EE69B7" w:rsidRPr="00F84E3C">
        <w:rPr>
          <w:rFonts w:ascii="Arial" w:hAnsi="Arial" w:cs="Arial"/>
          <w:sz w:val="24"/>
          <w:szCs w:val="24"/>
          <w:lang w:val="es-ES_tradnl"/>
        </w:rPr>
        <w:t>En su oportunidad, el Magistrado instructor radicó el expediente, admitió la demanda y, al encontrarse debidamente integrado, declaró cerrada la instrucción.</w:t>
      </w:r>
    </w:p>
    <w:p w14:paraId="01417F9E" w14:textId="77777777" w:rsidR="00EE69B7" w:rsidRPr="00F84E3C" w:rsidRDefault="00EE69B7" w:rsidP="006C6C8B">
      <w:pPr>
        <w:spacing w:after="0" w:line="240" w:lineRule="auto"/>
        <w:jc w:val="both"/>
        <w:rPr>
          <w:rFonts w:ascii="Arial" w:hAnsi="Arial" w:cs="Arial"/>
          <w:sz w:val="24"/>
          <w:szCs w:val="24"/>
        </w:rPr>
      </w:pPr>
    </w:p>
    <w:p w14:paraId="48C99362" w14:textId="77777777" w:rsidR="00EE69B7" w:rsidRPr="00F84E3C" w:rsidRDefault="00EE69B7" w:rsidP="006C6C8B">
      <w:pPr>
        <w:pStyle w:val="Ttulo1"/>
        <w:spacing w:before="0" w:beforeAutospacing="0" w:after="0" w:afterAutospacing="0" w:line="240" w:lineRule="auto"/>
        <w:jc w:val="center"/>
        <w:rPr>
          <w:rFonts w:cs="Arial"/>
          <w:szCs w:val="24"/>
        </w:rPr>
      </w:pPr>
      <w:bookmarkStart w:id="13" w:name="_Toc12040320"/>
      <w:bookmarkStart w:id="14" w:name="_Toc13662331"/>
      <w:bookmarkStart w:id="15" w:name="_Toc61560513"/>
      <w:r w:rsidRPr="00F84E3C">
        <w:rPr>
          <w:rFonts w:cs="Arial"/>
          <w:caps w:val="0"/>
          <w:szCs w:val="24"/>
        </w:rPr>
        <w:t>Competencia</w:t>
      </w:r>
      <w:r w:rsidR="004D4515" w:rsidRPr="00F84E3C">
        <w:rPr>
          <w:rFonts w:cs="Arial"/>
          <w:caps w:val="0"/>
          <w:szCs w:val="24"/>
        </w:rPr>
        <w:t xml:space="preserve">, </w:t>
      </w:r>
      <w:r w:rsidR="008675FC" w:rsidRPr="00F84E3C">
        <w:rPr>
          <w:rFonts w:cs="Arial"/>
          <w:caps w:val="0"/>
          <w:szCs w:val="24"/>
        </w:rPr>
        <w:t xml:space="preserve">causal de improcedencia y </w:t>
      </w:r>
      <w:r w:rsidRPr="00F84E3C">
        <w:rPr>
          <w:rFonts w:cs="Arial"/>
          <w:caps w:val="0"/>
          <w:szCs w:val="24"/>
        </w:rPr>
        <w:t>procedencia</w:t>
      </w:r>
      <w:bookmarkEnd w:id="13"/>
      <w:bookmarkEnd w:id="14"/>
      <w:bookmarkEnd w:id="15"/>
      <w:r w:rsidR="004D4515" w:rsidRPr="00F84E3C">
        <w:rPr>
          <w:rFonts w:cs="Arial"/>
          <w:caps w:val="0"/>
          <w:szCs w:val="24"/>
        </w:rPr>
        <w:t xml:space="preserve"> </w:t>
      </w:r>
    </w:p>
    <w:p w14:paraId="7827FF46" w14:textId="77777777" w:rsidR="00EE69B7" w:rsidRPr="00F84E3C" w:rsidRDefault="00EE69B7" w:rsidP="006C6C8B">
      <w:pPr>
        <w:spacing w:after="0" w:line="240" w:lineRule="auto"/>
        <w:rPr>
          <w:rFonts w:ascii="Arial" w:hAnsi="Arial" w:cs="Arial"/>
          <w:sz w:val="24"/>
          <w:szCs w:val="24"/>
        </w:rPr>
      </w:pPr>
    </w:p>
    <w:p w14:paraId="31792295" w14:textId="55A676FD" w:rsidR="00A05973" w:rsidRPr="00F84E3C" w:rsidRDefault="00EE69B7" w:rsidP="00EE69B7">
      <w:pPr>
        <w:pStyle w:val="Prrafodelista"/>
        <w:spacing w:after="0" w:line="360" w:lineRule="auto"/>
        <w:ind w:left="0"/>
        <w:jc w:val="both"/>
        <w:rPr>
          <w:rFonts w:ascii="Arial" w:hAnsi="Arial" w:cs="Arial"/>
          <w:bCs/>
          <w:sz w:val="24"/>
          <w:szCs w:val="24"/>
        </w:rPr>
      </w:pPr>
      <w:r w:rsidRPr="00F84E3C">
        <w:rPr>
          <w:rFonts w:ascii="Arial" w:hAnsi="Arial" w:cs="Arial"/>
          <w:b/>
          <w:sz w:val="24"/>
          <w:szCs w:val="24"/>
        </w:rPr>
        <w:t>I. Competencia.</w:t>
      </w:r>
      <w:r w:rsidRPr="00F84E3C">
        <w:rPr>
          <w:rFonts w:ascii="Arial" w:hAnsi="Arial" w:cs="Arial"/>
          <w:sz w:val="24"/>
          <w:szCs w:val="24"/>
        </w:rPr>
        <w:t xml:space="preserve"> </w:t>
      </w:r>
      <w:r w:rsidRPr="00F84E3C">
        <w:rPr>
          <w:rStyle w:val="FontStyle19"/>
          <w:lang w:eastAsia="es-ES_tradnl"/>
        </w:rPr>
        <w:t xml:space="preserve">Esta Sala Regional Monterrey </w:t>
      </w:r>
      <w:r w:rsidRPr="00F84E3C">
        <w:rPr>
          <w:rFonts w:ascii="Arial" w:hAnsi="Arial" w:cs="Arial"/>
          <w:b/>
          <w:sz w:val="24"/>
          <w:szCs w:val="24"/>
        </w:rPr>
        <w:t>es competente</w:t>
      </w:r>
      <w:r w:rsidRPr="00F84E3C">
        <w:rPr>
          <w:rFonts w:ascii="Arial" w:hAnsi="Arial" w:cs="Arial"/>
          <w:sz w:val="24"/>
          <w:szCs w:val="24"/>
        </w:rPr>
        <w:t xml:space="preserve"> para resolver e</w:t>
      </w:r>
      <w:r w:rsidRPr="00F84E3C">
        <w:rPr>
          <w:rFonts w:ascii="Arial" w:hAnsi="Arial" w:cs="Arial"/>
          <w:bCs/>
          <w:sz w:val="24"/>
          <w:szCs w:val="24"/>
        </w:rPr>
        <w:t>l presente asunto,</w:t>
      </w:r>
      <w:r w:rsidRPr="00F84E3C">
        <w:rPr>
          <w:rFonts w:ascii="Arial" w:hAnsi="Arial" w:cs="Arial"/>
          <w:sz w:val="24"/>
          <w:szCs w:val="24"/>
        </w:rPr>
        <w:t xml:space="preserve"> </w:t>
      </w:r>
      <w:r w:rsidRPr="00F84E3C">
        <w:rPr>
          <w:rFonts w:ascii="Arial" w:hAnsi="Arial" w:cs="Arial"/>
          <w:bCs/>
          <w:sz w:val="24"/>
          <w:szCs w:val="24"/>
        </w:rPr>
        <w:t xml:space="preserve">porque se trata de un juicio para la protección de los derechos políticos-electorales del ciudadano, promovido contra </w:t>
      </w:r>
      <w:r w:rsidR="00A05973" w:rsidRPr="00F84E3C">
        <w:rPr>
          <w:rFonts w:ascii="Arial" w:hAnsi="Arial" w:cs="Arial"/>
          <w:bCs/>
          <w:sz w:val="24"/>
          <w:szCs w:val="24"/>
        </w:rPr>
        <w:t xml:space="preserve">la Sentencia que sobreseyó un medio de impugnación emitida por el </w:t>
      </w:r>
      <w:r w:rsidRPr="00F84E3C">
        <w:rPr>
          <w:rFonts w:ascii="Arial" w:hAnsi="Arial" w:cs="Arial"/>
          <w:bCs/>
          <w:sz w:val="24"/>
          <w:szCs w:val="24"/>
        </w:rPr>
        <w:t>Tribunal Electoral de</w:t>
      </w:r>
      <w:r w:rsidR="00A05973" w:rsidRPr="00F84E3C">
        <w:rPr>
          <w:rFonts w:ascii="Arial" w:hAnsi="Arial" w:cs="Arial"/>
          <w:bCs/>
          <w:sz w:val="24"/>
          <w:szCs w:val="24"/>
        </w:rPr>
        <w:t xml:space="preserve"> Guanajuato</w:t>
      </w:r>
      <w:r w:rsidR="00AE5E27" w:rsidRPr="00F84E3C">
        <w:rPr>
          <w:rFonts w:ascii="Arial" w:hAnsi="Arial" w:cs="Arial"/>
          <w:bCs/>
          <w:sz w:val="24"/>
          <w:szCs w:val="24"/>
        </w:rPr>
        <w:t>,</w:t>
      </w:r>
      <w:r w:rsidR="00A05973" w:rsidRPr="00F84E3C">
        <w:rPr>
          <w:rFonts w:ascii="Arial" w:hAnsi="Arial" w:cs="Arial"/>
          <w:bCs/>
          <w:sz w:val="24"/>
          <w:szCs w:val="24"/>
        </w:rPr>
        <w:t xml:space="preserve"> entidad que pertenece a la </w:t>
      </w:r>
      <w:r w:rsidRPr="00F84E3C">
        <w:rPr>
          <w:rFonts w:ascii="Arial" w:hAnsi="Arial" w:cs="Arial"/>
          <w:bCs/>
          <w:sz w:val="24"/>
          <w:szCs w:val="24"/>
        </w:rPr>
        <w:t>Segunda Circunscripción Plurinominal,</w:t>
      </w:r>
      <w:r w:rsidR="00A05973" w:rsidRPr="00F84E3C">
        <w:rPr>
          <w:rFonts w:ascii="Arial" w:hAnsi="Arial" w:cs="Arial"/>
          <w:bCs/>
          <w:sz w:val="24"/>
          <w:szCs w:val="24"/>
        </w:rPr>
        <w:t xml:space="preserve"> en la que esta Sala Regional </w:t>
      </w:r>
      <w:r w:rsidR="00EA1E08" w:rsidRPr="00F84E3C">
        <w:rPr>
          <w:rFonts w:ascii="Arial" w:hAnsi="Arial" w:cs="Arial"/>
          <w:bCs/>
          <w:sz w:val="24"/>
          <w:szCs w:val="24"/>
        </w:rPr>
        <w:t>e</w:t>
      </w:r>
      <w:r w:rsidR="00A05973" w:rsidRPr="00F84E3C">
        <w:rPr>
          <w:rFonts w:ascii="Arial" w:hAnsi="Arial" w:cs="Arial"/>
          <w:bCs/>
          <w:sz w:val="24"/>
          <w:szCs w:val="24"/>
        </w:rPr>
        <w:t xml:space="preserve">jerce su </w:t>
      </w:r>
      <w:r w:rsidR="00EA1E08" w:rsidRPr="00F84E3C">
        <w:rPr>
          <w:rFonts w:ascii="Arial" w:hAnsi="Arial" w:cs="Arial"/>
          <w:bCs/>
          <w:sz w:val="24"/>
          <w:szCs w:val="24"/>
        </w:rPr>
        <w:t>j</w:t>
      </w:r>
      <w:r w:rsidR="00A05973" w:rsidRPr="00F84E3C">
        <w:rPr>
          <w:rFonts w:ascii="Arial" w:hAnsi="Arial" w:cs="Arial"/>
          <w:bCs/>
          <w:sz w:val="24"/>
          <w:szCs w:val="24"/>
        </w:rPr>
        <w:t>urisdicción.</w:t>
      </w:r>
    </w:p>
    <w:p w14:paraId="0F30753D" w14:textId="77777777" w:rsidR="00FC2313" w:rsidRPr="00F84E3C" w:rsidRDefault="00FC2313" w:rsidP="00EE69B7">
      <w:pPr>
        <w:pStyle w:val="Prrafodelista"/>
        <w:spacing w:after="0" w:line="360" w:lineRule="auto"/>
        <w:ind w:left="0"/>
        <w:jc w:val="both"/>
        <w:rPr>
          <w:rFonts w:ascii="Arial" w:hAnsi="Arial" w:cs="Arial"/>
          <w:bCs/>
          <w:sz w:val="24"/>
          <w:szCs w:val="24"/>
        </w:rPr>
      </w:pPr>
    </w:p>
    <w:p w14:paraId="510E6719" w14:textId="77777777" w:rsidR="008675FC" w:rsidRPr="00F84E3C" w:rsidRDefault="00A05973" w:rsidP="006D32FE">
      <w:pPr>
        <w:pStyle w:val="Prrafodelista"/>
        <w:spacing w:after="0" w:line="360" w:lineRule="auto"/>
        <w:ind w:left="0"/>
        <w:jc w:val="both"/>
        <w:rPr>
          <w:rFonts w:ascii="Arial" w:hAnsi="Arial" w:cs="Arial"/>
          <w:sz w:val="24"/>
          <w:szCs w:val="24"/>
        </w:rPr>
      </w:pPr>
      <w:r w:rsidRPr="00F84E3C">
        <w:rPr>
          <w:rFonts w:ascii="Arial" w:hAnsi="Arial" w:cs="Arial"/>
          <w:bCs/>
          <w:sz w:val="24"/>
          <w:szCs w:val="24"/>
        </w:rPr>
        <w:t xml:space="preserve"> </w:t>
      </w:r>
      <w:r w:rsidR="00EE69B7" w:rsidRPr="00F84E3C">
        <w:rPr>
          <w:rFonts w:ascii="Arial" w:hAnsi="Arial" w:cs="Arial"/>
          <w:b/>
          <w:sz w:val="24"/>
          <w:szCs w:val="24"/>
        </w:rPr>
        <w:t xml:space="preserve">II. </w:t>
      </w:r>
      <w:r w:rsidR="008675FC" w:rsidRPr="00F84E3C">
        <w:rPr>
          <w:rFonts w:ascii="Arial" w:hAnsi="Arial" w:cs="Arial"/>
          <w:b/>
          <w:sz w:val="24"/>
          <w:szCs w:val="24"/>
        </w:rPr>
        <w:t xml:space="preserve">Causal de improcedencia. </w:t>
      </w:r>
      <w:r w:rsidR="008675FC" w:rsidRPr="00F84E3C">
        <w:rPr>
          <w:rFonts w:ascii="Arial" w:hAnsi="Arial" w:cs="Arial"/>
          <w:sz w:val="24"/>
          <w:szCs w:val="24"/>
        </w:rPr>
        <w:t>La autoridad responsable al rendir su informe circunstanciado, señaló que la presentación del medio es extemporánea</w:t>
      </w:r>
      <w:r w:rsidR="0063713C" w:rsidRPr="00F84E3C">
        <w:rPr>
          <w:rFonts w:ascii="Arial" w:hAnsi="Arial" w:cs="Arial"/>
          <w:sz w:val="24"/>
          <w:szCs w:val="24"/>
        </w:rPr>
        <w:t xml:space="preserve">, </w:t>
      </w:r>
      <w:r w:rsidR="008675FC" w:rsidRPr="00F84E3C">
        <w:rPr>
          <w:rFonts w:ascii="Arial" w:hAnsi="Arial" w:cs="Arial"/>
          <w:sz w:val="24"/>
          <w:szCs w:val="24"/>
        </w:rPr>
        <w:t xml:space="preserve">porque </w:t>
      </w:r>
      <w:r w:rsidR="00850085" w:rsidRPr="00F84E3C">
        <w:rPr>
          <w:rFonts w:ascii="Arial" w:hAnsi="Arial" w:cs="Arial"/>
          <w:sz w:val="24"/>
          <w:szCs w:val="24"/>
        </w:rPr>
        <w:t>la resolución se emitió el 18 de diciembre y se notificó en la misma fecha, por lo que, el plazo para promover el medio de impugnación corrió del 19 al 22, por tanto</w:t>
      </w:r>
      <w:r w:rsidR="007B7E3C" w:rsidRPr="00F84E3C">
        <w:rPr>
          <w:rFonts w:ascii="Arial" w:hAnsi="Arial" w:cs="Arial"/>
          <w:sz w:val="24"/>
          <w:szCs w:val="24"/>
        </w:rPr>
        <w:t>,</w:t>
      </w:r>
      <w:r w:rsidR="00850085" w:rsidRPr="00F84E3C">
        <w:rPr>
          <w:rFonts w:ascii="Arial" w:hAnsi="Arial" w:cs="Arial"/>
          <w:sz w:val="24"/>
          <w:szCs w:val="24"/>
        </w:rPr>
        <w:t xml:space="preserve"> si </w:t>
      </w:r>
      <w:r w:rsidR="007B7E3C" w:rsidRPr="00F84E3C">
        <w:rPr>
          <w:rFonts w:ascii="Arial" w:hAnsi="Arial" w:cs="Arial"/>
          <w:sz w:val="24"/>
          <w:szCs w:val="24"/>
        </w:rPr>
        <w:t xml:space="preserve">el medio se promovió </w:t>
      </w:r>
      <w:r w:rsidR="00850085" w:rsidRPr="00F84E3C">
        <w:rPr>
          <w:rFonts w:ascii="Arial" w:hAnsi="Arial" w:cs="Arial"/>
          <w:sz w:val="24"/>
          <w:szCs w:val="24"/>
        </w:rPr>
        <w:t>hasta el 24</w:t>
      </w:r>
      <w:r w:rsidR="007B7E3C" w:rsidRPr="00F84E3C">
        <w:rPr>
          <w:rFonts w:ascii="Arial" w:hAnsi="Arial" w:cs="Arial"/>
          <w:sz w:val="24"/>
          <w:szCs w:val="24"/>
        </w:rPr>
        <w:t>, está</w:t>
      </w:r>
      <w:r w:rsidR="00850085" w:rsidRPr="00F84E3C">
        <w:rPr>
          <w:rFonts w:ascii="Arial" w:hAnsi="Arial" w:cs="Arial"/>
          <w:sz w:val="24"/>
          <w:szCs w:val="24"/>
        </w:rPr>
        <w:t xml:space="preserve"> fuera de tiempo, tomando en cuenta que su promoción </w:t>
      </w:r>
      <w:r w:rsidR="008675FC" w:rsidRPr="00F84E3C">
        <w:rPr>
          <w:rFonts w:ascii="Arial" w:hAnsi="Arial" w:cs="Arial"/>
          <w:sz w:val="24"/>
          <w:szCs w:val="24"/>
        </w:rPr>
        <w:t xml:space="preserve">se dio </w:t>
      </w:r>
      <w:r w:rsidR="00850085" w:rsidRPr="00F84E3C">
        <w:rPr>
          <w:rFonts w:ascii="Arial" w:hAnsi="Arial" w:cs="Arial"/>
          <w:sz w:val="24"/>
          <w:szCs w:val="24"/>
        </w:rPr>
        <w:t xml:space="preserve">una </w:t>
      </w:r>
      <w:r w:rsidR="008675FC" w:rsidRPr="00F84E3C">
        <w:rPr>
          <w:rFonts w:ascii="Arial" w:hAnsi="Arial" w:cs="Arial"/>
          <w:sz w:val="24"/>
          <w:szCs w:val="24"/>
        </w:rPr>
        <w:t>vez iniciado el proceso electoral 2020-2021, por lo que se deben considerar todos los días y horas como hábiles</w:t>
      </w:r>
      <w:r w:rsidR="00850085" w:rsidRPr="00F84E3C">
        <w:rPr>
          <w:rFonts w:ascii="Arial" w:hAnsi="Arial" w:cs="Arial"/>
          <w:sz w:val="24"/>
          <w:szCs w:val="24"/>
        </w:rPr>
        <w:t>.</w:t>
      </w:r>
      <w:r w:rsidR="008675FC" w:rsidRPr="00F84E3C">
        <w:rPr>
          <w:rFonts w:ascii="Arial" w:hAnsi="Arial" w:cs="Arial"/>
          <w:sz w:val="24"/>
          <w:szCs w:val="24"/>
        </w:rPr>
        <w:t xml:space="preserve"> </w:t>
      </w:r>
    </w:p>
    <w:p w14:paraId="3095FDEE" w14:textId="77777777" w:rsidR="008675FC" w:rsidRPr="00F84E3C" w:rsidRDefault="008675FC" w:rsidP="0096631F">
      <w:pPr>
        <w:spacing w:after="0" w:line="240" w:lineRule="auto"/>
        <w:jc w:val="both"/>
        <w:rPr>
          <w:rFonts w:ascii="Arial" w:hAnsi="Arial" w:cs="Arial"/>
          <w:sz w:val="24"/>
          <w:szCs w:val="24"/>
        </w:rPr>
      </w:pPr>
    </w:p>
    <w:p w14:paraId="5B9328B5" w14:textId="3C8480FE" w:rsidR="000F51B2" w:rsidRPr="00F84E3C" w:rsidRDefault="008675FC" w:rsidP="000F51B2">
      <w:pPr>
        <w:spacing w:after="0" w:line="360" w:lineRule="auto"/>
        <w:jc w:val="both"/>
        <w:rPr>
          <w:rFonts w:ascii="Arial" w:hAnsi="Arial" w:cs="Arial"/>
          <w:sz w:val="24"/>
          <w:szCs w:val="24"/>
        </w:rPr>
      </w:pPr>
      <w:r w:rsidRPr="00F84E3C">
        <w:rPr>
          <w:rFonts w:ascii="Arial" w:hAnsi="Arial" w:cs="Arial"/>
          <w:b/>
          <w:sz w:val="24"/>
          <w:szCs w:val="24"/>
        </w:rPr>
        <w:t>No le asiste la razón</w:t>
      </w:r>
      <w:r w:rsidRPr="00F84E3C">
        <w:rPr>
          <w:rFonts w:ascii="Arial" w:hAnsi="Arial" w:cs="Arial"/>
          <w:sz w:val="24"/>
          <w:szCs w:val="24"/>
        </w:rPr>
        <w:t>, porque</w:t>
      </w:r>
      <w:r w:rsidR="00C866E8" w:rsidRPr="00F84E3C">
        <w:rPr>
          <w:rFonts w:ascii="Arial" w:hAnsi="Arial" w:cs="Arial"/>
          <w:sz w:val="24"/>
          <w:szCs w:val="24"/>
        </w:rPr>
        <w:t xml:space="preserve"> si bien </w:t>
      </w:r>
      <w:r w:rsidR="008E2708" w:rsidRPr="00F84E3C">
        <w:rPr>
          <w:rFonts w:ascii="Arial" w:hAnsi="Arial" w:cs="Arial"/>
          <w:sz w:val="24"/>
          <w:szCs w:val="24"/>
        </w:rPr>
        <w:t xml:space="preserve">la </w:t>
      </w:r>
      <w:r w:rsidR="00FC73EB" w:rsidRPr="00F84E3C">
        <w:rPr>
          <w:rFonts w:ascii="Arial" w:hAnsi="Arial" w:cs="Arial"/>
          <w:sz w:val="24"/>
          <w:szCs w:val="24"/>
        </w:rPr>
        <w:t xml:space="preserve">controversia </w:t>
      </w:r>
      <w:r w:rsidR="000F51B2" w:rsidRPr="00F84E3C">
        <w:rPr>
          <w:rFonts w:ascii="Arial" w:hAnsi="Arial" w:cs="Arial"/>
          <w:sz w:val="24"/>
          <w:szCs w:val="24"/>
        </w:rPr>
        <w:t xml:space="preserve">a resolver </w:t>
      </w:r>
      <w:r w:rsidR="00FC73EB" w:rsidRPr="00F84E3C">
        <w:rPr>
          <w:rFonts w:ascii="Arial" w:hAnsi="Arial" w:cs="Arial"/>
          <w:sz w:val="24"/>
          <w:szCs w:val="24"/>
        </w:rPr>
        <w:t xml:space="preserve">actualmente </w:t>
      </w:r>
      <w:r w:rsidR="000F51B2" w:rsidRPr="00F84E3C">
        <w:rPr>
          <w:rFonts w:ascii="Arial" w:hAnsi="Arial" w:cs="Arial"/>
          <w:sz w:val="24"/>
          <w:szCs w:val="24"/>
        </w:rPr>
        <w:t xml:space="preserve">es </w:t>
      </w:r>
      <w:r w:rsidR="00C866E8" w:rsidRPr="00F84E3C">
        <w:rPr>
          <w:rFonts w:ascii="Arial" w:hAnsi="Arial" w:cs="Arial"/>
          <w:sz w:val="24"/>
          <w:szCs w:val="24"/>
        </w:rPr>
        <w:t>si un juicio local se sobreseyó debidamente</w:t>
      </w:r>
      <w:r w:rsidR="000F51B2" w:rsidRPr="00F84E3C">
        <w:rPr>
          <w:rFonts w:ascii="Arial" w:hAnsi="Arial" w:cs="Arial"/>
          <w:sz w:val="24"/>
          <w:szCs w:val="24"/>
        </w:rPr>
        <w:t xml:space="preserve"> y </w:t>
      </w:r>
      <w:r w:rsidR="00F70B21" w:rsidRPr="00F84E3C">
        <w:rPr>
          <w:rFonts w:ascii="Arial" w:hAnsi="Arial" w:cs="Arial"/>
          <w:sz w:val="24"/>
          <w:szCs w:val="24"/>
        </w:rPr>
        <w:t xml:space="preserve">finalmente </w:t>
      </w:r>
      <w:r w:rsidR="00023A94" w:rsidRPr="00F84E3C">
        <w:rPr>
          <w:rFonts w:ascii="Arial" w:hAnsi="Arial" w:cs="Arial"/>
          <w:sz w:val="24"/>
          <w:szCs w:val="24"/>
        </w:rPr>
        <w:t xml:space="preserve">en esta cadena impugnativa </w:t>
      </w:r>
      <w:r w:rsidR="001C4294" w:rsidRPr="00F84E3C">
        <w:rPr>
          <w:rFonts w:ascii="Arial" w:hAnsi="Arial" w:cs="Arial"/>
          <w:sz w:val="24"/>
          <w:szCs w:val="24"/>
        </w:rPr>
        <w:t xml:space="preserve">se resolverá sobre </w:t>
      </w:r>
      <w:r w:rsidR="000F51B2" w:rsidRPr="00F84E3C">
        <w:rPr>
          <w:rFonts w:ascii="Arial" w:hAnsi="Arial" w:cs="Arial"/>
          <w:sz w:val="24"/>
          <w:szCs w:val="24"/>
        </w:rPr>
        <w:t>la validez o no de un acto de prórroga y sus efectos sobre el proceso de renovación convocado localmente</w:t>
      </w:r>
      <w:r w:rsidR="001C4294" w:rsidRPr="00F84E3C">
        <w:rPr>
          <w:rFonts w:ascii="Arial" w:hAnsi="Arial" w:cs="Arial"/>
          <w:sz w:val="24"/>
          <w:szCs w:val="24"/>
        </w:rPr>
        <w:t xml:space="preserve"> (por el Consejo Estatal)</w:t>
      </w:r>
      <w:r w:rsidR="000F51B2" w:rsidRPr="00F84E3C">
        <w:rPr>
          <w:rFonts w:ascii="Arial" w:hAnsi="Arial" w:cs="Arial"/>
          <w:sz w:val="24"/>
          <w:szCs w:val="24"/>
        </w:rPr>
        <w:t xml:space="preserve">, </w:t>
      </w:r>
      <w:r w:rsidR="00E61C7D" w:rsidRPr="00F84E3C">
        <w:rPr>
          <w:rFonts w:ascii="Arial" w:hAnsi="Arial" w:cs="Arial"/>
          <w:sz w:val="24"/>
          <w:szCs w:val="24"/>
        </w:rPr>
        <w:t>al ser</w:t>
      </w:r>
      <w:r w:rsidR="001C4294" w:rsidRPr="00F84E3C">
        <w:rPr>
          <w:rFonts w:ascii="Arial" w:hAnsi="Arial" w:cs="Arial"/>
          <w:sz w:val="24"/>
          <w:szCs w:val="24"/>
        </w:rPr>
        <w:t xml:space="preserve">, </w:t>
      </w:r>
      <w:r w:rsidR="00E61C7D" w:rsidRPr="00F84E3C">
        <w:rPr>
          <w:rFonts w:ascii="Arial" w:hAnsi="Arial" w:cs="Arial"/>
          <w:sz w:val="24"/>
          <w:szCs w:val="24"/>
        </w:rPr>
        <w:t>precisamente</w:t>
      </w:r>
      <w:r w:rsidR="001C4294" w:rsidRPr="00F84E3C">
        <w:rPr>
          <w:rFonts w:ascii="Arial" w:hAnsi="Arial" w:cs="Arial"/>
          <w:sz w:val="24"/>
          <w:szCs w:val="24"/>
        </w:rPr>
        <w:t>,</w:t>
      </w:r>
      <w:r w:rsidR="00E61C7D" w:rsidRPr="00F84E3C">
        <w:rPr>
          <w:rFonts w:ascii="Arial" w:hAnsi="Arial" w:cs="Arial"/>
          <w:sz w:val="24"/>
          <w:szCs w:val="24"/>
        </w:rPr>
        <w:t xml:space="preserve"> </w:t>
      </w:r>
      <w:r w:rsidR="00233A4D" w:rsidRPr="00F84E3C">
        <w:rPr>
          <w:rFonts w:ascii="Arial" w:hAnsi="Arial" w:cs="Arial"/>
          <w:sz w:val="24"/>
          <w:szCs w:val="24"/>
        </w:rPr>
        <w:t xml:space="preserve">una de </w:t>
      </w:r>
      <w:r w:rsidR="00E61C7D" w:rsidRPr="00F84E3C">
        <w:rPr>
          <w:rFonts w:ascii="Arial" w:hAnsi="Arial" w:cs="Arial"/>
          <w:sz w:val="24"/>
          <w:szCs w:val="24"/>
        </w:rPr>
        <w:t>la</w:t>
      </w:r>
      <w:r w:rsidR="00233A4D" w:rsidRPr="00F84E3C">
        <w:rPr>
          <w:rFonts w:ascii="Arial" w:hAnsi="Arial" w:cs="Arial"/>
          <w:sz w:val="24"/>
          <w:szCs w:val="24"/>
        </w:rPr>
        <w:t>s</w:t>
      </w:r>
      <w:r w:rsidR="00E61C7D" w:rsidRPr="00F84E3C">
        <w:rPr>
          <w:rFonts w:ascii="Arial" w:hAnsi="Arial" w:cs="Arial"/>
          <w:sz w:val="24"/>
          <w:szCs w:val="24"/>
        </w:rPr>
        <w:t xml:space="preserve"> interrogante</w:t>
      </w:r>
      <w:r w:rsidR="00233A4D" w:rsidRPr="00F84E3C">
        <w:rPr>
          <w:rFonts w:ascii="Arial" w:hAnsi="Arial" w:cs="Arial"/>
          <w:sz w:val="24"/>
          <w:szCs w:val="24"/>
        </w:rPr>
        <w:t xml:space="preserve">s, la validez y existencia o no de un proceso convocado localmente, lo </w:t>
      </w:r>
      <w:r w:rsidR="00E61C7D" w:rsidRPr="00F84E3C">
        <w:rPr>
          <w:rFonts w:ascii="Arial" w:hAnsi="Arial" w:cs="Arial"/>
          <w:sz w:val="24"/>
          <w:szCs w:val="24"/>
        </w:rPr>
        <w:t xml:space="preserve">que deberá </w:t>
      </w:r>
      <w:r w:rsidR="001C4294" w:rsidRPr="00F84E3C">
        <w:rPr>
          <w:rFonts w:ascii="Arial" w:hAnsi="Arial" w:cs="Arial"/>
          <w:sz w:val="24"/>
          <w:szCs w:val="24"/>
        </w:rPr>
        <w:t xml:space="preserve">dilucidarse </w:t>
      </w:r>
      <w:r w:rsidR="00E61C7D" w:rsidRPr="00F84E3C">
        <w:rPr>
          <w:rFonts w:ascii="Arial" w:hAnsi="Arial" w:cs="Arial"/>
          <w:sz w:val="24"/>
          <w:szCs w:val="24"/>
        </w:rPr>
        <w:t xml:space="preserve">en su momento, </w:t>
      </w:r>
      <w:r w:rsidR="004C4191" w:rsidRPr="00F84E3C">
        <w:rPr>
          <w:rFonts w:ascii="Arial" w:hAnsi="Arial" w:cs="Arial"/>
          <w:sz w:val="24"/>
          <w:szCs w:val="24"/>
        </w:rPr>
        <w:t xml:space="preserve">el presente asunto, evidentemente, </w:t>
      </w:r>
      <w:r w:rsidR="00E61C7D" w:rsidRPr="00F84E3C">
        <w:rPr>
          <w:rFonts w:ascii="Arial" w:hAnsi="Arial" w:cs="Arial"/>
          <w:sz w:val="24"/>
          <w:szCs w:val="24"/>
        </w:rPr>
        <w:t xml:space="preserve">no </w:t>
      </w:r>
      <w:r w:rsidR="004C4191" w:rsidRPr="00F84E3C">
        <w:rPr>
          <w:rFonts w:ascii="Arial" w:hAnsi="Arial" w:cs="Arial"/>
          <w:sz w:val="24"/>
          <w:szCs w:val="24"/>
        </w:rPr>
        <w:t xml:space="preserve">debe </w:t>
      </w:r>
      <w:r w:rsidR="00E61C7D" w:rsidRPr="00F84E3C">
        <w:rPr>
          <w:rFonts w:ascii="Arial" w:hAnsi="Arial" w:cs="Arial"/>
          <w:sz w:val="24"/>
          <w:szCs w:val="24"/>
        </w:rPr>
        <w:t>considerarse, de entrad</w:t>
      </w:r>
      <w:r w:rsidR="007B1944" w:rsidRPr="00F84E3C">
        <w:rPr>
          <w:rFonts w:ascii="Arial" w:hAnsi="Arial" w:cs="Arial"/>
          <w:sz w:val="24"/>
          <w:szCs w:val="24"/>
        </w:rPr>
        <w:t>a,</w:t>
      </w:r>
      <w:r w:rsidR="00E61C7D" w:rsidRPr="00F84E3C">
        <w:rPr>
          <w:rFonts w:ascii="Arial" w:hAnsi="Arial" w:cs="Arial"/>
          <w:sz w:val="24"/>
          <w:szCs w:val="24"/>
        </w:rPr>
        <w:t xml:space="preserve"> vinculado a un </w:t>
      </w:r>
      <w:r w:rsidR="000F51B2" w:rsidRPr="00F84E3C">
        <w:rPr>
          <w:rFonts w:ascii="Arial" w:hAnsi="Arial" w:cs="Arial"/>
          <w:sz w:val="24"/>
          <w:szCs w:val="24"/>
        </w:rPr>
        <w:t xml:space="preserve">proceso </w:t>
      </w:r>
      <w:r w:rsidR="00E61C7D" w:rsidRPr="00F84E3C">
        <w:rPr>
          <w:rFonts w:ascii="Arial" w:hAnsi="Arial" w:cs="Arial"/>
          <w:sz w:val="24"/>
          <w:szCs w:val="24"/>
        </w:rPr>
        <w:t>de renovación partidista del PRI</w:t>
      </w:r>
      <w:r w:rsidR="000F51B2" w:rsidRPr="00F84E3C">
        <w:rPr>
          <w:rFonts w:ascii="Arial" w:hAnsi="Arial" w:cs="Arial"/>
          <w:sz w:val="24"/>
          <w:szCs w:val="24"/>
        </w:rPr>
        <w:t>.</w:t>
      </w:r>
    </w:p>
    <w:p w14:paraId="63A729D3" w14:textId="378D82DE" w:rsidR="00C866E8" w:rsidRPr="00F84E3C" w:rsidRDefault="00C866E8" w:rsidP="000F51B2">
      <w:pPr>
        <w:spacing w:after="0" w:line="360" w:lineRule="auto"/>
        <w:jc w:val="both"/>
        <w:rPr>
          <w:rFonts w:ascii="Arial" w:hAnsi="Arial" w:cs="Arial"/>
          <w:sz w:val="24"/>
          <w:szCs w:val="24"/>
        </w:rPr>
      </w:pPr>
    </w:p>
    <w:p w14:paraId="3FD69EFD" w14:textId="77777777" w:rsidR="00741D06" w:rsidRPr="00F84E3C" w:rsidRDefault="004D4515" w:rsidP="008675FC">
      <w:pPr>
        <w:spacing w:after="0" w:line="360" w:lineRule="auto"/>
        <w:jc w:val="both"/>
        <w:rPr>
          <w:rFonts w:ascii="Arial" w:hAnsi="Arial" w:cs="Arial"/>
          <w:sz w:val="24"/>
          <w:szCs w:val="24"/>
        </w:rPr>
      </w:pPr>
      <w:r w:rsidRPr="00F84E3C">
        <w:rPr>
          <w:rFonts w:ascii="Arial" w:hAnsi="Arial" w:cs="Arial"/>
          <w:b/>
          <w:sz w:val="24"/>
          <w:szCs w:val="24"/>
        </w:rPr>
        <w:lastRenderedPageBreak/>
        <w:t xml:space="preserve">III. </w:t>
      </w:r>
      <w:r w:rsidR="008675FC" w:rsidRPr="00F84E3C">
        <w:rPr>
          <w:rFonts w:ascii="Arial" w:hAnsi="Arial" w:cs="Arial"/>
          <w:b/>
          <w:sz w:val="24"/>
          <w:szCs w:val="24"/>
        </w:rPr>
        <w:t xml:space="preserve">Referencia sobre los requisitos procesales. </w:t>
      </w:r>
      <w:r w:rsidR="008675FC" w:rsidRPr="00F84E3C">
        <w:rPr>
          <w:rFonts w:ascii="Arial" w:hAnsi="Arial" w:cs="Arial"/>
          <w:sz w:val="24"/>
          <w:szCs w:val="24"/>
        </w:rPr>
        <w:t>Esta Sala Regional los tiene satisfechos en los términos expuestos en el acuerdo de admisión</w:t>
      </w:r>
      <w:r w:rsidR="008675FC" w:rsidRPr="00F84E3C">
        <w:rPr>
          <w:rStyle w:val="Refdenotaalpie"/>
          <w:rFonts w:ascii="Arial" w:hAnsi="Arial" w:cs="Arial"/>
          <w:sz w:val="24"/>
          <w:szCs w:val="24"/>
        </w:rPr>
        <w:footnoteReference w:id="9"/>
      </w:r>
      <w:r w:rsidR="008675FC" w:rsidRPr="00F84E3C">
        <w:rPr>
          <w:rFonts w:ascii="Arial" w:hAnsi="Arial" w:cs="Arial"/>
          <w:sz w:val="24"/>
          <w:szCs w:val="24"/>
        </w:rPr>
        <w:t>.</w:t>
      </w:r>
    </w:p>
    <w:p w14:paraId="61476642" w14:textId="77777777" w:rsidR="009B7197" w:rsidRPr="00F84E3C" w:rsidRDefault="009B7197" w:rsidP="001C578C">
      <w:pPr>
        <w:spacing w:after="0" w:line="240" w:lineRule="auto"/>
        <w:rPr>
          <w:rFonts w:ascii="Arial" w:hAnsi="Arial"/>
          <w:sz w:val="24"/>
          <w:szCs w:val="24"/>
        </w:rPr>
      </w:pPr>
      <w:bookmarkStart w:id="16" w:name="_Toc13662333"/>
    </w:p>
    <w:p w14:paraId="7991FDF8" w14:textId="77777777" w:rsidR="00EE69B7" w:rsidRPr="00F84E3C" w:rsidRDefault="00EE69B7" w:rsidP="006C6C8B">
      <w:pPr>
        <w:pStyle w:val="Ttulo1"/>
        <w:spacing w:before="0" w:beforeAutospacing="0" w:after="0" w:afterAutospacing="0" w:line="240" w:lineRule="auto"/>
        <w:jc w:val="center"/>
        <w:rPr>
          <w:rFonts w:cs="Arial"/>
          <w:szCs w:val="24"/>
        </w:rPr>
      </w:pPr>
      <w:bookmarkStart w:id="17" w:name="_Toc61560514"/>
      <w:r w:rsidRPr="00F84E3C">
        <w:rPr>
          <w:rFonts w:cs="Arial"/>
          <w:caps w:val="0"/>
          <w:szCs w:val="24"/>
        </w:rPr>
        <w:t>Estudio de fondo</w:t>
      </w:r>
      <w:bookmarkEnd w:id="16"/>
      <w:bookmarkEnd w:id="17"/>
    </w:p>
    <w:p w14:paraId="70C91DEF" w14:textId="77777777" w:rsidR="00EE69B7" w:rsidRPr="00F84E3C" w:rsidRDefault="00EE69B7" w:rsidP="001C578C">
      <w:pPr>
        <w:spacing w:after="0" w:line="240" w:lineRule="auto"/>
        <w:rPr>
          <w:rFonts w:ascii="Arial" w:hAnsi="Arial" w:cs="Arial"/>
          <w:sz w:val="24"/>
          <w:szCs w:val="24"/>
        </w:rPr>
      </w:pPr>
    </w:p>
    <w:p w14:paraId="6E8E49FD" w14:textId="77777777" w:rsidR="00EE69B7" w:rsidRPr="00F84E3C" w:rsidRDefault="00EE69B7" w:rsidP="006C6C8B">
      <w:pPr>
        <w:pStyle w:val="Ttulo2"/>
        <w:spacing w:before="0" w:line="240" w:lineRule="auto"/>
        <w:rPr>
          <w:rFonts w:ascii="Arial" w:hAnsi="Arial" w:cs="Arial"/>
          <w:color w:val="auto"/>
          <w:sz w:val="24"/>
          <w:szCs w:val="24"/>
        </w:rPr>
      </w:pPr>
      <w:bookmarkStart w:id="18" w:name="_Toc13662334"/>
      <w:bookmarkStart w:id="19" w:name="_Toc61560515"/>
      <w:r w:rsidRPr="00F84E3C">
        <w:rPr>
          <w:rFonts w:ascii="Arial" w:hAnsi="Arial" w:cs="Arial"/>
          <w:color w:val="auto"/>
          <w:sz w:val="24"/>
          <w:szCs w:val="24"/>
          <w:u w:val="single"/>
        </w:rPr>
        <w:t>Apartado preliminar.</w:t>
      </w:r>
      <w:r w:rsidRPr="00F84E3C">
        <w:rPr>
          <w:rFonts w:ascii="Arial" w:hAnsi="Arial" w:cs="Arial"/>
          <w:color w:val="auto"/>
          <w:sz w:val="24"/>
          <w:szCs w:val="24"/>
        </w:rPr>
        <w:t xml:space="preserve"> </w:t>
      </w:r>
      <w:bookmarkEnd w:id="18"/>
      <w:r w:rsidRPr="00F84E3C">
        <w:rPr>
          <w:rFonts w:ascii="Arial" w:hAnsi="Arial" w:cs="Arial"/>
          <w:color w:val="auto"/>
          <w:sz w:val="24"/>
          <w:szCs w:val="24"/>
        </w:rPr>
        <w:t>Materia de la controversia</w:t>
      </w:r>
      <w:bookmarkEnd w:id="19"/>
    </w:p>
    <w:p w14:paraId="63B96BF7" w14:textId="77777777" w:rsidR="00EE69B7" w:rsidRPr="00F84E3C" w:rsidRDefault="00EE69B7" w:rsidP="006C6C8B">
      <w:pPr>
        <w:spacing w:after="0" w:line="240" w:lineRule="auto"/>
        <w:rPr>
          <w:rFonts w:ascii="Arial" w:hAnsi="Arial" w:cs="Arial"/>
          <w:sz w:val="24"/>
          <w:szCs w:val="24"/>
        </w:rPr>
      </w:pPr>
    </w:p>
    <w:p w14:paraId="0FFF4125" w14:textId="3474677E" w:rsidR="00020B7E" w:rsidRPr="00F84E3C" w:rsidRDefault="00EE69B7" w:rsidP="00EE69B7">
      <w:pPr>
        <w:spacing w:after="0" w:line="360" w:lineRule="auto"/>
        <w:jc w:val="both"/>
        <w:rPr>
          <w:rFonts w:ascii="Arial" w:eastAsia="Calibri" w:hAnsi="Arial" w:cs="Arial"/>
          <w:bCs/>
          <w:sz w:val="24"/>
          <w:szCs w:val="24"/>
        </w:rPr>
      </w:pPr>
      <w:r w:rsidRPr="00F84E3C">
        <w:rPr>
          <w:rFonts w:ascii="Arial" w:hAnsi="Arial" w:cs="Arial"/>
          <w:b/>
          <w:sz w:val="24"/>
          <w:szCs w:val="24"/>
        </w:rPr>
        <w:t xml:space="preserve">1. Resolución del Tribunal. </w:t>
      </w:r>
      <w:r w:rsidRPr="00F84E3C">
        <w:rPr>
          <w:rFonts w:ascii="Arial" w:hAnsi="Arial" w:cs="Arial"/>
          <w:bCs/>
          <w:sz w:val="24"/>
          <w:szCs w:val="24"/>
        </w:rPr>
        <w:t xml:space="preserve">El Tribunal de </w:t>
      </w:r>
      <w:r w:rsidR="0028456B" w:rsidRPr="00F84E3C">
        <w:rPr>
          <w:rFonts w:ascii="Arial" w:hAnsi="Arial" w:cs="Arial"/>
          <w:bCs/>
          <w:sz w:val="24"/>
          <w:szCs w:val="24"/>
        </w:rPr>
        <w:t>Guanajuato</w:t>
      </w:r>
      <w:r w:rsidRPr="00F84E3C">
        <w:rPr>
          <w:rFonts w:ascii="Arial" w:hAnsi="Arial" w:cs="Arial"/>
          <w:bCs/>
          <w:sz w:val="24"/>
          <w:szCs w:val="24"/>
        </w:rPr>
        <w:t xml:space="preserve"> </w:t>
      </w:r>
      <w:r w:rsidR="00020B7E" w:rsidRPr="00F84E3C">
        <w:rPr>
          <w:rFonts w:ascii="Arial" w:eastAsia="Calibri" w:hAnsi="Arial" w:cs="Arial"/>
          <w:b/>
          <w:bCs/>
          <w:sz w:val="24"/>
          <w:szCs w:val="24"/>
        </w:rPr>
        <w:t>sobreseyó</w:t>
      </w:r>
      <w:r w:rsidR="00020B7E" w:rsidRPr="00F84E3C">
        <w:rPr>
          <w:rFonts w:ascii="Arial" w:eastAsia="Calibri" w:hAnsi="Arial" w:cs="Arial"/>
          <w:bCs/>
          <w:sz w:val="24"/>
          <w:szCs w:val="24"/>
        </w:rPr>
        <w:t xml:space="preserve"> la demanda del actor del juicio </w:t>
      </w:r>
      <w:r w:rsidR="00020B7E" w:rsidRPr="00F84E3C">
        <w:rPr>
          <w:rFonts w:ascii="Arial" w:hAnsi="Arial" w:cs="Arial"/>
          <w:bCs/>
          <w:sz w:val="24"/>
          <w:szCs w:val="24"/>
        </w:rPr>
        <w:t xml:space="preserve">TEEG-JPDC/60/2020, </w:t>
      </w:r>
      <w:r w:rsidR="00020B7E" w:rsidRPr="00F84E3C">
        <w:rPr>
          <w:rFonts w:ascii="Arial" w:hAnsi="Arial" w:cs="Arial"/>
          <w:b/>
          <w:sz w:val="24"/>
          <w:szCs w:val="24"/>
        </w:rPr>
        <w:t>en el que,</w:t>
      </w:r>
      <w:r w:rsidR="00020B7E" w:rsidRPr="00F84E3C">
        <w:rPr>
          <w:rFonts w:ascii="Arial" w:hAnsi="Arial" w:cs="Arial"/>
          <w:bCs/>
          <w:sz w:val="24"/>
          <w:szCs w:val="24"/>
        </w:rPr>
        <w:t xml:space="preserve"> a través de </w:t>
      </w:r>
      <w:r w:rsidR="003F710E" w:rsidRPr="00F84E3C">
        <w:rPr>
          <w:rFonts w:ascii="Arial" w:hAnsi="Arial" w:cs="Arial"/>
          <w:bCs/>
          <w:sz w:val="24"/>
          <w:szCs w:val="24"/>
        </w:rPr>
        <w:t xml:space="preserve">una </w:t>
      </w:r>
      <w:r w:rsidR="00020B7E" w:rsidRPr="00F84E3C">
        <w:rPr>
          <w:rFonts w:ascii="Arial" w:hAnsi="Arial" w:cs="Arial"/>
          <w:bCs/>
          <w:sz w:val="24"/>
          <w:szCs w:val="24"/>
        </w:rPr>
        <w:t xml:space="preserve">notificación </w:t>
      </w:r>
      <w:r w:rsidR="003F710E" w:rsidRPr="00F84E3C">
        <w:rPr>
          <w:rFonts w:ascii="Arial" w:hAnsi="Arial" w:cs="Arial"/>
          <w:bCs/>
          <w:sz w:val="24"/>
          <w:szCs w:val="24"/>
        </w:rPr>
        <w:t>d</w:t>
      </w:r>
      <w:r w:rsidR="00020B7E" w:rsidRPr="00F84E3C">
        <w:rPr>
          <w:rFonts w:ascii="Arial" w:hAnsi="Arial" w:cs="Arial"/>
          <w:bCs/>
          <w:sz w:val="24"/>
          <w:szCs w:val="24"/>
        </w:rPr>
        <w:t xml:space="preserve">el </w:t>
      </w:r>
      <w:r w:rsidR="00BA7853" w:rsidRPr="00F84E3C">
        <w:rPr>
          <w:rFonts w:ascii="Arial" w:hAnsi="Arial" w:cs="Arial"/>
          <w:bCs/>
          <w:sz w:val="24"/>
          <w:szCs w:val="24"/>
        </w:rPr>
        <w:t>IEEG</w:t>
      </w:r>
      <w:r w:rsidR="007F4399" w:rsidRPr="00F84E3C">
        <w:rPr>
          <w:rFonts w:ascii="Arial" w:hAnsi="Arial" w:cs="Arial"/>
          <w:bCs/>
          <w:sz w:val="24"/>
          <w:szCs w:val="24"/>
        </w:rPr>
        <w:t xml:space="preserve">, </w:t>
      </w:r>
      <w:r w:rsidR="00A4412B" w:rsidRPr="00F84E3C">
        <w:rPr>
          <w:rFonts w:ascii="Arial" w:hAnsi="Arial" w:cs="Arial"/>
          <w:b/>
          <w:sz w:val="24"/>
          <w:szCs w:val="24"/>
        </w:rPr>
        <w:t xml:space="preserve">impugnó </w:t>
      </w:r>
      <w:r w:rsidR="00FE7983" w:rsidRPr="00F84E3C">
        <w:rPr>
          <w:rFonts w:ascii="Arial" w:hAnsi="Arial" w:cs="Arial"/>
          <w:b/>
          <w:sz w:val="24"/>
          <w:szCs w:val="24"/>
        </w:rPr>
        <w:t xml:space="preserve">el </w:t>
      </w:r>
      <w:r w:rsidR="00020B7E" w:rsidRPr="00F84E3C">
        <w:rPr>
          <w:rFonts w:ascii="Arial" w:hAnsi="Arial" w:cs="Arial"/>
          <w:b/>
          <w:sz w:val="24"/>
          <w:szCs w:val="24"/>
        </w:rPr>
        <w:t>registró</w:t>
      </w:r>
      <w:r w:rsidR="00020B7E" w:rsidRPr="00F84E3C">
        <w:rPr>
          <w:rFonts w:ascii="Arial" w:hAnsi="Arial" w:cs="Arial"/>
          <w:bCs/>
          <w:sz w:val="24"/>
          <w:szCs w:val="24"/>
        </w:rPr>
        <w:t xml:space="preserve"> </w:t>
      </w:r>
      <w:r w:rsidR="00A90CF5" w:rsidRPr="00F84E3C">
        <w:rPr>
          <w:rFonts w:ascii="Arial" w:hAnsi="Arial" w:cs="Arial"/>
          <w:bCs/>
          <w:sz w:val="24"/>
          <w:szCs w:val="24"/>
        </w:rPr>
        <w:t xml:space="preserve">que el INE realizó de </w:t>
      </w:r>
      <w:r w:rsidR="00020B7E" w:rsidRPr="00F84E3C">
        <w:rPr>
          <w:rFonts w:ascii="Arial" w:hAnsi="Arial" w:cs="Arial"/>
          <w:bCs/>
          <w:sz w:val="24"/>
          <w:szCs w:val="24"/>
        </w:rPr>
        <w:t>la prórroga de la directiva estatal del PRI en ese estado</w:t>
      </w:r>
      <w:r w:rsidR="00020B7E" w:rsidRPr="00F84E3C">
        <w:rPr>
          <w:rFonts w:ascii="Arial" w:eastAsia="Calibri" w:hAnsi="Arial" w:cs="Arial"/>
          <w:bCs/>
          <w:sz w:val="24"/>
          <w:szCs w:val="24"/>
        </w:rPr>
        <w:t xml:space="preserve">, al estimar, el Tribunal Local, que en el diverso juicio </w:t>
      </w:r>
      <w:r w:rsidR="00020B7E" w:rsidRPr="00F84E3C">
        <w:rPr>
          <w:rFonts w:ascii="Arial" w:hAnsi="Arial" w:cs="Arial"/>
          <w:bCs/>
          <w:sz w:val="24"/>
          <w:szCs w:val="24"/>
        </w:rPr>
        <w:t xml:space="preserve">JPDC/65/2020, </w:t>
      </w:r>
      <w:r w:rsidR="00020B7E" w:rsidRPr="00F84E3C">
        <w:rPr>
          <w:rFonts w:ascii="Arial" w:eastAsia="Calibri" w:hAnsi="Arial" w:cs="Arial"/>
          <w:bCs/>
          <w:sz w:val="24"/>
          <w:szCs w:val="24"/>
        </w:rPr>
        <w:t xml:space="preserve">presentado por el mismo actor ante esa instancia, </w:t>
      </w:r>
      <w:r w:rsidR="002922B6" w:rsidRPr="00F84E3C">
        <w:rPr>
          <w:rFonts w:ascii="Arial" w:eastAsia="Calibri" w:hAnsi="Arial" w:cs="Arial"/>
          <w:bCs/>
          <w:sz w:val="24"/>
          <w:szCs w:val="24"/>
        </w:rPr>
        <w:t>controvirtió</w:t>
      </w:r>
      <w:r w:rsidR="00020B7E" w:rsidRPr="00F84E3C">
        <w:rPr>
          <w:rFonts w:ascii="Arial" w:eastAsia="Calibri" w:hAnsi="Arial" w:cs="Arial"/>
          <w:bCs/>
          <w:sz w:val="24"/>
          <w:szCs w:val="24"/>
        </w:rPr>
        <w:t xml:space="preserve"> </w:t>
      </w:r>
      <w:r w:rsidR="002922B6" w:rsidRPr="00F84E3C">
        <w:rPr>
          <w:rFonts w:ascii="Arial" w:eastAsia="Calibri" w:hAnsi="Arial" w:cs="Arial"/>
          <w:bCs/>
          <w:sz w:val="24"/>
          <w:szCs w:val="24"/>
        </w:rPr>
        <w:t xml:space="preserve">la inactividad procesal de un medio partidista contra </w:t>
      </w:r>
      <w:r w:rsidR="00020B7E" w:rsidRPr="00F84E3C">
        <w:rPr>
          <w:rFonts w:ascii="Arial" w:eastAsia="Calibri" w:hAnsi="Arial" w:cs="Arial"/>
          <w:bCs/>
          <w:sz w:val="24"/>
          <w:szCs w:val="24"/>
        </w:rPr>
        <w:t>esa misma prórroga de la directiva partidista y, por tanto, podría alcanzar su pretensión</w:t>
      </w:r>
      <w:r w:rsidR="0070654A" w:rsidRPr="00F84E3C">
        <w:rPr>
          <w:rFonts w:ascii="Arial" w:eastAsia="Calibri" w:hAnsi="Arial" w:cs="Arial"/>
          <w:bCs/>
          <w:sz w:val="24"/>
          <w:szCs w:val="24"/>
        </w:rPr>
        <w:t>.</w:t>
      </w:r>
    </w:p>
    <w:p w14:paraId="698DB41B" w14:textId="77777777" w:rsidR="00054AAE" w:rsidRPr="00F84E3C" w:rsidRDefault="00054AAE" w:rsidP="00B87722">
      <w:pPr>
        <w:spacing w:after="0" w:line="240" w:lineRule="auto"/>
        <w:jc w:val="both"/>
        <w:rPr>
          <w:rFonts w:ascii="Arial" w:eastAsia="Arial Nova" w:hAnsi="Arial" w:cs="Arial"/>
          <w:color w:val="000000"/>
          <w:sz w:val="24"/>
          <w:szCs w:val="24"/>
        </w:rPr>
      </w:pPr>
    </w:p>
    <w:p w14:paraId="7C43508A" w14:textId="01C2330E" w:rsidR="00EE69B7" w:rsidRPr="00F84E3C" w:rsidRDefault="00EE69B7" w:rsidP="00EE69B7">
      <w:pPr>
        <w:spacing w:after="0" w:line="360" w:lineRule="auto"/>
        <w:jc w:val="both"/>
        <w:rPr>
          <w:rFonts w:ascii="Arial" w:hAnsi="Arial" w:cs="Arial"/>
          <w:bCs/>
          <w:sz w:val="24"/>
          <w:szCs w:val="24"/>
        </w:rPr>
      </w:pPr>
      <w:bookmarkStart w:id="20" w:name="_Hlk43909341"/>
      <w:r w:rsidRPr="00F84E3C">
        <w:rPr>
          <w:rFonts w:ascii="Arial" w:hAnsi="Arial" w:cs="Arial"/>
          <w:b/>
          <w:bCs/>
          <w:sz w:val="24"/>
          <w:szCs w:val="24"/>
        </w:rPr>
        <w:t>2. Pretensión y planteamientos.</w:t>
      </w:r>
      <w:r w:rsidR="001A33A5" w:rsidRPr="00F84E3C">
        <w:rPr>
          <w:rFonts w:ascii="Arial" w:hAnsi="Arial" w:cs="Arial"/>
          <w:b/>
          <w:bCs/>
          <w:sz w:val="24"/>
          <w:szCs w:val="24"/>
        </w:rPr>
        <w:t xml:space="preserve"> </w:t>
      </w:r>
      <w:r w:rsidR="001A33A5" w:rsidRPr="00F84E3C">
        <w:rPr>
          <w:rFonts w:ascii="Arial" w:hAnsi="Arial" w:cs="Arial"/>
          <w:bCs/>
          <w:sz w:val="24"/>
          <w:szCs w:val="24"/>
        </w:rPr>
        <w:t xml:space="preserve">El actor pretende que esta Sala Monterrey </w:t>
      </w:r>
      <w:r w:rsidR="00BA7853" w:rsidRPr="00F84E3C">
        <w:rPr>
          <w:rFonts w:ascii="Arial" w:hAnsi="Arial" w:cs="Arial"/>
          <w:bCs/>
          <w:sz w:val="24"/>
          <w:szCs w:val="24"/>
        </w:rPr>
        <w:t>r</w:t>
      </w:r>
      <w:r w:rsidR="001A33A5" w:rsidRPr="00F84E3C">
        <w:rPr>
          <w:rFonts w:ascii="Arial" w:hAnsi="Arial" w:cs="Arial"/>
          <w:bCs/>
          <w:sz w:val="24"/>
          <w:szCs w:val="24"/>
        </w:rPr>
        <w:t xml:space="preserve">evoque </w:t>
      </w:r>
      <w:r w:rsidR="00175EFD" w:rsidRPr="00F84E3C">
        <w:rPr>
          <w:rFonts w:ascii="Arial" w:hAnsi="Arial" w:cs="Arial"/>
          <w:bCs/>
          <w:sz w:val="24"/>
          <w:szCs w:val="24"/>
        </w:rPr>
        <w:t xml:space="preserve">la sentencia que </w:t>
      </w:r>
      <w:r w:rsidR="00175EFD" w:rsidRPr="00F84E3C">
        <w:rPr>
          <w:rFonts w:ascii="Arial" w:hAnsi="Arial" w:cs="Arial"/>
          <w:b/>
          <w:bCs/>
          <w:sz w:val="24"/>
          <w:szCs w:val="24"/>
        </w:rPr>
        <w:t>sobreseyó</w:t>
      </w:r>
      <w:r w:rsidR="00175EFD" w:rsidRPr="00F84E3C">
        <w:rPr>
          <w:rFonts w:ascii="Arial" w:hAnsi="Arial" w:cs="Arial"/>
          <w:bCs/>
          <w:sz w:val="24"/>
          <w:szCs w:val="24"/>
        </w:rPr>
        <w:t xml:space="preserve"> su medio</w:t>
      </w:r>
      <w:r w:rsidR="001E141C" w:rsidRPr="00F84E3C">
        <w:rPr>
          <w:rFonts w:ascii="Arial" w:hAnsi="Arial" w:cs="Arial"/>
          <w:bCs/>
          <w:sz w:val="24"/>
          <w:szCs w:val="24"/>
        </w:rPr>
        <w:t xml:space="preserve">, para que se acumule </w:t>
      </w:r>
      <w:r w:rsidR="00175EFD" w:rsidRPr="00F84E3C">
        <w:rPr>
          <w:rFonts w:ascii="Arial" w:hAnsi="Arial" w:cs="Arial"/>
          <w:bCs/>
          <w:sz w:val="24"/>
          <w:szCs w:val="24"/>
        </w:rPr>
        <w:t xml:space="preserve">al diverso </w:t>
      </w:r>
      <w:r w:rsidR="00BA74CB" w:rsidRPr="00F84E3C">
        <w:rPr>
          <w:rFonts w:ascii="Arial" w:hAnsi="Arial" w:cs="Arial"/>
          <w:bCs/>
          <w:sz w:val="24"/>
          <w:szCs w:val="24"/>
        </w:rPr>
        <w:t>juicio</w:t>
      </w:r>
      <w:r w:rsidR="00175EFD" w:rsidRPr="00F84E3C">
        <w:rPr>
          <w:rFonts w:ascii="Arial" w:hAnsi="Arial" w:cs="Arial"/>
          <w:bCs/>
          <w:sz w:val="24"/>
          <w:szCs w:val="24"/>
        </w:rPr>
        <w:t xml:space="preserve"> que se encuentra en sustanciación ante el </w:t>
      </w:r>
      <w:r w:rsidR="001E141C" w:rsidRPr="00F84E3C">
        <w:rPr>
          <w:rFonts w:ascii="Arial" w:hAnsi="Arial" w:cs="Arial"/>
          <w:bCs/>
          <w:sz w:val="24"/>
          <w:szCs w:val="24"/>
        </w:rPr>
        <w:t xml:space="preserve">mismo </w:t>
      </w:r>
      <w:r w:rsidR="00175EFD" w:rsidRPr="00F84E3C">
        <w:rPr>
          <w:rFonts w:ascii="Arial" w:hAnsi="Arial" w:cs="Arial"/>
          <w:bCs/>
          <w:sz w:val="24"/>
          <w:szCs w:val="24"/>
        </w:rPr>
        <w:t>Tribunal Local</w:t>
      </w:r>
      <w:r w:rsidR="001E141C" w:rsidRPr="00F84E3C">
        <w:rPr>
          <w:rFonts w:ascii="Arial" w:hAnsi="Arial" w:cs="Arial"/>
          <w:bCs/>
          <w:sz w:val="24"/>
          <w:szCs w:val="24"/>
        </w:rPr>
        <w:t>, para que finalmente se analice su pretensión en conjunto.</w:t>
      </w:r>
    </w:p>
    <w:p w14:paraId="3D75AB14" w14:textId="77777777" w:rsidR="00EE69B7" w:rsidRPr="00F84E3C" w:rsidRDefault="00EE69B7" w:rsidP="006A4247">
      <w:pPr>
        <w:spacing w:after="0" w:line="240" w:lineRule="auto"/>
        <w:jc w:val="both"/>
        <w:rPr>
          <w:rFonts w:ascii="Arial" w:hAnsi="Arial" w:cs="Arial"/>
          <w:bCs/>
          <w:sz w:val="24"/>
          <w:szCs w:val="24"/>
        </w:rPr>
      </w:pPr>
    </w:p>
    <w:bookmarkEnd w:id="20"/>
    <w:p w14:paraId="6630FC4C" w14:textId="1B462BF7" w:rsidR="00EE69B7" w:rsidRPr="00F84E3C" w:rsidRDefault="00EE69B7" w:rsidP="00EE69B7">
      <w:pPr>
        <w:spacing w:after="0" w:line="360" w:lineRule="auto"/>
        <w:jc w:val="both"/>
        <w:rPr>
          <w:rFonts w:ascii="Arial" w:hAnsi="Arial" w:cs="Arial"/>
          <w:sz w:val="24"/>
          <w:szCs w:val="24"/>
        </w:rPr>
      </w:pPr>
      <w:r w:rsidRPr="00F84E3C">
        <w:rPr>
          <w:rFonts w:ascii="Arial" w:hAnsi="Arial" w:cs="Arial"/>
          <w:b/>
          <w:sz w:val="24"/>
          <w:szCs w:val="24"/>
          <w:lang w:val="es-ES_tradnl"/>
        </w:rPr>
        <w:t>3. Cuestiones a resolver.</w:t>
      </w:r>
      <w:r w:rsidRPr="00F84E3C">
        <w:rPr>
          <w:rFonts w:ascii="Arial" w:hAnsi="Arial" w:cs="Arial"/>
          <w:sz w:val="24"/>
          <w:szCs w:val="24"/>
          <w:lang w:val="es-ES_tradnl"/>
        </w:rPr>
        <w:t xml:space="preserve"> </w:t>
      </w:r>
      <w:r w:rsidRPr="00F84E3C">
        <w:rPr>
          <w:rFonts w:ascii="Arial" w:hAnsi="Arial" w:cs="Arial"/>
          <w:sz w:val="24"/>
          <w:szCs w:val="24"/>
        </w:rPr>
        <w:t>En atención a lo expuesto, en la sentencia se analizará</w:t>
      </w:r>
      <w:r w:rsidR="00175EFD" w:rsidRPr="00F84E3C">
        <w:rPr>
          <w:rFonts w:ascii="Arial" w:hAnsi="Arial" w:cs="Arial"/>
          <w:sz w:val="24"/>
          <w:szCs w:val="24"/>
        </w:rPr>
        <w:t xml:space="preserve"> si </w:t>
      </w:r>
      <w:r w:rsidRPr="00F84E3C">
        <w:rPr>
          <w:rFonts w:ascii="Arial" w:hAnsi="Arial" w:cs="Arial"/>
          <w:sz w:val="24"/>
          <w:szCs w:val="24"/>
        </w:rPr>
        <w:t>¿</w:t>
      </w:r>
      <w:r w:rsidR="00175EFD" w:rsidRPr="00F84E3C">
        <w:rPr>
          <w:rFonts w:ascii="Arial" w:hAnsi="Arial" w:cs="Arial"/>
          <w:sz w:val="24"/>
          <w:szCs w:val="24"/>
        </w:rPr>
        <w:t xml:space="preserve">fue correcto que el </w:t>
      </w:r>
      <w:r w:rsidR="00D221CF" w:rsidRPr="00F84E3C">
        <w:rPr>
          <w:rFonts w:ascii="Arial" w:hAnsi="Arial" w:cs="Arial"/>
          <w:sz w:val="24"/>
          <w:szCs w:val="24"/>
        </w:rPr>
        <w:t xml:space="preserve">Tribunal Local </w:t>
      </w:r>
      <w:r w:rsidR="00741D06" w:rsidRPr="00F84E3C">
        <w:rPr>
          <w:rFonts w:ascii="Arial" w:hAnsi="Arial" w:cs="Arial"/>
          <w:sz w:val="24"/>
          <w:szCs w:val="24"/>
        </w:rPr>
        <w:t>sobreseyera</w:t>
      </w:r>
      <w:r w:rsidR="00175EFD" w:rsidRPr="00F84E3C">
        <w:rPr>
          <w:rFonts w:ascii="Arial" w:hAnsi="Arial" w:cs="Arial"/>
          <w:sz w:val="24"/>
          <w:szCs w:val="24"/>
        </w:rPr>
        <w:t xml:space="preserve"> el </w:t>
      </w:r>
      <w:r w:rsidR="003F38AB" w:rsidRPr="00F84E3C">
        <w:rPr>
          <w:rFonts w:ascii="Arial" w:hAnsi="Arial" w:cs="Arial"/>
          <w:sz w:val="24"/>
          <w:szCs w:val="24"/>
        </w:rPr>
        <w:t>juicio local 60</w:t>
      </w:r>
      <w:r w:rsidR="001759EF" w:rsidRPr="00F84E3C">
        <w:rPr>
          <w:rFonts w:ascii="Arial" w:hAnsi="Arial" w:cs="Arial"/>
          <w:sz w:val="24"/>
          <w:szCs w:val="24"/>
        </w:rPr>
        <w:t>/2020</w:t>
      </w:r>
      <w:r w:rsidR="00175EFD" w:rsidRPr="00F84E3C">
        <w:rPr>
          <w:rFonts w:ascii="Arial" w:hAnsi="Arial" w:cs="Arial"/>
          <w:sz w:val="24"/>
          <w:szCs w:val="24"/>
        </w:rPr>
        <w:t xml:space="preserve">, </w:t>
      </w:r>
      <w:r w:rsidR="003F38AB" w:rsidRPr="00F84E3C">
        <w:rPr>
          <w:rFonts w:ascii="Arial" w:hAnsi="Arial" w:cs="Arial"/>
          <w:sz w:val="24"/>
          <w:szCs w:val="24"/>
        </w:rPr>
        <w:t xml:space="preserve">sobre la base de que en el diverso </w:t>
      </w:r>
      <w:r w:rsidR="00850085" w:rsidRPr="00F84E3C">
        <w:rPr>
          <w:rFonts w:ascii="Arial" w:hAnsi="Arial" w:cs="Arial"/>
          <w:sz w:val="24"/>
          <w:szCs w:val="24"/>
        </w:rPr>
        <w:t>juicio</w:t>
      </w:r>
      <w:r w:rsidR="00741D06" w:rsidRPr="00F84E3C">
        <w:rPr>
          <w:rFonts w:ascii="Arial" w:hAnsi="Arial" w:cs="Arial"/>
          <w:sz w:val="24"/>
          <w:szCs w:val="24"/>
        </w:rPr>
        <w:t xml:space="preserve"> </w:t>
      </w:r>
      <w:r w:rsidR="001759EF" w:rsidRPr="00F84E3C">
        <w:rPr>
          <w:rFonts w:ascii="Arial" w:hAnsi="Arial" w:cs="Arial"/>
          <w:sz w:val="24"/>
          <w:szCs w:val="24"/>
        </w:rPr>
        <w:t>65/2020</w:t>
      </w:r>
      <w:r w:rsidR="00BA74CB" w:rsidRPr="00F84E3C">
        <w:rPr>
          <w:rFonts w:ascii="Arial" w:hAnsi="Arial" w:cs="Arial"/>
          <w:sz w:val="24"/>
          <w:szCs w:val="24"/>
        </w:rPr>
        <w:t>,</w:t>
      </w:r>
      <w:r w:rsidR="001759EF" w:rsidRPr="00F84E3C">
        <w:rPr>
          <w:rFonts w:ascii="Arial" w:hAnsi="Arial" w:cs="Arial"/>
          <w:sz w:val="24"/>
          <w:szCs w:val="24"/>
        </w:rPr>
        <w:t xml:space="preserve"> presentado por el mismo actor</w:t>
      </w:r>
      <w:r w:rsidR="00BA74CB" w:rsidRPr="00F84E3C">
        <w:rPr>
          <w:rFonts w:ascii="Arial" w:hAnsi="Arial" w:cs="Arial"/>
          <w:sz w:val="24"/>
          <w:szCs w:val="24"/>
        </w:rPr>
        <w:t>,</w:t>
      </w:r>
      <w:r w:rsidR="001759EF" w:rsidRPr="00F84E3C">
        <w:rPr>
          <w:rFonts w:ascii="Arial" w:hAnsi="Arial" w:cs="Arial"/>
          <w:sz w:val="24"/>
          <w:szCs w:val="24"/>
        </w:rPr>
        <w:t xml:space="preserve"> podría alcanzar su </w:t>
      </w:r>
      <w:r w:rsidR="00175EFD" w:rsidRPr="00F84E3C">
        <w:rPr>
          <w:rFonts w:ascii="Arial" w:hAnsi="Arial" w:cs="Arial"/>
          <w:sz w:val="24"/>
          <w:szCs w:val="24"/>
        </w:rPr>
        <w:t>pretensión</w:t>
      </w:r>
      <w:r w:rsidRPr="00F84E3C">
        <w:rPr>
          <w:rFonts w:ascii="Arial" w:hAnsi="Arial" w:cs="Arial"/>
          <w:sz w:val="24"/>
          <w:szCs w:val="24"/>
        </w:rPr>
        <w:t>?</w:t>
      </w:r>
    </w:p>
    <w:p w14:paraId="004BEE3E" w14:textId="77777777" w:rsidR="00EE69B7" w:rsidRPr="00F84E3C" w:rsidRDefault="00EE69B7" w:rsidP="006C6C8B">
      <w:pPr>
        <w:spacing w:after="0" w:line="240" w:lineRule="auto"/>
        <w:jc w:val="both"/>
        <w:rPr>
          <w:rFonts w:ascii="Arial" w:hAnsi="Arial" w:cs="Arial"/>
          <w:sz w:val="24"/>
          <w:szCs w:val="24"/>
        </w:rPr>
      </w:pPr>
    </w:p>
    <w:p w14:paraId="7BFF72F2" w14:textId="77777777" w:rsidR="00EE69B7" w:rsidRPr="00F84E3C" w:rsidRDefault="00EE69B7" w:rsidP="006C6C8B">
      <w:pPr>
        <w:pStyle w:val="Ttulo2"/>
        <w:spacing w:before="0" w:line="240" w:lineRule="auto"/>
        <w:rPr>
          <w:rFonts w:ascii="Arial" w:hAnsi="Arial" w:cs="Arial"/>
          <w:color w:val="auto"/>
          <w:sz w:val="24"/>
          <w:szCs w:val="22"/>
        </w:rPr>
      </w:pPr>
      <w:bookmarkStart w:id="21" w:name="_Toc13563500"/>
      <w:bookmarkStart w:id="22" w:name="_Toc61560516"/>
      <w:r w:rsidRPr="00F84E3C">
        <w:rPr>
          <w:rFonts w:ascii="Arial" w:hAnsi="Arial" w:cs="Arial"/>
          <w:color w:val="auto"/>
          <w:sz w:val="24"/>
          <w:szCs w:val="22"/>
          <w:u w:val="single"/>
        </w:rPr>
        <w:t>Apartado I.</w:t>
      </w:r>
      <w:r w:rsidRPr="00F84E3C">
        <w:rPr>
          <w:rFonts w:ascii="Arial" w:hAnsi="Arial" w:cs="Arial"/>
          <w:color w:val="auto"/>
          <w:sz w:val="24"/>
          <w:szCs w:val="22"/>
        </w:rPr>
        <w:t xml:space="preserve"> </w:t>
      </w:r>
      <w:bookmarkEnd w:id="21"/>
      <w:r w:rsidRPr="00F84E3C">
        <w:rPr>
          <w:rFonts w:ascii="Arial" w:hAnsi="Arial" w:cs="Arial"/>
          <w:color w:val="auto"/>
          <w:sz w:val="24"/>
          <w:szCs w:val="22"/>
        </w:rPr>
        <w:t>Decisión general</w:t>
      </w:r>
      <w:bookmarkEnd w:id="22"/>
    </w:p>
    <w:p w14:paraId="11E9B77D" w14:textId="77777777" w:rsidR="00A76AF7" w:rsidRPr="00F84E3C" w:rsidRDefault="00A76AF7" w:rsidP="00B50865">
      <w:pPr>
        <w:spacing w:after="0" w:line="240" w:lineRule="auto"/>
        <w:jc w:val="both"/>
        <w:rPr>
          <w:rFonts w:ascii="Arial" w:eastAsia="Calibri" w:hAnsi="Arial" w:cs="Arial"/>
          <w:bCs/>
          <w:sz w:val="24"/>
          <w:szCs w:val="24"/>
          <w:lang w:eastAsia="es-MX"/>
        </w:rPr>
      </w:pPr>
      <w:bookmarkStart w:id="23" w:name="_Hlk54293741"/>
      <w:bookmarkStart w:id="24" w:name="_Hlk51882034"/>
    </w:p>
    <w:p w14:paraId="205FCD24" w14:textId="3FD73B9E" w:rsidR="00B50865" w:rsidRPr="00F84E3C" w:rsidRDefault="00EE69B7" w:rsidP="00B50865">
      <w:pPr>
        <w:spacing w:after="0" w:line="360" w:lineRule="auto"/>
        <w:jc w:val="both"/>
        <w:rPr>
          <w:rFonts w:ascii="Arial" w:eastAsia="Calibri" w:hAnsi="Arial" w:cs="Arial"/>
          <w:sz w:val="24"/>
          <w:szCs w:val="24"/>
        </w:rPr>
      </w:pPr>
      <w:r w:rsidRPr="00F84E3C">
        <w:rPr>
          <w:rFonts w:ascii="Arial" w:eastAsia="Calibri" w:hAnsi="Arial" w:cs="Arial"/>
          <w:bCs/>
          <w:sz w:val="24"/>
          <w:szCs w:val="24"/>
        </w:rPr>
        <w:t xml:space="preserve">Esta Sala Monterrey considera que </w:t>
      </w:r>
      <w:bookmarkStart w:id="25" w:name="_Hlk54351578"/>
      <w:r w:rsidR="004160DB" w:rsidRPr="00F84E3C">
        <w:rPr>
          <w:rFonts w:ascii="Arial" w:eastAsia="Calibri" w:hAnsi="Arial" w:cs="Arial"/>
          <w:bCs/>
          <w:sz w:val="24"/>
          <w:szCs w:val="24"/>
        </w:rPr>
        <w:t>se debe</w:t>
      </w:r>
      <w:r w:rsidR="002A63EC" w:rsidRPr="00F84E3C">
        <w:rPr>
          <w:rFonts w:ascii="Arial" w:hAnsi="Arial" w:cs="Arial"/>
          <w:bCs/>
          <w:sz w:val="24"/>
          <w:szCs w:val="24"/>
        </w:rPr>
        <w:t xml:space="preserve"> </w:t>
      </w:r>
      <w:bookmarkStart w:id="26" w:name="_Hlk52366211"/>
      <w:bookmarkEnd w:id="23"/>
      <w:bookmarkEnd w:id="25"/>
      <w:r w:rsidR="00313594" w:rsidRPr="00F84E3C">
        <w:rPr>
          <w:rFonts w:ascii="Arial" w:hAnsi="Arial" w:cs="Arial"/>
          <w:b/>
          <w:bCs/>
          <w:sz w:val="24"/>
          <w:szCs w:val="24"/>
        </w:rPr>
        <w:t>confirma</w:t>
      </w:r>
      <w:r w:rsidR="00B50865" w:rsidRPr="00F84E3C">
        <w:rPr>
          <w:rFonts w:ascii="Arial" w:hAnsi="Arial" w:cs="Arial"/>
          <w:b/>
          <w:bCs/>
          <w:sz w:val="24"/>
          <w:szCs w:val="24"/>
        </w:rPr>
        <w:t>r</w:t>
      </w:r>
      <w:r w:rsidR="00313594" w:rsidRPr="00F84E3C">
        <w:rPr>
          <w:rFonts w:ascii="Arial" w:hAnsi="Arial" w:cs="Arial"/>
          <w:sz w:val="24"/>
          <w:szCs w:val="24"/>
        </w:rPr>
        <w:t xml:space="preserve"> </w:t>
      </w:r>
      <w:r w:rsidR="00B50865" w:rsidRPr="00F84E3C">
        <w:rPr>
          <w:rFonts w:ascii="Arial" w:eastAsia="Calibri" w:hAnsi="Arial" w:cs="Arial"/>
          <w:bCs/>
          <w:sz w:val="24"/>
          <w:szCs w:val="24"/>
        </w:rPr>
        <w:t xml:space="preserve">la </w:t>
      </w:r>
      <w:r w:rsidR="00B50865" w:rsidRPr="00F84E3C">
        <w:rPr>
          <w:rFonts w:ascii="Arial" w:eastAsia="Calibri" w:hAnsi="Arial" w:cs="Arial"/>
          <w:sz w:val="24"/>
          <w:szCs w:val="24"/>
        </w:rPr>
        <w:t>resolución</w:t>
      </w:r>
      <w:r w:rsidR="00B50865" w:rsidRPr="00F84E3C">
        <w:rPr>
          <w:rFonts w:ascii="Arial" w:eastAsia="Calibri" w:hAnsi="Arial" w:cs="Arial"/>
          <w:bCs/>
          <w:sz w:val="24"/>
          <w:szCs w:val="24"/>
        </w:rPr>
        <w:t xml:space="preserve"> del Tribunal de Guanajuato que </w:t>
      </w:r>
      <w:r w:rsidR="00B50865" w:rsidRPr="00F84E3C">
        <w:rPr>
          <w:rFonts w:ascii="Arial" w:eastAsia="Calibri" w:hAnsi="Arial" w:cs="Arial"/>
          <w:b/>
          <w:bCs/>
          <w:sz w:val="24"/>
          <w:szCs w:val="24"/>
        </w:rPr>
        <w:t>sobreseyó</w:t>
      </w:r>
      <w:r w:rsidR="00B50865" w:rsidRPr="00F84E3C">
        <w:rPr>
          <w:rFonts w:ascii="Arial" w:eastAsia="Calibri" w:hAnsi="Arial" w:cs="Arial"/>
          <w:bCs/>
          <w:sz w:val="24"/>
          <w:szCs w:val="24"/>
        </w:rPr>
        <w:t xml:space="preserve"> la demanda del actor del juicio </w:t>
      </w:r>
      <w:r w:rsidR="00B50865" w:rsidRPr="00F84E3C">
        <w:rPr>
          <w:rFonts w:ascii="Arial" w:hAnsi="Arial" w:cs="Arial"/>
          <w:bCs/>
          <w:sz w:val="24"/>
          <w:szCs w:val="24"/>
        </w:rPr>
        <w:t xml:space="preserve">TEEG-JPDC/60/2020, en el que, a través de una notificación del </w:t>
      </w:r>
      <w:r w:rsidR="00BA7853" w:rsidRPr="00F84E3C">
        <w:rPr>
          <w:rFonts w:ascii="Arial" w:hAnsi="Arial" w:cs="Arial"/>
          <w:bCs/>
          <w:sz w:val="24"/>
          <w:szCs w:val="24"/>
        </w:rPr>
        <w:t>I</w:t>
      </w:r>
      <w:r w:rsidR="00B50865" w:rsidRPr="00F84E3C">
        <w:rPr>
          <w:rFonts w:ascii="Arial" w:hAnsi="Arial" w:cs="Arial"/>
          <w:bCs/>
          <w:sz w:val="24"/>
          <w:szCs w:val="24"/>
        </w:rPr>
        <w:t>nstituto</w:t>
      </w:r>
      <w:r w:rsidR="00BA7853" w:rsidRPr="00F84E3C">
        <w:rPr>
          <w:rFonts w:ascii="Arial" w:hAnsi="Arial" w:cs="Arial"/>
          <w:bCs/>
          <w:sz w:val="24"/>
          <w:szCs w:val="24"/>
        </w:rPr>
        <w:t xml:space="preserve"> Local</w:t>
      </w:r>
      <w:r w:rsidR="00B50865" w:rsidRPr="00F84E3C">
        <w:rPr>
          <w:rFonts w:ascii="Arial" w:hAnsi="Arial" w:cs="Arial"/>
          <w:bCs/>
          <w:sz w:val="24"/>
          <w:szCs w:val="24"/>
        </w:rPr>
        <w:t>, impugnó el registró que el INE realizó de la prórroga de la directiva estatal del PRI en ese estado</w:t>
      </w:r>
      <w:r w:rsidR="00B50865" w:rsidRPr="00F84E3C">
        <w:rPr>
          <w:rFonts w:ascii="Arial" w:eastAsia="Calibri" w:hAnsi="Arial" w:cs="Arial"/>
          <w:bCs/>
          <w:sz w:val="24"/>
          <w:szCs w:val="24"/>
        </w:rPr>
        <w:t xml:space="preserve">, al estimar, el Tribunal Local, que en el diverso juicio </w:t>
      </w:r>
      <w:r w:rsidR="00B50865" w:rsidRPr="00F84E3C">
        <w:rPr>
          <w:rFonts w:ascii="Arial" w:hAnsi="Arial" w:cs="Arial"/>
          <w:bCs/>
          <w:sz w:val="24"/>
          <w:szCs w:val="24"/>
        </w:rPr>
        <w:t xml:space="preserve">JPDC/65/2020, </w:t>
      </w:r>
      <w:r w:rsidR="00B50865" w:rsidRPr="00F84E3C">
        <w:rPr>
          <w:rFonts w:ascii="Arial" w:eastAsia="Calibri" w:hAnsi="Arial" w:cs="Arial"/>
          <w:bCs/>
          <w:sz w:val="24"/>
          <w:szCs w:val="24"/>
        </w:rPr>
        <w:t>presentado por el mismo actor ante esa instancia</w:t>
      </w:r>
      <w:r w:rsidR="0076385F" w:rsidRPr="00F84E3C">
        <w:rPr>
          <w:rFonts w:ascii="Arial" w:eastAsia="Calibri" w:hAnsi="Arial" w:cs="Arial"/>
          <w:bCs/>
          <w:sz w:val="24"/>
          <w:szCs w:val="24"/>
        </w:rPr>
        <w:t xml:space="preserve"> </w:t>
      </w:r>
      <w:r w:rsidR="00C75B5D" w:rsidRPr="00F84E3C">
        <w:rPr>
          <w:rFonts w:ascii="Arial" w:eastAsia="Calibri" w:hAnsi="Arial" w:cs="Arial"/>
          <w:bCs/>
          <w:sz w:val="24"/>
          <w:szCs w:val="24"/>
        </w:rPr>
        <w:t xml:space="preserve">contra </w:t>
      </w:r>
      <w:r w:rsidR="0076385F" w:rsidRPr="00F84E3C">
        <w:rPr>
          <w:rFonts w:ascii="Arial" w:eastAsia="Calibri" w:hAnsi="Arial" w:cs="Arial"/>
          <w:bCs/>
          <w:sz w:val="24"/>
          <w:szCs w:val="24"/>
        </w:rPr>
        <w:t>la inactividad  procesal de un medio partidista en el que se impugnaba esa misma prórroga de la directiva partidista</w:t>
      </w:r>
      <w:r w:rsidR="00B50865" w:rsidRPr="00F84E3C">
        <w:rPr>
          <w:rFonts w:ascii="Arial" w:eastAsia="Calibri" w:hAnsi="Arial" w:cs="Arial"/>
          <w:bCs/>
          <w:sz w:val="24"/>
          <w:szCs w:val="24"/>
        </w:rPr>
        <w:t xml:space="preserve"> y, por tanto, podría alcanzar su pretensión; </w:t>
      </w:r>
      <w:r w:rsidR="00B50865" w:rsidRPr="00F84E3C">
        <w:rPr>
          <w:rFonts w:ascii="Arial" w:eastAsia="Calibri" w:hAnsi="Arial" w:cs="Arial"/>
          <w:b/>
          <w:bCs/>
          <w:sz w:val="24"/>
          <w:szCs w:val="24"/>
        </w:rPr>
        <w:t xml:space="preserve">porque </w:t>
      </w:r>
      <w:r w:rsidR="00B50865" w:rsidRPr="00F84E3C">
        <w:rPr>
          <w:rFonts w:ascii="Arial" w:hAnsi="Arial" w:cs="Arial"/>
          <w:b/>
          <w:bCs/>
          <w:sz w:val="24"/>
          <w:szCs w:val="24"/>
        </w:rPr>
        <w:t xml:space="preserve">este órgano jurisdiccional considera </w:t>
      </w:r>
      <w:r w:rsidR="00B50865" w:rsidRPr="00F84E3C">
        <w:rPr>
          <w:rFonts w:ascii="Arial" w:hAnsi="Arial" w:cs="Arial"/>
          <w:bCs/>
          <w:sz w:val="24"/>
          <w:szCs w:val="24"/>
        </w:rPr>
        <w:t xml:space="preserve">que, con independencia de la opción procesal elegida (el sobreseimiento que finalizó anticipadamente el </w:t>
      </w:r>
      <w:r w:rsidR="00B50865" w:rsidRPr="00F84E3C">
        <w:rPr>
          <w:rFonts w:ascii="Arial" w:hAnsi="Arial" w:cs="Arial"/>
          <w:bCs/>
          <w:sz w:val="24"/>
          <w:szCs w:val="24"/>
        </w:rPr>
        <w:lastRenderedPageBreak/>
        <w:t>juicio por resultar innecesario, o bien, la inoperancia de los planteamientos), finalmente, es correcto, como señala el Tribunal res</w:t>
      </w:r>
      <w:r w:rsidR="00BA74CB" w:rsidRPr="00F84E3C">
        <w:rPr>
          <w:rFonts w:ascii="Arial" w:hAnsi="Arial" w:cs="Arial"/>
          <w:bCs/>
          <w:sz w:val="24"/>
          <w:szCs w:val="24"/>
        </w:rPr>
        <w:t>olutor</w:t>
      </w:r>
      <w:r w:rsidR="00B50865" w:rsidRPr="00F84E3C">
        <w:rPr>
          <w:rFonts w:ascii="Arial" w:hAnsi="Arial" w:cs="Arial"/>
          <w:bCs/>
          <w:sz w:val="24"/>
          <w:szCs w:val="24"/>
        </w:rPr>
        <w:t>, que en el diverso juicio el impugnante podría alcanzar su pretensión de</w:t>
      </w:r>
      <w:r w:rsidR="00B50865" w:rsidRPr="00F84E3C">
        <w:rPr>
          <w:rFonts w:ascii="Arial" w:hAnsi="Arial" w:cs="Arial"/>
          <w:sz w:val="24"/>
          <w:szCs w:val="24"/>
        </w:rPr>
        <w:t xml:space="preserve"> dejar sin efectos la </w:t>
      </w:r>
      <w:r w:rsidR="11C5075C" w:rsidRPr="00F84E3C">
        <w:rPr>
          <w:rFonts w:ascii="Arial" w:hAnsi="Arial" w:cs="Arial"/>
          <w:sz w:val="24"/>
          <w:szCs w:val="24"/>
        </w:rPr>
        <w:t>prórroga</w:t>
      </w:r>
      <w:r w:rsidR="00B50865" w:rsidRPr="00F84E3C">
        <w:rPr>
          <w:rFonts w:ascii="Arial" w:hAnsi="Arial" w:cs="Arial"/>
          <w:sz w:val="24"/>
          <w:szCs w:val="24"/>
        </w:rPr>
        <w:t xml:space="preserve"> de la directiva estatal y obtener su reconocimiento como Presidente del partido en la entidad</w:t>
      </w:r>
      <w:r w:rsidR="00B50865" w:rsidRPr="00F84E3C">
        <w:rPr>
          <w:rFonts w:ascii="Arial" w:hAnsi="Arial" w:cs="Arial"/>
          <w:bCs/>
          <w:sz w:val="24"/>
          <w:szCs w:val="24"/>
        </w:rPr>
        <w:t>.</w:t>
      </w:r>
    </w:p>
    <w:p w14:paraId="7B91A689" w14:textId="164D91C8" w:rsidR="009D61FF" w:rsidRPr="00F84E3C" w:rsidRDefault="009D61FF" w:rsidP="00B50865">
      <w:pPr>
        <w:spacing w:after="0" w:line="360" w:lineRule="auto"/>
        <w:jc w:val="both"/>
        <w:rPr>
          <w:rFonts w:ascii="Arial" w:eastAsia="Calibri" w:hAnsi="Arial" w:cs="Arial"/>
          <w:bCs/>
          <w:sz w:val="24"/>
          <w:szCs w:val="24"/>
        </w:rPr>
      </w:pPr>
    </w:p>
    <w:p w14:paraId="1DAED73F" w14:textId="77777777" w:rsidR="00513011" w:rsidRPr="00F84E3C" w:rsidRDefault="00EE69B7" w:rsidP="006C6C8B">
      <w:pPr>
        <w:pStyle w:val="Ttulo2"/>
        <w:spacing w:before="0" w:line="240" w:lineRule="auto"/>
        <w:jc w:val="both"/>
        <w:rPr>
          <w:rFonts w:ascii="Arial" w:hAnsi="Arial" w:cs="Arial"/>
          <w:color w:val="auto"/>
          <w:sz w:val="24"/>
          <w:szCs w:val="24"/>
        </w:rPr>
      </w:pPr>
      <w:bookmarkStart w:id="27" w:name="_Toc13563502"/>
      <w:bookmarkStart w:id="28" w:name="_Toc61560517"/>
      <w:bookmarkEnd w:id="24"/>
      <w:bookmarkEnd w:id="26"/>
      <w:r w:rsidRPr="00F84E3C">
        <w:rPr>
          <w:rFonts w:ascii="Arial" w:hAnsi="Arial" w:cs="Arial"/>
          <w:color w:val="auto"/>
          <w:sz w:val="24"/>
          <w:szCs w:val="24"/>
          <w:u w:val="single"/>
        </w:rPr>
        <w:t>Apartado II.</w:t>
      </w:r>
      <w:r w:rsidRPr="00F84E3C">
        <w:rPr>
          <w:rFonts w:ascii="Arial" w:hAnsi="Arial" w:cs="Arial"/>
          <w:color w:val="auto"/>
          <w:sz w:val="24"/>
          <w:szCs w:val="24"/>
        </w:rPr>
        <w:t xml:space="preserve"> Desarrollo o justificación de la decisi</w:t>
      </w:r>
      <w:bookmarkEnd w:id="27"/>
      <w:r w:rsidRPr="00F84E3C">
        <w:rPr>
          <w:rFonts w:ascii="Arial" w:hAnsi="Arial" w:cs="Arial"/>
          <w:color w:val="auto"/>
          <w:sz w:val="24"/>
          <w:szCs w:val="24"/>
        </w:rPr>
        <w:t>ón</w:t>
      </w:r>
      <w:bookmarkEnd w:id="28"/>
      <w:r w:rsidRPr="00F84E3C">
        <w:rPr>
          <w:rFonts w:ascii="Arial" w:hAnsi="Arial" w:cs="Arial"/>
          <w:color w:val="auto"/>
          <w:sz w:val="24"/>
          <w:szCs w:val="24"/>
        </w:rPr>
        <w:t xml:space="preserve"> </w:t>
      </w:r>
    </w:p>
    <w:p w14:paraId="5C60854E" w14:textId="77777777" w:rsidR="00D93190" w:rsidRPr="00F84E3C" w:rsidRDefault="00D93190" w:rsidP="00175EFD">
      <w:pPr>
        <w:spacing w:after="0" w:line="360" w:lineRule="auto"/>
        <w:jc w:val="both"/>
        <w:rPr>
          <w:rFonts w:ascii="Arial" w:hAnsi="Arial" w:cs="Arial"/>
          <w:b/>
          <w:bCs/>
          <w:sz w:val="24"/>
          <w:szCs w:val="24"/>
        </w:rPr>
      </w:pPr>
      <w:bookmarkStart w:id="29" w:name="_Hlk46145053"/>
    </w:p>
    <w:p w14:paraId="3DAB31B2" w14:textId="310C2B00" w:rsidR="00D44654" w:rsidRPr="00F84E3C" w:rsidRDefault="00DC653A" w:rsidP="00175EFD">
      <w:pPr>
        <w:spacing w:after="0" w:line="360" w:lineRule="auto"/>
        <w:jc w:val="both"/>
        <w:rPr>
          <w:rFonts w:ascii="Arial" w:hAnsi="Arial" w:cs="Arial"/>
          <w:b/>
          <w:bCs/>
          <w:sz w:val="24"/>
          <w:szCs w:val="24"/>
        </w:rPr>
      </w:pPr>
      <w:r w:rsidRPr="00F84E3C">
        <w:rPr>
          <w:rFonts w:ascii="Arial" w:hAnsi="Arial" w:cs="Arial"/>
          <w:b/>
          <w:bCs/>
          <w:sz w:val="24"/>
          <w:szCs w:val="24"/>
        </w:rPr>
        <w:t>1.</w:t>
      </w:r>
      <w:r w:rsidR="006F3B36" w:rsidRPr="00F84E3C">
        <w:rPr>
          <w:rFonts w:ascii="Arial" w:hAnsi="Arial" w:cs="Arial"/>
          <w:b/>
          <w:bCs/>
          <w:sz w:val="24"/>
          <w:szCs w:val="24"/>
        </w:rPr>
        <w:t>1</w:t>
      </w:r>
      <w:r w:rsidRPr="00F84E3C">
        <w:rPr>
          <w:rFonts w:ascii="Arial" w:hAnsi="Arial" w:cs="Arial"/>
          <w:b/>
          <w:bCs/>
          <w:sz w:val="24"/>
          <w:szCs w:val="24"/>
        </w:rPr>
        <w:t xml:space="preserve"> </w:t>
      </w:r>
      <w:r w:rsidR="00D44654" w:rsidRPr="00F84E3C">
        <w:rPr>
          <w:rFonts w:ascii="Arial" w:hAnsi="Arial" w:cs="Arial"/>
          <w:b/>
          <w:bCs/>
          <w:sz w:val="24"/>
          <w:szCs w:val="24"/>
        </w:rPr>
        <w:t xml:space="preserve">Marco normativo </w:t>
      </w:r>
      <w:r w:rsidR="00750749" w:rsidRPr="00F84E3C">
        <w:rPr>
          <w:rFonts w:ascii="Arial" w:hAnsi="Arial" w:cs="Arial"/>
          <w:b/>
          <w:bCs/>
          <w:sz w:val="24"/>
          <w:szCs w:val="24"/>
        </w:rPr>
        <w:t xml:space="preserve">sobre el </w:t>
      </w:r>
      <w:r w:rsidR="006F3B36" w:rsidRPr="00F84E3C">
        <w:rPr>
          <w:rFonts w:ascii="Arial" w:hAnsi="Arial" w:cs="Arial"/>
          <w:b/>
          <w:bCs/>
          <w:sz w:val="24"/>
          <w:szCs w:val="24"/>
        </w:rPr>
        <w:t>derecho a una justicia completa</w:t>
      </w:r>
      <w:r w:rsidR="00750749" w:rsidRPr="00F84E3C">
        <w:rPr>
          <w:rFonts w:ascii="Arial" w:hAnsi="Arial" w:cs="Arial"/>
          <w:b/>
          <w:bCs/>
          <w:sz w:val="24"/>
          <w:szCs w:val="24"/>
        </w:rPr>
        <w:t>.</w:t>
      </w:r>
    </w:p>
    <w:p w14:paraId="34078CC3" w14:textId="77777777" w:rsidR="00D44654" w:rsidRPr="00F84E3C" w:rsidRDefault="00D44654" w:rsidP="00750749">
      <w:pPr>
        <w:spacing w:after="0" w:line="240" w:lineRule="auto"/>
        <w:jc w:val="both"/>
        <w:rPr>
          <w:rFonts w:ascii="Arial" w:hAnsi="Arial" w:cs="Arial"/>
          <w:bCs/>
          <w:sz w:val="24"/>
          <w:szCs w:val="24"/>
        </w:rPr>
      </w:pPr>
    </w:p>
    <w:p w14:paraId="6511A5EF" w14:textId="1D2739E0" w:rsidR="00957FB8" w:rsidRPr="00F84E3C" w:rsidRDefault="00957FB8" w:rsidP="00957FB8">
      <w:pPr>
        <w:spacing w:after="0" w:line="360" w:lineRule="auto"/>
        <w:jc w:val="both"/>
        <w:rPr>
          <w:rFonts w:ascii="Arial" w:hAnsi="Arial" w:cs="Arial"/>
          <w:bCs/>
          <w:sz w:val="24"/>
          <w:szCs w:val="24"/>
        </w:rPr>
      </w:pPr>
      <w:r w:rsidRPr="00F84E3C">
        <w:rPr>
          <w:rFonts w:ascii="Arial" w:hAnsi="Arial" w:cs="Arial"/>
          <w:bCs/>
          <w:sz w:val="24"/>
          <w:szCs w:val="24"/>
        </w:rPr>
        <w:t xml:space="preserve">El artículo 17 de la Constitución establece el deber de los tribunales de administrar justicia completa para las personas. </w:t>
      </w:r>
    </w:p>
    <w:p w14:paraId="02F541EE" w14:textId="49ACF580" w:rsidR="00957FB8" w:rsidRPr="00F84E3C" w:rsidRDefault="00957FB8" w:rsidP="00957FB8">
      <w:pPr>
        <w:spacing w:after="0" w:line="360" w:lineRule="auto"/>
        <w:jc w:val="both"/>
        <w:rPr>
          <w:rFonts w:ascii="Arial" w:hAnsi="Arial" w:cs="Arial"/>
          <w:bCs/>
          <w:sz w:val="24"/>
          <w:szCs w:val="24"/>
        </w:rPr>
      </w:pPr>
    </w:p>
    <w:p w14:paraId="6D09EE68" w14:textId="60F3DB80" w:rsidR="00957FB8" w:rsidRPr="00F84E3C" w:rsidRDefault="00957FB8" w:rsidP="00957FB8">
      <w:pPr>
        <w:spacing w:after="0" w:line="360" w:lineRule="auto"/>
        <w:jc w:val="both"/>
        <w:rPr>
          <w:rFonts w:ascii="Arial" w:hAnsi="Arial" w:cs="Arial"/>
          <w:bCs/>
          <w:sz w:val="24"/>
          <w:szCs w:val="24"/>
        </w:rPr>
      </w:pPr>
      <w:r w:rsidRPr="00F84E3C">
        <w:rPr>
          <w:rFonts w:ascii="Arial" w:hAnsi="Arial" w:cs="Arial"/>
          <w:bCs/>
          <w:sz w:val="24"/>
          <w:szCs w:val="24"/>
        </w:rPr>
        <w:t xml:space="preserve">Esto, desde luego, en el entendido de que ese deber sólo implica el derecho de las personas a que sus demandas sean </w:t>
      </w:r>
      <w:r w:rsidR="005B5E3C" w:rsidRPr="00F84E3C">
        <w:rPr>
          <w:rFonts w:ascii="Arial" w:hAnsi="Arial" w:cs="Arial"/>
          <w:bCs/>
          <w:sz w:val="24"/>
          <w:szCs w:val="24"/>
        </w:rPr>
        <w:t xml:space="preserve">objeto de pronunciamiento </w:t>
      </w:r>
      <w:r w:rsidRPr="00F84E3C">
        <w:rPr>
          <w:rFonts w:ascii="Arial" w:hAnsi="Arial" w:cs="Arial"/>
          <w:bCs/>
          <w:sz w:val="24"/>
          <w:szCs w:val="24"/>
        </w:rPr>
        <w:t xml:space="preserve">en una decisión definitiva, </w:t>
      </w:r>
      <w:r w:rsidR="00887915" w:rsidRPr="00F84E3C">
        <w:rPr>
          <w:rFonts w:ascii="Arial" w:hAnsi="Arial" w:cs="Arial"/>
          <w:bCs/>
          <w:sz w:val="24"/>
          <w:szCs w:val="24"/>
        </w:rPr>
        <w:t xml:space="preserve">como puede ser una determinación de improcedencia (desechamiento o sobreseimiento) o una sentencia de fondo, </w:t>
      </w:r>
      <w:r w:rsidR="006F3B36" w:rsidRPr="00F84E3C">
        <w:rPr>
          <w:rFonts w:ascii="Arial" w:hAnsi="Arial" w:cs="Arial"/>
          <w:bCs/>
          <w:sz w:val="24"/>
          <w:szCs w:val="24"/>
        </w:rPr>
        <w:t>pero necesariamente a través de esta última.</w:t>
      </w:r>
    </w:p>
    <w:p w14:paraId="47ECA9EB" w14:textId="77777777" w:rsidR="006F3B36" w:rsidRPr="00F84E3C" w:rsidRDefault="006F3B36" w:rsidP="00957FB8">
      <w:pPr>
        <w:spacing w:after="0" w:line="360" w:lineRule="auto"/>
        <w:jc w:val="both"/>
        <w:rPr>
          <w:rFonts w:ascii="Arial" w:hAnsi="Arial" w:cs="Arial"/>
          <w:bCs/>
          <w:sz w:val="24"/>
          <w:szCs w:val="24"/>
        </w:rPr>
      </w:pPr>
    </w:p>
    <w:p w14:paraId="67789DD9" w14:textId="2868532F" w:rsidR="003C678B" w:rsidRPr="00F84E3C" w:rsidRDefault="006F3B36" w:rsidP="003C678B">
      <w:pPr>
        <w:spacing w:after="0" w:line="360" w:lineRule="auto"/>
        <w:jc w:val="both"/>
        <w:rPr>
          <w:rFonts w:ascii="Arial" w:hAnsi="Arial" w:cs="Arial"/>
          <w:b/>
          <w:bCs/>
          <w:sz w:val="24"/>
          <w:szCs w:val="24"/>
        </w:rPr>
      </w:pPr>
      <w:r w:rsidRPr="00F84E3C">
        <w:rPr>
          <w:rFonts w:ascii="Arial" w:hAnsi="Arial" w:cs="Arial"/>
          <w:b/>
          <w:sz w:val="24"/>
          <w:szCs w:val="24"/>
        </w:rPr>
        <w:t xml:space="preserve">1.2 </w:t>
      </w:r>
      <w:r w:rsidR="00617678" w:rsidRPr="00F84E3C">
        <w:rPr>
          <w:rFonts w:ascii="Arial" w:hAnsi="Arial" w:cs="Arial"/>
          <w:b/>
          <w:sz w:val="24"/>
          <w:szCs w:val="24"/>
        </w:rPr>
        <w:t>Causas de una r</w:t>
      </w:r>
      <w:r w:rsidRPr="00F84E3C">
        <w:rPr>
          <w:rFonts w:ascii="Arial" w:hAnsi="Arial" w:cs="Arial"/>
          <w:b/>
          <w:bCs/>
          <w:sz w:val="24"/>
          <w:szCs w:val="24"/>
        </w:rPr>
        <w:t>esolución definitiva de sobreseimiento en el juicio ciudadano en Guanajuato.</w:t>
      </w:r>
    </w:p>
    <w:p w14:paraId="591195ED" w14:textId="4E2DB9E8" w:rsidR="0F6C82EA" w:rsidRPr="00F84E3C" w:rsidRDefault="0F6C82EA" w:rsidP="289CD895">
      <w:pPr>
        <w:spacing w:after="0" w:line="360" w:lineRule="auto"/>
        <w:jc w:val="both"/>
        <w:rPr>
          <w:rFonts w:ascii="Arial" w:eastAsia="Arial" w:hAnsi="Arial" w:cs="Arial"/>
          <w:sz w:val="24"/>
          <w:szCs w:val="24"/>
        </w:rPr>
      </w:pPr>
    </w:p>
    <w:p w14:paraId="636A62E1" w14:textId="24E2D117" w:rsidR="6CA4FFB4" w:rsidRPr="00F84E3C" w:rsidRDefault="6CA4FFB4" w:rsidP="30C81551">
      <w:pPr>
        <w:spacing w:line="360" w:lineRule="auto"/>
        <w:jc w:val="both"/>
        <w:rPr>
          <w:rFonts w:ascii="Arial" w:eastAsia="Arial" w:hAnsi="Arial" w:cs="Arial"/>
          <w:color w:val="000000" w:themeColor="text1"/>
          <w:sz w:val="24"/>
          <w:szCs w:val="24"/>
        </w:rPr>
      </w:pPr>
      <w:r w:rsidRPr="00F84E3C">
        <w:rPr>
          <w:rFonts w:ascii="Arial" w:eastAsia="Arial" w:hAnsi="Arial" w:cs="Arial"/>
          <w:color w:val="000000" w:themeColor="text1"/>
          <w:sz w:val="24"/>
          <w:szCs w:val="24"/>
        </w:rPr>
        <w:t xml:space="preserve">La Ley de Instituciones y Procedimientos Electorales para el Estado de Guanajuato establece que un medio de impugnación se desechará </w:t>
      </w:r>
      <w:r w:rsidR="00E63F11" w:rsidRPr="00F84E3C">
        <w:rPr>
          <w:rFonts w:ascii="Arial" w:eastAsia="Arial" w:hAnsi="Arial" w:cs="Arial"/>
          <w:color w:val="000000" w:themeColor="text1"/>
          <w:sz w:val="24"/>
          <w:szCs w:val="24"/>
        </w:rPr>
        <w:t>(o implicitamente que se sobreserá</w:t>
      </w:r>
      <w:r w:rsidR="00EC59F8" w:rsidRPr="00F84E3C">
        <w:rPr>
          <w:rFonts w:ascii="Arial" w:eastAsia="Arial" w:hAnsi="Arial" w:cs="Arial"/>
          <w:color w:val="000000" w:themeColor="text1"/>
          <w:sz w:val="24"/>
          <w:szCs w:val="24"/>
        </w:rPr>
        <w:t>, si está admitido</w:t>
      </w:r>
      <w:r w:rsidR="00E63F11" w:rsidRPr="00F84E3C">
        <w:rPr>
          <w:rFonts w:ascii="Arial" w:eastAsia="Arial" w:hAnsi="Arial" w:cs="Arial"/>
          <w:color w:val="000000" w:themeColor="text1"/>
          <w:sz w:val="24"/>
          <w:szCs w:val="24"/>
        </w:rPr>
        <w:t xml:space="preserve">) </w:t>
      </w:r>
      <w:r w:rsidRPr="00F84E3C">
        <w:rPr>
          <w:rFonts w:ascii="Arial" w:eastAsia="Arial" w:hAnsi="Arial" w:cs="Arial"/>
          <w:color w:val="000000" w:themeColor="text1"/>
          <w:sz w:val="24"/>
          <w:szCs w:val="24"/>
        </w:rPr>
        <w:t xml:space="preserve">cuando se esté tramitando otro medio de impugnación interpuesto por el propio promovente que pueda tener por efecto modificar, revocar o anular el acto o resolución impugnado (artículo 420, fracción VI </w:t>
      </w:r>
      <w:r w:rsidR="00044A90" w:rsidRPr="00F84E3C">
        <w:rPr>
          <w:rStyle w:val="Refdenotaalpie"/>
          <w:rFonts w:ascii="Arial" w:eastAsia="Arial" w:hAnsi="Arial" w:cs="Arial"/>
          <w:color w:val="000000" w:themeColor="text1"/>
          <w:sz w:val="24"/>
          <w:szCs w:val="24"/>
        </w:rPr>
        <w:footnoteReference w:id="10"/>
      </w:r>
      <w:r w:rsidRPr="00F84E3C">
        <w:rPr>
          <w:rFonts w:ascii="Arial" w:eastAsia="Arial" w:hAnsi="Arial" w:cs="Arial"/>
          <w:color w:val="000000" w:themeColor="text1"/>
          <w:sz w:val="24"/>
          <w:szCs w:val="24"/>
        </w:rPr>
        <w:t>).</w:t>
      </w:r>
    </w:p>
    <w:p w14:paraId="5DD08F88" w14:textId="4FF994CA" w:rsidR="30C81551" w:rsidRPr="00F84E3C" w:rsidRDefault="00EC59F8" w:rsidP="009F567E">
      <w:pPr>
        <w:spacing w:line="360" w:lineRule="auto"/>
        <w:jc w:val="both"/>
        <w:rPr>
          <w:rFonts w:ascii="Arial" w:eastAsia="Arial" w:hAnsi="Arial" w:cs="Arial"/>
          <w:sz w:val="24"/>
          <w:szCs w:val="24"/>
        </w:rPr>
      </w:pPr>
      <w:r w:rsidRPr="00F84E3C">
        <w:rPr>
          <w:rFonts w:ascii="Arial" w:eastAsia="Arial" w:hAnsi="Arial" w:cs="Arial"/>
          <w:color w:val="000000" w:themeColor="text1"/>
          <w:sz w:val="24"/>
          <w:szCs w:val="24"/>
        </w:rPr>
        <w:t xml:space="preserve">Esto </w:t>
      </w:r>
      <w:r w:rsidR="00494063" w:rsidRPr="00F84E3C">
        <w:rPr>
          <w:rFonts w:ascii="Arial" w:eastAsia="Arial" w:hAnsi="Arial" w:cs="Arial"/>
          <w:color w:val="000000" w:themeColor="text1"/>
          <w:sz w:val="24"/>
          <w:szCs w:val="24"/>
        </w:rPr>
        <w:t xml:space="preserve">es, </w:t>
      </w:r>
      <w:r w:rsidR="00251ED1" w:rsidRPr="00F84E3C">
        <w:rPr>
          <w:rFonts w:ascii="Arial" w:eastAsia="Arial" w:hAnsi="Arial" w:cs="Arial"/>
          <w:color w:val="000000" w:themeColor="text1"/>
          <w:sz w:val="24"/>
          <w:szCs w:val="24"/>
        </w:rPr>
        <w:t xml:space="preserve">que el sobresemiento se actuliza cuando la autoridad advierte que lo impugnado puede </w:t>
      </w:r>
      <w:r w:rsidR="00FC285A" w:rsidRPr="00F84E3C">
        <w:rPr>
          <w:rFonts w:ascii="Arial" w:eastAsia="Arial" w:hAnsi="Arial" w:cs="Arial"/>
          <w:color w:val="000000" w:themeColor="text1"/>
          <w:sz w:val="24"/>
          <w:szCs w:val="24"/>
        </w:rPr>
        <w:t xml:space="preserve">ser objeto de un cambio </w:t>
      </w:r>
      <w:r w:rsidR="009F567E" w:rsidRPr="00F84E3C">
        <w:rPr>
          <w:rFonts w:ascii="Arial" w:eastAsia="Arial" w:hAnsi="Arial" w:cs="Arial"/>
          <w:color w:val="000000" w:themeColor="text1"/>
          <w:sz w:val="24"/>
          <w:szCs w:val="24"/>
        </w:rPr>
        <w:t xml:space="preserve">a través de una diversa impugnación, ante lo cual, queda autorizada para </w:t>
      </w:r>
      <w:r w:rsidR="00164EF0" w:rsidRPr="00F84E3C">
        <w:rPr>
          <w:rFonts w:ascii="Arial" w:eastAsia="Arial" w:hAnsi="Arial" w:cs="Arial"/>
          <w:color w:val="000000" w:themeColor="text1"/>
          <w:sz w:val="24"/>
          <w:szCs w:val="24"/>
        </w:rPr>
        <w:t>terminar anticipadamente el juicio.</w:t>
      </w:r>
    </w:p>
    <w:p w14:paraId="27F6CD21" w14:textId="5D31D550" w:rsidR="00164EF0" w:rsidRPr="00F84E3C" w:rsidRDefault="00FE783D" w:rsidP="00FE783D">
      <w:pPr>
        <w:tabs>
          <w:tab w:val="left" w:pos="2478"/>
        </w:tabs>
        <w:spacing w:after="0" w:line="240" w:lineRule="auto"/>
        <w:jc w:val="both"/>
      </w:pPr>
      <w:r w:rsidRPr="00F84E3C">
        <w:tab/>
      </w:r>
    </w:p>
    <w:p w14:paraId="62EFA400" w14:textId="5936D784" w:rsidR="004C555D" w:rsidRPr="00F84E3C" w:rsidRDefault="004C555D" w:rsidP="1398C1FB">
      <w:pPr>
        <w:spacing w:after="0" w:line="360" w:lineRule="auto"/>
        <w:jc w:val="both"/>
        <w:rPr>
          <w:rFonts w:ascii="Arial" w:hAnsi="Arial" w:cs="Arial"/>
          <w:b/>
          <w:sz w:val="24"/>
          <w:szCs w:val="24"/>
        </w:rPr>
      </w:pPr>
      <w:r w:rsidRPr="00F84E3C">
        <w:rPr>
          <w:rFonts w:ascii="Arial" w:hAnsi="Arial" w:cs="Arial"/>
          <w:b/>
          <w:bCs/>
          <w:sz w:val="24"/>
          <w:szCs w:val="24"/>
        </w:rPr>
        <w:lastRenderedPageBreak/>
        <w:t>2. Caso concreto.</w:t>
      </w:r>
    </w:p>
    <w:p w14:paraId="35176376" w14:textId="77777777" w:rsidR="004C555D" w:rsidRPr="00F84E3C" w:rsidRDefault="004C555D" w:rsidP="00044A90">
      <w:pPr>
        <w:spacing w:after="0" w:line="240" w:lineRule="auto"/>
        <w:jc w:val="both"/>
        <w:rPr>
          <w:rFonts w:ascii="Arial" w:eastAsia="Calibri" w:hAnsi="Arial" w:cs="Arial"/>
          <w:bCs/>
          <w:sz w:val="24"/>
          <w:szCs w:val="24"/>
        </w:rPr>
      </w:pPr>
    </w:p>
    <w:p w14:paraId="43FE9827" w14:textId="4F175265" w:rsidR="004C555D" w:rsidRPr="00F84E3C" w:rsidRDefault="004C555D" w:rsidP="00175EFD">
      <w:pPr>
        <w:spacing w:after="0" w:line="360" w:lineRule="auto"/>
        <w:jc w:val="both"/>
        <w:rPr>
          <w:rFonts w:ascii="Arial" w:eastAsia="Calibri" w:hAnsi="Arial" w:cs="Arial"/>
          <w:bCs/>
          <w:sz w:val="24"/>
          <w:szCs w:val="24"/>
        </w:rPr>
      </w:pPr>
      <w:r w:rsidRPr="00F84E3C">
        <w:rPr>
          <w:rFonts w:ascii="Arial" w:eastAsia="Calibri" w:hAnsi="Arial" w:cs="Arial"/>
          <w:bCs/>
          <w:sz w:val="24"/>
          <w:szCs w:val="24"/>
        </w:rPr>
        <w:t xml:space="preserve">En la </w:t>
      </w:r>
      <w:r w:rsidRPr="00F84E3C">
        <w:rPr>
          <w:rFonts w:ascii="Arial" w:eastAsia="Calibri" w:hAnsi="Arial" w:cs="Arial"/>
          <w:sz w:val="24"/>
          <w:szCs w:val="24"/>
        </w:rPr>
        <w:t>resolución</w:t>
      </w:r>
      <w:r w:rsidRPr="00F84E3C">
        <w:rPr>
          <w:rFonts w:ascii="Arial" w:eastAsia="Calibri" w:hAnsi="Arial" w:cs="Arial"/>
          <w:bCs/>
          <w:sz w:val="24"/>
          <w:szCs w:val="24"/>
        </w:rPr>
        <w:t xml:space="preserve"> </w:t>
      </w:r>
      <w:r w:rsidR="07A7FDB3" w:rsidRPr="00F84E3C">
        <w:rPr>
          <w:rFonts w:ascii="Arial" w:eastAsia="Calibri" w:hAnsi="Arial" w:cs="Arial"/>
          <w:sz w:val="24"/>
          <w:szCs w:val="24"/>
        </w:rPr>
        <w:t>impugnada</w:t>
      </w:r>
      <w:r w:rsidRPr="00F84E3C">
        <w:rPr>
          <w:rFonts w:ascii="Arial" w:eastAsia="Calibri" w:hAnsi="Arial" w:cs="Arial"/>
          <w:bCs/>
          <w:sz w:val="24"/>
          <w:szCs w:val="24"/>
        </w:rPr>
        <w:t xml:space="preserve">, </w:t>
      </w:r>
      <w:r w:rsidRPr="00F84E3C">
        <w:rPr>
          <w:rFonts w:ascii="Arial" w:eastAsia="Calibri" w:hAnsi="Arial" w:cs="Arial"/>
          <w:b/>
          <w:sz w:val="24"/>
          <w:szCs w:val="24"/>
        </w:rPr>
        <w:t>el Tribunal de Guanajuato sobreseyó la demanda del actor del juicio</w:t>
      </w:r>
      <w:r w:rsidRPr="00F84E3C">
        <w:rPr>
          <w:rFonts w:ascii="Arial" w:eastAsia="Calibri" w:hAnsi="Arial" w:cs="Arial"/>
          <w:bCs/>
          <w:sz w:val="24"/>
          <w:szCs w:val="24"/>
        </w:rPr>
        <w:t xml:space="preserve"> </w:t>
      </w:r>
      <w:r w:rsidRPr="00F84E3C">
        <w:rPr>
          <w:rFonts w:ascii="Arial" w:hAnsi="Arial" w:cs="Arial"/>
          <w:bCs/>
          <w:sz w:val="24"/>
          <w:szCs w:val="24"/>
        </w:rPr>
        <w:t>TEEG-JPDC</w:t>
      </w:r>
      <w:r w:rsidRPr="00F84E3C">
        <w:rPr>
          <w:rFonts w:ascii="Arial" w:hAnsi="Arial" w:cs="Arial"/>
          <w:b/>
          <w:sz w:val="24"/>
          <w:szCs w:val="24"/>
        </w:rPr>
        <w:t>/60/2020</w:t>
      </w:r>
      <w:r w:rsidRPr="00F84E3C">
        <w:rPr>
          <w:rFonts w:ascii="Arial" w:hAnsi="Arial" w:cs="Arial"/>
          <w:bCs/>
          <w:sz w:val="24"/>
          <w:szCs w:val="24"/>
        </w:rPr>
        <w:t xml:space="preserve">, en el que, a través de una notificación del </w:t>
      </w:r>
      <w:r w:rsidR="00BA7853" w:rsidRPr="00F84E3C">
        <w:rPr>
          <w:rFonts w:ascii="Arial" w:hAnsi="Arial" w:cs="Arial"/>
          <w:bCs/>
          <w:sz w:val="24"/>
          <w:szCs w:val="24"/>
        </w:rPr>
        <w:t>Instituto Local</w:t>
      </w:r>
      <w:r w:rsidRPr="00F84E3C">
        <w:rPr>
          <w:rFonts w:ascii="Arial" w:hAnsi="Arial" w:cs="Arial"/>
          <w:bCs/>
          <w:sz w:val="24"/>
          <w:szCs w:val="24"/>
        </w:rPr>
        <w:t xml:space="preserve">, </w:t>
      </w:r>
      <w:r w:rsidRPr="00F84E3C">
        <w:rPr>
          <w:rFonts w:ascii="Arial" w:hAnsi="Arial" w:cs="Arial"/>
          <w:b/>
          <w:sz w:val="24"/>
          <w:szCs w:val="24"/>
        </w:rPr>
        <w:t>impugnó el registró que el INE realizó de la prórroga de la directiva estatal del PRI en ese estado</w:t>
      </w:r>
      <w:r w:rsidRPr="00F84E3C">
        <w:rPr>
          <w:rFonts w:ascii="Arial" w:eastAsia="Calibri" w:hAnsi="Arial" w:cs="Arial"/>
          <w:bCs/>
          <w:sz w:val="24"/>
          <w:szCs w:val="24"/>
        </w:rPr>
        <w:t xml:space="preserve">, </w:t>
      </w:r>
      <w:r w:rsidRPr="00F84E3C">
        <w:rPr>
          <w:rFonts w:ascii="Arial" w:eastAsia="Calibri" w:hAnsi="Arial" w:cs="Arial"/>
          <w:b/>
          <w:sz w:val="24"/>
          <w:szCs w:val="24"/>
        </w:rPr>
        <w:t>al estimar,</w:t>
      </w:r>
      <w:r w:rsidRPr="00F84E3C">
        <w:rPr>
          <w:rFonts w:ascii="Arial" w:eastAsia="Calibri" w:hAnsi="Arial" w:cs="Arial"/>
          <w:bCs/>
          <w:sz w:val="24"/>
          <w:szCs w:val="24"/>
        </w:rPr>
        <w:t xml:space="preserve"> el Tribunal Local, que en el diverso juicio</w:t>
      </w:r>
      <w:r w:rsidR="003C678B" w:rsidRPr="00F84E3C">
        <w:rPr>
          <w:rFonts w:ascii="Arial" w:eastAsia="Calibri" w:hAnsi="Arial" w:cs="Arial"/>
          <w:bCs/>
          <w:sz w:val="24"/>
          <w:szCs w:val="24"/>
        </w:rPr>
        <w:t xml:space="preserve"> </w:t>
      </w:r>
      <w:r w:rsidR="003C678B" w:rsidRPr="00F84E3C">
        <w:rPr>
          <w:rFonts w:ascii="Arial" w:hAnsi="Arial" w:cs="Arial"/>
          <w:bCs/>
          <w:sz w:val="24"/>
          <w:szCs w:val="24"/>
        </w:rPr>
        <w:t>TEEG-</w:t>
      </w:r>
      <w:r w:rsidRPr="00F84E3C">
        <w:rPr>
          <w:rFonts w:ascii="Arial" w:hAnsi="Arial" w:cs="Arial"/>
          <w:bCs/>
          <w:sz w:val="24"/>
          <w:szCs w:val="24"/>
        </w:rPr>
        <w:t xml:space="preserve">JPDC/65/2020, </w:t>
      </w:r>
      <w:r w:rsidRPr="00F84E3C">
        <w:rPr>
          <w:rFonts w:ascii="Arial" w:eastAsia="Calibri" w:hAnsi="Arial" w:cs="Arial"/>
          <w:bCs/>
          <w:sz w:val="24"/>
          <w:szCs w:val="24"/>
        </w:rPr>
        <w:t>presentado por el mismo actor ante esa instancia, impugnaba</w:t>
      </w:r>
      <w:r w:rsidR="00111626" w:rsidRPr="00F84E3C">
        <w:rPr>
          <w:rFonts w:ascii="Arial" w:eastAsia="Calibri" w:hAnsi="Arial" w:cs="Arial"/>
          <w:bCs/>
          <w:sz w:val="24"/>
          <w:szCs w:val="24"/>
        </w:rPr>
        <w:t xml:space="preserve"> la inactividad en un medio partidista contra</w:t>
      </w:r>
      <w:r w:rsidRPr="00F84E3C">
        <w:rPr>
          <w:rFonts w:ascii="Arial" w:eastAsia="Calibri" w:hAnsi="Arial" w:cs="Arial"/>
          <w:bCs/>
          <w:sz w:val="24"/>
          <w:szCs w:val="24"/>
        </w:rPr>
        <w:t xml:space="preserve"> esa misma prórroga de la directiva partidista y, por tanto, podría alcanzar su pretensión.</w:t>
      </w:r>
    </w:p>
    <w:p w14:paraId="2A3E790C" w14:textId="7C813D64" w:rsidR="004C555D" w:rsidRPr="00F84E3C" w:rsidRDefault="004C555D" w:rsidP="00175EFD">
      <w:pPr>
        <w:spacing w:after="0" w:line="360" w:lineRule="auto"/>
        <w:jc w:val="both"/>
        <w:rPr>
          <w:rFonts w:ascii="Arial" w:hAnsi="Arial" w:cs="Arial"/>
          <w:bCs/>
          <w:sz w:val="24"/>
          <w:szCs w:val="24"/>
        </w:rPr>
      </w:pPr>
    </w:p>
    <w:p w14:paraId="0C876A86" w14:textId="03B164BB" w:rsidR="00893EE4" w:rsidRPr="00F84E3C" w:rsidRDefault="004C555D" w:rsidP="00175EFD">
      <w:pPr>
        <w:spacing w:after="0" w:line="360" w:lineRule="auto"/>
        <w:jc w:val="both"/>
        <w:rPr>
          <w:rFonts w:ascii="Arial" w:hAnsi="Arial" w:cs="Arial"/>
          <w:bCs/>
          <w:sz w:val="24"/>
          <w:szCs w:val="24"/>
        </w:rPr>
      </w:pPr>
      <w:r w:rsidRPr="00F84E3C">
        <w:rPr>
          <w:rFonts w:ascii="Arial" w:hAnsi="Arial" w:cs="Arial"/>
          <w:b/>
          <w:bCs/>
          <w:sz w:val="24"/>
          <w:szCs w:val="24"/>
        </w:rPr>
        <w:t xml:space="preserve">Para el </w:t>
      </w:r>
      <w:r w:rsidR="00893EE4" w:rsidRPr="00F84E3C">
        <w:rPr>
          <w:rFonts w:ascii="Arial" w:hAnsi="Arial" w:cs="Arial"/>
          <w:b/>
          <w:bCs/>
          <w:sz w:val="24"/>
          <w:szCs w:val="24"/>
        </w:rPr>
        <w:t>actor</w:t>
      </w:r>
      <w:r w:rsidRPr="00F84E3C">
        <w:rPr>
          <w:rFonts w:ascii="Arial" w:hAnsi="Arial" w:cs="Arial"/>
          <w:b/>
          <w:bCs/>
          <w:sz w:val="24"/>
          <w:szCs w:val="24"/>
        </w:rPr>
        <w:t xml:space="preserve">, </w:t>
      </w:r>
      <w:r w:rsidR="00A5066F" w:rsidRPr="00F84E3C">
        <w:rPr>
          <w:rFonts w:ascii="Arial" w:hAnsi="Arial" w:cs="Arial"/>
          <w:b/>
          <w:bCs/>
          <w:sz w:val="24"/>
          <w:szCs w:val="24"/>
        </w:rPr>
        <w:t xml:space="preserve">sustancialmente, </w:t>
      </w:r>
      <w:r w:rsidRPr="00F84E3C">
        <w:rPr>
          <w:rFonts w:ascii="Arial" w:hAnsi="Arial" w:cs="Arial"/>
          <w:sz w:val="24"/>
          <w:szCs w:val="24"/>
        </w:rPr>
        <w:t>el Tribunal Local actuó</w:t>
      </w:r>
      <w:r w:rsidRPr="00F84E3C">
        <w:rPr>
          <w:rFonts w:ascii="Arial" w:hAnsi="Arial" w:cs="Arial"/>
          <w:b/>
          <w:bCs/>
          <w:sz w:val="24"/>
          <w:szCs w:val="24"/>
        </w:rPr>
        <w:t xml:space="preserve"> </w:t>
      </w:r>
      <w:r w:rsidR="00893EE4" w:rsidRPr="00F84E3C">
        <w:rPr>
          <w:rFonts w:ascii="Arial" w:hAnsi="Arial" w:cs="Arial"/>
          <w:bCs/>
          <w:sz w:val="24"/>
          <w:szCs w:val="24"/>
        </w:rPr>
        <w:t xml:space="preserve">indebidamente </w:t>
      </w:r>
      <w:r w:rsidRPr="00F84E3C">
        <w:rPr>
          <w:rFonts w:ascii="Arial" w:hAnsi="Arial" w:cs="Arial"/>
          <w:bCs/>
          <w:sz w:val="24"/>
          <w:szCs w:val="24"/>
        </w:rPr>
        <w:t xml:space="preserve">al </w:t>
      </w:r>
      <w:r w:rsidR="0AFABC9A" w:rsidRPr="00F84E3C">
        <w:rPr>
          <w:rFonts w:ascii="Arial" w:hAnsi="Arial" w:cs="Arial"/>
          <w:sz w:val="24"/>
          <w:szCs w:val="24"/>
        </w:rPr>
        <w:t>sobreseer</w:t>
      </w:r>
      <w:r w:rsidR="00162716" w:rsidRPr="00F84E3C">
        <w:rPr>
          <w:rFonts w:ascii="Arial" w:hAnsi="Arial" w:cs="Arial"/>
          <w:bCs/>
          <w:sz w:val="24"/>
          <w:szCs w:val="24"/>
        </w:rPr>
        <w:t xml:space="preserve"> el asunto o declarar </w:t>
      </w:r>
      <w:r w:rsidR="00A5066F" w:rsidRPr="00F84E3C">
        <w:rPr>
          <w:rFonts w:ascii="Arial" w:hAnsi="Arial" w:cs="Arial"/>
          <w:bCs/>
          <w:sz w:val="24"/>
          <w:szCs w:val="24"/>
        </w:rPr>
        <w:t xml:space="preserve">la </w:t>
      </w:r>
      <w:r w:rsidR="00893EE4" w:rsidRPr="00F84E3C">
        <w:rPr>
          <w:rFonts w:ascii="Arial" w:hAnsi="Arial" w:cs="Arial"/>
          <w:bCs/>
          <w:sz w:val="24"/>
          <w:szCs w:val="24"/>
        </w:rPr>
        <w:t>improcedencia</w:t>
      </w:r>
      <w:r w:rsidR="00A5066F" w:rsidRPr="00F84E3C">
        <w:rPr>
          <w:rFonts w:ascii="Arial" w:hAnsi="Arial" w:cs="Arial"/>
          <w:bCs/>
          <w:sz w:val="24"/>
          <w:szCs w:val="24"/>
        </w:rPr>
        <w:t xml:space="preserve"> de la demanda del juicio JPDC/60/2020</w:t>
      </w:r>
      <w:r w:rsidR="00162716" w:rsidRPr="00F84E3C">
        <w:rPr>
          <w:rFonts w:ascii="Arial" w:hAnsi="Arial" w:cs="Arial"/>
          <w:bCs/>
          <w:sz w:val="24"/>
          <w:szCs w:val="24"/>
        </w:rPr>
        <w:t>,</w:t>
      </w:r>
      <w:r w:rsidR="00893EE4" w:rsidRPr="00F84E3C">
        <w:rPr>
          <w:rFonts w:ascii="Arial" w:hAnsi="Arial" w:cs="Arial"/>
          <w:bCs/>
          <w:sz w:val="24"/>
          <w:szCs w:val="24"/>
        </w:rPr>
        <w:t xml:space="preserve"> </w:t>
      </w:r>
      <w:r w:rsidRPr="00F84E3C">
        <w:rPr>
          <w:rFonts w:ascii="Arial" w:hAnsi="Arial" w:cs="Arial"/>
          <w:bCs/>
          <w:sz w:val="24"/>
          <w:szCs w:val="24"/>
        </w:rPr>
        <w:t xml:space="preserve">porque </w:t>
      </w:r>
      <w:r w:rsidR="00046831" w:rsidRPr="00F84E3C">
        <w:rPr>
          <w:rFonts w:ascii="Arial" w:hAnsi="Arial" w:cs="Arial"/>
          <w:bCs/>
          <w:sz w:val="24"/>
          <w:szCs w:val="24"/>
        </w:rPr>
        <w:t xml:space="preserve">no podía quedar sin materia </w:t>
      </w:r>
      <w:r w:rsidR="00EA4AEC" w:rsidRPr="00F84E3C">
        <w:rPr>
          <w:rFonts w:ascii="Arial" w:hAnsi="Arial" w:cs="Arial"/>
          <w:bCs/>
          <w:sz w:val="24"/>
          <w:szCs w:val="24"/>
        </w:rPr>
        <w:t xml:space="preserve">en virtud de lo impugnado en el diverso juicio </w:t>
      </w:r>
      <w:r w:rsidR="00A5066F" w:rsidRPr="00F84E3C">
        <w:rPr>
          <w:rFonts w:ascii="Arial" w:hAnsi="Arial" w:cs="Arial"/>
          <w:bCs/>
          <w:sz w:val="24"/>
          <w:szCs w:val="24"/>
        </w:rPr>
        <w:t>JPDC/65/2020</w:t>
      </w:r>
      <w:r w:rsidR="00EA4AEC" w:rsidRPr="00F84E3C">
        <w:rPr>
          <w:rFonts w:ascii="Arial" w:hAnsi="Arial" w:cs="Arial"/>
          <w:bCs/>
          <w:sz w:val="24"/>
          <w:szCs w:val="24"/>
        </w:rPr>
        <w:t xml:space="preserve"> que promovió, ya que</w:t>
      </w:r>
      <w:r w:rsidR="00A5066F" w:rsidRPr="00F84E3C">
        <w:rPr>
          <w:rFonts w:ascii="Arial" w:hAnsi="Arial" w:cs="Arial"/>
          <w:bCs/>
          <w:sz w:val="24"/>
          <w:szCs w:val="24"/>
        </w:rPr>
        <w:t xml:space="preserve"> </w:t>
      </w:r>
      <w:r w:rsidR="00893EE4" w:rsidRPr="00F84E3C">
        <w:rPr>
          <w:rFonts w:ascii="Arial" w:hAnsi="Arial" w:cs="Arial"/>
          <w:bCs/>
          <w:sz w:val="24"/>
          <w:szCs w:val="24"/>
        </w:rPr>
        <w:t xml:space="preserve">las demandas </w:t>
      </w:r>
      <w:r w:rsidR="00EA4AEC" w:rsidRPr="00F84E3C">
        <w:rPr>
          <w:rFonts w:ascii="Arial" w:hAnsi="Arial" w:cs="Arial"/>
          <w:bCs/>
          <w:sz w:val="24"/>
          <w:szCs w:val="24"/>
        </w:rPr>
        <w:t xml:space="preserve">de cada juicio </w:t>
      </w:r>
      <w:r w:rsidR="13FA48AF" w:rsidRPr="00F84E3C">
        <w:rPr>
          <w:rFonts w:ascii="Arial" w:hAnsi="Arial" w:cs="Arial"/>
          <w:sz w:val="24"/>
          <w:szCs w:val="24"/>
        </w:rPr>
        <w:t>impugnaron</w:t>
      </w:r>
      <w:r w:rsidRPr="00F84E3C">
        <w:rPr>
          <w:rFonts w:ascii="Arial" w:hAnsi="Arial" w:cs="Arial"/>
          <w:bCs/>
          <w:sz w:val="24"/>
          <w:szCs w:val="24"/>
        </w:rPr>
        <w:t xml:space="preserve"> actos distintos</w:t>
      </w:r>
      <w:r w:rsidR="00EA4AEC" w:rsidRPr="00F84E3C">
        <w:rPr>
          <w:rFonts w:ascii="Arial" w:hAnsi="Arial" w:cs="Arial"/>
          <w:bCs/>
          <w:sz w:val="24"/>
          <w:szCs w:val="24"/>
        </w:rPr>
        <w:t>, y el tema controvertido era el mismo</w:t>
      </w:r>
      <w:r w:rsidR="00BA74CB" w:rsidRPr="00F84E3C">
        <w:rPr>
          <w:rFonts w:ascii="Arial" w:hAnsi="Arial" w:cs="Arial"/>
          <w:bCs/>
          <w:sz w:val="24"/>
          <w:szCs w:val="24"/>
        </w:rPr>
        <w:t xml:space="preserve">, por lo que </w:t>
      </w:r>
      <w:r w:rsidR="00EA4AEC" w:rsidRPr="00F84E3C">
        <w:rPr>
          <w:rFonts w:ascii="Arial" w:hAnsi="Arial" w:cs="Arial"/>
          <w:bCs/>
          <w:sz w:val="24"/>
          <w:szCs w:val="24"/>
        </w:rPr>
        <w:t>debió acumularlos</w:t>
      </w:r>
      <w:r w:rsidR="00893EE4" w:rsidRPr="00F84E3C">
        <w:rPr>
          <w:rFonts w:ascii="Arial" w:hAnsi="Arial" w:cs="Arial"/>
          <w:bCs/>
          <w:sz w:val="24"/>
          <w:szCs w:val="24"/>
        </w:rPr>
        <w:t xml:space="preserve">. </w:t>
      </w:r>
    </w:p>
    <w:p w14:paraId="420E44E9" w14:textId="77777777" w:rsidR="00893EE4" w:rsidRPr="00F84E3C" w:rsidRDefault="00893EE4" w:rsidP="00BA74CB">
      <w:pPr>
        <w:spacing w:after="0" w:line="240" w:lineRule="auto"/>
        <w:jc w:val="both"/>
        <w:rPr>
          <w:rFonts w:ascii="Arial" w:hAnsi="Arial" w:cs="Arial"/>
          <w:bCs/>
          <w:sz w:val="24"/>
          <w:szCs w:val="24"/>
        </w:rPr>
      </w:pPr>
    </w:p>
    <w:p w14:paraId="6538926A" w14:textId="7BD2B9D3" w:rsidR="000C29F7" w:rsidRPr="00F84E3C" w:rsidRDefault="00B22D00" w:rsidP="000C29F7">
      <w:pPr>
        <w:spacing w:after="0" w:line="240" w:lineRule="auto"/>
        <w:jc w:val="both"/>
        <w:rPr>
          <w:rFonts w:ascii="Arial" w:hAnsi="Arial" w:cs="Arial"/>
          <w:b/>
          <w:bCs/>
          <w:sz w:val="24"/>
          <w:szCs w:val="24"/>
        </w:rPr>
      </w:pPr>
      <w:r w:rsidRPr="00F84E3C">
        <w:rPr>
          <w:rFonts w:ascii="Arial" w:hAnsi="Arial" w:cs="Arial"/>
          <w:b/>
          <w:bCs/>
          <w:sz w:val="24"/>
          <w:szCs w:val="24"/>
        </w:rPr>
        <w:t>3</w:t>
      </w:r>
      <w:r w:rsidR="00DC653A" w:rsidRPr="00F84E3C">
        <w:rPr>
          <w:rFonts w:ascii="Arial" w:hAnsi="Arial" w:cs="Arial"/>
          <w:b/>
          <w:bCs/>
          <w:sz w:val="24"/>
          <w:szCs w:val="24"/>
        </w:rPr>
        <w:t>.</w:t>
      </w:r>
      <w:r w:rsidR="00BA74CB" w:rsidRPr="00F84E3C">
        <w:rPr>
          <w:rFonts w:ascii="Arial" w:hAnsi="Arial" w:cs="Arial"/>
          <w:b/>
          <w:bCs/>
          <w:sz w:val="24"/>
          <w:szCs w:val="24"/>
        </w:rPr>
        <w:t xml:space="preserve"> </w:t>
      </w:r>
      <w:r w:rsidR="000C29F7" w:rsidRPr="00F84E3C">
        <w:rPr>
          <w:rFonts w:ascii="Arial" w:hAnsi="Arial" w:cs="Arial"/>
          <w:b/>
          <w:bCs/>
          <w:sz w:val="24"/>
          <w:szCs w:val="24"/>
        </w:rPr>
        <w:t>Valoración</w:t>
      </w:r>
    </w:p>
    <w:p w14:paraId="2B1C0129" w14:textId="77777777" w:rsidR="000C29F7" w:rsidRPr="00F84E3C" w:rsidRDefault="000C29F7" w:rsidP="00BA74CB">
      <w:pPr>
        <w:spacing w:after="0" w:line="240" w:lineRule="auto"/>
        <w:jc w:val="both"/>
        <w:rPr>
          <w:rFonts w:ascii="Arial" w:hAnsi="Arial" w:cs="Arial"/>
          <w:b/>
          <w:bCs/>
          <w:sz w:val="24"/>
          <w:szCs w:val="24"/>
        </w:rPr>
      </w:pPr>
      <w:bookmarkStart w:id="30" w:name="_Hlk46145278"/>
      <w:bookmarkEnd w:id="29"/>
    </w:p>
    <w:p w14:paraId="4AFA9AF2" w14:textId="1A2E4559" w:rsidR="00EA4AEC" w:rsidRPr="00F84E3C" w:rsidRDefault="00F24C44" w:rsidP="00CF116E">
      <w:pPr>
        <w:spacing w:after="0" w:line="360" w:lineRule="auto"/>
        <w:jc w:val="both"/>
        <w:rPr>
          <w:rFonts w:ascii="Arial" w:eastAsia="Calibri" w:hAnsi="Arial" w:cs="Arial"/>
          <w:bCs/>
          <w:sz w:val="24"/>
          <w:szCs w:val="24"/>
        </w:rPr>
      </w:pPr>
      <w:r w:rsidRPr="00F84E3C">
        <w:rPr>
          <w:rFonts w:ascii="Arial" w:hAnsi="Arial" w:cs="Arial"/>
          <w:b/>
          <w:bCs/>
          <w:sz w:val="24"/>
          <w:szCs w:val="24"/>
        </w:rPr>
        <w:t>Esta Sala Monterrey</w:t>
      </w:r>
      <w:r w:rsidR="00EA4AEC" w:rsidRPr="00F84E3C">
        <w:rPr>
          <w:rFonts w:ascii="Arial" w:hAnsi="Arial" w:cs="Arial"/>
          <w:b/>
          <w:bCs/>
          <w:sz w:val="24"/>
          <w:szCs w:val="24"/>
        </w:rPr>
        <w:t>, como se anticipó,</w:t>
      </w:r>
      <w:r w:rsidRPr="00F84E3C">
        <w:rPr>
          <w:rFonts w:ascii="Arial" w:hAnsi="Arial" w:cs="Arial"/>
          <w:b/>
          <w:bCs/>
          <w:sz w:val="24"/>
          <w:szCs w:val="24"/>
        </w:rPr>
        <w:t xml:space="preserve"> considera</w:t>
      </w:r>
      <w:r w:rsidRPr="00F84E3C">
        <w:rPr>
          <w:rFonts w:ascii="Arial" w:hAnsi="Arial" w:cs="Arial"/>
          <w:bCs/>
          <w:sz w:val="24"/>
          <w:szCs w:val="24"/>
        </w:rPr>
        <w:t xml:space="preserve"> </w:t>
      </w:r>
      <w:r w:rsidR="00BD2900" w:rsidRPr="00F84E3C">
        <w:rPr>
          <w:rFonts w:ascii="Arial" w:hAnsi="Arial" w:cs="Arial"/>
          <w:b/>
          <w:bCs/>
          <w:sz w:val="24"/>
          <w:szCs w:val="24"/>
        </w:rPr>
        <w:t xml:space="preserve">que </w:t>
      </w:r>
      <w:r w:rsidR="00BA74CB" w:rsidRPr="00F84E3C">
        <w:rPr>
          <w:rFonts w:ascii="Arial" w:hAnsi="Arial" w:cs="Arial"/>
          <w:b/>
          <w:bCs/>
          <w:sz w:val="24"/>
          <w:szCs w:val="24"/>
        </w:rPr>
        <w:t xml:space="preserve">debe </w:t>
      </w:r>
      <w:r w:rsidR="00EA4AEC" w:rsidRPr="00F84E3C">
        <w:rPr>
          <w:rFonts w:ascii="Arial" w:hAnsi="Arial" w:cs="Arial"/>
          <w:b/>
          <w:bCs/>
          <w:sz w:val="24"/>
          <w:szCs w:val="24"/>
        </w:rPr>
        <w:t>confirmar</w:t>
      </w:r>
      <w:r w:rsidR="00BA74CB" w:rsidRPr="00F84E3C">
        <w:rPr>
          <w:rFonts w:ascii="Arial" w:hAnsi="Arial" w:cs="Arial"/>
          <w:b/>
          <w:bCs/>
          <w:sz w:val="24"/>
          <w:szCs w:val="24"/>
        </w:rPr>
        <w:t>se</w:t>
      </w:r>
      <w:r w:rsidR="00EA4AEC" w:rsidRPr="00F84E3C">
        <w:rPr>
          <w:rFonts w:ascii="Arial" w:hAnsi="Arial" w:cs="Arial"/>
          <w:sz w:val="24"/>
          <w:szCs w:val="24"/>
        </w:rPr>
        <w:t xml:space="preserve"> </w:t>
      </w:r>
      <w:r w:rsidR="00EA4AEC" w:rsidRPr="00F84E3C">
        <w:rPr>
          <w:rFonts w:ascii="Arial" w:eastAsia="Calibri" w:hAnsi="Arial" w:cs="Arial"/>
          <w:bCs/>
          <w:sz w:val="24"/>
          <w:szCs w:val="24"/>
        </w:rPr>
        <w:t xml:space="preserve">la </w:t>
      </w:r>
      <w:r w:rsidR="00EA4AEC" w:rsidRPr="00F84E3C">
        <w:rPr>
          <w:rFonts w:ascii="Arial" w:eastAsia="Calibri" w:hAnsi="Arial" w:cs="Arial"/>
          <w:sz w:val="24"/>
          <w:szCs w:val="24"/>
        </w:rPr>
        <w:t>resolución</w:t>
      </w:r>
      <w:r w:rsidR="00EA4AEC" w:rsidRPr="00F84E3C">
        <w:rPr>
          <w:rFonts w:ascii="Arial" w:eastAsia="Calibri" w:hAnsi="Arial" w:cs="Arial"/>
          <w:bCs/>
          <w:sz w:val="24"/>
          <w:szCs w:val="24"/>
        </w:rPr>
        <w:t xml:space="preserve"> del Tribunal de Guanajuato que </w:t>
      </w:r>
      <w:r w:rsidR="00EA4AEC" w:rsidRPr="00F84E3C">
        <w:rPr>
          <w:rFonts w:ascii="Arial" w:eastAsia="Calibri" w:hAnsi="Arial" w:cs="Arial"/>
          <w:b/>
          <w:bCs/>
          <w:sz w:val="24"/>
          <w:szCs w:val="24"/>
        </w:rPr>
        <w:t>sobreseyó</w:t>
      </w:r>
      <w:r w:rsidR="00EA4AEC" w:rsidRPr="00F84E3C">
        <w:rPr>
          <w:rFonts w:ascii="Arial" w:eastAsia="Calibri" w:hAnsi="Arial" w:cs="Arial"/>
          <w:bCs/>
          <w:sz w:val="24"/>
          <w:szCs w:val="24"/>
        </w:rPr>
        <w:t xml:space="preserve"> la demanda del actor del juicio </w:t>
      </w:r>
      <w:r w:rsidR="00EA4AEC" w:rsidRPr="00F84E3C">
        <w:rPr>
          <w:rFonts w:ascii="Arial" w:hAnsi="Arial" w:cs="Arial"/>
          <w:bCs/>
          <w:sz w:val="24"/>
          <w:szCs w:val="24"/>
        </w:rPr>
        <w:t xml:space="preserve">TEEG-JPDC/60/2020, </w:t>
      </w:r>
      <w:r w:rsidR="00EA4AEC" w:rsidRPr="00F84E3C">
        <w:rPr>
          <w:rFonts w:ascii="Arial" w:eastAsia="Calibri" w:hAnsi="Arial" w:cs="Arial"/>
          <w:sz w:val="24"/>
          <w:szCs w:val="24"/>
        </w:rPr>
        <w:t>porque</w:t>
      </w:r>
      <w:r w:rsidR="00EA4AEC" w:rsidRPr="00F84E3C">
        <w:rPr>
          <w:rFonts w:ascii="Arial" w:hAnsi="Arial" w:cs="Arial"/>
          <w:sz w:val="24"/>
          <w:szCs w:val="24"/>
        </w:rPr>
        <w:t>, con independencia de la opción procesal elegida por el Tribunal Local (el sobreseimiento que finalizó anticipadamente el juicio por resultar innecesario, o bien, la inoperancia de los planteamientos),</w:t>
      </w:r>
      <w:r w:rsidR="00EA4AEC" w:rsidRPr="00F84E3C">
        <w:rPr>
          <w:rFonts w:ascii="Arial" w:hAnsi="Arial" w:cs="Arial"/>
          <w:bCs/>
          <w:sz w:val="24"/>
          <w:szCs w:val="24"/>
        </w:rPr>
        <w:t xml:space="preserve"> finalmente, es correcto</w:t>
      </w:r>
      <w:r w:rsidR="00CF116E" w:rsidRPr="00F84E3C">
        <w:rPr>
          <w:rFonts w:ascii="Arial" w:hAnsi="Arial" w:cs="Arial"/>
          <w:bCs/>
          <w:sz w:val="24"/>
          <w:szCs w:val="24"/>
        </w:rPr>
        <w:t xml:space="preserve"> </w:t>
      </w:r>
      <w:r w:rsidR="00EA4AEC" w:rsidRPr="00F84E3C">
        <w:rPr>
          <w:rFonts w:ascii="Arial" w:hAnsi="Arial" w:cs="Arial"/>
          <w:bCs/>
          <w:sz w:val="24"/>
          <w:szCs w:val="24"/>
        </w:rPr>
        <w:t xml:space="preserve">que </w:t>
      </w:r>
      <w:r w:rsidR="00044A90" w:rsidRPr="00F84E3C">
        <w:rPr>
          <w:rFonts w:ascii="Arial" w:hAnsi="Arial" w:cs="Arial"/>
          <w:bCs/>
          <w:sz w:val="24"/>
          <w:szCs w:val="24"/>
        </w:rPr>
        <w:t>se consider</w:t>
      </w:r>
      <w:r w:rsidR="00E86242" w:rsidRPr="00F84E3C">
        <w:rPr>
          <w:rFonts w:ascii="Arial" w:hAnsi="Arial" w:cs="Arial"/>
          <w:bCs/>
          <w:sz w:val="24"/>
          <w:szCs w:val="24"/>
        </w:rPr>
        <w:t>e</w:t>
      </w:r>
      <w:r w:rsidR="00044A90" w:rsidRPr="00F84E3C">
        <w:rPr>
          <w:rFonts w:ascii="Arial" w:hAnsi="Arial" w:cs="Arial"/>
          <w:bCs/>
          <w:sz w:val="24"/>
          <w:szCs w:val="24"/>
        </w:rPr>
        <w:t xml:space="preserve"> que </w:t>
      </w:r>
      <w:r w:rsidR="00EA4AEC" w:rsidRPr="00F84E3C">
        <w:rPr>
          <w:rFonts w:ascii="Arial" w:hAnsi="Arial" w:cs="Arial"/>
          <w:bCs/>
          <w:sz w:val="24"/>
          <w:szCs w:val="24"/>
        </w:rPr>
        <w:t xml:space="preserve">en el diverso juicio </w:t>
      </w:r>
      <w:r w:rsidR="00CF116E" w:rsidRPr="00F84E3C">
        <w:rPr>
          <w:rFonts w:ascii="Arial" w:hAnsi="Arial" w:cs="Arial"/>
          <w:bCs/>
          <w:sz w:val="24"/>
          <w:szCs w:val="24"/>
        </w:rPr>
        <w:t xml:space="preserve">TEEG-JPDC/65/2020, </w:t>
      </w:r>
      <w:r w:rsidR="00EA4AEC" w:rsidRPr="00F84E3C">
        <w:rPr>
          <w:rFonts w:ascii="Arial" w:hAnsi="Arial" w:cs="Arial"/>
          <w:bCs/>
          <w:sz w:val="24"/>
          <w:szCs w:val="24"/>
        </w:rPr>
        <w:t>el impugnante podría alcanzar su pretensión de</w:t>
      </w:r>
      <w:r w:rsidR="00EA4AEC" w:rsidRPr="00F84E3C">
        <w:rPr>
          <w:rFonts w:ascii="Arial" w:hAnsi="Arial" w:cs="Arial"/>
          <w:sz w:val="24"/>
          <w:szCs w:val="24"/>
        </w:rPr>
        <w:t xml:space="preserve"> dejar sin efectos la </w:t>
      </w:r>
      <w:r w:rsidR="6A0F94CF" w:rsidRPr="00F84E3C">
        <w:rPr>
          <w:rFonts w:ascii="Arial" w:hAnsi="Arial" w:cs="Arial"/>
          <w:sz w:val="24"/>
          <w:szCs w:val="24"/>
        </w:rPr>
        <w:t>prórroga</w:t>
      </w:r>
      <w:r w:rsidR="00EA4AEC" w:rsidRPr="00F84E3C">
        <w:rPr>
          <w:rFonts w:ascii="Arial" w:hAnsi="Arial" w:cs="Arial"/>
          <w:sz w:val="24"/>
          <w:szCs w:val="24"/>
        </w:rPr>
        <w:t xml:space="preserve"> de la directiva estatal y obtener su reconocimiento como Presidente del partido en la entidad</w:t>
      </w:r>
      <w:r w:rsidR="00CF116E" w:rsidRPr="00F84E3C">
        <w:rPr>
          <w:rFonts w:ascii="Arial" w:hAnsi="Arial" w:cs="Arial"/>
          <w:bCs/>
          <w:sz w:val="24"/>
          <w:szCs w:val="24"/>
        </w:rPr>
        <w:t xml:space="preserve">, máxime que así lo reconoce el propio Tribunal </w:t>
      </w:r>
      <w:r w:rsidR="00BA7853" w:rsidRPr="00F84E3C">
        <w:rPr>
          <w:rFonts w:ascii="Arial" w:hAnsi="Arial" w:cs="Arial"/>
          <w:bCs/>
          <w:sz w:val="24"/>
          <w:szCs w:val="24"/>
        </w:rPr>
        <w:t>Local</w:t>
      </w:r>
      <w:r w:rsidR="00CF116E" w:rsidRPr="00F84E3C">
        <w:rPr>
          <w:rFonts w:ascii="Arial" w:hAnsi="Arial" w:cs="Arial"/>
          <w:bCs/>
          <w:sz w:val="24"/>
          <w:szCs w:val="24"/>
        </w:rPr>
        <w:t>, que será el</w:t>
      </w:r>
      <w:r w:rsidR="009F2054" w:rsidRPr="00F84E3C">
        <w:rPr>
          <w:rFonts w:ascii="Arial" w:hAnsi="Arial" w:cs="Arial"/>
          <w:bCs/>
          <w:sz w:val="24"/>
          <w:szCs w:val="24"/>
        </w:rPr>
        <w:t xml:space="preserve"> órgano</w:t>
      </w:r>
      <w:r w:rsidR="00CF116E" w:rsidRPr="00F84E3C">
        <w:rPr>
          <w:rFonts w:ascii="Arial" w:hAnsi="Arial" w:cs="Arial"/>
          <w:bCs/>
          <w:sz w:val="24"/>
          <w:szCs w:val="24"/>
        </w:rPr>
        <w:t xml:space="preserve"> encargado de analizar la controversia sobre el tema de la validez de la prórroga de la directiva estatal del PRI en esa entidad.</w:t>
      </w:r>
    </w:p>
    <w:p w14:paraId="346359EF" w14:textId="77777777" w:rsidR="00F24C44" w:rsidRPr="00F84E3C" w:rsidRDefault="00F24C44" w:rsidP="00C9398E">
      <w:pPr>
        <w:spacing w:after="0" w:line="240" w:lineRule="auto"/>
        <w:jc w:val="both"/>
        <w:rPr>
          <w:rFonts w:ascii="Arial" w:hAnsi="Arial" w:cs="Arial"/>
          <w:bCs/>
          <w:i/>
          <w:sz w:val="24"/>
          <w:szCs w:val="24"/>
        </w:rPr>
      </w:pPr>
    </w:p>
    <w:p w14:paraId="627E0030" w14:textId="22B47D20" w:rsidR="00B36BC3" w:rsidRPr="00F84E3C" w:rsidRDefault="00F21957" w:rsidP="00175EFD">
      <w:pPr>
        <w:spacing w:after="0" w:line="360" w:lineRule="auto"/>
        <w:jc w:val="both"/>
        <w:rPr>
          <w:rFonts w:ascii="Arial" w:hAnsi="Arial" w:cs="Arial"/>
          <w:sz w:val="24"/>
          <w:szCs w:val="24"/>
        </w:rPr>
      </w:pPr>
      <w:r w:rsidRPr="00F84E3C">
        <w:rPr>
          <w:rFonts w:ascii="Arial" w:hAnsi="Arial" w:cs="Arial"/>
          <w:b/>
          <w:bCs/>
          <w:sz w:val="24"/>
          <w:szCs w:val="24"/>
        </w:rPr>
        <w:t>3</w:t>
      </w:r>
      <w:r w:rsidR="00DC653A" w:rsidRPr="00F84E3C">
        <w:rPr>
          <w:rFonts w:ascii="Arial" w:hAnsi="Arial" w:cs="Arial"/>
          <w:b/>
          <w:bCs/>
          <w:sz w:val="24"/>
          <w:szCs w:val="24"/>
        </w:rPr>
        <w:t>.</w:t>
      </w:r>
      <w:r w:rsidRPr="00F84E3C">
        <w:rPr>
          <w:rFonts w:ascii="Arial" w:hAnsi="Arial" w:cs="Arial"/>
          <w:b/>
          <w:bCs/>
          <w:sz w:val="24"/>
          <w:szCs w:val="24"/>
        </w:rPr>
        <w:t>1</w:t>
      </w:r>
      <w:r w:rsidR="00DC653A" w:rsidRPr="00F84E3C">
        <w:rPr>
          <w:rFonts w:ascii="Arial" w:hAnsi="Arial" w:cs="Arial"/>
          <w:bCs/>
          <w:sz w:val="24"/>
          <w:szCs w:val="24"/>
        </w:rPr>
        <w:t xml:space="preserve"> </w:t>
      </w:r>
      <w:r w:rsidR="009C1EDC" w:rsidRPr="00F84E3C">
        <w:rPr>
          <w:rFonts w:ascii="Arial" w:hAnsi="Arial" w:cs="Arial"/>
          <w:bCs/>
          <w:sz w:val="24"/>
          <w:szCs w:val="24"/>
        </w:rPr>
        <w:t>Lo anterior, porque</w:t>
      </w:r>
      <w:r w:rsidR="00F82E88" w:rsidRPr="00F84E3C">
        <w:rPr>
          <w:rFonts w:ascii="Arial" w:hAnsi="Arial" w:cs="Arial"/>
          <w:bCs/>
          <w:sz w:val="24"/>
          <w:szCs w:val="24"/>
        </w:rPr>
        <w:t xml:space="preserve"> </w:t>
      </w:r>
      <w:r w:rsidR="000D1F64" w:rsidRPr="00F84E3C">
        <w:rPr>
          <w:rFonts w:ascii="Arial" w:hAnsi="Arial" w:cs="Arial"/>
          <w:bCs/>
          <w:sz w:val="24"/>
          <w:szCs w:val="24"/>
        </w:rPr>
        <w:t>si bien</w:t>
      </w:r>
      <w:r w:rsidRPr="00F84E3C">
        <w:rPr>
          <w:rFonts w:ascii="Arial" w:hAnsi="Arial" w:cs="Arial"/>
          <w:bCs/>
          <w:sz w:val="24"/>
          <w:szCs w:val="24"/>
        </w:rPr>
        <w:t xml:space="preserve"> en el juicio </w:t>
      </w:r>
      <w:r w:rsidR="00086A1A" w:rsidRPr="00F84E3C">
        <w:rPr>
          <w:rFonts w:ascii="Arial" w:hAnsi="Arial" w:cs="Arial"/>
          <w:bCs/>
          <w:sz w:val="24"/>
          <w:szCs w:val="24"/>
        </w:rPr>
        <w:t xml:space="preserve">ciudadano local </w:t>
      </w:r>
      <w:r w:rsidRPr="00F84E3C">
        <w:rPr>
          <w:rFonts w:ascii="Arial" w:hAnsi="Arial" w:cs="Arial"/>
          <w:bCs/>
          <w:sz w:val="24"/>
          <w:szCs w:val="24"/>
        </w:rPr>
        <w:t>60</w:t>
      </w:r>
      <w:r w:rsidR="00E14DD8" w:rsidRPr="00F84E3C">
        <w:rPr>
          <w:rFonts w:ascii="Arial" w:hAnsi="Arial" w:cs="Arial"/>
          <w:bCs/>
          <w:sz w:val="24"/>
          <w:szCs w:val="24"/>
        </w:rPr>
        <w:t>/2020</w:t>
      </w:r>
      <w:r w:rsidR="00086A1A" w:rsidRPr="00F84E3C">
        <w:rPr>
          <w:rFonts w:ascii="Arial" w:hAnsi="Arial" w:cs="Arial"/>
          <w:bCs/>
          <w:sz w:val="24"/>
          <w:szCs w:val="24"/>
        </w:rPr>
        <w:t>, formal</w:t>
      </w:r>
      <w:r w:rsidR="007654CE" w:rsidRPr="00F84E3C">
        <w:rPr>
          <w:rFonts w:ascii="Arial" w:hAnsi="Arial" w:cs="Arial"/>
          <w:bCs/>
          <w:sz w:val="24"/>
          <w:szCs w:val="24"/>
        </w:rPr>
        <w:t>mente,</w:t>
      </w:r>
      <w:r w:rsidR="00E14DD8" w:rsidRPr="00F84E3C">
        <w:rPr>
          <w:rFonts w:ascii="Arial" w:hAnsi="Arial" w:cs="Arial"/>
          <w:bCs/>
          <w:sz w:val="24"/>
          <w:szCs w:val="24"/>
        </w:rPr>
        <w:t xml:space="preserve"> </w:t>
      </w:r>
      <w:r w:rsidR="000D1F64" w:rsidRPr="00F84E3C">
        <w:rPr>
          <w:rFonts w:ascii="Arial" w:hAnsi="Arial" w:cs="Arial"/>
          <w:bCs/>
          <w:sz w:val="24"/>
          <w:szCs w:val="24"/>
        </w:rPr>
        <w:t xml:space="preserve">el actor controvirtió los oficios mediante los cuales </w:t>
      </w:r>
      <w:r w:rsidR="00613EFC" w:rsidRPr="00F84E3C">
        <w:rPr>
          <w:rFonts w:ascii="Arial" w:hAnsi="Arial" w:cs="Arial"/>
          <w:bCs/>
          <w:sz w:val="24"/>
          <w:szCs w:val="24"/>
        </w:rPr>
        <w:t xml:space="preserve">el Secretario Ejecutivo del Instituto </w:t>
      </w:r>
      <w:r w:rsidR="00FC50E1" w:rsidRPr="00F84E3C">
        <w:rPr>
          <w:rFonts w:ascii="Arial" w:hAnsi="Arial" w:cs="Arial"/>
          <w:bCs/>
          <w:sz w:val="24"/>
          <w:szCs w:val="24"/>
        </w:rPr>
        <w:t>L</w:t>
      </w:r>
      <w:r w:rsidR="00613EFC" w:rsidRPr="00F84E3C">
        <w:rPr>
          <w:rFonts w:ascii="Arial" w:hAnsi="Arial" w:cs="Arial"/>
          <w:bCs/>
          <w:sz w:val="24"/>
          <w:szCs w:val="24"/>
        </w:rPr>
        <w:t xml:space="preserve">ocal </w:t>
      </w:r>
      <w:r w:rsidR="008E61F1" w:rsidRPr="00F84E3C">
        <w:rPr>
          <w:rFonts w:ascii="Arial" w:hAnsi="Arial" w:cs="Arial"/>
          <w:bCs/>
          <w:sz w:val="24"/>
          <w:szCs w:val="24"/>
        </w:rPr>
        <w:t xml:space="preserve">hizo de su conocimiento el </w:t>
      </w:r>
      <w:r w:rsidR="005B4041" w:rsidRPr="00F84E3C">
        <w:rPr>
          <w:rFonts w:ascii="Arial" w:hAnsi="Arial" w:cs="Arial"/>
          <w:bCs/>
          <w:sz w:val="24"/>
          <w:szCs w:val="24"/>
        </w:rPr>
        <w:t xml:space="preserve">diverso </w:t>
      </w:r>
      <w:r w:rsidR="008E61F1" w:rsidRPr="00F84E3C">
        <w:rPr>
          <w:rFonts w:ascii="Arial" w:hAnsi="Arial" w:cs="Arial"/>
          <w:bCs/>
          <w:sz w:val="24"/>
          <w:szCs w:val="24"/>
        </w:rPr>
        <w:t xml:space="preserve">oficio del </w:t>
      </w:r>
      <w:r w:rsidR="00613EFC" w:rsidRPr="00F84E3C">
        <w:rPr>
          <w:rFonts w:ascii="Arial" w:hAnsi="Arial" w:cs="Arial"/>
          <w:bCs/>
          <w:sz w:val="24"/>
          <w:szCs w:val="24"/>
        </w:rPr>
        <w:t>Director Ejecutivo de Prerrogativas y Partidos Políticos</w:t>
      </w:r>
      <w:r w:rsidR="008E61F1" w:rsidRPr="00F84E3C">
        <w:rPr>
          <w:rFonts w:ascii="Arial" w:hAnsi="Arial" w:cs="Arial"/>
          <w:bCs/>
          <w:sz w:val="24"/>
          <w:szCs w:val="24"/>
        </w:rPr>
        <w:t xml:space="preserve"> del INE </w:t>
      </w:r>
      <w:r w:rsidR="00C133AE" w:rsidRPr="00F84E3C">
        <w:rPr>
          <w:rFonts w:ascii="Arial" w:hAnsi="Arial" w:cs="Arial"/>
          <w:bCs/>
          <w:sz w:val="24"/>
          <w:szCs w:val="24"/>
        </w:rPr>
        <w:t>donde se</w:t>
      </w:r>
      <w:r w:rsidR="000D1F64" w:rsidRPr="00F84E3C">
        <w:rPr>
          <w:rFonts w:ascii="Arial" w:hAnsi="Arial" w:cs="Arial"/>
          <w:bCs/>
          <w:sz w:val="24"/>
          <w:szCs w:val="24"/>
        </w:rPr>
        <w:t xml:space="preserve"> </w:t>
      </w:r>
      <w:r w:rsidR="00793337" w:rsidRPr="00F84E3C">
        <w:rPr>
          <w:rFonts w:ascii="Arial" w:hAnsi="Arial" w:cs="Arial"/>
          <w:bCs/>
          <w:sz w:val="24"/>
          <w:szCs w:val="24"/>
        </w:rPr>
        <w:t>inform</w:t>
      </w:r>
      <w:r w:rsidR="00C133AE" w:rsidRPr="00F84E3C">
        <w:rPr>
          <w:rFonts w:ascii="Arial" w:hAnsi="Arial" w:cs="Arial"/>
          <w:bCs/>
          <w:sz w:val="24"/>
          <w:szCs w:val="24"/>
        </w:rPr>
        <w:t>a</w:t>
      </w:r>
      <w:r w:rsidR="000D1F64" w:rsidRPr="00F84E3C">
        <w:rPr>
          <w:rFonts w:ascii="Arial" w:hAnsi="Arial" w:cs="Arial"/>
          <w:bCs/>
          <w:sz w:val="24"/>
          <w:szCs w:val="24"/>
        </w:rPr>
        <w:t xml:space="preserve"> que</w:t>
      </w:r>
      <w:r w:rsidR="00793337" w:rsidRPr="00F84E3C">
        <w:rPr>
          <w:rFonts w:ascii="Arial" w:hAnsi="Arial" w:cs="Arial"/>
          <w:bCs/>
          <w:sz w:val="24"/>
          <w:szCs w:val="24"/>
        </w:rPr>
        <w:t xml:space="preserve"> </w:t>
      </w:r>
      <w:r w:rsidR="00613EFC" w:rsidRPr="00F84E3C">
        <w:rPr>
          <w:rFonts w:ascii="Arial" w:hAnsi="Arial" w:cs="Arial"/>
          <w:bCs/>
          <w:sz w:val="24"/>
          <w:szCs w:val="24"/>
        </w:rPr>
        <w:t xml:space="preserve">el CEN del PRI </w:t>
      </w:r>
      <w:r w:rsidR="00C133AE" w:rsidRPr="00F84E3C">
        <w:rPr>
          <w:rFonts w:ascii="Arial" w:hAnsi="Arial" w:cs="Arial"/>
          <w:bCs/>
          <w:sz w:val="24"/>
          <w:szCs w:val="24"/>
        </w:rPr>
        <w:t>acordó la</w:t>
      </w:r>
      <w:r w:rsidR="00613EFC" w:rsidRPr="00F84E3C">
        <w:rPr>
          <w:rFonts w:ascii="Arial" w:hAnsi="Arial" w:cs="Arial"/>
          <w:bCs/>
          <w:sz w:val="24"/>
          <w:szCs w:val="24"/>
        </w:rPr>
        <w:t xml:space="preserve"> </w:t>
      </w:r>
      <w:r w:rsidR="007C670B" w:rsidRPr="00F84E3C">
        <w:rPr>
          <w:rFonts w:ascii="Arial" w:hAnsi="Arial" w:cs="Arial"/>
          <w:bCs/>
          <w:sz w:val="24"/>
          <w:szCs w:val="24"/>
        </w:rPr>
        <w:t>prórroga</w:t>
      </w:r>
      <w:r w:rsidR="00613EFC" w:rsidRPr="00F84E3C">
        <w:rPr>
          <w:rFonts w:ascii="Arial" w:hAnsi="Arial" w:cs="Arial"/>
          <w:bCs/>
          <w:sz w:val="24"/>
          <w:szCs w:val="24"/>
        </w:rPr>
        <w:t xml:space="preserve"> </w:t>
      </w:r>
      <w:r w:rsidR="007C670B" w:rsidRPr="00F84E3C">
        <w:rPr>
          <w:rFonts w:ascii="Arial" w:hAnsi="Arial" w:cs="Arial"/>
          <w:bCs/>
          <w:sz w:val="24"/>
          <w:szCs w:val="24"/>
        </w:rPr>
        <w:t xml:space="preserve">de </w:t>
      </w:r>
      <w:r w:rsidR="00613EFC" w:rsidRPr="00F84E3C">
        <w:rPr>
          <w:rFonts w:ascii="Arial" w:hAnsi="Arial" w:cs="Arial"/>
          <w:bCs/>
          <w:sz w:val="24"/>
          <w:szCs w:val="24"/>
        </w:rPr>
        <w:t xml:space="preserve">los nombramientos de </w:t>
      </w:r>
      <w:r w:rsidR="007C670B" w:rsidRPr="00F84E3C">
        <w:rPr>
          <w:rFonts w:ascii="Arial" w:hAnsi="Arial" w:cs="Arial"/>
          <w:sz w:val="24"/>
          <w:szCs w:val="24"/>
        </w:rPr>
        <w:t>la</w:t>
      </w:r>
      <w:r w:rsidR="00613EFC" w:rsidRPr="00F84E3C">
        <w:rPr>
          <w:rFonts w:ascii="Arial" w:hAnsi="Arial" w:cs="Arial"/>
          <w:sz w:val="24"/>
          <w:szCs w:val="24"/>
        </w:rPr>
        <w:t xml:space="preserve"> </w:t>
      </w:r>
      <w:r w:rsidR="00613EFC" w:rsidRPr="00F84E3C">
        <w:rPr>
          <w:rFonts w:ascii="Arial" w:hAnsi="Arial" w:cs="Arial"/>
          <w:sz w:val="24"/>
          <w:szCs w:val="24"/>
        </w:rPr>
        <w:lastRenderedPageBreak/>
        <w:t xml:space="preserve">Presidenta y Secretario del Comité Estatal </w:t>
      </w:r>
      <w:r w:rsidR="008E61F1" w:rsidRPr="00F84E3C">
        <w:rPr>
          <w:rFonts w:ascii="Arial" w:hAnsi="Arial" w:cs="Arial"/>
          <w:sz w:val="24"/>
          <w:szCs w:val="24"/>
        </w:rPr>
        <w:t>hasta que concluyera el proceso electoral</w:t>
      </w:r>
      <w:r w:rsidR="00613EFC" w:rsidRPr="00F84E3C">
        <w:rPr>
          <w:rFonts w:ascii="Arial" w:hAnsi="Arial" w:cs="Arial"/>
          <w:sz w:val="24"/>
          <w:szCs w:val="24"/>
        </w:rPr>
        <w:t xml:space="preserve">, </w:t>
      </w:r>
      <w:r w:rsidR="007654CE" w:rsidRPr="00F84E3C">
        <w:rPr>
          <w:rFonts w:ascii="Arial" w:hAnsi="Arial" w:cs="Arial"/>
          <w:sz w:val="24"/>
          <w:szCs w:val="24"/>
        </w:rPr>
        <w:t xml:space="preserve">finalmente, </w:t>
      </w:r>
      <w:r w:rsidR="00613EFC" w:rsidRPr="00F84E3C">
        <w:rPr>
          <w:rFonts w:ascii="Arial" w:hAnsi="Arial" w:cs="Arial"/>
          <w:sz w:val="24"/>
          <w:szCs w:val="24"/>
        </w:rPr>
        <w:t xml:space="preserve">los agravios </w:t>
      </w:r>
      <w:r w:rsidR="006A0E5E" w:rsidRPr="00F84E3C">
        <w:rPr>
          <w:rFonts w:ascii="Arial" w:hAnsi="Arial" w:cs="Arial"/>
          <w:b/>
          <w:sz w:val="24"/>
          <w:szCs w:val="24"/>
        </w:rPr>
        <w:t>no</w:t>
      </w:r>
      <w:r w:rsidR="006A0E5E" w:rsidRPr="00F84E3C">
        <w:rPr>
          <w:rFonts w:ascii="Arial" w:hAnsi="Arial" w:cs="Arial"/>
          <w:sz w:val="24"/>
          <w:szCs w:val="24"/>
        </w:rPr>
        <w:t xml:space="preserve"> están dirigidos a controvertir los oficios por </w:t>
      </w:r>
      <w:r w:rsidR="006A0E5E" w:rsidRPr="00F84E3C">
        <w:rPr>
          <w:rFonts w:ascii="Arial" w:hAnsi="Arial" w:cs="Arial"/>
          <w:b/>
          <w:sz w:val="24"/>
          <w:szCs w:val="24"/>
        </w:rPr>
        <w:t>vicios propios</w:t>
      </w:r>
      <w:r w:rsidR="006A0E5E" w:rsidRPr="00F84E3C">
        <w:rPr>
          <w:rFonts w:ascii="Arial" w:hAnsi="Arial" w:cs="Arial"/>
          <w:sz w:val="24"/>
          <w:szCs w:val="24"/>
        </w:rPr>
        <w:t xml:space="preserve">, sino que se dirigen a impugnar </w:t>
      </w:r>
      <w:r w:rsidR="006A0E5E" w:rsidRPr="00F84E3C">
        <w:rPr>
          <w:rFonts w:ascii="Arial" w:hAnsi="Arial" w:cs="Arial"/>
          <w:b/>
          <w:sz w:val="24"/>
          <w:szCs w:val="24"/>
        </w:rPr>
        <w:t xml:space="preserve">el acuerdo </w:t>
      </w:r>
      <w:r w:rsidR="00133D30" w:rsidRPr="00F84E3C">
        <w:rPr>
          <w:rFonts w:ascii="Arial" w:hAnsi="Arial" w:cs="Arial"/>
          <w:b/>
          <w:sz w:val="24"/>
          <w:szCs w:val="24"/>
        </w:rPr>
        <w:t xml:space="preserve">de prórroga </w:t>
      </w:r>
      <w:r w:rsidR="006A0E5E" w:rsidRPr="00F84E3C">
        <w:rPr>
          <w:rFonts w:ascii="Arial" w:hAnsi="Arial" w:cs="Arial"/>
          <w:b/>
          <w:sz w:val="24"/>
          <w:szCs w:val="24"/>
        </w:rPr>
        <w:t>de</w:t>
      </w:r>
      <w:r w:rsidR="00133D30" w:rsidRPr="00F84E3C">
        <w:rPr>
          <w:rFonts w:ascii="Arial" w:hAnsi="Arial" w:cs="Arial"/>
          <w:b/>
          <w:sz w:val="24"/>
          <w:szCs w:val="24"/>
        </w:rPr>
        <w:t xml:space="preserve"> la directiva estatal emitido por e</w:t>
      </w:r>
      <w:r w:rsidR="006A0E5E" w:rsidRPr="00F84E3C">
        <w:rPr>
          <w:rFonts w:ascii="Arial" w:hAnsi="Arial" w:cs="Arial"/>
          <w:b/>
          <w:sz w:val="24"/>
          <w:szCs w:val="24"/>
        </w:rPr>
        <w:t>l CEN</w:t>
      </w:r>
      <w:r w:rsidR="006A0E5E" w:rsidRPr="00F84E3C">
        <w:rPr>
          <w:rFonts w:ascii="Arial" w:hAnsi="Arial" w:cs="Arial"/>
          <w:sz w:val="24"/>
          <w:szCs w:val="24"/>
        </w:rPr>
        <w:t xml:space="preserve"> y en consecuencia su falta de reconocimiento como presidente del Comité Estatal</w:t>
      </w:r>
      <w:r w:rsidR="00133D30" w:rsidRPr="00F84E3C">
        <w:rPr>
          <w:rFonts w:ascii="Arial" w:hAnsi="Arial" w:cs="Arial"/>
          <w:sz w:val="24"/>
          <w:szCs w:val="24"/>
        </w:rPr>
        <w:t>.</w:t>
      </w:r>
    </w:p>
    <w:p w14:paraId="16DA0D87" w14:textId="77777777" w:rsidR="008112E3" w:rsidRPr="00F84E3C" w:rsidRDefault="008112E3" w:rsidP="0098692A">
      <w:pPr>
        <w:spacing w:after="0" w:line="240" w:lineRule="auto"/>
        <w:jc w:val="both"/>
        <w:rPr>
          <w:rFonts w:ascii="Arial" w:hAnsi="Arial" w:cs="Arial"/>
          <w:sz w:val="24"/>
          <w:szCs w:val="24"/>
        </w:rPr>
      </w:pPr>
    </w:p>
    <w:p w14:paraId="4D1312D8" w14:textId="340BEBC3" w:rsidR="001B7F16" w:rsidRPr="00F84E3C" w:rsidRDefault="00133D30" w:rsidP="00133D30">
      <w:pPr>
        <w:spacing w:after="0" w:line="360" w:lineRule="auto"/>
        <w:jc w:val="both"/>
        <w:rPr>
          <w:rFonts w:ascii="Arial" w:hAnsi="Arial" w:cs="Arial"/>
          <w:sz w:val="24"/>
          <w:szCs w:val="24"/>
        </w:rPr>
      </w:pPr>
      <w:r w:rsidRPr="00F84E3C">
        <w:rPr>
          <w:rFonts w:ascii="Arial" w:hAnsi="Arial" w:cs="Arial"/>
          <w:bCs/>
          <w:sz w:val="24"/>
          <w:szCs w:val="24"/>
        </w:rPr>
        <w:t>De manera que</w:t>
      </w:r>
      <w:r w:rsidR="006701F9" w:rsidRPr="00F84E3C">
        <w:rPr>
          <w:rFonts w:ascii="Arial" w:hAnsi="Arial" w:cs="Arial"/>
          <w:bCs/>
          <w:sz w:val="24"/>
          <w:szCs w:val="24"/>
        </w:rPr>
        <w:t xml:space="preserve"> dicha impugnación, </w:t>
      </w:r>
      <w:r w:rsidRPr="00F84E3C">
        <w:rPr>
          <w:rFonts w:ascii="Arial" w:hAnsi="Arial" w:cs="Arial"/>
          <w:bCs/>
          <w:sz w:val="24"/>
          <w:szCs w:val="24"/>
        </w:rPr>
        <w:t xml:space="preserve">finalmente, </w:t>
      </w:r>
      <w:r w:rsidR="00FD4048" w:rsidRPr="00F84E3C">
        <w:rPr>
          <w:rFonts w:ascii="Arial" w:hAnsi="Arial" w:cs="Arial"/>
          <w:bCs/>
          <w:sz w:val="24"/>
          <w:szCs w:val="24"/>
        </w:rPr>
        <w:t xml:space="preserve">puede ser analizada </w:t>
      </w:r>
      <w:r w:rsidRPr="00F84E3C">
        <w:rPr>
          <w:rFonts w:ascii="Arial" w:hAnsi="Arial" w:cs="Arial"/>
          <w:bCs/>
          <w:sz w:val="24"/>
          <w:szCs w:val="24"/>
        </w:rPr>
        <w:t xml:space="preserve">en el </w:t>
      </w:r>
      <w:r w:rsidR="00111626" w:rsidRPr="00F84E3C">
        <w:rPr>
          <w:rFonts w:ascii="Arial" w:hAnsi="Arial" w:cs="Arial"/>
          <w:bCs/>
          <w:sz w:val="24"/>
          <w:szCs w:val="24"/>
        </w:rPr>
        <w:t>medio</w:t>
      </w:r>
      <w:r w:rsidR="00480D52" w:rsidRPr="00F84E3C">
        <w:rPr>
          <w:rFonts w:ascii="Arial" w:hAnsi="Arial" w:cs="Arial"/>
          <w:bCs/>
          <w:sz w:val="24"/>
          <w:szCs w:val="24"/>
        </w:rPr>
        <w:t xml:space="preserve"> </w:t>
      </w:r>
      <w:r w:rsidR="00111626" w:rsidRPr="00F84E3C">
        <w:rPr>
          <w:rFonts w:ascii="Arial" w:hAnsi="Arial" w:cs="Arial"/>
          <w:bCs/>
          <w:sz w:val="24"/>
          <w:szCs w:val="24"/>
        </w:rPr>
        <w:t xml:space="preserve">partidista, cuya inactividad se controvierte en el </w:t>
      </w:r>
      <w:r w:rsidRPr="00F84E3C">
        <w:rPr>
          <w:rFonts w:ascii="Arial" w:hAnsi="Arial" w:cs="Arial"/>
          <w:bCs/>
          <w:sz w:val="24"/>
          <w:szCs w:val="24"/>
        </w:rPr>
        <w:t xml:space="preserve">juicio TEEG-JPDC/65/2020, </w:t>
      </w:r>
      <w:r w:rsidR="001B7F16" w:rsidRPr="00F84E3C">
        <w:rPr>
          <w:rFonts w:ascii="Arial" w:hAnsi="Arial" w:cs="Arial"/>
          <w:bCs/>
          <w:sz w:val="24"/>
          <w:szCs w:val="24"/>
        </w:rPr>
        <w:t xml:space="preserve">en el que </w:t>
      </w:r>
      <w:r w:rsidRPr="00F84E3C">
        <w:rPr>
          <w:rFonts w:ascii="Arial" w:hAnsi="Arial" w:cs="Arial"/>
          <w:bCs/>
          <w:sz w:val="24"/>
          <w:szCs w:val="24"/>
        </w:rPr>
        <w:t>el impugnante podría alcanzar su pretensión de</w:t>
      </w:r>
      <w:r w:rsidRPr="00F84E3C">
        <w:rPr>
          <w:rFonts w:ascii="Arial" w:hAnsi="Arial" w:cs="Arial"/>
          <w:sz w:val="24"/>
          <w:szCs w:val="24"/>
        </w:rPr>
        <w:t xml:space="preserve"> dejar sin efectos la prórroga de la directiva estatal y obtener su reconocimiento como Presidente del partido en la entidad</w:t>
      </w:r>
      <w:r w:rsidR="001B7F16" w:rsidRPr="00F84E3C">
        <w:rPr>
          <w:rFonts w:ascii="Arial" w:hAnsi="Arial" w:cs="Arial"/>
          <w:sz w:val="24"/>
          <w:szCs w:val="24"/>
        </w:rPr>
        <w:t>.</w:t>
      </w:r>
    </w:p>
    <w:p w14:paraId="4FB14A56" w14:textId="77777777" w:rsidR="00515979" w:rsidRPr="00F84E3C" w:rsidRDefault="00515979" w:rsidP="00133D30">
      <w:pPr>
        <w:spacing w:after="0" w:line="360" w:lineRule="auto"/>
        <w:jc w:val="both"/>
        <w:rPr>
          <w:rFonts w:ascii="Arial" w:hAnsi="Arial" w:cs="Arial"/>
          <w:sz w:val="24"/>
          <w:szCs w:val="24"/>
        </w:rPr>
      </w:pPr>
    </w:p>
    <w:p w14:paraId="387212DA" w14:textId="20A8A23A" w:rsidR="001B7F16" w:rsidRPr="00F84E3C" w:rsidRDefault="00164EF0" w:rsidP="00680B57">
      <w:pPr>
        <w:spacing w:line="360" w:lineRule="auto"/>
        <w:jc w:val="both"/>
        <w:rPr>
          <w:rFonts w:ascii="Arial" w:hAnsi="Arial" w:cs="Arial"/>
          <w:sz w:val="24"/>
          <w:szCs w:val="24"/>
        </w:rPr>
      </w:pPr>
      <w:r w:rsidRPr="00F84E3C">
        <w:rPr>
          <w:rFonts w:ascii="Arial" w:eastAsia="Arial" w:hAnsi="Arial" w:cs="Arial"/>
          <w:color w:val="000000" w:themeColor="text1"/>
          <w:sz w:val="24"/>
          <w:szCs w:val="24"/>
        </w:rPr>
        <w:t xml:space="preserve">Situación que revela que el </w:t>
      </w:r>
      <w:proofErr w:type="spellStart"/>
      <w:r w:rsidRPr="00F84E3C">
        <w:rPr>
          <w:rFonts w:ascii="Arial" w:eastAsia="Arial" w:hAnsi="Arial" w:cs="Arial"/>
          <w:color w:val="000000" w:themeColor="text1"/>
          <w:sz w:val="24"/>
          <w:szCs w:val="24"/>
        </w:rPr>
        <w:t>sobresemiento</w:t>
      </w:r>
      <w:proofErr w:type="spellEnd"/>
      <w:r w:rsidRPr="00F84E3C">
        <w:rPr>
          <w:rFonts w:ascii="Arial" w:eastAsia="Arial" w:hAnsi="Arial" w:cs="Arial"/>
          <w:color w:val="000000" w:themeColor="text1"/>
          <w:sz w:val="24"/>
          <w:szCs w:val="24"/>
        </w:rPr>
        <w:t xml:space="preserve"> s</w:t>
      </w:r>
      <w:r w:rsidR="00BA7853" w:rsidRPr="00F84E3C">
        <w:rPr>
          <w:rFonts w:ascii="Arial" w:eastAsia="Arial" w:hAnsi="Arial" w:cs="Arial"/>
          <w:color w:val="000000" w:themeColor="text1"/>
          <w:sz w:val="24"/>
          <w:szCs w:val="24"/>
        </w:rPr>
        <w:t>í</w:t>
      </w:r>
      <w:r w:rsidR="00680B57" w:rsidRPr="00F84E3C">
        <w:rPr>
          <w:rFonts w:ascii="Arial" w:eastAsia="Arial" w:hAnsi="Arial" w:cs="Arial"/>
          <w:color w:val="000000" w:themeColor="text1"/>
          <w:sz w:val="24"/>
          <w:szCs w:val="24"/>
        </w:rPr>
        <w:t xml:space="preserve"> contaba con elementos para su </w:t>
      </w:r>
      <w:r w:rsidRPr="00F84E3C">
        <w:rPr>
          <w:rFonts w:ascii="Arial" w:eastAsia="Arial" w:hAnsi="Arial" w:cs="Arial"/>
          <w:color w:val="000000" w:themeColor="text1"/>
          <w:sz w:val="24"/>
          <w:szCs w:val="24"/>
        </w:rPr>
        <w:t>actu</w:t>
      </w:r>
      <w:r w:rsidR="00956FF7" w:rsidRPr="00F84E3C">
        <w:rPr>
          <w:rFonts w:ascii="Arial" w:eastAsia="Arial" w:hAnsi="Arial" w:cs="Arial"/>
          <w:color w:val="000000" w:themeColor="text1"/>
          <w:sz w:val="24"/>
          <w:szCs w:val="24"/>
        </w:rPr>
        <w:t>a</w:t>
      </w:r>
      <w:r w:rsidRPr="00F84E3C">
        <w:rPr>
          <w:rFonts w:ascii="Arial" w:eastAsia="Arial" w:hAnsi="Arial" w:cs="Arial"/>
          <w:color w:val="000000" w:themeColor="text1"/>
          <w:sz w:val="24"/>
          <w:szCs w:val="24"/>
        </w:rPr>
        <w:t>liza</w:t>
      </w:r>
      <w:r w:rsidR="00680B57" w:rsidRPr="00F84E3C">
        <w:rPr>
          <w:rFonts w:ascii="Arial" w:eastAsia="Arial" w:hAnsi="Arial" w:cs="Arial"/>
          <w:color w:val="000000" w:themeColor="text1"/>
          <w:sz w:val="24"/>
          <w:szCs w:val="24"/>
        </w:rPr>
        <w:t xml:space="preserve">ción, precisamente, porque el Tribunal Local advirtió que </w:t>
      </w:r>
      <w:r w:rsidRPr="00F84E3C">
        <w:rPr>
          <w:rFonts w:ascii="Arial" w:eastAsia="Arial" w:hAnsi="Arial" w:cs="Arial"/>
          <w:color w:val="000000" w:themeColor="text1"/>
          <w:sz w:val="24"/>
          <w:szCs w:val="24"/>
        </w:rPr>
        <w:t>lo impugnado p</w:t>
      </w:r>
      <w:r w:rsidR="00680B57" w:rsidRPr="00F84E3C">
        <w:rPr>
          <w:rFonts w:ascii="Arial" w:eastAsia="Arial" w:hAnsi="Arial" w:cs="Arial"/>
          <w:color w:val="000000" w:themeColor="text1"/>
          <w:sz w:val="24"/>
          <w:szCs w:val="24"/>
        </w:rPr>
        <w:t xml:space="preserve">odía ser modificado por la </w:t>
      </w:r>
      <w:r w:rsidRPr="00F84E3C">
        <w:rPr>
          <w:rFonts w:ascii="Arial" w:eastAsia="Arial" w:hAnsi="Arial" w:cs="Arial"/>
          <w:color w:val="000000" w:themeColor="text1"/>
          <w:sz w:val="24"/>
          <w:szCs w:val="24"/>
        </w:rPr>
        <w:t>diversa impugnación</w:t>
      </w:r>
      <w:r w:rsidR="00680B57" w:rsidRPr="00F84E3C">
        <w:rPr>
          <w:rFonts w:ascii="Arial" w:eastAsia="Arial" w:hAnsi="Arial" w:cs="Arial"/>
          <w:color w:val="000000" w:themeColor="text1"/>
          <w:sz w:val="24"/>
          <w:szCs w:val="24"/>
        </w:rPr>
        <w:t xml:space="preserve"> y, ante ello, quedó autorizado </w:t>
      </w:r>
      <w:r w:rsidRPr="00F84E3C">
        <w:rPr>
          <w:rFonts w:ascii="Arial" w:eastAsia="Arial" w:hAnsi="Arial" w:cs="Arial"/>
          <w:color w:val="000000" w:themeColor="text1"/>
          <w:sz w:val="24"/>
          <w:szCs w:val="24"/>
        </w:rPr>
        <w:t>para terminar anticipadamente el juicio</w:t>
      </w:r>
      <w:r w:rsidR="00680B57" w:rsidRPr="00F84E3C">
        <w:rPr>
          <w:rFonts w:ascii="Arial" w:eastAsia="Arial" w:hAnsi="Arial" w:cs="Arial"/>
          <w:color w:val="000000" w:themeColor="text1"/>
          <w:sz w:val="24"/>
          <w:szCs w:val="24"/>
        </w:rPr>
        <w:t>, correctamente, a través del sobreseimiento</w:t>
      </w:r>
      <w:r w:rsidRPr="00F84E3C">
        <w:rPr>
          <w:rFonts w:ascii="Arial" w:eastAsia="Arial" w:hAnsi="Arial" w:cs="Arial"/>
          <w:color w:val="000000" w:themeColor="text1"/>
          <w:sz w:val="24"/>
          <w:szCs w:val="24"/>
        </w:rPr>
        <w:t>.</w:t>
      </w:r>
    </w:p>
    <w:p w14:paraId="4645B096" w14:textId="2644B014" w:rsidR="000969A7" w:rsidRPr="00F84E3C" w:rsidRDefault="001B7F16" w:rsidP="001B7F16">
      <w:pPr>
        <w:spacing w:after="0" w:line="360" w:lineRule="auto"/>
        <w:jc w:val="both"/>
        <w:rPr>
          <w:rFonts w:ascii="Arial" w:hAnsi="Arial" w:cs="Arial"/>
          <w:sz w:val="24"/>
          <w:szCs w:val="24"/>
        </w:rPr>
      </w:pPr>
      <w:r w:rsidRPr="00F84E3C">
        <w:rPr>
          <w:rFonts w:ascii="Arial" w:hAnsi="Arial" w:cs="Arial"/>
          <w:sz w:val="24"/>
          <w:szCs w:val="24"/>
        </w:rPr>
        <w:t>M</w:t>
      </w:r>
      <w:r w:rsidR="00133D30" w:rsidRPr="00F84E3C">
        <w:rPr>
          <w:rFonts w:ascii="Arial" w:hAnsi="Arial" w:cs="Arial"/>
          <w:bCs/>
          <w:sz w:val="24"/>
          <w:szCs w:val="24"/>
        </w:rPr>
        <w:t xml:space="preserve">áxime que así lo reconoce </w:t>
      </w:r>
      <w:r w:rsidR="00956FF7" w:rsidRPr="00F84E3C">
        <w:rPr>
          <w:rFonts w:ascii="Arial" w:hAnsi="Arial" w:cs="Arial"/>
          <w:bCs/>
          <w:sz w:val="24"/>
          <w:szCs w:val="24"/>
        </w:rPr>
        <w:t xml:space="preserve">el </w:t>
      </w:r>
      <w:r w:rsidR="00133D30" w:rsidRPr="00F84E3C">
        <w:rPr>
          <w:rFonts w:ascii="Arial" w:hAnsi="Arial" w:cs="Arial"/>
          <w:bCs/>
          <w:sz w:val="24"/>
          <w:szCs w:val="24"/>
        </w:rPr>
        <w:t xml:space="preserve">propio Tribunal </w:t>
      </w:r>
      <w:r w:rsidR="00BA7853" w:rsidRPr="00F84E3C">
        <w:rPr>
          <w:rFonts w:ascii="Arial" w:hAnsi="Arial" w:cs="Arial"/>
          <w:bCs/>
          <w:sz w:val="24"/>
          <w:szCs w:val="24"/>
        </w:rPr>
        <w:t>Local</w:t>
      </w:r>
      <w:r w:rsidR="00133D30" w:rsidRPr="00F84E3C">
        <w:rPr>
          <w:rFonts w:ascii="Arial" w:hAnsi="Arial" w:cs="Arial"/>
          <w:bCs/>
          <w:sz w:val="24"/>
          <w:szCs w:val="24"/>
        </w:rPr>
        <w:t>, que</w:t>
      </w:r>
      <w:r w:rsidR="00111626" w:rsidRPr="00F84E3C">
        <w:rPr>
          <w:rFonts w:ascii="Arial" w:hAnsi="Arial" w:cs="Arial"/>
          <w:bCs/>
          <w:sz w:val="24"/>
          <w:szCs w:val="24"/>
        </w:rPr>
        <w:t>, en su momento,</w:t>
      </w:r>
      <w:r w:rsidR="00133D30" w:rsidRPr="00F84E3C">
        <w:rPr>
          <w:rFonts w:ascii="Arial" w:hAnsi="Arial" w:cs="Arial"/>
          <w:bCs/>
          <w:sz w:val="24"/>
          <w:szCs w:val="24"/>
        </w:rPr>
        <w:t xml:space="preserve"> será el </w:t>
      </w:r>
      <w:r w:rsidR="009F2054" w:rsidRPr="00F84E3C">
        <w:rPr>
          <w:rFonts w:ascii="Arial" w:hAnsi="Arial" w:cs="Arial"/>
          <w:bCs/>
          <w:sz w:val="24"/>
          <w:szCs w:val="24"/>
        </w:rPr>
        <w:t xml:space="preserve">órgano </w:t>
      </w:r>
      <w:r w:rsidR="00133D30" w:rsidRPr="00F84E3C">
        <w:rPr>
          <w:rFonts w:ascii="Arial" w:hAnsi="Arial" w:cs="Arial"/>
          <w:bCs/>
          <w:sz w:val="24"/>
          <w:szCs w:val="24"/>
        </w:rPr>
        <w:t>encargado de analizar la controversia sobre el tema de la validez de la prórroga de la directiva estatal del PRI en esa entidad</w:t>
      </w:r>
      <w:r w:rsidR="00D51DC9" w:rsidRPr="00F84E3C">
        <w:rPr>
          <w:rStyle w:val="Refdenotaalpie"/>
          <w:rFonts w:ascii="Arial" w:hAnsi="Arial" w:cs="Arial"/>
          <w:sz w:val="24"/>
          <w:szCs w:val="24"/>
        </w:rPr>
        <w:footnoteReference w:id="11"/>
      </w:r>
      <w:r w:rsidR="00B91698" w:rsidRPr="00F84E3C">
        <w:rPr>
          <w:rFonts w:ascii="Arial" w:hAnsi="Arial" w:cs="Arial"/>
          <w:sz w:val="24"/>
          <w:szCs w:val="24"/>
        </w:rPr>
        <w:t>.</w:t>
      </w:r>
    </w:p>
    <w:p w14:paraId="5BCED79C" w14:textId="77777777" w:rsidR="009F2054" w:rsidRPr="00F84E3C" w:rsidRDefault="009F2054" w:rsidP="009F2054">
      <w:pPr>
        <w:spacing w:after="0" w:line="360" w:lineRule="auto"/>
        <w:jc w:val="both"/>
        <w:rPr>
          <w:rFonts w:ascii="Arial" w:hAnsi="Arial" w:cs="Arial"/>
          <w:sz w:val="24"/>
          <w:szCs w:val="24"/>
        </w:rPr>
      </w:pPr>
    </w:p>
    <w:p w14:paraId="54D2FA49" w14:textId="0AC5373D" w:rsidR="009F2054" w:rsidRPr="00F84E3C" w:rsidRDefault="009F2054" w:rsidP="009F2054">
      <w:pPr>
        <w:spacing w:after="0" w:line="360" w:lineRule="auto"/>
        <w:jc w:val="both"/>
        <w:rPr>
          <w:rFonts w:ascii="Arial" w:hAnsi="Arial" w:cs="Arial"/>
          <w:sz w:val="24"/>
          <w:szCs w:val="24"/>
        </w:rPr>
      </w:pPr>
      <w:r w:rsidRPr="00F84E3C">
        <w:rPr>
          <w:rFonts w:ascii="Arial" w:hAnsi="Arial" w:cs="Arial"/>
          <w:sz w:val="24"/>
          <w:szCs w:val="24"/>
        </w:rPr>
        <w:t>De ahí que el Tribunal Local precisó que, aun cuando se determinara la nulidad de los oficios controvertidos el actor no alcanzaría su pretensión, porque los oficios sólo reproducen la información aportada por el propio partido político.</w:t>
      </w:r>
    </w:p>
    <w:p w14:paraId="4AE4E43E" w14:textId="77777777" w:rsidR="009F2054" w:rsidRPr="00F84E3C" w:rsidRDefault="009F2054" w:rsidP="009F2054">
      <w:pPr>
        <w:spacing w:after="0" w:line="360" w:lineRule="auto"/>
        <w:jc w:val="both"/>
        <w:rPr>
          <w:rFonts w:ascii="Arial" w:hAnsi="Arial" w:cs="Arial"/>
          <w:sz w:val="24"/>
          <w:szCs w:val="24"/>
        </w:rPr>
      </w:pPr>
    </w:p>
    <w:p w14:paraId="13E36A5C" w14:textId="5E9F93D3" w:rsidR="009F2054" w:rsidRPr="00F84E3C" w:rsidRDefault="009F2054" w:rsidP="009F2054">
      <w:pPr>
        <w:spacing w:after="0" w:line="360" w:lineRule="auto"/>
        <w:jc w:val="both"/>
        <w:rPr>
          <w:rFonts w:ascii="Arial" w:hAnsi="Arial" w:cs="Arial"/>
          <w:sz w:val="24"/>
          <w:szCs w:val="24"/>
        </w:rPr>
      </w:pPr>
      <w:r w:rsidRPr="00F84E3C">
        <w:rPr>
          <w:rFonts w:ascii="Arial" w:hAnsi="Arial" w:cs="Arial"/>
          <w:sz w:val="24"/>
          <w:szCs w:val="24"/>
        </w:rPr>
        <w:t>Asimismo, para el Tribunal Local esa opción procesal evitaba la emisión de sentencias contradictorias.</w:t>
      </w:r>
    </w:p>
    <w:p w14:paraId="7A943B56" w14:textId="77777777" w:rsidR="00164EF0" w:rsidRPr="00F84E3C" w:rsidRDefault="00164EF0" w:rsidP="00A56A3A">
      <w:pPr>
        <w:spacing w:after="0" w:line="240" w:lineRule="auto"/>
        <w:jc w:val="both"/>
        <w:rPr>
          <w:rFonts w:ascii="Arial" w:hAnsi="Arial" w:cs="Arial"/>
          <w:sz w:val="24"/>
          <w:szCs w:val="24"/>
        </w:rPr>
      </w:pPr>
    </w:p>
    <w:p w14:paraId="4C77EC01" w14:textId="4224E21A" w:rsidR="007E5538" w:rsidRPr="00F84E3C" w:rsidRDefault="000752EB" w:rsidP="00974F6B">
      <w:pPr>
        <w:spacing w:after="0" w:line="360" w:lineRule="auto"/>
        <w:jc w:val="both"/>
        <w:rPr>
          <w:rFonts w:ascii="Arial" w:hAnsi="Arial" w:cs="Arial"/>
          <w:sz w:val="24"/>
          <w:szCs w:val="24"/>
        </w:rPr>
      </w:pPr>
      <w:r w:rsidRPr="00F84E3C">
        <w:rPr>
          <w:rFonts w:ascii="Arial" w:hAnsi="Arial" w:cs="Arial"/>
          <w:b/>
          <w:bCs/>
          <w:sz w:val="24"/>
          <w:szCs w:val="24"/>
        </w:rPr>
        <w:t>3.2</w:t>
      </w:r>
      <w:r w:rsidR="00232EED" w:rsidRPr="00F84E3C">
        <w:rPr>
          <w:rFonts w:ascii="Arial" w:hAnsi="Arial" w:cs="Arial"/>
          <w:sz w:val="24"/>
          <w:szCs w:val="24"/>
        </w:rPr>
        <w:t xml:space="preserve"> Esto</w:t>
      </w:r>
      <w:r w:rsidR="00956FF7" w:rsidRPr="00F84E3C">
        <w:rPr>
          <w:rFonts w:ascii="Arial" w:hAnsi="Arial" w:cs="Arial"/>
          <w:sz w:val="24"/>
          <w:szCs w:val="24"/>
        </w:rPr>
        <w:t>,</w:t>
      </w:r>
      <w:r w:rsidR="00232EED" w:rsidRPr="00F84E3C">
        <w:rPr>
          <w:rFonts w:ascii="Arial" w:hAnsi="Arial" w:cs="Arial"/>
          <w:sz w:val="24"/>
          <w:szCs w:val="24"/>
        </w:rPr>
        <w:t xml:space="preserve"> sin perjuicio de la libertad del Tribunal Local</w:t>
      </w:r>
      <w:r w:rsidRPr="00F84E3C">
        <w:rPr>
          <w:rFonts w:ascii="Arial" w:hAnsi="Arial" w:cs="Arial"/>
          <w:sz w:val="24"/>
          <w:szCs w:val="24"/>
        </w:rPr>
        <w:t xml:space="preserve"> </w:t>
      </w:r>
      <w:r w:rsidR="00232EED" w:rsidRPr="00F84E3C">
        <w:rPr>
          <w:rFonts w:ascii="Arial" w:hAnsi="Arial" w:cs="Arial"/>
          <w:sz w:val="24"/>
          <w:szCs w:val="24"/>
        </w:rPr>
        <w:t>de optar por diversa</w:t>
      </w:r>
      <w:r w:rsidR="007E5538" w:rsidRPr="00F84E3C">
        <w:rPr>
          <w:rFonts w:ascii="Arial" w:hAnsi="Arial" w:cs="Arial"/>
          <w:sz w:val="24"/>
          <w:szCs w:val="24"/>
        </w:rPr>
        <w:t>s</w:t>
      </w:r>
      <w:r w:rsidR="00232EED" w:rsidRPr="00F84E3C">
        <w:rPr>
          <w:rFonts w:ascii="Arial" w:hAnsi="Arial" w:cs="Arial"/>
          <w:sz w:val="24"/>
          <w:szCs w:val="24"/>
        </w:rPr>
        <w:t xml:space="preserve"> </w:t>
      </w:r>
      <w:r w:rsidR="49C1C2D2" w:rsidRPr="00F84E3C">
        <w:rPr>
          <w:rFonts w:ascii="Arial" w:hAnsi="Arial" w:cs="Arial"/>
          <w:sz w:val="24"/>
          <w:szCs w:val="24"/>
        </w:rPr>
        <w:t>soluci</w:t>
      </w:r>
      <w:r w:rsidR="007E5538" w:rsidRPr="00F84E3C">
        <w:rPr>
          <w:rFonts w:ascii="Arial" w:hAnsi="Arial" w:cs="Arial"/>
          <w:sz w:val="24"/>
          <w:szCs w:val="24"/>
        </w:rPr>
        <w:t>ones, como pudo haber sido,</w:t>
      </w:r>
      <w:r w:rsidR="00232EED" w:rsidRPr="00F84E3C">
        <w:rPr>
          <w:rFonts w:ascii="Arial" w:hAnsi="Arial" w:cs="Arial"/>
          <w:sz w:val="24"/>
          <w:szCs w:val="24"/>
        </w:rPr>
        <w:t xml:space="preserve"> considerar inefica</w:t>
      </w:r>
      <w:r w:rsidR="004C7930" w:rsidRPr="00F84E3C">
        <w:rPr>
          <w:rFonts w:ascii="Arial" w:hAnsi="Arial" w:cs="Arial"/>
          <w:sz w:val="24"/>
          <w:szCs w:val="24"/>
        </w:rPr>
        <w:t>z la impugnación planteada expresamente contra las notificaciones de la autoridad electoral, por</w:t>
      </w:r>
      <w:r w:rsidR="00CE2084" w:rsidRPr="00F84E3C">
        <w:rPr>
          <w:rFonts w:ascii="Arial" w:hAnsi="Arial" w:cs="Arial"/>
          <w:sz w:val="24"/>
          <w:szCs w:val="24"/>
        </w:rPr>
        <w:t xml:space="preserve">que en realidad no se impugnaban por vicios propios, pues lo reclamado en última instancia era </w:t>
      </w:r>
      <w:r w:rsidR="007171C8" w:rsidRPr="00F84E3C">
        <w:rPr>
          <w:rFonts w:ascii="Arial" w:hAnsi="Arial" w:cs="Arial"/>
          <w:sz w:val="24"/>
          <w:szCs w:val="24"/>
        </w:rPr>
        <w:t xml:space="preserve">el acuerdo de prórroga precisado, </w:t>
      </w:r>
      <w:r w:rsidR="0046118F" w:rsidRPr="00F84E3C">
        <w:rPr>
          <w:rFonts w:ascii="Arial" w:hAnsi="Arial" w:cs="Arial"/>
          <w:sz w:val="24"/>
          <w:szCs w:val="24"/>
        </w:rPr>
        <w:t xml:space="preserve">en contra del cual, </w:t>
      </w:r>
      <w:r w:rsidR="0046118F" w:rsidRPr="00F84E3C">
        <w:rPr>
          <w:rFonts w:ascii="Arial" w:hAnsi="Arial" w:cs="Arial"/>
          <w:sz w:val="24"/>
          <w:szCs w:val="24"/>
        </w:rPr>
        <w:lastRenderedPageBreak/>
        <w:t>como se explicó, también existía el juicio 65/2020</w:t>
      </w:r>
      <w:r w:rsidR="00523B45" w:rsidRPr="00F84E3C">
        <w:rPr>
          <w:rFonts w:ascii="Arial" w:hAnsi="Arial" w:cs="Arial"/>
          <w:sz w:val="24"/>
          <w:szCs w:val="24"/>
        </w:rPr>
        <w:t>, presentado por el mismo actor ante ese mismo Tribunal Local</w:t>
      </w:r>
      <w:r w:rsidR="00FE783D" w:rsidRPr="00F84E3C">
        <w:rPr>
          <w:rFonts w:ascii="Arial" w:hAnsi="Arial" w:cs="Arial"/>
          <w:sz w:val="24"/>
          <w:szCs w:val="24"/>
        </w:rPr>
        <w:t xml:space="preserve"> contra la inactividad procesal de un juicio partidista donde se controvertía dicha prórroga</w:t>
      </w:r>
      <w:r w:rsidR="007E5538" w:rsidRPr="00F84E3C">
        <w:rPr>
          <w:rFonts w:ascii="Arial" w:hAnsi="Arial" w:cs="Arial"/>
          <w:sz w:val="24"/>
          <w:szCs w:val="24"/>
        </w:rPr>
        <w:t>, o incluso, optar por la acumulación de ambos</w:t>
      </w:r>
      <w:r w:rsidR="00657AF9" w:rsidRPr="00F84E3C">
        <w:rPr>
          <w:rFonts w:ascii="Arial" w:hAnsi="Arial" w:cs="Arial"/>
          <w:sz w:val="24"/>
          <w:szCs w:val="24"/>
        </w:rPr>
        <w:t>, pero sin que se advierta que, en sí misma, la opción o técnica procesal de resolución le genera un perjuicio al impugnante.</w:t>
      </w:r>
    </w:p>
    <w:p w14:paraId="7C9993DD" w14:textId="77777777" w:rsidR="00BC38B8" w:rsidRPr="00F84E3C" w:rsidRDefault="00BC38B8" w:rsidP="005745F9">
      <w:pPr>
        <w:spacing w:after="0" w:line="240" w:lineRule="auto"/>
        <w:jc w:val="both"/>
        <w:rPr>
          <w:rFonts w:ascii="Arial" w:hAnsi="Arial" w:cs="Arial"/>
          <w:sz w:val="24"/>
          <w:szCs w:val="24"/>
        </w:rPr>
      </w:pPr>
    </w:p>
    <w:p w14:paraId="0E592F60" w14:textId="77777777" w:rsidR="003F7D85" w:rsidRPr="00F84E3C" w:rsidRDefault="003F7D85" w:rsidP="002E435A">
      <w:pPr>
        <w:pStyle w:val="Normalsentencia"/>
        <w:spacing w:before="0" w:after="0"/>
        <w:ind w:firstLine="0"/>
        <w:rPr>
          <w:bCs/>
          <w:sz w:val="24"/>
          <w:szCs w:val="24"/>
        </w:rPr>
      </w:pPr>
      <w:r w:rsidRPr="00F84E3C">
        <w:rPr>
          <w:bCs/>
          <w:sz w:val="24"/>
          <w:szCs w:val="24"/>
        </w:rPr>
        <w:t>De ahí que, con independencia de la posible validez de una opción de resolución diversa, como la planteada por el impugnante, en el caso no existen elementos para considerar que lo resuelto por el Tribunal Local sea incorrecto o deje en indefensión al impugnante.</w:t>
      </w:r>
    </w:p>
    <w:p w14:paraId="247B640D" w14:textId="77777777" w:rsidR="003F7D85" w:rsidRPr="00F84E3C" w:rsidRDefault="003F7D85" w:rsidP="002E435A">
      <w:pPr>
        <w:pStyle w:val="Normalsentencia"/>
        <w:spacing w:before="0" w:after="0"/>
        <w:ind w:firstLine="0"/>
        <w:rPr>
          <w:bCs/>
          <w:sz w:val="24"/>
          <w:szCs w:val="24"/>
        </w:rPr>
      </w:pPr>
    </w:p>
    <w:p w14:paraId="4187FC49" w14:textId="12E4D707" w:rsidR="00BC38B8" w:rsidRPr="00F84E3C" w:rsidRDefault="003F7D85" w:rsidP="002E435A">
      <w:pPr>
        <w:pStyle w:val="Normalsentencia"/>
        <w:spacing w:before="0" w:after="0"/>
        <w:ind w:firstLine="0"/>
        <w:rPr>
          <w:bCs/>
          <w:sz w:val="24"/>
          <w:szCs w:val="24"/>
        </w:rPr>
      </w:pPr>
      <w:r w:rsidRPr="00F84E3C">
        <w:rPr>
          <w:bCs/>
          <w:sz w:val="24"/>
          <w:szCs w:val="24"/>
        </w:rPr>
        <w:t xml:space="preserve">Por tanto, lo procedente es que esta Sala Monterrey deba confirmar la resolución impugnada. </w:t>
      </w:r>
    </w:p>
    <w:p w14:paraId="3ED3DE64" w14:textId="77777777" w:rsidR="00EE69B7" w:rsidRPr="00F84E3C" w:rsidRDefault="00EE69B7" w:rsidP="002E435A">
      <w:pPr>
        <w:spacing w:after="0" w:line="240" w:lineRule="auto"/>
        <w:jc w:val="both"/>
        <w:rPr>
          <w:rFonts w:ascii="Arial" w:hAnsi="Arial" w:cs="Arial"/>
          <w:sz w:val="24"/>
          <w:szCs w:val="24"/>
        </w:rPr>
      </w:pPr>
    </w:p>
    <w:p w14:paraId="61076550" w14:textId="77777777" w:rsidR="00EE69B7" w:rsidRPr="00F84E3C" w:rsidRDefault="00EE69B7" w:rsidP="002E435A">
      <w:pPr>
        <w:pStyle w:val="Ttulo1"/>
        <w:spacing w:before="0" w:beforeAutospacing="0" w:after="0" w:afterAutospacing="0"/>
        <w:jc w:val="center"/>
        <w:rPr>
          <w:rStyle w:val="Ttulo1Car"/>
          <w:rFonts w:cs="Arial"/>
          <w:b/>
          <w:szCs w:val="24"/>
        </w:rPr>
      </w:pPr>
      <w:bookmarkStart w:id="31" w:name="_Toc61560518"/>
      <w:bookmarkEnd w:id="30"/>
      <w:r w:rsidRPr="00F84E3C">
        <w:rPr>
          <w:rStyle w:val="Ttulo1Car"/>
          <w:rFonts w:cs="Arial"/>
          <w:b/>
          <w:szCs w:val="24"/>
        </w:rPr>
        <w:t>Resuelve</w:t>
      </w:r>
      <w:bookmarkEnd w:id="31"/>
    </w:p>
    <w:p w14:paraId="73C696BC" w14:textId="77777777" w:rsidR="00EE69B7" w:rsidRPr="00F84E3C" w:rsidRDefault="00EE69B7" w:rsidP="002E435A">
      <w:pPr>
        <w:spacing w:after="0" w:line="360" w:lineRule="auto"/>
        <w:jc w:val="both"/>
        <w:rPr>
          <w:rFonts w:ascii="Arial" w:hAnsi="Arial" w:cs="Arial"/>
          <w:sz w:val="24"/>
          <w:szCs w:val="24"/>
        </w:rPr>
      </w:pPr>
    </w:p>
    <w:p w14:paraId="2491A0FC" w14:textId="77777777" w:rsidR="00EE69B7" w:rsidRPr="00F84E3C" w:rsidRDefault="00EE69B7" w:rsidP="002E435A">
      <w:pPr>
        <w:spacing w:after="0" w:line="360" w:lineRule="auto"/>
        <w:jc w:val="both"/>
        <w:rPr>
          <w:rFonts w:ascii="Arial" w:hAnsi="Arial" w:cs="Arial"/>
          <w:sz w:val="24"/>
          <w:szCs w:val="24"/>
        </w:rPr>
      </w:pPr>
      <w:r w:rsidRPr="00F84E3C">
        <w:rPr>
          <w:rFonts w:ascii="Arial" w:hAnsi="Arial" w:cs="Arial"/>
          <w:b/>
          <w:bCs/>
          <w:sz w:val="24"/>
          <w:szCs w:val="24"/>
        </w:rPr>
        <w:t>ÚNICO</w:t>
      </w:r>
      <w:r w:rsidRPr="00F84E3C">
        <w:rPr>
          <w:rFonts w:ascii="Arial" w:hAnsi="Arial" w:cs="Arial"/>
          <w:b/>
          <w:bCs/>
          <w:sz w:val="24"/>
          <w:szCs w:val="24"/>
          <w:lang w:eastAsia="es-MX"/>
        </w:rPr>
        <w:t xml:space="preserve">. </w:t>
      </w:r>
      <w:r w:rsidRPr="00F84E3C">
        <w:rPr>
          <w:rFonts w:ascii="Arial" w:hAnsi="Arial" w:cs="Arial"/>
          <w:bCs/>
          <w:sz w:val="24"/>
          <w:szCs w:val="24"/>
          <w:lang w:eastAsia="es-MX"/>
        </w:rPr>
        <w:t>Se</w:t>
      </w:r>
      <w:r w:rsidR="00767B5E" w:rsidRPr="00F84E3C">
        <w:rPr>
          <w:rFonts w:ascii="Arial" w:hAnsi="Arial" w:cs="Arial"/>
          <w:bCs/>
          <w:sz w:val="24"/>
          <w:szCs w:val="24"/>
          <w:lang w:eastAsia="es-MX"/>
        </w:rPr>
        <w:t xml:space="preserve"> </w:t>
      </w:r>
      <w:r w:rsidR="00767B5E" w:rsidRPr="00F84E3C">
        <w:rPr>
          <w:rFonts w:ascii="Arial" w:hAnsi="Arial" w:cs="Arial"/>
          <w:b/>
          <w:bCs/>
          <w:sz w:val="24"/>
          <w:szCs w:val="24"/>
          <w:lang w:eastAsia="es-MX"/>
        </w:rPr>
        <w:t>confirma</w:t>
      </w:r>
      <w:r w:rsidRPr="00F84E3C">
        <w:rPr>
          <w:rFonts w:ascii="Arial" w:hAnsi="Arial" w:cs="Arial"/>
          <w:b/>
          <w:sz w:val="24"/>
          <w:szCs w:val="24"/>
        </w:rPr>
        <w:t xml:space="preserve"> </w:t>
      </w:r>
      <w:r w:rsidRPr="00F84E3C">
        <w:rPr>
          <w:rFonts w:ascii="Arial" w:hAnsi="Arial" w:cs="Arial"/>
          <w:sz w:val="24"/>
          <w:szCs w:val="24"/>
        </w:rPr>
        <w:t xml:space="preserve">la resolución del Tribunal </w:t>
      </w:r>
      <w:r w:rsidR="006C6C8B" w:rsidRPr="00F84E3C">
        <w:rPr>
          <w:rFonts w:ascii="Arial" w:hAnsi="Arial" w:cs="Arial"/>
          <w:sz w:val="24"/>
          <w:szCs w:val="24"/>
        </w:rPr>
        <w:t xml:space="preserve">Estatal </w:t>
      </w:r>
      <w:r w:rsidRPr="00F84E3C">
        <w:rPr>
          <w:rFonts w:ascii="Arial" w:hAnsi="Arial" w:cs="Arial"/>
          <w:sz w:val="24"/>
          <w:szCs w:val="24"/>
        </w:rPr>
        <w:t xml:space="preserve">Electoral </w:t>
      </w:r>
      <w:r w:rsidR="006C6C8B" w:rsidRPr="00F84E3C">
        <w:rPr>
          <w:rFonts w:ascii="Arial" w:hAnsi="Arial" w:cs="Arial"/>
          <w:sz w:val="24"/>
          <w:szCs w:val="24"/>
        </w:rPr>
        <w:t xml:space="preserve">de Guanajuato </w:t>
      </w:r>
      <w:r w:rsidRPr="00F84E3C">
        <w:rPr>
          <w:rFonts w:ascii="Arial" w:hAnsi="Arial" w:cs="Arial"/>
          <w:sz w:val="24"/>
          <w:szCs w:val="24"/>
        </w:rPr>
        <w:t>emitida en</w:t>
      </w:r>
      <w:r w:rsidR="006C6C8B" w:rsidRPr="00F84E3C">
        <w:rPr>
          <w:rFonts w:ascii="Arial" w:hAnsi="Arial" w:cs="Arial"/>
          <w:sz w:val="24"/>
          <w:szCs w:val="24"/>
        </w:rPr>
        <w:t xml:space="preserve"> </w:t>
      </w:r>
      <w:r w:rsidR="006C6C8B" w:rsidRPr="00F84E3C">
        <w:rPr>
          <w:rFonts w:ascii="Arial" w:hAnsi="Arial" w:cs="Arial"/>
          <w:bCs/>
          <w:sz w:val="24"/>
          <w:szCs w:val="24"/>
        </w:rPr>
        <w:t>TEEG-JPDC-60/2020</w:t>
      </w:r>
      <w:r w:rsidRPr="00F84E3C">
        <w:rPr>
          <w:rFonts w:ascii="Arial" w:hAnsi="Arial" w:cs="Arial"/>
          <w:sz w:val="24"/>
          <w:szCs w:val="24"/>
        </w:rPr>
        <w:t>.</w:t>
      </w:r>
    </w:p>
    <w:p w14:paraId="01D9B29A" w14:textId="77777777" w:rsidR="00EE69B7" w:rsidRPr="00F84E3C" w:rsidRDefault="00EE69B7" w:rsidP="002E435A">
      <w:pPr>
        <w:pStyle w:val="Normalsentencia"/>
        <w:spacing w:before="0" w:after="0" w:line="240" w:lineRule="auto"/>
        <w:ind w:firstLine="0"/>
        <w:rPr>
          <w:bCs/>
          <w:sz w:val="24"/>
          <w:szCs w:val="24"/>
        </w:rPr>
      </w:pPr>
    </w:p>
    <w:p w14:paraId="17A56343" w14:textId="77777777" w:rsidR="00EE69B7" w:rsidRPr="00F84E3C" w:rsidRDefault="00EE69B7" w:rsidP="002E435A">
      <w:pPr>
        <w:spacing w:after="0" w:line="360" w:lineRule="auto"/>
        <w:jc w:val="both"/>
        <w:rPr>
          <w:rFonts w:ascii="Arial" w:hAnsi="Arial" w:cs="Arial"/>
          <w:sz w:val="24"/>
          <w:szCs w:val="24"/>
        </w:rPr>
      </w:pPr>
      <w:r w:rsidRPr="00F84E3C">
        <w:rPr>
          <w:rFonts w:ascii="Arial" w:hAnsi="Arial" w:cs="Arial"/>
          <w:bCs/>
          <w:sz w:val="24"/>
          <w:szCs w:val="24"/>
        </w:rPr>
        <w:t>En su oportunidad, archívese el expediente como asunto total y definitivamente concluido</w:t>
      </w:r>
      <w:r w:rsidRPr="00F84E3C">
        <w:rPr>
          <w:rFonts w:ascii="Arial" w:hAnsi="Arial" w:cs="Arial"/>
          <w:sz w:val="24"/>
          <w:szCs w:val="24"/>
        </w:rPr>
        <w:t xml:space="preserve"> y, en su caso, devuélvase la documentación remitida por la responsable.</w:t>
      </w:r>
    </w:p>
    <w:p w14:paraId="3EDDC65A" w14:textId="77777777" w:rsidR="00EE69B7" w:rsidRPr="00F84E3C" w:rsidRDefault="00EE69B7" w:rsidP="002E435A">
      <w:pPr>
        <w:spacing w:after="0" w:line="240" w:lineRule="auto"/>
        <w:ind w:left="708" w:hanging="708"/>
        <w:jc w:val="both"/>
        <w:rPr>
          <w:rFonts w:ascii="Arial" w:hAnsi="Arial" w:cs="Arial"/>
          <w:sz w:val="24"/>
          <w:szCs w:val="24"/>
        </w:rPr>
      </w:pPr>
    </w:p>
    <w:bookmarkEnd w:id="0"/>
    <w:p w14:paraId="5D0F4056" w14:textId="77777777" w:rsidR="00EE69B7" w:rsidRPr="00F84E3C" w:rsidRDefault="00EE69B7" w:rsidP="002E435A">
      <w:pPr>
        <w:spacing w:after="0" w:line="360" w:lineRule="auto"/>
        <w:rPr>
          <w:rFonts w:ascii="Arial" w:eastAsia="Arial" w:hAnsi="Arial" w:cs="Arial"/>
          <w:color w:val="000000"/>
          <w:sz w:val="24"/>
          <w:szCs w:val="24"/>
          <w:u w:color="000000"/>
          <w:bdr w:val="nil"/>
          <w:lang w:eastAsia="es-MX"/>
        </w:rPr>
      </w:pPr>
      <w:r w:rsidRPr="00F84E3C">
        <w:rPr>
          <w:rFonts w:ascii="Arial" w:eastAsia="Arial" w:hAnsi="Arial" w:cs="Arial"/>
          <w:bCs/>
          <w:color w:val="000000"/>
          <w:sz w:val="24"/>
          <w:szCs w:val="24"/>
          <w:u w:color="000000"/>
          <w:bdr w:val="nil"/>
          <w:lang w:eastAsia="es-MX"/>
        </w:rPr>
        <w:t>Notifíquese</w:t>
      </w:r>
      <w:r w:rsidRPr="00F84E3C">
        <w:rPr>
          <w:rFonts w:ascii="Arial" w:eastAsia="Arial" w:hAnsi="Arial" w:cs="Arial"/>
          <w:color w:val="000000"/>
          <w:sz w:val="24"/>
          <w:szCs w:val="24"/>
          <w:u w:color="000000"/>
          <w:bdr w:val="nil"/>
          <w:lang w:eastAsia="es-MX"/>
        </w:rPr>
        <w:t xml:space="preserve"> como en Derecho corresponda. </w:t>
      </w:r>
    </w:p>
    <w:p w14:paraId="2D2414AF" w14:textId="77777777" w:rsidR="00EE69B7" w:rsidRPr="00F84E3C" w:rsidRDefault="00EE69B7" w:rsidP="002E435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MX"/>
        </w:rPr>
      </w:pPr>
    </w:p>
    <w:p w14:paraId="5C3A5790" w14:textId="7F8E6030" w:rsidR="00EE69B7" w:rsidRPr="00F84E3C" w:rsidRDefault="00EE69B7" w:rsidP="002E435A">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r w:rsidRPr="00F84E3C">
        <w:rPr>
          <w:rFonts w:ascii="Arial" w:eastAsia="Arial" w:hAnsi="Arial" w:cs="Arial"/>
          <w:color w:val="000000"/>
          <w:sz w:val="24"/>
          <w:szCs w:val="24"/>
          <w:u w:color="000000"/>
          <w:bdr w:val="nil"/>
          <w:lang w:val="es-ES_tradnl" w:eastAsia="es-MX"/>
        </w:rPr>
        <w:t xml:space="preserve">Así lo resolvieron, por </w:t>
      </w:r>
      <w:r w:rsidR="00167EC1" w:rsidRPr="00F84E3C">
        <w:rPr>
          <w:rFonts w:ascii="Arial" w:eastAsia="Arial" w:hAnsi="Arial" w:cs="Arial"/>
          <w:b/>
          <w:bCs/>
          <w:color w:val="000000"/>
          <w:sz w:val="24"/>
          <w:szCs w:val="24"/>
          <w:u w:color="000000"/>
          <w:bdr w:val="nil"/>
          <w:lang w:val="es-ES_tradnl" w:eastAsia="es-MX"/>
        </w:rPr>
        <w:t>unanimidad</w:t>
      </w:r>
      <w:r w:rsidRPr="00F84E3C">
        <w:rPr>
          <w:rFonts w:ascii="Arial" w:eastAsia="Arial" w:hAnsi="Arial" w:cs="Arial"/>
          <w:b/>
          <w:bCs/>
          <w:color w:val="000000"/>
          <w:sz w:val="24"/>
          <w:szCs w:val="24"/>
          <w:u w:color="000000"/>
          <w:bdr w:val="nil"/>
          <w:lang w:val="es-ES_tradnl" w:eastAsia="es-MX"/>
        </w:rPr>
        <w:t xml:space="preserve"> </w:t>
      </w:r>
      <w:r w:rsidRPr="00F84E3C">
        <w:rPr>
          <w:rFonts w:ascii="Arial" w:eastAsia="Arial" w:hAnsi="Arial" w:cs="Arial"/>
          <w:color w:val="000000"/>
          <w:sz w:val="24"/>
          <w:szCs w:val="24"/>
          <w:u w:color="000000"/>
          <w:bdr w:val="nil"/>
          <w:lang w:val="es-ES_tradnl"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53E0EEC" w14:textId="77777777" w:rsidR="00EE69B7" w:rsidRPr="00F84E3C" w:rsidRDefault="00EE69B7" w:rsidP="002E435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78CF44E1" w14:textId="77777777" w:rsidR="0088715F" w:rsidRPr="00197A9D" w:rsidRDefault="00197A9D" w:rsidP="002E435A">
      <w:pPr>
        <w:spacing w:after="0" w:line="360" w:lineRule="auto"/>
        <w:jc w:val="both"/>
        <w:rPr>
          <w:rFonts w:ascii="Arial" w:hAnsi="Arial" w:cs="Arial"/>
          <w:sz w:val="24"/>
        </w:rPr>
      </w:pPr>
      <w:r w:rsidRPr="00F84E3C">
        <w:rPr>
          <w:rFonts w:ascii="Arial" w:hAnsi="Arial" w:cs="Arial"/>
          <w:i/>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88715F" w:rsidRPr="00197A9D" w:rsidSect="00CC3635">
      <w:headerReference w:type="even" r:id="rId12"/>
      <w:headerReference w:type="default" r:id="rId13"/>
      <w:footerReference w:type="even" r:id="rId14"/>
      <w:footerReference w:type="default" r:id="rId15"/>
      <w:headerReference w:type="first" r:id="rId16"/>
      <w:footerReference w:type="first" r:id="rId17"/>
      <w:pgSz w:w="12242" w:h="19295" w:code="119"/>
      <w:pgMar w:top="2126" w:right="1134" w:bottom="1985" w:left="2835"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A896" w14:textId="77777777" w:rsidR="00442F9B" w:rsidRDefault="00442F9B" w:rsidP="00EE69B7">
      <w:pPr>
        <w:spacing w:after="0" w:line="240" w:lineRule="auto"/>
      </w:pPr>
      <w:r>
        <w:separator/>
      </w:r>
    </w:p>
  </w:endnote>
  <w:endnote w:type="continuationSeparator" w:id="0">
    <w:p w14:paraId="1F3C5098" w14:textId="77777777" w:rsidR="00442F9B" w:rsidRDefault="00442F9B" w:rsidP="00EE69B7">
      <w:pPr>
        <w:spacing w:after="0" w:line="240" w:lineRule="auto"/>
      </w:pPr>
      <w:r>
        <w:continuationSeparator/>
      </w:r>
    </w:p>
  </w:endnote>
  <w:endnote w:type="continuationNotice" w:id="1">
    <w:p w14:paraId="7CB370BE" w14:textId="77777777" w:rsidR="00442F9B" w:rsidRDefault="00442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3B38" w14:textId="77777777" w:rsidR="0018784E" w:rsidRDefault="001878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7CA0" w14:textId="77777777" w:rsidR="0018784E" w:rsidRDefault="001878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FF2F" w14:textId="77777777" w:rsidR="0018784E" w:rsidRDefault="001878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8568" w14:textId="77777777" w:rsidR="00442F9B" w:rsidRDefault="00442F9B" w:rsidP="00EE69B7">
      <w:pPr>
        <w:spacing w:after="0" w:line="240" w:lineRule="auto"/>
      </w:pPr>
      <w:r>
        <w:separator/>
      </w:r>
    </w:p>
  </w:footnote>
  <w:footnote w:type="continuationSeparator" w:id="0">
    <w:p w14:paraId="706C1AB7" w14:textId="77777777" w:rsidR="00442F9B" w:rsidRDefault="00442F9B" w:rsidP="00EE69B7">
      <w:pPr>
        <w:spacing w:after="0" w:line="240" w:lineRule="auto"/>
      </w:pPr>
      <w:r>
        <w:continuationSeparator/>
      </w:r>
    </w:p>
  </w:footnote>
  <w:footnote w:type="continuationNotice" w:id="1">
    <w:p w14:paraId="6E9B233D" w14:textId="77777777" w:rsidR="00442F9B" w:rsidRDefault="00442F9B">
      <w:pPr>
        <w:spacing w:after="0" w:line="240" w:lineRule="auto"/>
      </w:pPr>
    </w:p>
  </w:footnote>
  <w:footnote w:id="2">
    <w:p w14:paraId="43867903" w14:textId="77777777" w:rsidR="00F23883" w:rsidRPr="001C578C" w:rsidRDefault="00F23883" w:rsidP="00956FF7">
      <w:pPr>
        <w:pStyle w:val="Textonotapie"/>
        <w:jc w:val="both"/>
        <w:rPr>
          <w:rFonts w:ascii="Arial" w:hAnsi="Arial" w:cs="Arial"/>
          <w:sz w:val="16"/>
          <w:szCs w:val="16"/>
        </w:rPr>
      </w:pPr>
      <w:r w:rsidRPr="001C578C">
        <w:rPr>
          <w:rStyle w:val="Refdenotaalpie"/>
          <w:rFonts w:ascii="Arial" w:hAnsi="Arial" w:cs="Arial"/>
          <w:sz w:val="16"/>
          <w:szCs w:val="16"/>
        </w:rPr>
        <w:footnoteRef/>
      </w:r>
      <w:r w:rsidRPr="001C578C">
        <w:rPr>
          <w:rFonts w:ascii="Arial" w:hAnsi="Arial" w:cs="Arial"/>
          <w:sz w:val="16"/>
          <w:szCs w:val="16"/>
        </w:rPr>
        <w:t xml:space="preserve"> Cabe señalar que, e</w:t>
      </w:r>
      <w:r w:rsidRPr="001C578C">
        <w:rPr>
          <w:rFonts w:ascii="Arial" w:eastAsia="Times New Roman" w:hAnsi="Arial" w:cs="Arial"/>
          <w:sz w:val="16"/>
          <w:szCs w:val="16"/>
          <w:lang w:val="es-ES_tradnl"/>
        </w:rPr>
        <w:t xml:space="preserve">l 2 de septiembre, </w:t>
      </w:r>
      <w:r w:rsidRPr="001C578C">
        <w:rPr>
          <w:rFonts w:ascii="Arial" w:eastAsia="Times New Roman" w:hAnsi="Arial" w:cs="Arial"/>
          <w:b/>
          <w:sz w:val="16"/>
          <w:szCs w:val="16"/>
          <w:lang w:val="es-ES_tradnl"/>
        </w:rPr>
        <w:t>el impugnante comunicó al IEEG</w:t>
      </w:r>
      <w:r w:rsidRPr="001C578C">
        <w:rPr>
          <w:rFonts w:ascii="Arial" w:eastAsia="Times New Roman" w:hAnsi="Arial" w:cs="Arial"/>
          <w:sz w:val="16"/>
          <w:szCs w:val="16"/>
          <w:lang w:val="es-ES_tradnl"/>
        </w:rPr>
        <w:t xml:space="preserve"> que Ruth Noemí también había convocado a una sesión del Consejo Político Estatal, usurpando su puesto como Presidente. El 4 siguiente, informó sobre las designaciones del Secretario de Organización y Secretaria de Acción Electoral del nuevo Comité Estatal electo.</w:t>
      </w:r>
    </w:p>
  </w:footnote>
  <w:footnote w:id="3">
    <w:p w14:paraId="18DD4A66" w14:textId="77777777" w:rsidR="00F23883" w:rsidRPr="001C578C" w:rsidRDefault="00F23883" w:rsidP="00956FF7">
      <w:pPr>
        <w:pStyle w:val="Textonotapie"/>
        <w:jc w:val="both"/>
        <w:rPr>
          <w:rFonts w:ascii="Arial" w:hAnsi="Arial" w:cs="Arial"/>
          <w:sz w:val="16"/>
          <w:szCs w:val="16"/>
        </w:rPr>
      </w:pPr>
      <w:r w:rsidRPr="001C578C">
        <w:rPr>
          <w:rStyle w:val="Refdenotaalpie"/>
          <w:rFonts w:ascii="Arial" w:hAnsi="Arial" w:cs="Arial"/>
          <w:sz w:val="16"/>
          <w:szCs w:val="16"/>
        </w:rPr>
        <w:footnoteRef/>
      </w:r>
      <w:r w:rsidRPr="001C578C">
        <w:rPr>
          <w:rFonts w:ascii="Arial" w:hAnsi="Arial" w:cs="Arial"/>
          <w:sz w:val="16"/>
          <w:szCs w:val="16"/>
        </w:rPr>
        <w:t xml:space="preserve"> Esta misma información la reiteraron a través de los oficios CDE/PRI/003/2020 y CDE/PRI/003/2020, ambos del 19 de agosto de 2020.</w:t>
      </w:r>
    </w:p>
  </w:footnote>
  <w:footnote w:id="4">
    <w:p w14:paraId="7C7BEA84" w14:textId="77777777" w:rsidR="00F23883" w:rsidRPr="001C578C" w:rsidRDefault="00F23883" w:rsidP="00956FF7">
      <w:pPr>
        <w:pStyle w:val="Textonotapie"/>
        <w:jc w:val="both"/>
        <w:rPr>
          <w:rFonts w:ascii="Arial" w:hAnsi="Arial" w:cs="Arial"/>
          <w:sz w:val="16"/>
          <w:szCs w:val="16"/>
        </w:rPr>
      </w:pPr>
      <w:r w:rsidRPr="001C578C">
        <w:rPr>
          <w:rStyle w:val="Refdenotaalpie"/>
          <w:rFonts w:ascii="Arial" w:hAnsi="Arial" w:cs="Arial"/>
          <w:sz w:val="16"/>
          <w:szCs w:val="16"/>
        </w:rPr>
        <w:footnoteRef/>
      </w:r>
      <w:r w:rsidRPr="001C578C">
        <w:rPr>
          <w:rFonts w:ascii="Arial" w:hAnsi="Arial" w:cs="Arial"/>
          <w:sz w:val="16"/>
          <w:szCs w:val="16"/>
        </w:rPr>
        <w:t xml:space="preserve"> Derivado de ello, </w:t>
      </w:r>
      <w:r w:rsidRPr="001C578C">
        <w:rPr>
          <w:rFonts w:ascii="Arial" w:hAnsi="Arial" w:cs="Arial"/>
          <w:bCs/>
          <w:sz w:val="16"/>
          <w:szCs w:val="16"/>
        </w:rPr>
        <w:t xml:space="preserve">el 13 de ese mismo mes, </w:t>
      </w:r>
      <w:r w:rsidRPr="001C578C">
        <w:rPr>
          <w:rFonts w:ascii="Arial" w:eastAsia="Times New Roman" w:hAnsi="Arial" w:cs="Arial"/>
          <w:b/>
          <w:bCs/>
          <w:sz w:val="16"/>
          <w:szCs w:val="16"/>
          <w:lang w:val="es-ES_tradnl"/>
        </w:rPr>
        <w:t xml:space="preserve">Ruth Noemí y Alejandro Arias presentaron denuncia contra Armando </w:t>
      </w:r>
      <w:r w:rsidRPr="001C578C">
        <w:rPr>
          <w:rFonts w:ascii="Arial" w:eastAsia="Times New Roman" w:hAnsi="Arial" w:cs="Arial"/>
          <w:sz w:val="16"/>
          <w:szCs w:val="16"/>
          <w:lang w:val="es-ES_tradnl"/>
        </w:rPr>
        <w:t>Uribe ante la Comisión de Justicia por supuestos hechos que contravienen el Código de Justicia, solicitando su expulsión del partido, derivado del desarrollo de la referida sesión (CNJP-PS-GUA-051/2020).</w:t>
      </w:r>
    </w:p>
  </w:footnote>
  <w:footnote w:id="5">
    <w:p w14:paraId="1F307072" w14:textId="77777777" w:rsidR="00B66F38" w:rsidRPr="001C578C" w:rsidRDefault="00B66F38" w:rsidP="00956FF7">
      <w:pPr>
        <w:pStyle w:val="Textonotapie"/>
        <w:jc w:val="both"/>
        <w:rPr>
          <w:rFonts w:ascii="Arial" w:hAnsi="Arial" w:cs="Arial"/>
          <w:sz w:val="16"/>
          <w:szCs w:val="16"/>
        </w:rPr>
      </w:pPr>
      <w:r w:rsidRPr="001C578C">
        <w:rPr>
          <w:rStyle w:val="Refdenotaalpie"/>
          <w:rFonts w:ascii="Arial" w:hAnsi="Arial" w:cs="Arial"/>
          <w:sz w:val="16"/>
          <w:szCs w:val="16"/>
        </w:rPr>
        <w:footnoteRef/>
      </w:r>
      <w:r w:rsidRPr="001C578C">
        <w:rPr>
          <w:rFonts w:ascii="Arial" w:hAnsi="Arial" w:cs="Arial"/>
          <w:sz w:val="16"/>
          <w:szCs w:val="16"/>
        </w:rPr>
        <w:t xml:space="preserve"> Mediante el oficio INE/DEPP/DPPF/7240/2020 el Director de Prerrogativas y Partidos Políticos dio contestación a la consulta formulada por el Consejero Presidente del Consejo Local, mediante el que informó que el 9 de septiembre de 2020, el Comité Ejecutivo Nacional del PRI acordó:</w:t>
      </w:r>
    </w:p>
    <w:p w14:paraId="2056816F" w14:textId="253DE9BD" w:rsidR="00B66F38" w:rsidRPr="001C578C" w:rsidRDefault="00AA2FFC" w:rsidP="00956FF7">
      <w:pPr>
        <w:pStyle w:val="Textonotapie"/>
        <w:jc w:val="both"/>
        <w:rPr>
          <w:rFonts w:ascii="Arial" w:hAnsi="Arial" w:cs="Arial"/>
          <w:sz w:val="16"/>
          <w:szCs w:val="16"/>
        </w:rPr>
      </w:pPr>
      <w:r w:rsidRPr="001C578C">
        <w:rPr>
          <w:rFonts w:ascii="Arial" w:hAnsi="Arial" w:cs="Arial"/>
          <w:b/>
          <w:sz w:val="16"/>
          <w:szCs w:val="16"/>
        </w:rPr>
        <w:t xml:space="preserve">    </w:t>
      </w:r>
      <w:r w:rsidR="00B66F38" w:rsidRPr="001C578C">
        <w:rPr>
          <w:rFonts w:ascii="Arial" w:hAnsi="Arial" w:cs="Arial"/>
          <w:b/>
          <w:sz w:val="16"/>
          <w:szCs w:val="16"/>
        </w:rPr>
        <w:t>PRIMERO</w:t>
      </w:r>
      <w:r w:rsidR="00B66F38" w:rsidRPr="001C578C">
        <w:rPr>
          <w:rFonts w:ascii="Arial" w:hAnsi="Arial" w:cs="Arial"/>
          <w:sz w:val="16"/>
          <w:szCs w:val="16"/>
        </w:rPr>
        <w:t xml:space="preserve">: </w:t>
      </w:r>
      <w:r w:rsidR="00B66F38" w:rsidRPr="001C578C">
        <w:rPr>
          <w:rFonts w:ascii="Arial" w:hAnsi="Arial" w:cs="Arial"/>
          <w:b/>
          <w:sz w:val="16"/>
          <w:szCs w:val="16"/>
        </w:rPr>
        <w:t>Se autoriza pr</w:t>
      </w:r>
      <w:r w:rsidR="00BA7853" w:rsidRPr="001C578C">
        <w:rPr>
          <w:rFonts w:ascii="Arial" w:hAnsi="Arial" w:cs="Arial"/>
          <w:b/>
          <w:sz w:val="16"/>
          <w:szCs w:val="16"/>
        </w:rPr>
        <w:t>ó</w:t>
      </w:r>
      <w:r w:rsidR="00B66F38" w:rsidRPr="001C578C">
        <w:rPr>
          <w:rFonts w:ascii="Arial" w:hAnsi="Arial" w:cs="Arial"/>
          <w:b/>
          <w:sz w:val="16"/>
          <w:szCs w:val="16"/>
        </w:rPr>
        <w:t>rroga a la vigencia de la dirigencia se los CC. Ruth Noemí Tiscareño Agoitia y Alejandro Arias Ávila como titulares de la Presidencia y Secretaría General</w:t>
      </w:r>
      <w:r w:rsidR="00B66F38" w:rsidRPr="001C578C">
        <w:rPr>
          <w:rFonts w:ascii="Arial" w:hAnsi="Arial" w:cs="Arial"/>
          <w:sz w:val="16"/>
          <w:szCs w:val="16"/>
        </w:rPr>
        <w:t xml:space="preserve"> respectivamente, del Comité Directivo en la entidad federativa de Guanajuato, toda vez que sus periodos estatutarios se encentran vencidos y ante la imposibilidad jurídica </w:t>
      </w:r>
      <w:r w:rsidR="00DA6CF8" w:rsidRPr="001C578C">
        <w:rPr>
          <w:rFonts w:ascii="Arial" w:hAnsi="Arial" w:cs="Arial"/>
          <w:sz w:val="16"/>
          <w:szCs w:val="16"/>
        </w:rPr>
        <w:t>p</w:t>
      </w:r>
      <w:r w:rsidR="00B66F38" w:rsidRPr="001C578C">
        <w:rPr>
          <w:rFonts w:ascii="Arial" w:hAnsi="Arial" w:cs="Arial"/>
          <w:sz w:val="16"/>
          <w:szCs w:val="16"/>
        </w:rPr>
        <w:t>ara renovar la dirigencia, por superposición de tiempos electorales.</w:t>
      </w:r>
    </w:p>
    <w:p w14:paraId="31B045C2" w14:textId="77777777" w:rsidR="00B66F38" w:rsidRPr="001C578C" w:rsidRDefault="00AA2FFC" w:rsidP="00956FF7">
      <w:pPr>
        <w:pStyle w:val="Textonotapie"/>
        <w:jc w:val="both"/>
        <w:rPr>
          <w:rFonts w:ascii="Arial" w:hAnsi="Arial"/>
          <w:sz w:val="16"/>
        </w:rPr>
      </w:pPr>
      <w:r w:rsidRPr="001C578C">
        <w:rPr>
          <w:rFonts w:ascii="Arial" w:hAnsi="Arial" w:cs="Arial"/>
          <w:b/>
          <w:sz w:val="16"/>
          <w:szCs w:val="16"/>
        </w:rPr>
        <w:t xml:space="preserve">   </w:t>
      </w:r>
      <w:r w:rsidR="00B66F38" w:rsidRPr="001C578C">
        <w:rPr>
          <w:rFonts w:ascii="Arial" w:hAnsi="Arial" w:cs="Arial"/>
          <w:b/>
          <w:sz w:val="16"/>
          <w:szCs w:val="16"/>
        </w:rPr>
        <w:t>SEGUNDO</w:t>
      </w:r>
      <w:r w:rsidR="00B66F38" w:rsidRPr="001C578C">
        <w:rPr>
          <w:rFonts w:ascii="Arial" w:hAnsi="Arial" w:cs="Arial"/>
          <w:sz w:val="16"/>
          <w:szCs w:val="16"/>
        </w:rPr>
        <w:t xml:space="preserve">- </w:t>
      </w:r>
      <w:r w:rsidR="00B66F38" w:rsidRPr="001C578C">
        <w:rPr>
          <w:rFonts w:ascii="Arial" w:hAnsi="Arial" w:cs="Arial"/>
          <w:b/>
          <w:sz w:val="16"/>
          <w:szCs w:val="16"/>
        </w:rPr>
        <w:t>Se instruye</w:t>
      </w:r>
      <w:r w:rsidR="00B66F38" w:rsidRPr="001C578C">
        <w:rPr>
          <w:rFonts w:ascii="Arial" w:hAnsi="Arial" w:cs="Arial"/>
          <w:sz w:val="16"/>
          <w:szCs w:val="16"/>
        </w:rPr>
        <w:t xml:space="preserve"> </w:t>
      </w:r>
      <w:r w:rsidR="00B66F38" w:rsidRPr="001C578C">
        <w:rPr>
          <w:rFonts w:ascii="Arial" w:hAnsi="Arial" w:cs="Arial"/>
          <w:b/>
          <w:sz w:val="16"/>
          <w:szCs w:val="16"/>
        </w:rPr>
        <w:t>al Comité Directivo de la entidad federativa de Guanajuato, para que una vez que el Instituto Nacional Electoral y el Organismo Público Local Electoral, califique las elecciones constitucionales de los Procesos Electorales Federal y Local 2020-2021</w:t>
      </w:r>
      <w:r w:rsidR="00B66F38" w:rsidRPr="001C578C">
        <w:rPr>
          <w:rFonts w:ascii="Arial" w:hAnsi="Arial" w:cs="Arial"/>
          <w:sz w:val="16"/>
          <w:szCs w:val="16"/>
        </w:rPr>
        <w:t xml:space="preserve">, el Comité Ejecutivo Nacional Deberá </w:t>
      </w:r>
      <w:r w:rsidR="00B66F38" w:rsidRPr="001C578C">
        <w:rPr>
          <w:rFonts w:ascii="Arial" w:hAnsi="Arial" w:cs="Arial"/>
          <w:b/>
          <w:sz w:val="16"/>
          <w:szCs w:val="16"/>
        </w:rPr>
        <w:t>Expedir la Convocatoria</w:t>
      </w:r>
      <w:r w:rsidR="00B66F38" w:rsidRPr="001C578C">
        <w:rPr>
          <w:rFonts w:ascii="Arial" w:hAnsi="Arial" w:cs="Arial"/>
          <w:sz w:val="16"/>
          <w:szCs w:val="16"/>
        </w:rPr>
        <w:t xml:space="preserve"> </w:t>
      </w:r>
      <w:r w:rsidR="00B66F38" w:rsidRPr="001C578C">
        <w:rPr>
          <w:rFonts w:ascii="Arial" w:hAnsi="Arial" w:cs="Arial"/>
          <w:b/>
          <w:sz w:val="16"/>
          <w:szCs w:val="16"/>
        </w:rPr>
        <w:t>para elegir a las personas titulares de la Presidencia y Secretaría</w:t>
      </w:r>
      <w:r w:rsidR="00B66F38" w:rsidRPr="001C578C">
        <w:rPr>
          <w:rFonts w:ascii="Arial" w:hAnsi="Arial" w:cs="Arial"/>
          <w:sz w:val="16"/>
          <w:szCs w:val="16"/>
        </w:rPr>
        <w:t xml:space="preserve"> General del Comité Directivo en comento para un nuevo periodo estatutario.</w:t>
      </w:r>
    </w:p>
  </w:footnote>
  <w:footnote w:id="6">
    <w:p w14:paraId="2FE296DD" w14:textId="77777777" w:rsidR="00042029" w:rsidRPr="001C578C" w:rsidRDefault="00042029" w:rsidP="00956FF7">
      <w:pPr>
        <w:pStyle w:val="Textonotapie"/>
        <w:jc w:val="both"/>
        <w:rPr>
          <w:rFonts w:ascii="Arial" w:hAnsi="Arial" w:cs="Arial"/>
          <w:sz w:val="16"/>
          <w:szCs w:val="16"/>
        </w:rPr>
      </w:pPr>
      <w:r w:rsidRPr="001C578C">
        <w:rPr>
          <w:rStyle w:val="Refdenotaalpie"/>
          <w:rFonts w:ascii="Arial" w:hAnsi="Arial"/>
          <w:sz w:val="16"/>
        </w:rPr>
        <w:footnoteRef/>
      </w:r>
      <w:r w:rsidRPr="001C578C">
        <w:rPr>
          <w:rFonts w:ascii="Arial" w:hAnsi="Arial" w:cs="Arial"/>
          <w:sz w:val="16"/>
          <w:szCs w:val="16"/>
        </w:rPr>
        <w:t xml:space="preserve"> Esto, esencialmente, </w:t>
      </w:r>
      <w:r w:rsidRPr="001C578C">
        <w:rPr>
          <w:rFonts w:ascii="Arial" w:hAnsi="Arial" w:cs="Arial"/>
          <w:bCs/>
          <w:sz w:val="16"/>
          <w:szCs w:val="16"/>
        </w:rPr>
        <w:t xml:space="preserve">porque: </w:t>
      </w:r>
      <w:r w:rsidRPr="001C578C">
        <w:rPr>
          <w:rFonts w:ascii="Arial" w:hAnsi="Arial" w:cs="Arial"/>
          <w:b/>
          <w:bCs/>
          <w:sz w:val="16"/>
          <w:szCs w:val="16"/>
        </w:rPr>
        <w:t>a)</w:t>
      </w:r>
      <w:r w:rsidRPr="001C578C">
        <w:rPr>
          <w:rFonts w:ascii="Arial" w:hAnsi="Arial" w:cs="Arial"/>
          <w:bCs/>
          <w:sz w:val="16"/>
          <w:szCs w:val="16"/>
        </w:rPr>
        <w:t xml:space="preserve"> conforme a la normativa partidista, no se podía ampliar el periodo de Ruth Noemí y Alejandro Arias, sino que se debía convocar a una nueva elección, </w:t>
      </w:r>
      <w:r w:rsidRPr="001C578C">
        <w:rPr>
          <w:rFonts w:ascii="Arial" w:hAnsi="Arial" w:cs="Arial"/>
          <w:b/>
          <w:bCs/>
          <w:sz w:val="16"/>
          <w:szCs w:val="16"/>
        </w:rPr>
        <w:t>b)</w:t>
      </w:r>
      <w:r w:rsidRPr="001C578C">
        <w:rPr>
          <w:rFonts w:ascii="Arial" w:hAnsi="Arial" w:cs="Arial"/>
          <w:bCs/>
          <w:sz w:val="16"/>
          <w:szCs w:val="16"/>
        </w:rPr>
        <w:t xml:space="preserve"> que la prórroga de los nombramientos es ilegal, porque dos terceras partes de los consejeros estatales convocaron a una elección en la que el actor resultó ganador Presidente del Comité Directivo Estatal, lo que es conforme a los estatutos, </w:t>
      </w:r>
      <w:r w:rsidRPr="001C578C">
        <w:rPr>
          <w:rFonts w:ascii="Arial" w:hAnsi="Arial" w:cs="Arial"/>
          <w:b/>
          <w:bCs/>
          <w:sz w:val="16"/>
          <w:szCs w:val="16"/>
        </w:rPr>
        <w:t>c)</w:t>
      </w:r>
      <w:r w:rsidRPr="001C578C">
        <w:rPr>
          <w:rFonts w:ascii="Arial" w:hAnsi="Arial" w:cs="Arial"/>
          <w:bCs/>
          <w:sz w:val="16"/>
          <w:szCs w:val="16"/>
        </w:rPr>
        <w:t xml:space="preserve"> que el acuerdo se aprobó una vez iniciado el proceso electoral y el nombramiento estaba vencido, </w:t>
      </w:r>
      <w:r w:rsidRPr="001C578C">
        <w:rPr>
          <w:rFonts w:ascii="Arial" w:hAnsi="Arial" w:cs="Arial"/>
          <w:b/>
          <w:bCs/>
          <w:sz w:val="16"/>
          <w:szCs w:val="16"/>
        </w:rPr>
        <w:t xml:space="preserve">d) </w:t>
      </w:r>
      <w:r w:rsidRPr="001C578C">
        <w:rPr>
          <w:rFonts w:ascii="Arial" w:hAnsi="Arial" w:cs="Arial"/>
          <w:bCs/>
          <w:sz w:val="16"/>
          <w:szCs w:val="16"/>
        </w:rPr>
        <w:t>que en los oficios controvertidos no se pronuncia respecto de la elección de 9 de agosto, la cual no fue controvertida</w:t>
      </w:r>
    </w:p>
  </w:footnote>
  <w:footnote w:id="7">
    <w:p w14:paraId="5270F36D" w14:textId="77777777" w:rsidR="00ED21FF" w:rsidRPr="001C578C" w:rsidRDefault="00ED21FF" w:rsidP="00956FF7">
      <w:pPr>
        <w:pStyle w:val="Textonotapie"/>
        <w:jc w:val="both"/>
        <w:rPr>
          <w:rFonts w:ascii="Arial" w:hAnsi="Arial"/>
          <w:sz w:val="16"/>
        </w:rPr>
      </w:pPr>
      <w:r w:rsidRPr="001C578C">
        <w:rPr>
          <w:rStyle w:val="Refdenotaalpie"/>
          <w:rFonts w:ascii="Arial" w:hAnsi="Arial"/>
          <w:sz w:val="16"/>
        </w:rPr>
        <w:footnoteRef/>
      </w:r>
      <w:r w:rsidRPr="001C578C">
        <w:rPr>
          <w:rFonts w:ascii="Arial" w:hAnsi="Arial"/>
          <w:sz w:val="16"/>
        </w:rPr>
        <w:t xml:space="preserve"> </w:t>
      </w:r>
      <w:r w:rsidR="0034562E" w:rsidRPr="001C578C">
        <w:rPr>
          <w:rFonts w:ascii="Arial" w:hAnsi="Arial" w:cs="Arial"/>
          <w:sz w:val="16"/>
          <w:szCs w:val="16"/>
        </w:rPr>
        <w:t xml:space="preserve">En concreto </w:t>
      </w:r>
      <w:r w:rsidR="00313594" w:rsidRPr="001C578C">
        <w:rPr>
          <w:rFonts w:ascii="Arial" w:hAnsi="Arial" w:cs="Arial"/>
          <w:sz w:val="16"/>
          <w:szCs w:val="16"/>
        </w:rPr>
        <w:t>son:</w:t>
      </w:r>
      <w:r w:rsidRPr="001C578C">
        <w:rPr>
          <w:rFonts w:ascii="Arial" w:hAnsi="Arial" w:cs="Arial"/>
          <w:color w:val="000000"/>
          <w:sz w:val="16"/>
          <w:szCs w:val="16"/>
        </w:rPr>
        <w:t xml:space="preserve"> a) El oficio SE/1000/2020 emitido por la Secretaria Ejecutiva del Instituto Electoral del Estado de Guanajuato a diversos oficios presentados por el suscrito y otras personas, el cual les fue notificado en fecha 21 de octubre de 2020; y </w:t>
      </w:r>
      <w:r w:rsidR="00313594" w:rsidRPr="001C578C">
        <w:rPr>
          <w:rFonts w:ascii="Arial" w:hAnsi="Arial" w:cs="Arial"/>
          <w:color w:val="000000"/>
          <w:sz w:val="16"/>
          <w:szCs w:val="16"/>
        </w:rPr>
        <w:t>--b) El</w:t>
      </w:r>
      <w:r w:rsidRPr="001C578C">
        <w:rPr>
          <w:rFonts w:ascii="Arial" w:hAnsi="Arial" w:cs="Arial"/>
          <w:color w:val="000000"/>
          <w:sz w:val="16"/>
          <w:szCs w:val="16"/>
        </w:rPr>
        <w:t xml:space="preserve"> oficio INE/DEPPP/DE/7240/2020, emitido por el Director Ejecutivo de Prerrogativas y Partidos Políticos del INE, que sirvió para la respuesta emitida por la Secretaria Ejecutiva del Instituto Electoral del Estado de Guanajuato.</w:t>
      </w:r>
    </w:p>
  </w:footnote>
  <w:footnote w:id="8">
    <w:p w14:paraId="52376F2B" w14:textId="77777777" w:rsidR="006A0993" w:rsidRPr="001C578C" w:rsidRDefault="006A0993" w:rsidP="00956FF7">
      <w:pPr>
        <w:pStyle w:val="Textonotapie"/>
        <w:jc w:val="both"/>
        <w:rPr>
          <w:rFonts w:ascii="Arial" w:hAnsi="Arial"/>
          <w:sz w:val="16"/>
        </w:rPr>
      </w:pPr>
      <w:r w:rsidRPr="001C578C">
        <w:rPr>
          <w:rStyle w:val="Refdenotaalpie"/>
          <w:rFonts w:ascii="Arial" w:hAnsi="Arial"/>
          <w:sz w:val="16"/>
        </w:rPr>
        <w:footnoteRef/>
      </w:r>
      <w:r w:rsidRPr="001C578C">
        <w:rPr>
          <w:rFonts w:ascii="Arial" w:hAnsi="Arial"/>
          <w:sz w:val="16"/>
        </w:rPr>
        <w:t xml:space="preserve"> Actualizó la causal de improcedencia prevista ene l artículo 420, fracción VI que a la letra dice:</w:t>
      </w:r>
    </w:p>
    <w:p w14:paraId="33B0A4E8" w14:textId="77777777" w:rsidR="006A0993" w:rsidRPr="001C578C" w:rsidRDefault="006A0993" w:rsidP="00956FF7">
      <w:pPr>
        <w:spacing w:after="0" w:line="240" w:lineRule="auto"/>
        <w:jc w:val="both"/>
        <w:rPr>
          <w:rFonts w:ascii="Arial" w:hAnsi="Arial"/>
          <w:sz w:val="16"/>
          <w:szCs w:val="20"/>
        </w:rPr>
      </w:pPr>
      <w:r w:rsidRPr="001C578C">
        <w:rPr>
          <w:rFonts w:ascii="Arial" w:hAnsi="Arial"/>
          <w:b/>
          <w:sz w:val="16"/>
          <w:szCs w:val="20"/>
        </w:rPr>
        <w:t>Artículo 420.</w:t>
      </w:r>
      <w:r w:rsidRPr="001C578C">
        <w:rPr>
          <w:rFonts w:ascii="Arial" w:hAnsi="Arial"/>
          <w:sz w:val="16"/>
          <w:szCs w:val="20"/>
        </w:rPr>
        <w:t xml:space="preserve"> En todo caso, los medios de impugnación se entenderán como notoriamente improcedentes, y por tanto serán desechados de plano, cuando:</w:t>
      </w:r>
    </w:p>
    <w:p w14:paraId="1AB31B6B" w14:textId="77777777" w:rsidR="006A0993" w:rsidRPr="001C578C" w:rsidRDefault="006A0993" w:rsidP="00956FF7">
      <w:pPr>
        <w:spacing w:after="0" w:line="240" w:lineRule="auto"/>
        <w:jc w:val="both"/>
        <w:rPr>
          <w:rFonts w:ascii="Arial" w:hAnsi="Arial"/>
          <w:sz w:val="16"/>
          <w:szCs w:val="20"/>
        </w:rPr>
      </w:pPr>
      <w:r w:rsidRPr="001C578C">
        <w:rPr>
          <w:rFonts w:ascii="Arial" w:hAnsi="Arial"/>
          <w:sz w:val="16"/>
          <w:szCs w:val="20"/>
        </w:rPr>
        <w:t>(…)</w:t>
      </w:r>
    </w:p>
    <w:p w14:paraId="642FA81E" w14:textId="77777777" w:rsidR="006A0993" w:rsidRPr="001C578C" w:rsidRDefault="006A0993" w:rsidP="00956FF7">
      <w:pPr>
        <w:spacing w:after="0" w:line="240" w:lineRule="auto"/>
        <w:jc w:val="both"/>
        <w:rPr>
          <w:rFonts w:ascii="Arial" w:hAnsi="Arial"/>
          <w:sz w:val="16"/>
          <w:szCs w:val="20"/>
        </w:rPr>
      </w:pPr>
      <w:r w:rsidRPr="001C578C">
        <w:rPr>
          <w:rFonts w:ascii="Arial" w:hAnsi="Arial"/>
          <w:b/>
          <w:sz w:val="16"/>
          <w:szCs w:val="20"/>
        </w:rPr>
        <w:t>VII.</w:t>
      </w:r>
      <w:r w:rsidRPr="001C578C">
        <w:rPr>
          <w:rFonts w:ascii="Arial" w:hAnsi="Arial"/>
          <w:sz w:val="16"/>
          <w:szCs w:val="20"/>
        </w:rPr>
        <w:tab/>
        <w:t>Se esté tramitando otro medio de impugnación interpuesto por el propio promovente que pueda tener por efecto modificar, revocar o anular el acto o resolución impugnado; (…)</w:t>
      </w:r>
    </w:p>
    <w:p w14:paraId="13517559" w14:textId="77777777" w:rsidR="006A0993" w:rsidRPr="001C578C" w:rsidRDefault="006A0993" w:rsidP="00956FF7">
      <w:pPr>
        <w:pStyle w:val="Textonotapie"/>
        <w:jc w:val="both"/>
        <w:rPr>
          <w:rFonts w:ascii="Arial" w:hAnsi="Arial"/>
          <w:sz w:val="16"/>
        </w:rPr>
      </w:pPr>
    </w:p>
  </w:footnote>
  <w:footnote w:id="9">
    <w:p w14:paraId="370F80C5" w14:textId="609B0238" w:rsidR="008675FC" w:rsidRPr="001C578C" w:rsidRDefault="008675FC" w:rsidP="00956FF7">
      <w:pPr>
        <w:pStyle w:val="Textonotapie"/>
        <w:jc w:val="both"/>
        <w:rPr>
          <w:rFonts w:ascii="Arial" w:hAnsi="Arial" w:cs="Arial"/>
          <w:sz w:val="16"/>
          <w:szCs w:val="16"/>
          <w:lang w:val="es-ES_tradnl"/>
        </w:rPr>
      </w:pPr>
      <w:r w:rsidRPr="001C578C">
        <w:rPr>
          <w:rStyle w:val="Refdenotaalpie"/>
          <w:rFonts w:ascii="Arial" w:hAnsi="Arial" w:cs="Arial"/>
          <w:sz w:val="16"/>
          <w:szCs w:val="16"/>
          <w:lang w:val="es-ES_tradnl"/>
        </w:rPr>
        <w:footnoteRef/>
      </w:r>
      <w:r w:rsidRPr="001C578C">
        <w:rPr>
          <w:rFonts w:ascii="Arial" w:hAnsi="Arial" w:cs="Arial"/>
          <w:sz w:val="16"/>
          <w:szCs w:val="16"/>
          <w:lang w:val="es-ES_tradnl"/>
        </w:rPr>
        <w:t xml:space="preserve"> Véase acuerdo de admisión de 8 de </w:t>
      </w:r>
      <w:r w:rsidR="007B1944" w:rsidRPr="001C578C">
        <w:rPr>
          <w:rFonts w:ascii="Arial" w:hAnsi="Arial" w:cs="Arial"/>
          <w:sz w:val="16"/>
          <w:szCs w:val="16"/>
          <w:lang w:val="es-ES_tradnl"/>
        </w:rPr>
        <w:t xml:space="preserve">enero </w:t>
      </w:r>
      <w:r w:rsidRPr="001C578C">
        <w:rPr>
          <w:rFonts w:ascii="Arial" w:hAnsi="Arial" w:cs="Arial"/>
          <w:sz w:val="16"/>
          <w:szCs w:val="16"/>
          <w:lang w:val="es-ES_tradnl"/>
        </w:rPr>
        <w:t>de 202</w:t>
      </w:r>
      <w:r w:rsidR="007B1944" w:rsidRPr="001C578C">
        <w:rPr>
          <w:rFonts w:ascii="Arial" w:hAnsi="Arial" w:cs="Arial"/>
          <w:sz w:val="16"/>
          <w:szCs w:val="16"/>
          <w:lang w:val="es-ES_tradnl"/>
        </w:rPr>
        <w:t>1</w:t>
      </w:r>
      <w:r w:rsidRPr="001C578C">
        <w:rPr>
          <w:rFonts w:ascii="Arial" w:hAnsi="Arial" w:cs="Arial"/>
          <w:sz w:val="16"/>
          <w:szCs w:val="16"/>
          <w:lang w:val="es-ES_tradnl"/>
        </w:rPr>
        <w:t>.</w:t>
      </w:r>
    </w:p>
  </w:footnote>
  <w:footnote w:id="10">
    <w:p w14:paraId="679539EF" w14:textId="77777777" w:rsidR="00044A90" w:rsidRPr="001C578C" w:rsidRDefault="00044A90" w:rsidP="00956FF7">
      <w:pPr>
        <w:pStyle w:val="Textonotapie"/>
        <w:jc w:val="both"/>
        <w:rPr>
          <w:rFonts w:ascii="Arial" w:hAnsi="Arial" w:cs="Arial"/>
          <w:sz w:val="16"/>
          <w:szCs w:val="16"/>
        </w:rPr>
      </w:pPr>
      <w:r w:rsidRPr="001C578C">
        <w:rPr>
          <w:rStyle w:val="Refdenotaalpie"/>
          <w:rFonts w:ascii="Arial" w:hAnsi="Arial" w:cs="Arial"/>
          <w:sz w:val="16"/>
          <w:szCs w:val="16"/>
        </w:rPr>
        <w:footnoteRef/>
      </w:r>
      <w:r w:rsidRPr="001C578C">
        <w:rPr>
          <w:rFonts w:ascii="Arial" w:hAnsi="Arial" w:cs="Arial"/>
          <w:sz w:val="16"/>
          <w:szCs w:val="16"/>
        </w:rPr>
        <w:t xml:space="preserve"> </w:t>
      </w:r>
      <w:r w:rsidRPr="001C578C">
        <w:rPr>
          <w:rFonts w:ascii="Arial" w:hAnsi="Arial" w:cs="Arial"/>
          <w:b/>
          <w:sz w:val="16"/>
          <w:szCs w:val="16"/>
        </w:rPr>
        <w:t>Artículo 420</w:t>
      </w:r>
      <w:r w:rsidRPr="001C578C">
        <w:rPr>
          <w:rFonts w:ascii="Arial" w:hAnsi="Arial" w:cs="Arial"/>
          <w:sz w:val="16"/>
          <w:szCs w:val="16"/>
        </w:rPr>
        <w:t>. En todo caso, los medios de impugnación se entenderán como notoriamente improcedentes, y por tanto serán desechados de plano, cuando:</w:t>
      </w:r>
    </w:p>
    <w:p w14:paraId="62DC67D4" w14:textId="77777777" w:rsidR="00044A90" w:rsidRPr="001C578C" w:rsidRDefault="00044A90" w:rsidP="00956FF7">
      <w:pPr>
        <w:pStyle w:val="Textonotapie"/>
        <w:jc w:val="both"/>
        <w:rPr>
          <w:rFonts w:ascii="Arial" w:hAnsi="Arial" w:cs="Arial"/>
          <w:sz w:val="16"/>
          <w:szCs w:val="16"/>
        </w:rPr>
      </w:pPr>
      <w:r w:rsidRPr="001C578C">
        <w:rPr>
          <w:rFonts w:ascii="Arial" w:hAnsi="Arial" w:cs="Arial"/>
          <w:sz w:val="16"/>
          <w:szCs w:val="16"/>
        </w:rPr>
        <w:t>(…)</w:t>
      </w:r>
    </w:p>
    <w:p w14:paraId="3C882055" w14:textId="0118F994" w:rsidR="00044A90" w:rsidRPr="001C578C" w:rsidRDefault="00044A90" w:rsidP="00956FF7">
      <w:pPr>
        <w:pStyle w:val="Textonotapie"/>
        <w:jc w:val="both"/>
        <w:rPr>
          <w:rFonts w:ascii="Arial" w:hAnsi="Arial" w:cs="Arial"/>
          <w:sz w:val="16"/>
          <w:szCs w:val="16"/>
        </w:rPr>
      </w:pPr>
      <w:r w:rsidRPr="001C578C">
        <w:rPr>
          <w:rFonts w:ascii="Arial" w:hAnsi="Arial" w:cs="Arial"/>
          <w:sz w:val="16"/>
          <w:szCs w:val="16"/>
        </w:rPr>
        <w:t>VII.</w:t>
      </w:r>
      <w:r w:rsidR="00167EC1" w:rsidRPr="001C578C">
        <w:rPr>
          <w:rFonts w:ascii="Arial" w:hAnsi="Arial" w:cs="Arial"/>
          <w:sz w:val="16"/>
          <w:szCs w:val="16"/>
        </w:rPr>
        <w:t xml:space="preserve"> </w:t>
      </w:r>
      <w:r w:rsidRPr="001C578C">
        <w:rPr>
          <w:rFonts w:ascii="Arial" w:hAnsi="Arial" w:cs="Arial"/>
          <w:sz w:val="16"/>
          <w:szCs w:val="16"/>
        </w:rPr>
        <w:t>Se esté tramitando otro medio de impugnación interpuesto por el propio promovente que pueda tener por efecto modificar, revocar o anular el acto o resolución impugnado; (…)</w:t>
      </w:r>
    </w:p>
    <w:p w14:paraId="385DD71E" w14:textId="76A12350" w:rsidR="00044A90" w:rsidRPr="001C578C" w:rsidRDefault="00044A90" w:rsidP="00956FF7">
      <w:pPr>
        <w:pStyle w:val="Textonotapie"/>
        <w:jc w:val="both"/>
        <w:rPr>
          <w:rFonts w:ascii="Arial" w:hAnsi="Arial"/>
          <w:sz w:val="16"/>
        </w:rPr>
      </w:pPr>
    </w:p>
  </w:footnote>
  <w:footnote w:id="11">
    <w:p w14:paraId="589B506F" w14:textId="77777777" w:rsidR="009F2054" w:rsidRPr="009F2054" w:rsidRDefault="00D51DC9" w:rsidP="009F2054">
      <w:pPr>
        <w:spacing w:after="0" w:line="240" w:lineRule="auto"/>
        <w:jc w:val="both"/>
        <w:rPr>
          <w:rFonts w:ascii="Arial" w:hAnsi="Arial" w:cs="Arial"/>
          <w:sz w:val="24"/>
          <w:szCs w:val="24"/>
        </w:rPr>
      </w:pPr>
      <w:r w:rsidRPr="001C578C">
        <w:rPr>
          <w:rStyle w:val="Refdenotaalpie"/>
          <w:rFonts w:ascii="Arial" w:hAnsi="Arial"/>
          <w:sz w:val="16"/>
        </w:rPr>
        <w:footnoteRef/>
      </w:r>
      <w:r w:rsidRPr="001C578C">
        <w:rPr>
          <w:rFonts w:ascii="Arial" w:hAnsi="Arial"/>
          <w:sz w:val="16"/>
        </w:rPr>
        <w:t xml:space="preserve"> </w:t>
      </w:r>
      <w:r w:rsidR="009F2054" w:rsidRPr="001C578C">
        <w:rPr>
          <w:rFonts w:ascii="Arial" w:hAnsi="Arial" w:cs="Arial"/>
          <w:sz w:val="16"/>
          <w:szCs w:val="16"/>
        </w:rPr>
        <w:t>Además, que el mismo tribunal señalara que la inactividad procesal de un medio partidista donde el actor ya había controvertido el acuerdo del CEN del PRI que prorrogó los periodos de la Presidenta y el Secretario del Comité Estatal en Guanajuato.</w:t>
      </w:r>
    </w:p>
    <w:p w14:paraId="47F8049E" w14:textId="1077A127" w:rsidR="00733869" w:rsidRPr="00956FF7" w:rsidRDefault="00733869" w:rsidP="009F2054">
      <w:pPr>
        <w:pStyle w:val="Textonotapie"/>
        <w:jc w:val="both"/>
        <w:rPr>
          <w:rFonts w:ascii="Arial" w:hAnsi="Arial" w:cs="Arial"/>
          <w:sz w:val="16"/>
          <w:szCs w:val="16"/>
        </w:rPr>
      </w:pPr>
    </w:p>
    <w:p w14:paraId="7CFAEFDB" w14:textId="6AF88DA5" w:rsidR="00D51DC9" w:rsidRPr="00956FF7" w:rsidRDefault="00D51DC9" w:rsidP="00956FF7">
      <w:pPr>
        <w:pStyle w:val="Textonotapie"/>
        <w:jc w:val="both"/>
        <w:rPr>
          <w:rFonts w:ascii="Arial" w:hAnsi="Arial"/>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42E7" w14:textId="3B572BD2" w:rsidR="00B66F38" w:rsidRDefault="00442F9B" w:rsidP="000C0836">
    <w:pPr>
      <w:pStyle w:val="Encabezado"/>
      <w:tabs>
        <w:tab w:val="clear" w:pos="4419"/>
        <w:tab w:val="clear" w:pos="8838"/>
        <w:tab w:val="left" w:pos="5120"/>
        <w:tab w:val="right" w:pos="8273"/>
      </w:tabs>
      <w:rPr>
        <w:rFonts w:ascii="Arial" w:hAnsi="Arial" w:cs="Arial"/>
        <w:b/>
        <w:sz w:val="20"/>
        <w:szCs w:val="20"/>
      </w:rPr>
    </w:pPr>
    <w:sdt>
      <w:sdtPr>
        <w:rPr>
          <w:rFonts w:ascii="Arial" w:hAnsi="Arial" w:cs="Arial"/>
          <w:b/>
          <w:sz w:val="20"/>
          <w:szCs w:val="20"/>
        </w:rPr>
        <w:id w:val="1103996779"/>
        <w:docPartObj>
          <w:docPartGallery w:val="Page Numbers (Margins)"/>
          <w:docPartUnique/>
        </w:docPartObj>
      </w:sdtPr>
      <w:sdtEndPr/>
      <w:sdtContent>
        <w:r w:rsidR="00B66F38" w:rsidRPr="003B0A7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24118E48" wp14:editId="508C1E45">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7438835"/>
                                <w:docPartObj>
                                  <w:docPartGallery w:val="Page Numbers (Margins)"/>
                                  <w:docPartUnique/>
                                </w:docPartObj>
                              </w:sdtPr>
                              <w:sdtEndPr/>
                              <w:sdtContent>
                                <w:sdt>
                                  <w:sdtPr>
                                    <w:rPr>
                                      <w:rFonts w:asciiTheme="majorHAnsi" w:eastAsiaTheme="majorEastAsia" w:hAnsiTheme="majorHAnsi" w:cstheme="majorBidi"/>
                                      <w:sz w:val="48"/>
                                      <w:szCs w:val="48"/>
                                    </w:rPr>
                                    <w:id w:val="-150057586"/>
                                    <w:docPartObj>
                                      <w:docPartGallery w:val="Page Numbers (Margins)"/>
                                      <w:docPartUnique/>
                                    </w:docPartObj>
                                  </w:sdtPr>
                                  <w:sdtEndPr/>
                                  <w:sdtContent>
                                    <w:p w14:paraId="42E034FF" w14:textId="77777777" w:rsidR="00B66F38" w:rsidRPr="002E65D0" w:rsidRDefault="00B66F38">
                                      <w:pPr>
                                        <w:jc w:val="center"/>
                                        <w:rPr>
                                          <w:rFonts w:asciiTheme="majorHAnsi" w:eastAsiaTheme="majorEastAsia" w:hAnsiTheme="majorHAnsi" w:cstheme="majorBidi"/>
                                          <w:sz w:val="48"/>
                                          <w:szCs w:val="48"/>
                                        </w:rPr>
                                      </w:pPr>
                                      <w:r w:rsidRPr="002E65D0">
                                        <w:rPr>
                                          <w:rFonts w:ascii="Arial" w:eastAsiaTheme="minorEastAsia" w:hAnsi="Arial" w:cs="Arial"/>
                                        </w:rPr>
                                        <w:fldChar w:fldCharType="begin"/>
                                      </w:r>
                                      <w:r w:rsidRPr="002E65D0">
                                        <w:rPr>
                                          <w:rFonts w:ascii="Arial" w:hAnsi="Arial" w:cs="Arial"/>
                                        </w:rPr>
                                        <w:instrText>PAGE   \* MERGEFORMAT</w:instrText>
                                      </w:r>
                                      <w:r w:rsidRPr="002E65D0">
                                        <w:rPr>
                                          <w:rFonts w:ascii="Arial" w:eastAsiaTheme="minorEastAsia" w:hAnsi="Arial" w:cs="Arial"/>
                                        </w:rPr>
                                        <w:fldChar w:fldCharType="separate"/>
                                      </w:r>
                                      <w:r w:rsidRPr="002E65D0">
                                        <w:rPr>
                                          <w:rFonts w:ascii="Arial" w:eastAsiaTheme="majorEastAsia" w:hAnsi="Arial" w:cs="Arial"/>
                                          <w:noProof/>
                                          <w:sz w:val="48"/>
                                          <w:szCs w:val="48"/>
                                          <w:lang w:val="es-ES"/>
                                        </w:rPr>
                                        <w:t>36</w:t>
                                      </w:r>
                                      <w:r w:rsidRPr="002E65D0">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18E48"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87438835"/>
                          <w:docPartObj>
                            <w:docPartGallery w:val="Page Numbers (Margins)"/>
                            <w:docPartUnique/>
                          </w:docPartObj>
                        </w:sdtPr>
                        <w:sdtEndPr/>
                        <w:sdtContent>
                          <w:sdt>
                            <w:sdtPr>
                              <w:rPr>
                                <w:rFonts w:asciiTheme="majorHAnsi" w:eastAsiaTheme="majorEastAsia" w:hAnsiTheme="majorHAnsi" w:cstheme="majorBidi"/>
                                <w:sz w:val="48"/>
                                <w:szCs w:val="48"/>
                              </w:rPr>
                              <w:id w:val="-150057586"/>
                              <w:docPartObj>
                                <w:docPartGallery w:val="Page Numbers (Margins)"/>
                                <w:docPartUnique/>
                              </w:docPartObj>
                            </w:sdtPr>
                            <w:sdtEndPr/>
                            <w:sdtContent>
                              <w:p w14:paraId="42E034FF" w14:textId="77777777" w:rsidR="00B66F38" w:rsidRPr="002E65D0" w:rsidRDefault="00B66F38">
                                <w:pPr>
                                  <w:jc w:val="center"/>
                                  <w:rPr>
                                    <w:rFonts w:asciiTheme="majorHAnsi" w:eastAsiaTheme="majorEastAsia" w:hAnsiTheme="majorHAnsi" w:cstheme="majorBidi"/>
                                    <w:sz w:val="48"/>
                                    <w:szCs w:val="48"/>
                                  </w:rPr>
                                </w:pPr>
                                <w:r w:rsidRPr="002E65D0">
                                  <w:rPr>
                                    <w:rFonts w:ascii="Arial" w:eastAsiaTheme="minorEastAsia" w:hAnsi="Arial" w:cs="Arial"/>
                                  </w:rPr>
                                  <w:fldChar w:fldCharType="begin"/>
                                </w:r>
                                <w:r w:rsidRPr="002E65D0">
                                  <w:rPr>
                                    <w:rFonts w:ascii="Arial" w:hAnsi="Arial" w:cs="Arial"/>
                                  </w:rPr>
                                  <w:instrText>PAGE   \* MERGEFORMAT</w:instrText>
                                </w:r>
                                <w:r w:rsidRPr="002E65D0">
                                  <w:rPr>
                                    <w:rFonts w:ascii="Arial" w:eastAsiaTheme="minorEastAsia" w:hAnsi="Arial" w:cs="Arial"/>
                                  </w:rPr>
                                  <w:fldChar w:fldCharType="separate"/>
                                </w:r>
                                <w:r w:rsidRPr="002E65D0">
                                  <w:rPr>
                                    <w:rFonts w:ascii="Arial" w:eastAsiaTheme="majorEastAsia" w:hAnsi="Arial" w:cs="Arial"/>
                                    <w:noProof/>
                                    <w:sz w:val="48"/>
                                    <w:szCs w:val="48"/>
                                    <w:lang w:val="es-ES"/>
                                  </w:rPr>
                                  <w:t>36</w:t>
                                </w:r>
                                <w:r w:rsidRPr="002E65D0">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r w:rsidR="00B66F38">
      <w:rPr>
        <w:rFonts w:ascii="Arial" w:hAnsi="Arial" w:cs="Arial"/>
        <w:b/>
        <w:sz w:val="20"/>
        <w:szCs w:val="20"/>
      </w:rPr>
      <w:tab/>
    </w:r>
    <w:r w:rsidR="00B66F38">
      <w:rPr>
        <w:rFonts w:ascii="Arial" w:hAnsi="Arial" w:cs="Arial"/>
        <w:b/>
        <w:sz w:val="20"/>
        <w:szCs w:val="20"/>
      </w:rPr>
      <w:tab/>
    </w:r>
  </w:p>
  <w:p w14:paraId="6971501D" w14:textId="77777777" w:rsidR="00B66F38" w:rsidRDefault="00B66F38" w:rsidP="000C0836">
    <w:pPr>
      <w:pStyle w:val="Encabezado"/>
      <w:tabs>
        <w:tab w:val="clear" w:pos="8838"/>
        <w:tab w:val="left" w:pos="4419"/>
      </w:tabs>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1" behindDoc="0" locked="0" layoutInCell="0" allowOverlap="1" wp14:anchorId="2A722D29" wp14:editId="793B4D8A">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336F7FC" w14:textId="77777777" w:rsidR="00B66F38" w:rsidRPr="009F45DC" w:rsidRDefault="00B66F38">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2D29"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6336F7FC" w14:textId="77777777" w:rsidR="00B66F38" w:rsidRPr="009F45DC" w:rsidRDefault="00B66F38">
                    <w:pPr>
                      <w:jc w:val="center"/>
                      <w:rPr>
                        <w:rFonts w:ascii="Cambria" w:eastAsia="MS Gothic" w:hAnsi="Cambria"/>
                        <w:sz w:val="48"/>
                        <w:szCs w:val="48"/>
                      </w:rPr>
                    </w:pPr>
                  </w:p>
                </w:txbxContent>
              </v:textbox>
              <w10:wrap anchorx="page" anchory="page"/>
            </v:rect>
          </w:pict>
        </mc:Fallback>
      </mc:AlternateContent>
    </w:r>
    <w:r>
      <w:rPr>
        <w:rFonts w:ascii="Arial" w:hAnsi="Arial" w:cs="Arial"/>
        <w:b/>
        <w:sz w:val="20"/>
        <w:szCs w:val="20"/>
      </w:rPr>
      <w:t>SM-JDC-408/2020</w:t>
    </w:r>
  </w:p>
  <w:p w14:paraId="3B1B4B37" w14:textId="77777777" w:rsidR="00B66F38" w:rsidRPr="009F4BBB" w:rsidRDefault="00B66F38" w:rsidP="000C0836">
    <w:pPr>
      <w:pStyle w:val="Encabezado"/>
      <w:tabs>
        <w:tab w:val="clear" w:pos="4419"/>
        <w:tab w:val="clear" w:pos="8838"/>
        <w:tab w:val="right" w:pos="8273"/>
      </w:tabs>
      <w:rPr>
        <w:rFonts w:ascii="Arial" w:hAnsi="Arial" w:cs="Arial"/>
        <w:b/>
        <w:sz w:val="20"/>
        <w:szCs w:val="20"/>
      </w:rPr>
    </w:pPr>
    <w:r>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595A" w14:textId="1A38F75A" w:rsidR="00B66F38" w:rsidRDefault="00442F9B" w:rsidP="000C0836">
    <w:pPr>
      <w:pStyle w:val="Encabezado"/>
      <w:jc w:val="right"/>
      <w:rPr>
        <w:rFonts w:ascii="Arial" w:hAnsi="Arial" w:cs="Arial"/>
        <w:b/>
        <w:sz w:val="20"/>
        <w:szCs w:val="20"/>
      </w:rPr>
    </w:pPr>
    <w:sdt>
      <w:sdtPr>
        <w:rPr>
          <w:rFonts w:ascii="Arial" w:hAnsi="Arial" w:cs="Arial"/>
          <w:b/>
          <w:sz w:val="20"/>
          <w:szCs w:val="20"/>
        </w:rPr>
        <w:id w:val="1377274664"/>
        <w:placeholder>
          <w:docPart w:val="BEDAAEFC7D29B24288C6E12B0E383A40"/>
        </w:placeholder>
        <w:docPartObj>
          <w:docPartGallery w:val="Page Numbers (Margins)"/>
          <w:docPartUnique/>
        </w:docPartObj>
      </w:sdtPr>
      <w:sdtEndPr/>
      <w:sdtContent>
        <w:r w:rsidR="00B66F38" w:rsidRPr="002B12CF">
          <w:rPr>
            <w:rFonts w:ascii="Arial" w:hAnsi="Arial" w:cs="Arial"/>
            <w:b/>
            <w:noProof/>
            <w:sz w:val="20"/>
            <w:szCs w:val="20"/>
          </w:rPr>
          <mc:AlternateContent>
            <mc:Choice Requires="wps">
              <w:drawing>
                <wp:anchor distT="0" distB="0" distL="114300" distR="114300" simplePos="0" relativeHeight="251658243" behindDoc="0" locked="0" layoutInCell="0" allowOverlap="1" wp14:anchorId="731AAA8E" wp14:editId="610DFA80">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807150379"/>
                                <w:docPartObj>
                                  <w:docPartGallery w:val="Page Numbers (Margins)"/>
                                  <w:docPartUnique/>
                                </w:docPartObj>
                              </w:sdtPr>
                              <w:sdtEndPr/>
                              <w:sdtContent>
                                <w:p w14:paraId="46A5593A" w14:textId="77777777" w:rsidR="00B66F38" w:rsidRPr="002B12CF" w:rsidRDefault="00B66F38">
                                  <w:pPr>
                                    <w:jc w:val="center"/>
                                    <w:rPr>
                                      <w:rFonts w:ascii="Arial" w:eastAsiaTheme="majorEastAsia" w:hAnsi="Arial" w:cs="Arial"/>
                                      <w:sz w:val="72"/>
                                      <w:szCs w:val="72"/>
                                    </w:rPr>
                                  </w:pPr>
                                  <w:r w:rsidRPr="002B12CF">
                                    <w:rPr>
                                      <w:rFonts w:ascii="Arial" w:eastAsiaTheme="minorEastAsia" w:hAnsi="Arial" w:cs="Arial"/>
                                    </w:rPr>
                                    <w:fldChar w:fldCharType="begin"/>
                                  </w:r>
                                  <w:r w:rsidRPr="002B12CF">
                                    <w:rPr>
                                      <w:rFonts w:ascii="Arial" w:hAnsi="Arial" w:cs="Arial"/>
                                    </w:rPr>
                                    <w:instrText>PAGE  \* MERGEFORMAT</w:instrText>
                                  </w:r>
                                  <w:r w:rsidRPr="002B12CF">
                                    <w:rPr>
                                      <w:rFonts w:ascii="Arial" w:eastAsiaTheme="minorEastAsia" w:hAnsi="Arial" w:cs="Arial"/>
                                    </w:rPr>
                                    <w:fldChar w:fldCharType="separate"/>
                                  </w:r>
                                  <w:r w:rsidRPr="002B12CF">
                                    <w:rPr>
                                      <w:rFonts w:ascii="Arial" w:eastAsiaTheme="majorEastAsia" w:hAnsi="Arial" w:cs="Arial"/>
                                      <w:sz w:val="48"/>
                                      <w:szCs w:val="48"/>
                                      <w:lang w:val="es-ES"/>
                                    </w:rPr>
                                    <w:t>2</w:t>
                                  </w:r>
                                  <w:r w:rsidRPr="002B12CF">
                                    <w:rPr>
                                      <w:rFonts w:ascii="Arial" w:eastAsiaTheme="majorEastAsia" w:hAnsi="Arial" w:cs="Arial"/>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AA8E" id="Rectángulo 3" o:spid="_x0000_s1028" style="position:absolute;left:0;text-align:left;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MyQkYRAgAA&#10;AQQAAA4AAAAAAAAAAAAAAAAALgIAAGRycy9lMm9Eb2MueG1sUEsBAi0AFAAGAAgAAAAhAGzVH9PZ&#10;AAAABQEAAA8AAAAAAAAAAAAAAAAAawQAAGRycy9kb3ducmV2LnhtbFBLBQYAAAAABAAEAPMAAABx&#10;BQAAAAA=&#10;" o:allowincell="f" stroked="f">
                  <o:lock v:ext="edit" aspectratio="t"/>
                  <v:textbox>
                    <w:txbxContent>
                      <w:sdt>
                        <w:sdtPr>
                          <w:rPr>
                            <w:rFonts w:ascii="Arial" w:eastAsiaTheme="majorEastAsia" w:hAnsi="Arial" w:cs="Arial"/>
                            <w:sz w:val="48"/>
                            <w:szCs w:val="48"/>
                          </w:rPr>
                          <w:id w:val="-1807150379"/>
                          <w:docPartObj>
                            <w:docPartGallery w:val="Page Numbers (Margins)"/>
                            <w:docPartUnique/>
                          </w:docPartObj>
                        </w:sdtPr>
                        <w:sdtEndPr/>
                        <w:sdtContent>
                          <w:p w14:paraId="46A5593A" w14:textId="77777777" w:rsidR="00B66F38" w:rsidRPr="002B12CF" w:rsidRDefault="00B66F38">
                            <w:pPr>
                              <w:jc w:val="center"/>
                              <w:rPr>
                                <w:rFonts w:ascii="Arial" w:eastAsiaTheme="majorEastAsia" w:hAnsi="Arial" w:cs="Arial"/>
                                <w:sz w:val="72"/>
                                <w:szCs w:val="72"/>
                              </w:rPr>
                            </w:pPr>
                            <w:r w:rsidRPr="002B12CF">
                              <w:rPr>
                                <w:rFonts w:ascii="Arial" w:eastAsiaTheme="minorEastAsia" w:hAnsi="Arial" w:cs="Arial"/>
                              </w:rPr>
                              <w:fldChar w:fldCharType="begin"/>
                            </w:r>
                            <w:r w:rsidRPr="002B12CF">
                              <w:rPr>
                                <w:rFonts w:ascii="Arial" w:hAnsi="Arial" w:cs="Arial"/>
                              </w:rPr>
                              <w:instrText>PAGE  \* MERGEFORMAT</w:instrText>
                            </w:r>
                            <w:r w:rsidRPr="002B12CF">
                              <w:rPr>
                                <w:rFonts w:ascii="Arial" w:eastAsiaTheme="minorEastAsia" w:hAnsi="Arial" w:cs="Arial"/>
                              </w:rPr>
                              <w:fldChar w:fldCharType="separate"/>
                            </w:r>
                            <w:r w:rsidRPr="002B12CF">
                              <w:rPr>
                                <w:rFonts w:ascii="Arial" w:eastAsiaTheme="majorEastAsia" w:hAnsi="Arial" w:cs="Arial"/>
                                <w:sz w:val="48"/>
                                <w:szCs w:val="48"/>
                                <w:lang w:val="es-ES"/>
                              </w:rPr>
                              <w:t>2</w:t>
                            </w:r>
                            <w:r w:rsidRPr="002B12CF">
                              <w:rPr>
                                <w:rFonts w:ascii="Arial" w:eastAsiaTheme="majorEastAsia" w:hAnsi="Arial" w:cs="Arial"/>
                                <w:sz w:val="48"/>
                                <w:szCs w:val="48"/>
                              </w:rPr>
                              <w:fldChar w:fldCharType="end"/>
                            </w:r>
                          </w:p>
                        </w:sdtContent>
                      </w:sdt>
                    </w:txbxContent>
                  </v:textbox>
                  <w10:wrap anchorx="margin" anchory="page"/>
                </v:rect>
              </w:pict>
            </mc:Fallback>
          </mc:AlternateContent>
        </w:r>
      </w:sdtContent>
    </w:sdt>
    <w:r w:rsidR="00B66F38" w:rsidRPr="009F4BBB">
      <w:rPr>
        <w:b/>
        <w:noProof/>
        <w:sz w:val="20"/>
        <w:szCs w:val="20"/>
        <w:lang w:eastAsia="es-MX"/>
      </w:rPr>
      <w:drawing>
        <wp:anchor distT="0" distB="0" distL="114300" distR="114300" simplePos="0" relativeHeight="251658240" behindDoc="0" locked="0" layoutInCell="1" allowOverlap="1" wp14:anchorId="704FF682" wp14:editId="46B0DCA7">
          <wp:simplePos x="0" y="0"/>
          <wp:positionH relativeFrom="column">
            <wp:posOffset>-1540510</wp:posOffset>
          </wp:positionH>
          <wp:positionV relativeFrom="paragraph">
            <wp:posOffset>-157319</wp:posOffset>
          </wp:positionV>
          <wp:extent cx="1378585" cy="119126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32" w:name="_Hlk61562175"/>
  <w:bookmarkStart w:id="33" w:name="_Hlk61562176"/>
  <w:p w14:paraId="03DD7F68" w14:textId="77777777" w:rsidR="00B66F38" w:rsidRDefault="00B66F38" w:rsidP="000C0836">
    <w:pPr>
      <w:pStyle w:val="Encabezado"/>
      <w:jc w:val="right"/>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4" behindDoc="0" locked="0" layoutInCell="0" allowOverlap="1" wp14:anchorId="0A0DBD3A" wp14:editId="4C210348">
              <wp:simplePos x="0" y="0"/>
              <wp:positionH relativeFrom="page">
                <wp:posOffset>-20955</wp:posOffset>
              </wp:positionH>
              <wp:positionV relativeFrom="page">
                <wp:posOffset>5673090</wp:posOffset>
              </wp:positionV>
              <wp:extent cx="762000" cy="895350"/>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8259C2" w14:textId="77777777" w:rsidR="00B66F38" w:rsidRPr="009F45DC" w:rsidRDefault="00B66F38" w:rsidP="000C0836">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BD3A" id="Rectángulo 4" o:spid="_x0000_s1029" style="position:absolute;left:0;text-align:left;margin-left:-1.65pt;margin-top:446.7pt;width:60pt;height: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K1y8/gKAgAA&#10;6QMAAA4AAAAAAAAAAAAAAAAALgIAAGRycy9lMm9Eb2MueG1sUEsBAi0AFAAGAAgAAAAhAAZeO2zg&#10;AAAACwEAAA8AAAAAAAAAAAAAAAAAZAQAAGRycy9kb3ducmV2LnhtbFBLBQYAAAAABAAEAPMAAABx&#10;BQAAAAA=&#10;" o:allowincell="f" stroked="f">
              <o:lock v:ext="edit" aspectratio="t"/>
              <v:textbox>
                <w:txbxContent>
                  <w:p w14:paraId="168259C2" w14:textId="77777777" w:rsidR="00B66F38" w:rsidRPr="009F45DC" w:rsidRDefault="00B66F38" w:rsidP="000C0836">
                    <w:pPr>
                      <w:jc w:val="center"/>
                      <w:rPr>
                        <w:rFonts w:ascii="Cambria" w:eastAsia="MS Gothic" w:hAnsi="Cambria"/>
                        <w:sz w:val="48"/>
                        <w:szCs w:val="48"/>
                      </w:rPr>
                    </w:pPr>
                  </w:p>
                </w:txbxContent>
              </v:textbox>
              <w10:wrap anchorx="page" anchory="page"/>
            </v:rect>
          </w:pict>
        </mc:Fallback>
      </mc:AlternateContent>
    </w:r>
    <w:r>
      <w:rPr>
        <w:rFonts w:ascii="Arial" w:hAnsi="Arial" w:cs="Arial"/>
        <w:b/>
        <w:sz w:val="20"/>
        <w:szCs w:val="20"/>
      </w:rPr>
      <w:t>SM-JDC-408/2020</w:t>
    </w:r>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1EB4" w14:textId="5DF5D772" w:rsidR="0018784E" w:rsidRDefault="001878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30E8A"/>
    <w:multiLevelType w:val="hybridMultilevel"/>
    <w:tmpl w:val="C7720A30"/>
    <w:lvl w:ilvl="0" w:tplc="3F063E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B7"/>
    <w:rsid w:val="00007608"/>
    <w:rsid w:val="00011E84"/>
    <w:rsid w:val="000131AC"/>
    <w:rsid w:val="00015AF8"/>
    <w:rsid w:val="00020B7E"/>
    <w:rsid w:val="00020DF6"/>
    <w:rsid w:val="00022498"/>
    <w:rsid w:val="00023A94"/>
    <w:rsid w:val="00026AEA"/>
    <w:rsid w:val="00030710"/>
    <w:rsid w:val="0003137A"/>
    <w:rsid w:val="00031B17"/>
    <w:rsid w:val="00037DA5"/>
    <w:rsid w:val="000404E1"/>
    <w:rsid w:val="00042029"/>
    <w:rsid w:val="00042C1E"/>
    <w:rsid w:val="00044A90"/>
    <w:rsid w:val="0004530B"/>
    <w:rsid w:val="00046831"/>
    <w:rsid w:val="000513E0"/>
    <w:rsid w:val="00051A34"/>
    <w:rsid w:val="00053E91"/>
    <w:rsid w:val="00054AAE"/>
    <w:rsid w:val="0006075F"/>
    <w:rsid w:val="00061DD9"/>
    <w:rsid w:val="00065BAA"/>
    <w:rsid w:val="00066168"/>
    <w:rsid w:val="00067DA2"/>
    <w:rsid w:val="000721BA"/>
    <w:rsid w:val="000752EB"/>
    <w:rsid w:val="00076691"/>
    <w:rsid w:val="000766B7"/>
    <w:rsid w:val="00076CD1"/>
    <w:rsid w:val="00084813"/>
    <w:rsid w:val="0008629A"/>
    <w:rsid w:val="00086A1A"/>
    <w:rsid w:val="00091213"/>
    <w:rsid w:val="00091F4F"/>
    <w:rsid w:val="00093D8F"/>
    <w:rsid w:val="000969A7"/>
    <w:rsid w:val="000A43FC"/>
    <w:rsid w:val="000A64BE"/>
    <w:rsid w:val="000B083B"/>
    <w:rsid w:val="000B0EAA"/>
    <w:rsid w:val="000B28A9"/>
    <w:rsid w:val="000B2C0C"/>
    <w:rsid w:val="000B37A4"/>
    <w:rsid w:val="000B6022"/>
    <w:rsid w:val="000C0836"/>
    <w:rsid w:val="000C0DEE"/>
    <w:rsid w:val="000C29F7"/>
    <w:rsid w:val="000C507F"/>
    <w:rsid w:val="000C6BE6"/>
    <w:rsid w:val="000D0AA2"/>
    <w:rsid w:val="000D1F64"/>
    <w:rsid w:val="000D4D3F"/>
    <w:rsid w:val="000D61D4"/>
    <w:rsid w:val="000D7F2E"/>
    <w:rsid w:val="000E1624"/>
    <w:rsid w:val="000E1629"/>
    <w:rsid w:val="000F4930"/>
    <w:rsid w:val="000F51B2"/>
    <w:rsid w:val="000F680D"/>
    <w:rsid w:val="000F7D17"/>
    <w:rsid w:val="00101940"/>
    <w:rsid w:val="00107D98"/>
    <w:rsid w:val="00110640"/>
    <w:rsid w:val="00111626"/>
    <w:rsid w:val="001151C3"/>
    <w:rsid w:val="00115BB1"/>
    <w:rsid w:val="00121540"/>
    <w:rsid w:val="00124F8C"/>
    <w:rsid w:val="00125331"/>
    <w:rsid w:val="0012542C"/>
    <w:rsid w:val="00127607"/>
    <w:rsid w:val="00132A6E"/>
    <w:rsid w:val="00132DB5"/>
    <w:rsid w:val="00133D30"/>
    <w:rsid w:val="00136A1A"/>
    <w:rsid w:val="001409E8"/>
    <w:rsid w:val="00141573"/>
    <w:rsid w:val="00141CE0"/>
    <w:rsid w:val="001425FA"/>
    <w:rsid w:val="00142865"/>
    <w:rsid w:val="00156695"/>
    <w:rsid w:val="00162716"/>
    <w:rsid w:val="00164EF0"/>
    <w:rsid w:val="00167EC1"/>
    <w:rsid w:val="00171CB4"/>
    <w:rsid w:val="001757CD"/>
    <w:rsid w:val="001759EF"/>
    <w:rsid w:val="00175EFD"/>
    <w:rsid w:val="0018082A"/>
    <w:rsid w:val="0018784E"/>
    <w:rsid w:val="00192016"/>
    <w:rsid w:val="00194A26"/>
    <w:rsid w:val="00197A9D"/>
    <w:rsid w:val="001A045F"/>
    <w:rsid w:val="001A0760"/>
    <w:rsid w:val="001A33A5"/>
    <w:rsid w:val="001A69A9"/>
    <w:rsid w:val="001A69EB"/>
    <w:rsid w:val="001A74D4"/>
    <w:rsid w:val="001A7936"/>
    <w:rsid w:val="001A7DBE"/>
    <w:rsid w:val="001B2F0B"/>
    <w:rsid w:val="001B3881"/>
    <w:rsid w:val="001B7F16"/>
    <w:rsid w:val="001C19E5"/>
    <w:rsid w:val="001C35AF"/>
    <w:rsid w:val="001C39D1"/>
    <w:rsid w:val="001C4294"/>
    <w:rsid w:val="001C578C"/>
    <w:rsid w:val="001D1193"/>
    <w:rsid w:val="001D2B9F"/>
    <w:rsid w:val="001D4E08"/>
    <w:rsid w:val="001D6D24"/>
    <w:rsid w:val="001E141C"/>
    <w:rsid w:val="001E4BBE"/>
    <w:rsid w:val="001E5F2F"/>
    <w:rsid w:val="001F1F1E"/>
    <w:rsid w:val="001F24A7"/>
    <w:rsid w:val="002044B6"/>
    <w:rsid w:val="00204C0C"/>
    <w:rsid w:val="002063A7"/>
    <w:rsid w:val="0020737B"/>
    <w:rsid w:val="002240D3"/>
    <w:rsid w:val="002253B6"/>
    <w:rsid w:val="00226F99"/>
    <w:rsid w:val="00227757"/>
    <w:rsid w:val="002325D1"/>
    <w:rsid w:val="002326F7"/>
    <w:rsid w:val="00232EED"/>
    <w:rsid w:val="00233A4D"/>
    <w:rsid w:val="00233ECA"/>
    <w:rsid w:val="00237BDB"/>
    <w:rsid w:val="00242E35"/>
    <w:rsid w:val="002446FC"/>
    <w:rsid w:val="00244D35"/>
    <w:rsid w:val="00246651"/>
    <w:rsid w:val="0024788E"/>
    <w:rsid w:val="00251D34"/>
    <w:rsid w:val="00251ED1"/>
    <w:rsid w:val="00255D3B"/>
    <w:rsid w:val="00263A32"/>
    <w:rsid w:val="00265F24"/>
    <w:rsid w:val="00270A25"/>
    <w:rsid w:val="00273043"/>
    <w:rsid w:val="00276BD7"/>
    <w:rsid w:val="0027744A"/>
    <w:rsid w:val="00280E7F"/>
    <w:rsid w:val="00282089"/>
    <w:rsid w:val="00282A15"/>
    <w:rsid w:val="0028456B"/>
    <w:rsid w:val="00287B2E"/>
    <w:rsid w:val="002922B6"/>
    <w:rsid w:val="00294DCE"/>
    <w:rsid w:val="00296DBE"/>
    <w:rsid w:val="002A63EC"/>
    <w:rsid w:val="002B0F09"/>
    <w:rsid w:val="002B4B0F"/>
    <w:rsid w:val="002B5C53"/>
    <w:rsid w:val="002C0834"/>
    <w:rsid w:val="002C4217"/>
    <w:rsid w:val="002D15DE"/>
    <w:rsid w:val="002D3FEB"/>
    <w:rsid w:val="002D5432"/>
    <w:rsid w:val="002D6E0D"/>
    <w:rsid w:val="002D6F95"/>
    <w:rsid w:val="002E435A"/>
    <w:rsid w:val="002E5BFC"/>
    <w:rsid w:val="002F2D2C"/>
    <w:rsid w:val="002F6C7F"/>
    <w:rsid w:val="002F7EC9"/>
    <w:rsid w:val="00300E11"/>
    <w:rsid w:val="00301193"/>
    <w:rsid w:val="003019AD"/>
    <w:rsid w:val="00302D26"/>
    <w:rsid w:val="003046DF"/>
    <w:rsid w:val="00306939"/>
    <w:rsid w:val="00313594"/>
    <w:rsid w:val="00313C8B"/>
    <w:rsid w:val="00317833"/>
    <w:rsid w:val="00325E72"/>
    <w:rsid w:val="003307A8"/>
    <w:rsid w:val="00330CFD"/>
    <w:rsid w:val="003377CF"/>
    <w:rsid w:val="0034562E"/>
    <w:rsid w:val="00354A54"/>
    <w:rsid w:val="00354BBD"/>
    <w:rsid w:val="00360B06"/>
    <w:rsid w:val="003629B9"/>
    <w:rsid w:val="00363356"/>
    <w:rsid w:val="00364036"/>
    <w:rsid w:val="00365665"/>
    <w:rsid w:val="003675A1"/>
    <w:rsid w:val="00367974"/>
    <w:rsid w:val="00377CF9"/>
    <w:rsid w:val="00384615"/>
    <w:rsid w:val="00391FE9"/>
    <w:rsid w:val="00394CDB"/>
    <w:rsid w:val="0039587E"/>
    <w:rsid w:val="003A5DED"/>
    <w:rsid w:val="003A6B7D"/>
    <w:rsid w:val="003A7201"/>
    <w:rsid w:val="003B047C"/>
    <w:rsid w:val="003B0B7B"/>
    <w:rsid w:val="003B5538"/>
    <w:rsid w:val="003C280F"/>
    <w:rsid w:val="003C37BA"/>
    <w:rsid w:val="003C678B"/>
    <w:rsid w:val="003D2758"/>
    <w:rsid w:val="003D6DB5"/>
    <w:rsid w:val="003E1A63"/>
    <w:rsid w:val="003F1A7F"/>
    <w:rsid w:val="003F22A2"/>
    <w:rsid w:val="003F35A0"/>
    <w:rsid w:val="003F38AB"/>
    <w:rsid w:val="003F710E"/>
    <w:rsid w:val="003F7D85"/>
    <w:rsid w:val="00400AA2"/>
    <w:rsid w:val="00401E33"/>
    <w:rsid w:val="00406579"/>
    <w:rsid w:val="004068DA"/>
    <w:rsid w:val="00412745"/>
    <w:rsid w:val="004160DB"/>
    <w:rsid w:val="00423E08"/>
    <w:rsid w:val="0043096C"/>
    <w:rsid w:val="00431C12"/>
    <w:rsid w:val="00432FD5"/>
    <w:rsid w:val="00442F9B"/>
    <w:rsid w:val="00445387"/>
    <w:rsid w:val="00445407"/>
    <w:rsid w:val="004469E6"/>
    <w:rsid w:val="00452348"/>
    <w:rsid w:val="00452513"/>
    <w:rsid w:val="00457653"/>
    <w:rsid w:val="00460333"/>
    <w:rsid w:val="0046118F"/>
    <w:rsid w:val="00461FB0"/>
    <w:rsid w:val="0046244A"/>
    <w:rsid w:val="00465F94"/>
    <w:rsid w:val="00470D36"/>
    <w:rsid w:val="00475993"/>
    <w:rsid w:val="00480D52"/>
    <w:rsid w:val="004821A8"/>
    <w:rsid w:val="00494063"/>
    <w:rsid w:val="004943F9"/>
    <w:rsid w:val="00495AA3"/>
    <w:rsid w:val="004B27CF"/>
    <w:rsid w:val="004C21A8"/>
    <w:rsid w:val="004C4191"/>
    <w:rsid w:val="004C555D"/>
    <w:rsid w:val="004C5FDF"/>
    <w:rsid w:val="004C60D3"/>
    <w:rsid w:val="004C7930"/>
    <w:rsid w:val="004D1B85"/>
    <w:rsid w:val="004D4515"/>
    <w:rsid w:val="004D62EF"/>
    <w:rsid w:val="004E0EFB"/>
    <w:rsid w:val="004F001D"/>
    <w:rsid w:val="004F1085"/>
    <w:rsid w:val="00500EB5"/>
    <w:rsid w:val="00503CA1"/>
    <w:rsid w:val="0050516A"/>
    <w:rsid w:val="00505C88"/>
    <w:rsid w:val="0051025D"/>
    <w:rsid w:val="00511C57"/>
    <w:rsid w:val="00513011"/>
    <w:rsid w:val="005144C9"/>
    <w:rsid w:val="00515979"/>
    <w:rsid w:val="005163D0"/>
    <w:rsid w:val="0051696F"/>
    <w:rsid w:val="00516C33"/>
    <w:rsid w:val="0052270B"/>
    <w:rsid w:val="005234ED"/>
    <w:rsid w:val="00523B45"/>
    <w:rsid w:val="005264A3"/>
    <w:rsid w:val="00527A54"/>
    <w:rsid w:val="00531949"/>
    <w:rsid w:val="00533829"/>
    <w:rsid w:val="00536FB5"/>
    <w:rsid w:val="00546B2B"/>
    <w:rsid w:val="0055340C"/>
    <w:rsid w:val="00553F60"/>
    <w:rsid w:val="00555C19"/>
    <w:rsid w:val="00557179"/>
    <w:rsid w:val="005571BB"/>
    <w:rsid w:val="00560AD0"/>
    <w:rsid w:val="005638FC"/>
    <w:rsid w:val="005745F9"/>
    <w:rsid w:val="00574E31"/>
    <w:rsid w:val="00580896"/>
    <w:rsid w:val="00582575"/>
    <w:rsid w:val="00582CD1"/>
    <w:rsid w:val="005944F0"/>
    <w:rsid w:val="00596299"/>
    <w:rsid w:val="00596C05"/>
    <w:rsid w:val="00597D65"/>
    <w:rsid w:val="005B0D22"/>
    <w:rsid w:val="005B4041"/>
    <w:rsid w:val="005B5E3C"/>
    <w:rsid w:val="005C1B1B"/>
    <w:rsid w:val="005C243E"/>
    <w:rsid w:val="005C652A"/>
    <w:rsid w:val="005C6E91"/>
    <w:rsid w:val="005D19E1"/>
    <w:rsid w:val="005D5B99"/>
    <w:rsid w:val="005D73DA"/>
    <w:rsid w:val="005E55DD"/>
    <w:rsid w:val="005E7C01"/>
    <w:rsid w:val="0060072E"/>
    <w:rsid w:val="006022CA"/>
    <w:rsid w:val="006036BB"/>
    <w:rsid w:val="006051DF"/>
    <w:rsid w:val="006058D2"/>
    <w:rsid w:val="0061153C"/>
    <w:rsid w:val="00611EAC"/>
    <w:rsid w:val="00613EFC"/>
    <w:rsid w:val="00614C38"/>
    <w:rsid w:val="00617678"/>
    <w:rsid w:val="00626399"/>
    <w:rsid w:val="006265BA"/>
    <w:rsid w:val="0063713C"/>
    <w:rsid w:val="00637925"/>
    <w:rsid w:val="006408F6"/>
    <w:rsid w:val="00651A51"/>
    <w:rsid w:val="0065492C"/>
    <w:rsid w:val="00655B2C"/>
    <w:rsid w:val="00657AF9"/>
    <w:rsid w:val="0066230D"/>
    <w:rsid w:val="006677AA"/>
    <w:rsid w:val="006701F9"/>
    <w:rsid w:val="0067193C"/>
    <w:rsid w:val="006719F5"/>
    <w:rsid w:val="00672294"/>
    <w:rsid w:val="006739B6"/>
    <w:rsid w:val="00680B57"/>
    <w:rsid w:val="006857FF"/>
    <w:rsid w:val="00687195"/>
    <w:rsid w:val="00687658"/>
    <w:rsid w:val="006922EA"/>
    <w:rsid w:val="006976E8"/>
    <w:rsid w:val="006A0993"/>
    <w:rsid w:val="006A0E5E"/>
    <w:rsid w:val="006A4247"/>
    <w:rsid w:val="006B0DA7"/>
    <w:rsid w:val="006B1A94"/>
    <w:rsid w:val="006B2B73"/>
    <w:rsid w:val="006B2BB2"/>
    <w:rsid w:val="006B53DF"/>
    <w:rsid w:val="006B65A0"/>
    <w:rsid w:val="006C2D89"/>
    <w:rsid w:val="006C6C8B"/>
    <w:rsid w:val="006C792E"/>
    <w:rsid w:val="006D187F"/>
    <w:rsid w:val="006D1C41"/>
    <w:rsid w:val="006D22BD"/>
    <w:rsid w:val="006D32FE"/>
    <w:rsid w:val="006D3B26"/>
    <w:rsid w:val="006D61B7"/>
    <w:rsid w:val="006D7D8F"/>
    <w:rsid w:val="006F079C"/>
    <w:rsid w:val="006F3B36"/>
    <w:rsid w:val="0070654A"/>
    <w:rsid w:val="007072A8"/>
    <w:rsid w:val="00711F5C"/>
    <w:rsid w:val="007128B9"/>
    <w:rsid w:val="007134EC"/>
    <w:rsid w:val="007171C8"/>
    <w:rsid w:val="0072080A"/>
    <w:rsid w:val="00732545"/>
    <w:rsid w:val="00733869"/>
    <w:rsid w:val="00733C08"/>
    <w:rsid w:val="00733C44"/>
    <w:rsid w:val="00737CB6"/>
    <w:rsid w:val="00741D06"/>
    <w:rsid w:val="00743FBC"/>
    <w:rsid w:val="0074443B"/>
    <w:rsid w:val="007454D9"/>
    <w:rsid w:val="00745B45"/>
    <w:rsid w:val="00750749"/>
    <w:rsid w:val="007600F6"/>
    <w:rsid w:val="0076083F"/>
    <w:rsid w:val="0076385F"/>
    <w:rsid w:val="00764273"/>
    <w:rsid w:val="00764BEB"/>
    <w:rsid w:val="00764E36"/>
    <w:rsid w:val="007654CE"/>
    <w:rsid w:val="00767B5E"/>
    <w:rsid w:val="00767E15"/>
    <w:rsid w:val="0077011D"/>
    <w:rsid w:val="00774842"/>
    <w:rsid w:val="00782BEC"/>
    <w:rsid w:val="00784CDD"/>
    <w:rsid w:val="00787D9C"/>
    <w:rsid w:val="00791631"/>
    <w:rsid w:val="00791E06"/>
    <w:rsid w:val="00792B77"/>
    <w:rsid w:val="00793337"/>
    <w:rsid w:val="007938C4"/>
    <w:rsid w:val="00793F46"/>
    <w:rsid w:val="007A3CF2"/>
    <w:rsid w:val="007A4EA2"/>
    <w:rsid w:val="007A785F"/>
    <w:rsid w:val="007A7FB6"/>
    <w:rsid w:val="007B0AC6"/>
    <w:rsid w:val="007B1944"/>
    <w:rsid w:val="007B28D9"/>
    <w:rsid w:val="007B33C6"/>
    <w:rsid w:val="007B4BFF"/>
    <w:rsid w:val="007B756F"/>
    <w:rsid w:val="007B7E3C"/>
    <w:rsid w:val="007C670B"/>
    <w:rsid w:val="007E52CE"/>
    <w:rsid w:val="007E5360"/>
    <w:rsid w:val="007E5538"/>
    <w:rsid w:val="007F4399"/>
    <w:rsid w:val="008023CF"/>
    <w:rsid w:val="00802965"/>
    <w:rsid w:val="008112E3"/>
    <w:rsid w:val="00821950"/>
    <w:rsid w:val="0082601D"/>
    <w:rsid w:val="00827D06"/>
    <w:rsid w:val="00827FC3"/>
    <w:rsid w:val="00831E49"/>
    <w:rsid w:val="0083454A"/>
    <w:rsid w:val="00834A05"/>
    <w:rsid w:val="00834BB2"/>
    <w:rsid w:val="00835291"/>
    <w:rsid w:val="00836FE9"/>
    <w:rsid w:val="00841BAD"/>
    <w:rsid w:val="00850085"/>
    <w:rsid w:val="00850CFB"/>
    <w:rsid w:val="00850EA3"/>
    <w:rsid w:val="00852364"/>
    <w:rsid w:val="00857FCA"/>
    <w:rsid w:val="0086081B"/>
    <w:rsid w:val="00863D0E"/>
    <w:rsid w:val="008675FC"/>
    <w:rsid w:val="008716C2"/>
    <w:rsid w:val="00872634"/>
    <w:rsid w:val="00872760"/>
    <w:rsid w:val="00873DC8"/>
    <w:rsid w:val="00876E52"/>
    <w:rsid w:val="00885734"/>
    <w:rsid w:val="0088715F"/>
    <w:rsid w:val="00887915"/>
    <w:rsid w:val="00893EE4"/>
    <w:rsid w:val="008963A5"/>
    <w:rsid w:val="008A200B"/>
    <w:rsid w:val="008A37B5"/>
    <w:rsid w:val="008A391A"/>
    <w:rsid w:val="008B388C"/>
    <w:rsid w:val="008B421B"/>
    <w:rsid w:val="008C259A"/>
    <w:rsid w:val="008C2805"/>
    <w:rsid w:val="008C2AEE"/>
    <w:rsid w:val="008C4562"/>
    <w:rsid w:val="008C726B"/>
    <w:rsid w:val="008C7796"/>
    <w:rsid w:val="008D22E5"/>
    <w:rsid w:val="008D2A1D"/>
    <w:rsid w:val="008D3468"/>
    <w:rsid w:val="008D700D"/>
    <w:rsid w:val="008E0088"/>
    <w:rsid w:val="008E2708"/>
    <w:rsid w:val="008E321F"/>
    <w:rsid w:val="008E5813"/>
    <w:rsid w:val="008E5B5F"/>
    <w:rsid w:val="008E5CE3"/>
    <w:rsid w:val="008E61F1"/>
    <w:rsid w:val="008E6EA4"/>
    <w:rsid w:val="008F019B"/>
    <w:rsid w:val="008F7FCC"/>
    <w:rsid w:val="00906F17"/>
    <w:rsid w:val="009106AC"/>
    <w:rsid w:val="0091262C"/>
    <w:rsid w:val="0091508D"/>
    <w:rsid w:val="009241ED"/>
    <w:rsid w:val="00930497"/>
    <w:rsid w:val="00930FF6"/>
    <w:rsid w:val="009341B7"/>
    <w:rsid w:val="00936462"/>
    <w:rsid w:val="00945424"/>
    <w:rsid w:val="00953C7B"/>
    <w:rsid w:val="0095495C"/>
    <w:rsid w:val="00956FF7"/>
    <w:rsid w:val="00957FB8"/>
    <w:rsid w:val="00960753"/>
    <w:rsid w:val="009613D7"/>
    <w:rsid w:val="00963DA1"/>
    <w:rsid w:val="0096631F"/>
    <w:rsid w:val="00972D24"/>
    <w:rsid w:val="00974846"/>
    <w:rsid w:val="00974F6B"/>
    <w:rsid w:val="009802DF"/>
    <w:rsid w:val="00981E16"/>
    <w:rsid w:val="0098233F"/>
    <w:rsid w:val="0098692A"/>
    <w:rsid w:val="009871C7"/>
    <w:rsid w:val="00991FFB"/>
    <w:rsid w:val="009A00A7"/>
    <w:rsid w:val="009B0F58"/>
    <w:rsid w:val="009B500F"/>
    <w:rsid w:val="009B5D7E"/>
    <w:rsid w:val="009B5DDD"/>
    <w:rsid w:val="009B7197"/>
    <w:rsid w:val="009B77E2"/>
    <w:rsid w:val="009C0C90"/>
    <w:rsid w:val="009C1EDC"/>
    <w:rsid w:val="009C4227"/>
    <w:rsid w:val="009D209E"/>
    <w:rsid w:val="009D22EE"/>
    <w:rsid w:val="009D24A3"/>
    <w:rsid w:val="009D4E6F"/>
    <w:rsid w:val="009D61FF"/>
    <w:rsid w:val="009D6BB7"/>
    <w:rsid w:val="009E325A"/>
    <w:rsid w:val="009F04A1"/>
    <w:rsid w:val="009F2054"/>
    <w:rsid w:val="009F3CB9"/>
    <w:rsid w:val="009F567E"/>
    <w:rsid w:val="009F56F9"/>
    <w:rsid w:val="009F6617"/>
    <w:rsid w:val="00A01763"/>
    <w:rsid w:val="00A03C9A"/>
    <w:rsid w:val="00A05973"/>
    <w:rsid w:val="00A11570"/>
    <w:rsid w:val="00A1217A"/>
    <w:rsid w:val="00A2121E"/>
    <w:rsid w:val="00A22FC7"/>
    <w:rsid w:val="00A24528"/>
    <w:rsid w:val="00A31653"/>
    <w:rsid w:val="00A32BAB"/>
    <w:rsid w:val="00A35B98"/>
    <w:rsid w:val="00A363EC"/>
    <w:rsid w:val="00A41B5D"/>
    <w:rsid w:val="00A41C98"/>
    <w:rsid w:val="00A42C11"/>
    <w:rsid w:val="00A43A8C"/>
    <w:rsid w:val="00A4412B"/>
    <w:rsid w:val="00A450A5"/>
    <w:rsid w:val="00A45EFA"/>
    <w:rsid w:val="00A4741B"/>
    <w:rsid w:val="00A5066F"/>
    <w:rsid w:val="00A526F9"/>
    <w:rsid w:val="00A53522"/>
    <w:rsid w:val="00A54365"/>
    <w:rsid w:val="00A56A3A"/>
    <w:rsid w:val="00A602E3"/>
    <w:rsid w:val="00A6108D"/>
    <w:rsid w:val="00A612C8"/>
    <w:rsid w:val="00A76AF7"/>
    <w:rsid w:val="00A8108C"/>
    <w:rsid w:val="00A81968"/>
    <w:rsid w:val="00A8330F"/>
    <w:rsid w:val="00A86B15"/>
    <w:rsid w:val="00A90CF5"/>
    <w:rsid w:val="00AA1A9D"/>
    <w:rsid w:val="00AA2FFC"/>
    <w:rsid w:val="00AA4CE0"/>
    <w:rsid w:val="00AA6E4E"/>
    <w:rsid w:val="00AA7550"/>
    <w:rsid w:val="00AB32CE"/>
    <w:rsid w:val="00AB57F5"/>
    <w:rsid w:val="00AC7466"/>
    <w:rsid w:val="00AD39AB"/>
    <w:rsid w:val="00AD75F2"/>
    <w:rsid w:val="00AD7EE8"/>
    <w:rsid w:val="00AE11C3"/>
    <w:rsid w:val="00AE45A2"/>
    <w:rsid w:val="00AE475F"/>
    <w:rsid w:val="00AE5E27"/>
    <w:rsid w:val="00AE632B"/>
    <w:rsid w:val="00AE7976"/>
    <w:rsid w:val="00AF39FA"/>
    <w:rsid w:val="00AF5026"/>
    <w:rsid w:val="00B00FB9"/>
    <w:rsid w:val="00B05BA4"/>
    <w:rsid w:val="00B06213"/>
    <w:rsid w:val="00B10AD9"/>
    <w:rsid w:val="00B11E07"/>
    <w:rsid w:val="00B123A1"/>
    <w:rsid w:val="00B1492E"/>
    <w:rsid w:val="00B14E3A"/>
    <w:rsid w:val="00B214BE"/>
    <w:rsid w:val="00B22BD0"/>
    <w:rsid w:val="00B22D00"/>
    <w:rsid w:val="00B26265"/>
    <w:rsid w:val="00B31B21"/>
    <w:rsid w:val="00B3276D"/>
    <w:rsid w:val="00B35AB3"/>
    <w:rsid w:val="00B36BC3"/>
    <w:rsid w:val="00B4044C"/>
    <w:rsid w:val="00B40651"/>
    <w:rsid w:val="00B506FC"/>
    <w:rsid w:val="00B50865"/>
    <w:rsid w:val="00B52FCE"/>
    <w:rsid w:val="00B537E9"/>
    <w:rsid w:val="00B53E84"/>
    <w:rsid w:val="00B6224B"/>
    <w:rsid w:val="00B64518"/>
    <w:rsid w:val="00B66F38"/>
    <w:rsid w:val="00B72389"/>
    <w:rsid w:val="00B7274D"/>
    <w:rsid w:val="00B72871"/>
    <w:rsid w:val="00B738E7"/>
    <w:rsid w:val="00B7437A"/>
    <w:rsid w:val="00B84C1C"/>
    <w:rsid w:val="00B84CE6"/>
    <w:rsid w:val="00B87722"/>
    <w:rsid w:val="00B87A0D"/>
    <w:rsid w:val="00B91045"/>
    <w:rsid w:val="00B91698"/>
    <w:rsid w:val="00B92D14"/>
    <w:rsid w:val="00B94395"/>
    <w:rsid w:val="00B95097"/>
    <w:rsid w:val="00BA4837"/>
    <w:rsid w:val="00BA4BEA"/>
    <w:rsid w:val="00BA74CB"/>
    <w:rsid w:val="00BA7853"/>
    <w:rsid w:val="00BB1F47"/>
    <w:rsid w:val="00BB2E55"/>
    <w:rsid w:val="00BB337A"/>
    <w:rsid w:val="00BB5EC8"/>
    <w:rsid w:val="00BC30D2"/>
    <w:rsid w:val="00BC38B8"/>
    <w:rsid w:val="00BD2900"/>
    <w:rsid w:val="00BD4206"/>
    <w:rsid w:val="00BE123E"/>
    <w:rsid w:val="00BE3C4C"/>
    <w:rsid w:val="00BE3F05"/>
    <w:rsid w:val="00BE4211"/>
    <w:rsid w:val="00BE4AC7"/>
    <w:rsid w:val="00BE5B42"/>
    <w:rsid w:val="00BE77EC"/>
    <w:rsid w:val="00BF1990"/>
    <w:rsid w:val="00C02B63"/>
    <w:rsid w:val="00C10C0D"/>
    <w:rsid w:val="00C133AE"/>
    <w:rsid w:val="00C14824"/>
    <w:rsid w:val="00C15D37"/>
    <w:rsid w:val="00C163D5"/>
    <w:rsid w:val="00C20323"/>
    <w:rsid w:val="00C21D73"/>
    <w:rsid w:val="00C22453"/>
    <w:rsid w:val="00C22BE0"/>
    <w:rsid w:val="00C30EE8"/>
    <w:rsid w:val="00C365FA"/>
    <w:rsid w:val="00C3699E"/>
    <w:rsid w:val="00C41030"/>
    <w:rsid w:val="00C45F9E"/>
    <w:rsid w:val="00C46DDA"/>
    <w:rsid w:val="00C51D97"/>
    <w:rsid w:val="00C5542C"/>
    <w:rsid w:val="00C55442"/>
    <w:rsid w:val="00C57C43"/>
    <w:rsid w:val="00C65D07"/>
    <w:rsid w:val="00C70F2F"/>
    <w:rsid w:val="00C71A3F"/>
    <w:rsid w:val="00C730A6"/>
    <w:rsid w:val="00C73132"/>
    <w:rsid w:val="00C75B5D"/>
    <w:rsid w:val="00C777B9"/>
    <w:rsid w:val="00C814F0"/>
    <w:rsid w:val="00C82A8E"/>
    <w:rsid w:val="00C83097"/>
    <w:rsid w:val="00C866E8"/>
    <w:rsid w:val="00C87519"/>
    <w:rsid w:val="00C878D6"/>
    <w:rsid w:val="00C902EA"/>
    <w:rsid w:val="00C930BA"/>
    <w:rsid w:val="00C9398E"/>
    <w:rsid w:val="00CA0374"/>
    <w:rsid w:val="00CA5D5F"/>
    <w:rsid w:val="00CA62CB"/>
    <w:rsid w:val="00CC0231"/>
    <w:rsid w:val="00CC35B5"/>
    <w:rsid w:val="00CC3635"/>
    <w:rsid w:val="00CD01F3"/>
    <w:rsid w:val="00CD0423"/>
    <w:rsid w:val="00CD334F"/>
    <w:rsid w:val="00CE2084"/>
    <w:rsid w:val="00CE2F28"/>
    <w:rsid w:val="00CE3890"/>
    <w:rsid w:val="00CE3FB5"/>
    <w:rsid w:val="00CE567B"/>
    <w:rsid w:val="00CF01C4"/>
    <w:rsid w:val="00CF116E"/>
    <w:rsid w:val="00CF296F"/>
    <w:rsid w:val="00CF3B0B"/>
    <w:rsid w:val="00CF7A88"/>
    <w:rsid w:val="00D02541"/>
    <w:rsid w:val="00D02599"/>
    <w:rsid w:val="00D1008F"/>
    <w:rsid w:val="00D114CE"/>
    <w:rsid w:val="00D221CF"/>
    <w:rsid w:val="00D22363"/>
    <w:rsid w:val="00D2237D"/>
    <w:rsid w:val="00D24E21"/>
    <w:rsid w:val="00D31863"/>
    <w:rsid w:val="00D3553A"/>
    <w:rsid w:val="00D37926"/>
    <w:rsid w:val="00D420CA"/>
    <w:rsid w:val="00D421B3"/>
    <w:rsid w:val="00D437DE"/>
    <w:rsid w:val="00D44654"/>
    <w:rsid w:val="00D45219"/>
    <w:rsid w:val="00D47519"/>
    <w:rsid w:val="00D51BAB"/>
    <w:rsid w:val="00D51DC9"/>
    <w:rsid w:val="00D5226B"/>
    <w:rsid w:val="00D52C87"/>
    <w:rsid w:val="00D56665"/>
    <w:rsid w:val="00D5671A"/>
    <w:rsid w:val="00D60AFA"/>
    <w:rsid w:val="00D6101B"/>
    <w:rsid w:val="00D64E35"/>
    <w:rsid w:val="00D713F2"/>
    <w:rsid w:val="00D77C77"/>
    <w:rsid w:val="00D80136"/>
    <w:rsid w:val="00D819DD"/>
    <w:rsid w:val="00D83989"/>
    <w:rsid w:val="00D85447"/>
    <w:rsid w:val="00D9075C"/>
    <w:rsid w:val="00D925FC"/>
    <w:rsid w:val="00D93190"/>
    <w:rsid w:val="00D96A6E"/>
    <w:rsid w:val="00D96C8B"/>
    <w:rsid w:val="00D97585"/>
    <w:rsid w:val="00DA4024"/>
    <w:rsid w:val="00DA6CF8"/>
    <w:rsid w:val="00DA7433"/>
    <w:rsid w:val="00DB0C79"/>
    <w:rsid w:val="00DB457F"/>
    <w:rsid w:val="00DB55B9"/>
    <w:rsid w:val="00DC10B6"/>
    <w:rsid w:val="00DC33DE"/>
    <w:rsid w:val="00DC653A"/>
    <w:rsid w:val="00DC6EE7"/>
    <w:rsid w:val="00DD04C2"/>
    <w:rsid w:val="00DD6FB4"/>
    <w:rsid w:val="00DE2C2B"/>
    <w:rsid w:val="00DE4F68"/>
    <w:rsid w:val="00DF17E0"/>
    <w:rsid w:val="00DF4081"/>
    <w:rsid w:val="00E07A89"/>
    <w:rsid w:val="00E103A9"/>
    <w:rsid w:val="00E123B9"/>
    <w:rsid w:val="00E14DD8"/>
    <w:rsid w:val="00E156E2"/>
    <w:rsid w:val="00E15E0A"/>
    <w:rsid w:val="00E23551"/>
    <w:rsid w:val="00E26F29"/>
    <w:rsid w:val="00E365BB"/>
    <w:rsid w:val="00E3747F"/>
    <w:rsid w:val="00E42E41"/>
    <w:rsid w:val="00E43395"/>
    <w:rsid w:val="00E5349D"/>
    <w:rsid w:val="00E61094"/>
    <w:rsid w:val="00E61259"/>
    <w:rsid w:val="00E61C7D"/>
    <w:rsid w:val="00E63550"/>
    <w:rsid w:val="00E63F11"/>
    <w:rsid w:val="00E64264"/>
    <w:rsid w:val="00E67AFE"/>
    <w:rsid w:val="00E73A94"/>
    <w:rsid w:val="00E803F8"/>
    <w:rsid w:val="00E8102E"/>
    <w:rsid w:val="00E846C9"/>
    <w:rsid w:val="00E85CB9"/>
    <w:rsid w:val="00E86242"/>
    <w:rsid w:val="00E862C1"/>
    <w:rsid w:val="00E86FB0"/>
    <w:rsid w:val="00EA0B66"/>
    <w:rsid w:val="00EA0ED8"/>
    <w:rsid w:val="00EA130E"/>
    <w:rsid w:val="00EA1E08"/>
    <w:rsid w:val="00EA284D"/>
    <w:rsid w:val="00EA4AEC"/>
    <w:rsid w:val="00EA524A"/>
    <w:rsid w:val="00EA5E31"/>
    <w:rsid w:val="00EA6F36"/>
    <w:rsid w:val="00EB0996"/>
    <w:rsid w:val="00EB0C08"/>
    <w:rsid w:val="00EB1B0F"/>
    <w:rsid w:val="00EB6648"/>
    <w:rsid w:val="00EB7945"/>
    <w:rsid w:val="00EC357D"/>
    <w:rsid w:val="00EC36C4"/>
    <w:rsid w:val="00EC59F8"/>
    <w:rsid w:val="00EC650B"/>
    <w:rsid w:val="00ED1CC5"/>
    <w:rsid w:val="00ED2197"/>
    <w:rsid w:val="00ED21FF"/>
    <w:rsid w:val="00ED5B66"/>
    <w:rsid w:val="00ED659F"/>
    <w:rsid w:val="00EE108D"/>
    <w:rsid w:val="00EE69B7"/>
    <w:rsid w:val="00EF6E29"/>
    <w:rsid w:val="00F01D42"/>
    <w:rsid w:val="00F04DA8"/>
    <w:rsid w:val="00F11078"/>
    <w:rsid w:val="00F1126C"/>
    <w:rsid w:val="00F1218B"/>
    <w:rsid w:val="00F21390"/>
    <w:rsid w:val="00F21957"/>
    <w:rsid w:val="00F22702"/>
    <w:rsid w:val="00F230A2"/>
    <w:rsid w:val="00F23883"/>
    <w:rsid w:val="00F240D0"/>
    <w:rsid w:val="00F24C44"/>
    <w:rsid w:val="00F30663"/>
    <w:rsid w:val="00F30726"/>
    <w:rsid w:val="00F40DF4"/>
    <w:rsid w:val="00F42BD4"/>
    <w:rsid w:val="00F44101"/>
    <w:rsid w:val="00F45CD8"/>
    <w:rsid w:val="00F47304"/>
    <w:rsid w:val="00F4778E"/>
    <w:rsid w:val="00F5184B"/>
    <w:rsid w:val="00F604D5"/>
    <w:rsid w:val="00F6144F"/>
    <w:rsid w:val="00F64223"/>
    <w:rsid w:val="00F64915"/>
    <w:rsid w:val="00F656F1"/>
    <w:rsid w:val="00F67863"/>
    <w:rsid w:val="00F70192"/>
    <w:rsid w:val="00F70B21"/>
    <w:rsid w:val="00F72B32"/>
    <w:rsid w:val="00F75455"/>
    <w:rsid w:val="00F80BF8"/>
    <w:rsid w:val="00F80CA7"/>
    <w:rsid w:val="00F81743"/>
    <w:rsid w:val="00F825EC"/>
    <w:rsid w:val="00F82E88"/>
    <w:rsid w:val="00F84E3C"/>
    <w:rsid w:val="00F918B1"/>
    <w:rsid w:val="00F9349D"/>
    <w:rsid w:val="00F94DA2"/>
    <w:rsid w:val="00F97D41"/>
    <w:rsid w:val="00FA06F1"/>
    <w:rsid w:val="00FA37A5"/>
    <w:rsid w:val="00FA4C3D"/>
    <w:rsid w:val="00FA5611"/>
    <w:rsid w:val="00FB5ADF"/>
    <w:rsid w:val="00FC1389"/>
    <w:rsid w:val="00FC2141"/>
    <w:rsid w:val="00FC2313"/>
    <w:rsid w:val="00FC25BA"/>
    <w:rsid w:val="00FC285A"/>
    <w:rsid w:val="00FC50E1"/>
    <w:rsid w:val="00FC57A3"/>
    <w:rsid w:val="00FC5951"/>
    <w:rsid w:val="00FC5E36"/>
    <w:rsid w:val="00FC6E49"/>
    <w:rsid w:val="00FC73EB"/>
    <w:rsid w:val="00FD4048"/>
    <w:rsid w:val="00FD599A"/>
    <w:rsid w:val="00FE166C"/>
    <w:rsid w:val="00FE3C9C"/>
    <w:rsid w:val="00FE783D"/>
    <w:rsid w:val="00FE7983"/>
    <w:rsid w:val="00FF0517"/>
    <w:rsid w:val="00FF2F06"/>
    <w:rsid w:val="00FF48EC"/>
    <w:rsid w:val="015F52D0"/>
    <w:rsid w:val="01984AD3"/>
    <w:rsid w:val="0516810C"/>
    <w:rsid w:val="07A7FDB3"/>
    <w:rsid w:val="07E40FF2"/>
    <w:rsid w:val="0862B64B"/>
    <w:rsid w:val="0A3E34A1"/>
    <w:rsid w:val="0A972A9C"/>
    <w:rsid w:val="0AFABC9A"/>
    <w:rsid w:val="0D749D89"/>
    <w:rsid w:val="0F6C82EA"/>
    <w:rsid w:val="111C6E69"/>
    <w:rsid w:val="1158CEFC"/>
    <w:rsid w:val="11C5075C"/>
    <w:rsid w:val="1398C1FB"/>
    <w:rsid w:val="13FA48AF"/>
    <w:rsid w:val="14ADAE2C"/>
    <w:rsid w:val="17579C14"/>
    <w:rsid w:val="17C84187"/>
    <w:rsid w:val="17FDE326"/>
    <w:rsid w:val="1D31C5D5"/>
    <w:rsid w:val="1F994E16"/>
    <w:rsid w:val="21249E33"/>
    <w:rsid w:val="23E5C8B2"/>
    <w:rsid w:val="243C471F"/>
    <w:rsid w:val="27248651"/>
    <w:rsid w:val="2751EA12"/>
    <w:rsid w:val="2764B472"/>
    <w:rsid w:val="2808C962"/>
    <w:rsid w:val="2833A215"/>
    <w:rsid w:val="289CD895"/>
    <w:rsid w:val="2B0C5A5C"/>
    <w:rsid w:val="2DA29208"/>
    <w:rsid w:val="30B75FE4"/>
    <w:rsid w:val="30C81551"/>
    <w:rsid w:val="31D09E97"/>
    <w:rsid w:val="329EC40C"/>
    <w:rsid w:val="362C7E27"/>
    <w:rsid w:val="3782F1AA"/>
    <w:rsid w:val="3A28BDB5"/>
    <w:rsid w:val="3AC31CA4"/>
    <w:rsid w:val="3EC7C01A"/>
    <w:rsid w:val="3F7527B8"/>
    <w:rsid w:val="3F9497F6"/>
    <w:rsid w:val="40C97174"/>
    <w:rsid w:val="417D2B0E"/>
    <w:rsid w:val="41C91269"/>
    <w:rsid w:val="42550142"/>
    <w:rsid w:val="438DC26C"/>
    <w:rsid w:val="44ACAC74"/>
    <w:rsid w:val="4541B8A3"/>
    <w:rsid w:val="455F5EBB"/>
    <w:rsid w:val="47C4D6A7"/>
    <w:rsid w:val="4847B377"/>
    <w:rsid w:val="49C1C2D2"/>
    <w:rsid w:val="49C3C82E"/>
    <w:rsid w:val="4ABAED14"/>
    <w:rsid w:val="4C9A4F85"/>
    <w:rsid w:val="4DC13D9C"/>
    <w:rsid w:val="5475178A"/>
    <w:rsid w:val="56173ABD"/>
    <w:rsid w:val="5C14CBB4"/>
    <w:rsid w:val="5DF1A18D"/>
    <w:rsid w:val="5F5669BD"/>
    <w:rsid w:val="5FCDBF75"/>
    <w:rsid w:val="60B0341A"/>
    <w:rsid w:val="62E74575"/>
    <w:rsid w:val="63856D1F"/>
    <w:rsid w:val="66F895C1"/>
    <w:rsid w:val="66FE62CE"/>
    <w:rsid w:val="68A18913"/>
    <w:rsid w:val="6A0F94CF"/>
    <w:rsid w:val="6A656D33"/>
    <w:rsid w:val="6CA4FFB4"/>
    <w:rsid w:val="71671EB0"/>
    <w:rsid w:val="7340F4B0"/>
    <w:rsid w:val="74C11005"/>
    <w:rsid w:val="75E9ACF7"/>
    <w:rsid w:val="77A4675E"/>
    <w:rsid w:val="7B677F69"/>
    <w:rsid w:val="7F067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198D6"/>
  <w15:chartTrackingRefBased/>
  <w15:docId w15:val="{B9D203D3-5E62-4C3D-BBD0-31E7C28A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B7"/>
    <w:pPr>
      <w:spacing w:after="200" w:line="276" w:lineRule="auto"/>
    </w:pPr>
  </w:style>
  <w:style w:type="paragraph" w:styleId="Ttulo1">
    <w:name w:val="heading 1"/>
    <w:basedOn w:val="Normal"/>
    <w:next w:val="Normal"/>
    <w:link w:val="Ttulo1Car"/>
    <w:qFormat/>
    <w:rsid w:val="00EE69B7"/>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EE69B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4">
    <w:name w:val="heading 4"/>
    <w:basedOn w:val="Normal"/>
    <w:next w:val="Normal"/>
    <w:link w:val="Ttulo4Car"/>
    <w:unhideWhenUsed/>
    <w:qFormat/>
    <w:rsid w:val="00EE69B7"/>
    <w:pPr>
      <w:spacing w:after="0" w:line="271" w:lineRule="auto"/>
      <w:outlineLvl w:val="3"/>
    </w:pPr>
    <w:rPr>
      <w:rFonts w:asciiTheme="majorHAnsi" w:eastAsiaTheme="majorEastAsia" w:hAnsiTheme="majorHAnsi" w:cstheme="majorBidi"/>
      <w:b/>
      <w:bCs/>
      <w:spacing w:val="5"/>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9B7"/>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EE69B7"/>
    <w:rPr>
      <w:rFonts w:asciiTheme="majorHAnsi" w:eastAsiaTheme="majorEastAsia" w:hAnsiTheme="majorHAnsi" w:cstheme="majorBidi"/>
      <w:b/>
      <w:bCs/>
      <w:color w:val="4472C4" w:themeColor="accent1"/>
      <w:sz w:val="26"/>
      <w:szCs w:val="26"/>
    </w:rPr>
  </w:style>
  <w:style w:type="character" w:customStyle="1" w:styleId="Ttulo4Car">
    <w:name w:val="Título 4 Car"/>
    <w:basedOn w:val="Fuentedeprrafopredeter"/>
    <w:link w:val="Ttulo4"/>
    <w:rsid w:val="00EE69B7"/>
    <w:rPr>
      <w:rFonts w:asciiTheme="majorHAnsi" w:eastAsiaTheme="majorEastAsia" w:hAnsiTheme="majorHAnsi" w:cstheme="majorBidi"/>
      <w:b/>
      <w:bCs/>
      <w:spacing w:val="5"/>
      <w:sz w:val="24"/>
      <w:szCs w:val="24"/>
      <w:lang w:val="en-US" w:bidi="en-US"/>
    </w:rPr>
  </w:style>
  <w:style w:type="paragraph" w:styleId="Encabezado">
    <w:name w:val="header"/>
    <w:basedOn w:val="Normal"/>
    <w:link w:val="EncabezadoCar"/>
    <w:uiPriority w:val="99"/>
    <w:rsid w:val="00EE6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9B7"/>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EE69B7"/>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EE69B7"/>
    <w:rPr>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nhideWhenUsed/>
    <w:qFormat/>
    <w:rsid w:val="00EE69B7"/>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 Paragraph2,Colorful List - Accent 11,Listas,AB List 1"/>
    <w:basedOn w:val="Normal"/>
    <w:link w:val="PrrafodelistaCar"/>
    <w:uiPriority w:val="34"/>
    <w:qFormat/>
    <w:rsid w:val="00EE69B7"/>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EE69B7"/>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EE69B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EE69B7"/>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EE6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9B7"/>
  </w:style>
  <w:style w:type="character" w:styleId="Hipervnculo">
    <w:name w:val="Hyperlink"/>
    <w:basedOn w:val="Fuentedeprrafopredeter"/>
    <w:uiPriority w:val="99"/>
    <w:unhideWhenUsed/>
    <w:rsid w:val="00EE69B7"/>
    <w:rPr>
      <w:color w:val="0563C1" w:themeColor="hyperlink"/>
      <w:u w:val="single"/>
    </w:rPr>
  </w:style>
  <w:style w:type="character" w:customStyle="1" w:styleId="NormalsentenciaCar">
    <w:name w:val="Normal sentencia Car"/>
    <w:basedOn w:val="Fuentedeprrafopredeter"/>
    <w:link w:val="Normalsentencia"/>
    <w:locked/>
    <w:rsid w:val="00EE69B7"/>
    <w:rPr>
      <w:rFonts w:ascii="Arial" w:hAnsi="Arial" w:cs="Arial"/>
      <w:sz w:val="28"/>
      <w:lang w:val="es-ES" w:eastAsia="es-ES"/>
    </w:rPr>
  </w:style>
  <w:style w:type="paragraph" w:customStyle="1" w:styleId="Normalsentencia">
    <w:name w:val="Normal sentencia"/>
    <w:basedOn w:val="Normal"/>
    <w:link w:val="NormalsentenciaCar"/>
    <w:qFormat/>
    <w:rsid w:val="00EE69B7"/>
    <w:pPr>
      <w:spacing w:before="240" w:after="120" w:line="360" w:lineRule="auto"/>
      <w:ind w:firstLine="709"/>
      <w:jc w:val="both"/>
    </w:pPr>
    <w:rPr>
      <w:rFonts w:ascii="Arial" w:hAnsi="Arial" w:cs="Arial"/>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E69B7"/>
    <w:pPr>
      <w:spacing w:after="0" w:line="240" w:lineRule="auto"/>
      <w:jc w:val="both"/>
    </w:pPr>
    <w:rPr>
      <w:vertAlign w:val="superscript"/>
    </w:rPr>
  </w:style>
  <w:style w:type="paragraph" w:styleId="TtuloTDC">
    <w:name w:val="TOC Heading"/>
    <w:basedOn w:val="Ttulo1"/>
    <w:next w:val="Normal"/>
    <w:uiPriority w:val="39"/>
    <w:unhideWhenUsed/>
    <w:qFormat/>
    <w:rsid w:val="00EE69B7"/>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EE69B7"/>
    <w:pPr>
      <w:tabs>
        <w:tab w:val="right" w:leader="dot" w:pos="8263"/>
      </w:tabs>
      <w:spacing w:after="0" w:line="240" w:lineRule="auto"/>
      <w:jc w:val="both"/>
    </w:pPr>
  </w:style>
  <w:style w:type="paragraph" w:styleId="TDC2">
    <w:name w:val="toc 2"/>
    <w:basedOn w:val="Normal"/>
    <w:next w:val="Normal"/>
    <w:autoRedefine/>
    <w:uiPriority w:val="39"/>
    <w:unhideWhenUsed/>
    <w:rsid w:val="00EE69B7"/>
    <w:pPr>
      <w:tabs>
        <w:tab w:val="right" w:leader="dot" w:pos="8263"/>
      </w:tabs>
      <w:spacing w:after="0" w:line="240" w:lineRule="auto"/>
      <w:ind w:left="221"/>
    </w:pPr>
    <w:rPr>
      <w:rFonts w:ascii="Arial" w:hAnsi="Arial" w:cs="Arial"/>
      <w:noProof/>
      <w:sz w:val="18"/>
      <w:szCs w:val="18"/>
      <w:u w:val="single"/>
    </w:rPr>
  </w:style>
  <w:style w:type="character" w:customStyle="1" w:styleId="FontStyle19">
    <w:name w:val="Font Style19"/>
    <w:uiPriority w:val="99"/>
    <w:rsid w:val="00EE69B7"/>
    <w:rPr>
      <w:rFonts w:ascii="Arial" w:hAnsi="Arial" w:cs="Arial"/>
      <w:b/>
      <w:bCs/>
      <w:sz w:val="24"/>
      <w:szCs w:val="24"/>
    </w:rPr>
  </w:style>
  <w:style w:type="paragraph" w:styleId="Textodeglobo">
    <w:name w:val="Balloon Text"/>
    <w:basedOn w:val="Normal"/>
    <w:link w:val="TextodegloboCar"/>
    <w:uiPriority w:val="99"/>
    <w:semiHidden/>
    <w:unhideWhenUsed/>
    <w:rsid w:val="00CC36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635"/>
    <w:rPr>
      <w:rFonts w:ascii="Segoe UI" w:hAnsi="Segoe UI" w:cs="Segoe UI"/>
      <w:sz w:val="18"/>
      <w:szCs w:val="18"/>
    </w:rPr>
  </w:style>
  <w:style w:type="character" w:styleId="Textoennegrita">
    <w:name w:val="Strong"/>
    <w:basedOn w:val="Fuentedeprrafopredeter"/>
    <w:uiPriority w:val="22"/>
    <w:qFormat/>
    <w:rsid w:val="00C22453"/>
    <w:rPr>
      <w:b/>
      <w:bCs/>
    </w:rPr>
  </w:style>
  <w:style w:type="paragraph" w:styleId="Sinespaciado">
    <w:name w:val="No Spacing"/>
    <w:uiPriority w:val="1"/>
    <w:qFormat/>
    <w:rsid w:val="00D3553A"/>
    <w:pPr>
      <w:spacing w:after="0" w:line="240" w:lineRule="auto"/>
    </w:pPr>
    <w:rPr>
      <w:rFonts w:eastAsia="Times New Roman" w:cs="Times New Roman"/>
    </w:rPr>
  </w:style>
  <w:style w:type="paragraph" w:styleId="Revisin">
    <w:name w:val="Revision"/>
    <w:hidden/>
    <w:uiPriority w:val="99"/>
    <w:semiHidden/>
    <w:rsid w:val="003F7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DAAEFC7D29B24288C6E12B0E383A40"/>
        <w:category>
          <w:name w:val="General"/>
          <w:gallery w:val="placeholder"/>
        </w:category>
        <w:types>
          <w:type w:val="bbPlcHdr"/>
        </w:types>
        <w:behaviors>
          <w:behavior w:val="content"/>
        </w:behaviors>
        <w:guid w:val="{AF22F293-01A2-0D4A-9527-9A5B63373BAD}"/>
      </w:docPartPr>
      <w:docPartBody>
        <w:p w:rsidR="004127AB" w:rsidRDefault="00412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03"/>
    <w:rsid w:val="00062C42"/>
    <w:rsid w:val="004127AB"/>
    <w:rsid w:val="00441842"/>
    <w:rsid w:val="008A1CA6"/>
    <w:rsid w:val="009419E6"/>
    <w:rsid w:val="00B74175"/>
    <w:rsid w:val="00BB4C03"/>
    <w:rsid w:val="00E56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C0F5CFB8E8A6479859D068089C1A9B" ma:contentTypeVersion="9" ma:contentTypeDescription="Crear nuevo documento." ma:contentTypeScope="" ma:versionID="f84040ca30f422434f2c53f5af16729d">
  <xsd:schema xmlns:xsd="http://www.w3.org/2001/XMLSchema" xmlns:xs="http://www.w3.org/2001/XMLSchema" xmlns:p="http://schemas.microsoft.com/office/2006/metadata/properties" xmlns:ns3="e22bbd7a-ff41-408a-8b4a-f68f97a16641" xmlns:ns4="98bae1aa-ed28-4ef0-95d7-8a993cb494d1" targetNamespace="http://schemas.microsoft.com/office/2006/metadata/properties" ma:root="true" ma:fieldsID="4e6e05e5f98bf294bbb30bde736657a3" ns3:_="" ns4:_="">
    <xsd:import namespace="e22bbd7a-ff41-408a-8b4a-f68f97a16641"/>
    <xsd:import namespace="98bae1aa-ed28-4ef0-95d7-8a993cb494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bd7a-ff41-408a-8b4a-f68f97a16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e1aa-ed28-4ef0-95d7-8a993cb494d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187A-D84A-4316-96AF-2ABA581DF2A0}">
  <ds:schemaRefs>
    <ds:schemaRef ds:uri="http://schemas.microsoft.com/sharepoint/v3/contenttype/forms"/>
  </ds:schemaRefs>
</ds:datastoreItem>
</file>

<file path=customXml/itemProps2.xml><?xml version="1.0" encoding="utf-8"?>
<ds:datastoreItem xmlns:ds="http://schemas.openxmlformats.org/officeDocument/2006/customXml" ds:itemID="{CC21169E-4793-4608-BE39-26A0A5C5E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75ECD-92FD-4066-AF08-534EF876E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bd7a-ff41-408a-8b4a-f68f97a16641"/>
    <ds:schemaRef ds:uri="98bae1aa-ed28-4ef0-95d7-8a993cb4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210-C279-4CF2-BD2C-7342C661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17300</CharactersWithSpaces>
  <SharedDoc>false</SharedDoc>
  <HLinks>
    <vt:vector size="54" baseType="variant">
      <vt:variant>
        <vt:i4>1769521</vt:i4>
      </vt:variant>
      <vt:variant>
        <vt:i4>50</vt:i4>
      </vt:variant>
      <vt:variant>
        <vt:i4>0</vt:i4>
      </vt:variant>
      <vt:variant>
        <vt:i4>5</vt:i4>
      </vt:variant>
      <vt:variant>
        <vt:lpwstr/>
      </vt:variant>
      <vt:variant>
        <vt:lpwstr>_Toc54384535</vt:lpwstr>
      </vt:variant>
      <vt:variant>
        <vt:i4>1703985</vt:i4>
      </vt:variant>
      <vt:variant>
        <vt:i4>44</vt:i4>
      </vt:variant>
      <vt:variant>
        <vt:i4>0</vt:i4>
      </vt:variant>
      <vt:variant>
        <vt:i4>5</vt:i4>
      </vt:variant>
      <vt:variant>
        <vt:lpwstr/>
      </vt:variant>
      <vt:variant>
        <vt:lpwstr>_Toc54384534</vt:lpwstr>
      </vt:variant>
      <vt:variant>
        <vt:i4>1900593</vt:i4>
      </vt:variant>
      <vt:variant>
        <vt:i4>38</vt:i4>
      </vt:variant>
      <vt:variant>
        <vt:i4>0</vt:i4>
      </vt:variant>
      <vt:variant>
        <vt:i4>5</vt:i4>
      </vt:variant>
      <vt:variant>
        <vt:lpwstr/>
      </vt:variant>
      <vt:variant>
        <vt:lpwstr>_Toc54384533</vt:lpwstr>
      </vt:variant>
      <vt:variant>
        <vt:i4>1835057</vt:i4>
      </vt:variant>
      <vt:variant>
        <vt:i4>32</vt:i4>
      </vt:variant>
      <vt:variant>
        <vt:i4>0</vt:i4>
      </vt:variant>
      <vt:variant>
        <vt:i4>5</vt:i4>
      </vt:variant>
      <vt:variant>
        <vt:lpwstr/>
      </vt:variant>
      <vt:variant>
        <vt:lpwstr>_Toc54384532</vt:lpwstr>
      </vt:variant>
      <vt:variant>
        <vt:i4>2031665</vt:i4>
      </vt:variant>
      <vt:variant>
        <vt:i4>26</vt:i4>
      </vt:variant>
      <vt:variant>
        <vt:i4>0</vt:i4>
      </vt:variant>
      <vt:variant>
        <vt:i4>5</vt:i4>
      </vt:variant>
      <vt:variant>
        <vt:lpwstr/>
      </vt:variant>
      <vt:variant>
        <vt:lpwstr>_Toc54384531</vt:lpwstr>
      </vt:variant>
      <vt:variant>
        <vt:i4>1966129</vt:i4>
      </vt:variant>
      <vt:variant>
        <vt:i4>20</vt:i4>
      </vt:variant>
      <vt:variant>
        <vt:i4>0</vt:i4>
      </vt:variant>
      <vt:variant>
        <vt:i4>5</vt:i4>
      </vt:variant>
      <vt:variant>
        <vt:lpwstr/>
      </vt:variant>
      <vt:variant>
        <vt:lpwstr>_Toc54384530</vt:lpwstr>
      </vt:variant>
      <vt:variant>
        <vt:i4>1507376</vt:i4>
      </vt:variant>
      <vt:variant>
        <vt:i4>14</vt:i4>
      </vt:variant>
      <vt:variant>
        <vt:i4>0</vt:i4>
      </vt:variant>
      <vt:variant>
        <vt:i4>5</vt:i4>
      </vt:variant>
      <vt:variant>
        <vt:lpwstr/>
      </vt:variant>
      <vt:variant>
        <vt:lpwstr>_Toc54384529</vt:lpwstr>
      </vt:variant>
      <vt:variant>
        <vt:i4>1441840</vt:i4>
      </vt:variant>
      <vt:variant>
        <vt:i4>8</vt:i4>
      </vt:variant>
      <vt:variant>
        <vt:i4>0</vt:i4>
      </vt:variant>
      <vt:variant>
        <vt:i4>5</vt:i4>
      </vt:variant>
      <vt:variant>
        <vt:lpwstr/>
      </vt:variant>
      <vt:variant>
        <vt:lpwstr>_Toc54384528</vt:lpwstr>
      </vt:variant>
      <vt:variant>
        <vt:i4>1638448</vt:i4>
      </vt:variant>
      <vt:variant>
        <vt:i4>2</vt:i4>
      </vt:variant>
      <vt:variant>
        <vt:i4>0</vt:i4>
      </vt:variant>
      <vt:variant>
        <vt:i4>5</vt:i4>
      </vt:variant>
      <vt:variant>
        <vt:lpwstr/>
      </vt:variant>
      <vt:variant>
        <vt:lpwstr>_Toc54384527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Lobato Tapia</dc:creator>
  <cp:keywords/>
  <dc:description/>
  <cp:lastModifiedBy>Ana Cecilia Lobato Tapia</cp:lastModifiedBy>
  <cp:revision>24</cp:revision>
  <cp:lastPrinted>2021-01-15T18:39:00Z</cp:lastPrinted>
  <dcterms:created xsi:type="dcterms:W3CDTF">2021-01-15T20:27:00Z</dcterms:created>
  <dcterms:modified xsi:type="dcterms:W3CDTF">2021-01-15T22:09:00Z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0x01010009C0F5CFB8E8A6479859D068089C1A9B</vt:lpwstr>
  </property>
</Properties>
</file>