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D21F" w14:textId="7405E59C" w:rsidR="0092030A" w:rsidRPr="002B069E" w:rsidRDefault="0068556A" w:rsidP="008D6564">
      <w:pPr>
        <w:shd w:val="clear" w:color="auto" w:fill="FFFFFF" w:themeFill="background1"/>
        <w:spacing w:before="240" w:after="240"/>
        <w:ind w:left="3260"/>
        <w:jc w:val="both"/>
        <w:rPr>
          <w:rFonts w:ascii="Arial" w:eastAsiaTheme="minorHAnsi" w:hAnsi="Arial" w:cs="Arial"/>
          <w:b/>
          <w:szCs w:val="22"/>
          <w:lang w:val="es-ES_tradnl" w:eastAsia="en-US"/>
        </w:rPr>
      </w:pPr>
      <w:r w:rsidRPr="002B069E">
        <w:rPr>
          <w:rFonts w:ascii="Arial" w:eastAsiaTheme="minorHAnsi" w:hAnsi="Arial" w:cs="Arial"/>
          <w:b/>
          <w:szCs w:val="22"/>
          <w:lang w:val="es-ES_tradnl" w:eastAsia="en-US"/>
        </w:rPr>
        <w:t xml:space="preserve">JUICIO </w:t>
      </w:r>
      <w:r w:rsidR="0092030A" w:rsidRPr="002B069E">
        <w:rPr>
          <w:rFonts w:ascii="Arial" w:eastAsiaTheme="minorHAnsi" w:hAnsi="Arial" w:cs="Arial"/>
          <w:b/>
          <w:szCs w:val="22"/>
          <w:lang w:val="es-ES_tradnl" w:eastAsia="en-US"/>
        </w:rPr>
        <w:t xml:space="preserve">ELECTORAL </w:t>
      </w:r>
    </w:p>
    <w:p w14:paraId="33A595A3" w14:textId="3C32CB42" w:rsidR="009E14D7" w:rsidRPr="009E14D7" w:rsidRDefault="009E14D7" w:rsidP="009E14D7">
      <w:pPr>
        <w:shd w:val="clear" w:color="auto" w:fill="FFFFFF" w:themeFill="background1"/>
        <w:spacing w:before="240" w:after="240"/>
        <w:ind w:left="3260"/>
        <w:jc w:val="both"/>
        <w:rPr>
          <w:rFonts w:ascii="Arial" w:eastAsiaTheme="minorHAnsi" w:hAnsi="Arial" w:cs="Arial"/>
          <w:b/>
          <w:szCs w:val="22"/>
          <w:lang w:val="es-ES_tradnl" w:eastAsia="en-US"/>
        </w:rPr>
      </w:pPr>
      <w:r w:rsidRPr="009E14D7">
        <w:rPr>
          <w:rFonts w:ascii="Arial" w:eastAsiaTheme="minorHAnsi" w:hAnsi="Arial" w:cs="Arial"/>
          <w:b/>
          <w:szCs w:val="22"/>
          <w:lang w:val="es-ES_tradnl" w:eastAsia="en-US"/>
        </w:rPr>
        <w:t>EXPEDIENTE: SM-JE-85/2020</w:t>
      </w:r>
    </w:p>
    <w:p w14:paraId="740796B5" w14:textId="554B1F2A" w:rsidR="009E14D7" w:rsidRPr="009E14D7" w:rsidRDefault="009E14D7" w:rsidP="009E14D7">
      <w:pPr>
        <w:shd w:val="clear" w:color="auto" w:fill="FFFFFF" w:themeFill="background1"/>
        <w:spacing w:before="240" w:after="240"/>
        <w:ind w:left="3260"/>
        <w:jc w:val="both"/>
        <w:rPr>
          <w:rFonts w:ascii="Arial" w:eastAsiaTheme="minorHAnsi" w:hAnsi="Arial" w:cs="Arial"/>
          <w:b/>
          <w:szCs w:val="22"/>
          <w:lang w:val="es-ES_tradnl" w:eastAsia="en-US"/>
        </w:rPr>
      </w:pPr>
      <w:r w:rsidRPr="009E14D7">
        <w:rPr>
          <w:rFonts w:ascii="Arial" w:eastAsiaTheme="minorHAnsi" w:hAnsi="Arial" w:cs="Arial"/>
          <w:b/>
          <w:szCs w:val="22"/>
          <w:lang w:val="es-ES_tradnl" w:eastAsia="en-US"/>
        </w:rPr>
        <w:t xml:space="preserve">ACTOR: </w:t>
      </w:r>
      <w:r w:rsidRPr="009E14D7">
        <w:rPr>
          <w:rFonts w:ascii="Arial" w:eastAsiaTheme="minorHAnsi" w:hAnsi="Arial" w:cs="Arial"/>
          <w:szCs w:val="22"/>
          <w:lang w:val="es-ES_tradnl" w:eastAsia="en-US"/>
        </w:rPr>
        <w:t>ERNESTO ALEJANDRO PRIETO GALLARDO</w:t>
      </w:r>
    </w:p>
    <w:p w14:paraId="622D9843" w14:textId="77777777" w:rsidR="009E14D7" w:rsidRPr="009E14D7" w:rsidRDefault="009E14D7" w:rsidP="009E14D7">
      <w:pPr>
        <w:shd w:val="clear" w:color="auto" w:fill="FFFFFF" w:themeFill="background1"/>
        <w:spacing w:before="240" w:after="240"/>
        <w:ind w:left="3260"/>
        <w:jc w:val="both"/>
        <w:rPr>
          <w:rFonts w:ascii="Arial" w:eastAsiaTheme="minorHAnsi" w:hAnsi="Arial" w:cs="Arial"/>
          <w:b/>
          <w:bCs/>
          <w:szCs w:val="22"/>
          <w:lang w:val="es-ES_tradnl" w:eastAsia="en-US"/>
        </w:rPr>
      </w:pPr>
      <w:r w:rsidRPr="009E14D7">
        <w:rPr>
          <w:rFonts w:ascii="Arial" w:eastAsiaTheme="minorHAnsi" w:hAnsi="Arial" w:cs="Arial"/>
          <w:b/>
          <w:szCs w:val="22"/>
          <w:lang w:val="es-ES_tradnl" w:eastAsia="en-US"/>
        </w:rPr>
        <w:t xml:space="preserve">RESPONSABLE: </w:t>
      </w:r>
      <w:r w:rsidRPr="009E14D7">
        <w:rPr>
          <w:rFonts w:ascii="Arial" w:eastAsiaTheme="minorHAnsi" w:hAnsi="Arial" w:cs="Arial"/>
          <w:szCs w:val="22"/>
          <w:lang w:val="es-ES_tradnl" w:eastAsia="en-US"/>
        </w:rPr>
        <w:t>TRIBUNAL ESTATAL ELECTORAL DE GUANAJUATO</w:t>
      </w:r>
    </w:p>
    <w:p w14:paraId="07DAD99C" w14:textId="77777777" w:rsidR="0068556A" w:rsidRPr="002B069E" w:rsidRDefault="0068556A" w:rsidP="008D6564">
      <w:pPr>
        <w:shd w:val="clear" w:color="auto" w:fill="FFFFFF" w:themeFill="background1"/>
        <w:spacing w:before="240" w:after="240"/>
        <w:ind w:left="3260"/>
        <w:jc w:val="both"/>
        <w:rPr>
          <w:rFonts w:ascii="Arial" w:eastAsiaTheme="minorHAnsi" w:hAnsi="Arial" w:cs="Arial"/>
          <w:szCs w:val="22"/>
          <w:lang w:val="es-ES_tradnl" w:eastAsia="en-US"/>
        </w:rPr>
      </w:pPr>
      <w:r w:rsidRPr="002B069E">
        <w:rPr>
          <w:rFonts w:ascii="Arial" w:eastAsiaTheme="minorHAnsi" w:hAnsi="Arial" w:cs="Arial"/>
          <w:b/>
          <w:szCs w:val="22"/>
          <w:lang w:val="es-ES_tradnl" w:eastAsia="en-US"/>
        </w:rPr>
        <w:t>MAGISTRADO PONENTE</w:t>
      </w:r>
      <w:r w:rsidRPr="002B069E">
        <w:rPr>
          <w:rFonts w:ascii="Arial" w:eastAsiaTheme="minorHAnsi" w:hAnsi="Arial" w:cs="Arial"/>
          <w:szCs w:val="22"/>
          <w:lang w:val="es-ES_tradnl" w:eastAsia="en-US"/>
        </w:rPr>
        <w:t xml:space="preserve">: </w:t>
      </w:r>
      <w:r w:rsidR="000C674C" w:rsidRPr="002B069E">
        <w:rPr>
          <w:rFonts w:ascii="Arial" w:eastAsiaTheme="minorHAnsi" w:hAnsi="Arial" w:cs="Arial"/>
          <w:szCs w:val="22"/>
          <w:lang w:val="es-ES_tradnl" w:eastAsia="en-US"/>
        </w:rPr>
        <w:t>YAIRSINIO DAVID GARCÍA ORTIZ</w:t>
      </w:r>
    </w:p>
    <w:p w14:paraId="71DAF06A" w14:textId="34B2DD0B" w:rsidR="002823A1" w:rsidRPr="00103BB5" w:rsidRDefault="0068556A" w:rsidP="008D6564">
      <w:pPr>
        <w:shd w:val="clear" w:color="auto" w:fill="FFFFFF" w:themeFill="background1"/>
        <w:spacing w:before="240" w:after="240"/>
        <w:ind w:left="3260"/>
        <w:jc w:val="both"/>
        <w:rPr>
          <w:rFonts w:ascii="Arial" w:eastAsiaTheme="minorHAnsi" w:hAnsi="Arial" w:cs="Arial"/>
          <w:sz w:val="22"/>
          <w:szCs w:val="22"/>
          <w:lang w:val="es-ES_tradnl" w:eastAsia="en-US"/>
        </w:rPr>
      </w:pPr>
      <w:r w:rsidRPr="00103BB5">
        <w:rPr>
          <w:rFonts w:ascii="Arial" w:eastAsiaTheme="minorHAnsi" w:hAnsi="Arial" w:cs="Arial"/>
          <w:b/>
          <w:szCs w:val="22"/>
          <w:lang w:val="es-ES_tradnl" w:eastAsia="en-US"/>
        </w:rPr>
        <w:t>SECRETARI</w:t>
      </w:r>
      <w:r w:rsidR="009E14D7">
        <w:rPr>
          <w:rFonts w:ascii="Arial" w:eastAsiaTheme="minorHAnsi" w:hAnsi="Arial" w:cs="Arial"/>
          <w:b/>
          <w:szCs w:val="22"/>
          <w:lang w:val="es-ES_tradnl" w:eastAsia="en-US"/>
        </w:rPr>
        <w:t>O</w:t>
      </w:r>
      <w:r w:rsidRPr="00103BB5">
        <w:rPr>
          <w:rFonts w:ascii="Arial" w:eastAsiaTheme="minorHAnsi" w:hAnsi="Arial" w:cs="Arial"/>
          <w:b/>
          <w:szCs w:val="22"/>
          <w:lang w:val="es-ES_tradnl" w:eastAsia="en-US"/>
        </w:rPr>
        <w:t xml:space="preserve">: </w:t>
      </w:r>
      <w:r w:rsidR="009E14D7">
        <w:rPr>
          <w:rFonts w:ascii="Arial" w:eastAsiaTheme="minorHAnsi" w:hAnsi="Arial" w:cs="Arial"/>
          <w:szCs w:val="22"/>
          <w:lang w:val="es-ES_tradnl" w:eastAsia="en-US"/>
        </w:rPr>
        <w:t>RICARDO ARTURO CASTILLO TREJO</w:t>
      </w:r>
      <w:r w:rsidR="00406FF0" w:rsidRPr="00103BB5">
        <w:rPr>
          <w:rFonts w:ascii="Arial" w:eastAsiaTheme="minorHAnsi" w:hAnsi="Arial" w:cs="Arial"/>
          <w:szCs w:val="22"/>
          <w:lang w:val="es-ES_tradnl" w:eastAsia="en-US"/>
        </w:rPr>
        <w:t xml:space="preserve"> </w:t>
      </w:r>
      <w:r w:rsidR="000C674C" w:rsidRPr="00103BB5">
        <w:rPr>
          <w:rFonts w:ascii="Arial" w:eastAsiaTheme="minorHAnsi" w:hAnsi="Arial" w:cs="Arial"/>
          <w:szCs w:val="22"/>
          <w:lang w:val="es-ES_tradnl" w:eastAsia="en-US"/>
        </w:rPr>
        <w:t xml:space="preserve"> </w:t>
      </w:r>
    </w:p>
    <w:p w14:paraId="52DEC92E" w14:textId="77777777" w:rsidR="008D6564" w:rsidRPr="00103BB5" w:rsidRDefault="008D6564" w:rsidP="002823A1">
      <w:pPr>
        <w:shd w:val="clear" w:color="auto" w:fill="FFFFFF" w:themeFill="background1"/>
        <w:spacing w:line="360" w:lineRule="auto"/>
        <w:jc w:val="both"/>
        <w:rPr>
          <w:rFonts w:ascii="Arial" w:hAnsi="Arial" w:cs="Arial"/>
          <w:szCs w:val="25"/>
          <w:lang w:val="es-MX" w:eastAsia="es-MX"/>
        </w:rPr>
      </w:pPr>
    </w:p>
    <w:p w14:paraId="47D8BCF5" w14:textId="48EF68F5" w:rsidR="002823A1" w:rsidRPr="00F25C7A" w:rsidRDefault="002C66A3" w:rsidP="002823A1">
      <w:pPr>
        <w:shd w:val="clear" w:color="auto" w:fill="FFFFFF" w:themeFill="background1"/>
        <w:spacing w:line="360" w:lineRule="auto"/>
        <w:jc w:val="both"/>
        <w:rPr>
          <w:rFonts w:ascii="Arial" w:hAnsi="Arial" w:cs="Arial"/>
          <w:lang w:val="es-MX" w:eastAsia="es-MX"/>
        </w:rPr>
      </w:pPr>
      <w:r w:rsidRPr="00F25C7A">
        <w:rPr>
          <w:rFonts w:ascii="Arial" w:hAnsi="Arial" w:cs="Arial"/>
          <w:lang w:val="es-MX" w:eastAsia="es-MX"/>
        </w:rPr>
        <w:t>Monterrey</w:t>
      </w:r>
      <w:r w:rsidR="001C065E" w:rsidRPr="00F25C7A">
        <w:rPr>
          <w:rFonts w:ascii="Arial" w:hAnsi="Arial" w:cs="Arial"/>
          <w:lang w:val="es-MX" w:eastAsia="es-MX"/>
        </w:rPr>
        <w:t>,</w:t>
      </w:r>
      <w:r w:rsidRPr="00F25C7A">
        <w:rPr>
          <w:rFonts w:ascii="Arial" w:hAnsi="Arial" w:cs="Arial"/>
          <w:lang w:val="es-MX" w:eastAsia="es-MX"/>
        </w:rPr>
        <w:t xml:space="preserve"> Nuevo </w:t>
      </w:r>
      <w:r w:rsidR="00EA1D62" w:rsidRPr="00F25C7A">
        <w:rPr>
          <w:rFonts w:ascii="Arial" w:hAnsi="Arial" w:cs="Arial"/>
          <w:lang w:val="es-MX" w:eastAsia="es-MX"/>
        </w:rPr>
        <w:t>León a</w:t>
      </w:r>
      <w:r w:rsidR="00AA4D37" w:rsidRPr="00F25C7A">
        <w:rPr>
          <w:rFonts w:ascii="Arial" w:hAnsi="Arial" w:cs="Arial"/>
          <w:lang w:val="es-MX" w:eastAsia="es-MX"/>
        </w:rPr>
        <w:t xml:space="preserve"> </w:t>
      </w:r>
      <w:r w:rsidR="00C25A10">
        <w:rPr>
          <w:rFonts w:ascii="Arial" w:hAnsi="Arial" w:cs="Arial"/>
          <w:lang w:val="es-MX" w:eastAsia="es-MX"/>
        </w:rPr>
        <w:t>quince</w:t>
      </w:r>
      <w:r w:rsidR="003549EC" w:rsidRPr="00F25C7A">
        <w:rPr>
          <w:rFonts w:ascii="Arial" w:hAnsi="Arial" w:cs="Arial"/>
          <w:lang w:val="es-MX" w:eastAsia="es-MX"/>
        </w:rPr>
        <w:t xml:space="preserve"> </w:t>
      </w:r>
      <w:r w:rsidR="00175C2D" w:rsidRPr="00F25C7A">
        <w:rPr>
          <w:rFonts w:ascii="Arial" w:hAnsi="Arial" w:cs="Arial"/>
          <w:lang w:val="es-MX" w:eastAsia="es-MX"/>
        </w:rPr>
        <w:t>de</w:t>
      </w:r>
      <w:r w:rsidR="007E72CF" w:rsidRPr="00F25C7A">
        <w:rPr>
          <w:rFonts w:ascii="Arial" w:hAnsi="Arial" w:cs="Arial"/>
          <w:lang w:val="es-MX" w:eastAsia="es-MX"/>
        </w:rPr>
        <w:t xml:space="preserve"> enero</w:t>
      </w:r>
      <w:r w:rsidR="00406FF0" w:rsidRPr="00F25C7A">
        <w:rPr>
          <w:rFonts w:ascii="Arial" w:hAnsi="Arial" w:cs="Arial"/>
          <w:lang w:val="es-MX" w:eastAsia="es-MX"/>
        </w:rPr>
        <w:t xml:space="preserve"> </w:t>
      </w:r>
      <w:r w:rsidR="00DE0B0E" w:rsidRPr="00F25C7A">
        <w:rPr>
          <w:rFonts w:ascii="Arial" w:hAnsi="Arial" w:cs="Arial"/>
          <w:lang w:val="es-MX" w:eastAsia="es-MX"/>
        </w:rPr>
        <w:t xml:space="preserve">de </w:t>
      </w:r>
      <w:r w:rsidR="008D6564" w:rsidRPr="00F25C7A">
        <w:rPr>
          <w:rFonts w:ascii="Arial" w:hAnsi="Arial" w:cs="Arial"/>
          <w:lang w:val="es-MX" w:eastAsia="es-MX"/>
        </w:rPr>
        <w:t>dos mil vein</w:t>
      </w:r>
      <w:r w:rsidR="007E72CF" w:rsidRPr="00F25C7A">
        <w:rPr>
          <w:rFonts w:ascii="Arial" w:hAnsi="Arial" w:cs="Arial"/>
          <w:lang w:val="es-MX" w:eastAsia="es-MX"/>
        </w:rPr>
        <w:t>tiuno</w:t>
      </w:r>
      <w:r w:rsidR="00DE0B0E" w:rsidRPr="00F25C7A">
        <w:rPr>
          <w:rFonts w:ascii="Arial" w:hAnsi="Arial" w:cs="Arial"/>
          <w:lang w:val="es-MX" w:eastAsia="es-MX"/>
        </w:rPr>
        <w:t>.</w:t>
      </w:r>
    </w:p>
    <w:p w14:paraId="76052CD8" w14:textId="37AED808" w:rsidR="007165CD" w:rsidRPr="00F25C7A" w:rsidRDefault="007165CD" w:rsidP="007165CD">
      <w:pPr>
        <w:spacing w:before="240" w:after="240" w:line="360" w:lineRule="auto"/>
        <w:jc w:val="both"/>
        <w:rPr>
          <w:rFonts w:ascii="Arial" w:eastAsiaTheme="majorEastAsia" w:hAnsi="Arial" w:cs="Arial"/>
          <w:highlight w:val="yellow"/>
        </w:rPr>
      </w:pPr>
      <w:r w:rsidRPr="00F25C7A">
        <w:rPr>
          <w:rFonts w:ascii="Arial" w:hAnsi="Arial" w:cs="Arial"/>
          <w:b/>
          <w:lang w:val="es-MX" w:eastAsia="es-MX"/>
        </w:rPr>
        <w:t xml:space="preserve">Sentencia </w:t>
      </w:r>
      <w:r w:rsidRPr="00F25C7A">
        <w:rPr>
          <w:rFonts w:ascii="Arial" w:hAnsi="Arial" w:cs="Arial"/>
          <w:lang w:val="es-MX" w:eastAsia="es-MX"/>
        </w:rPr>
        <w:t>definitiva</w:t>
      </w:r>
      <w:r w:rsidRPr="00F25C7A">
        <w:rPr>
          <w:rFonts w:ascii="Arial" w:hAnsi="Arial" w:cs="Arial"/>
          <w:b/>
          <w:lang w:val="es-MX" w:eastAsia="es-MX"/>
        </w:rPr>
        <w:t xml:space="preserve"> </w:t>
      </w:r>
      <w:r w:rsidRPr="00F25C7A">
        <w:rPr>
          <w:rFonts w:ascii="Arial" w:hAnsi="Arial" w:cs="Arial"/>
          <w:lang w:val="es-MX" w:eastAsia="es-MX"/>
        </w:rPr>
        <w:t>que</w:t>
      </w:r>
      <w:r w:rsidRPr="00F25C7A">
        <w:rPr>
          <w:rFonts w:ascii="Arial" w:hAnsi="Arial" w:cs="Arial"/>
          <w:lang w:eastAsia="es-MX"/>
        </w:rPr>
        <w:t xml:space="preserve"> </w:t>
      </w:r>
      <w:r w:rsidR="003B379D" w:rsidRPr="00F25C7A">
        <w:rPr>
          <w:rFonts w:ascii="Arial" w:hAnsi="Arial" w:cs="Arial"/>
          <w:b/>
          <w:lang w:eastAsia="es-MX"/>
        </w:rPr>
        <w:t>confirma</w:t>
      </w:r>
      <w:r w:rsidRPr="00F25C7A">
        <w:rPr>
          <w:rFonts w:ascii="Arial" w:hAnsi="Arial" w:cs="Arial"/>
          <w:b/>
          <w:lang w:eastAsia="es-MX"/>
        </w:rPr>
        <w:t xml:space="preserve"> </w:t>
      </w:r>
      <w:r w:rsidRPr="00F25C7A">
        <w:rPr>
          <w:rFonts w:ascii="Arial" w:hAnsi="Arial" w:cs="Arial"/>
          <w:lang w:eastAsia="es-MX"/>
        </w:rPr>
        <w:t>la diversa dictada por el Tribunal E</w:t>
      </w:r>
      <w:r w:rsidR="0016685C">
        <w:rPr>
          <w:rFonts w:ascii="Arial" w:hAnsi="Arial" w:cs="Arial"/>
          <w:lang w:eastAsia="es-MX"/>
        </w:rPr>
        <w:t>stata</w:t>
      </w:r>
      <w:r w:rsidRPr="00F25C7A">
        <w:rPr>
          <w:rFonts w:ascii="Arial" w:hAnsi="Arial" w:cs="Arial"/>
          <w:lang w:eastAsia="es-MX"/>
        </w:rPr>
        <w:t xml:space="preserve">l </w:t>
      </w:r>
      <w:r w:rsidR="0016685C">
        <w:rPr>
          <w:rFonts w:ascii="Arial" w:hAnsi="Arial" w:cs="Arial"/>
          <w:lang w:eastAsia="es-MX"/>
        </w:rPr>
        <w:t xml:space="preserve">Electoral </w:t>
      </w:r>
      <w:r w:rsidRPr="00F25C7A">
        <w:rPr>
          <w:rFonts w:ascii="Arial" w:hAnsi="Arial" w:cs="Arial"/>
          <w:lang w:eastAsia="es-MX"/>
        </w:rPr>
        <w:t>de</w:t>
      </w:r>
      <w:r w:rsidRPr="00C25A10">
        <w:rPr>
          <w:rFonts w:ascii="Arial" w:hAnsi="Arial" w:cs="Arial"/>
          <w:lang w:eastAsia="es-MX"/>
        </w:rPr>
        <w:t xml:space="preserve"> </w:t>
      </w:r>
      <w:r w:rsidR="003326A0" w:rsidRPr="00C25A10">
        <w:rPr>
          <w:rFonts w:ascii="Arial" w:hAnsi="Arial" w:cs="Arial"/>
          <w:lang w:eastAsia="es-MX"/>
        </w:rPr>
        <w:t>Guanajuato</w:t>
      </w:r>
      <w:r w:rsidR="003326A0" w:rsidRPr="00F25C7A">
        <w:rPr>
          <w:rFonts w:ascii="Arial" w:hAnsi="Arial" w:cs="Arial"/>
          <w:lang w:eastAsia="es-MX"/>
        </w:rPr>
        <w:t xml:space="preserve"> </w:t>
      </w:r>
      <w:r w:rsidRPr="00F25C7A">
        <w:rPr>
          <w:rFonts w:ascii="Arial" w:hAnsi="Arial" w:cs="Arial"/>
          <w:lang w:eastAsia="es-MX"/>
        </w:rPr>
        <w:t xml:space="preserve">en el procedimiento </w:t>
      </w:r>
      <w:r w:rsidR="00090613" w:rsidRPr="00F25C7A">
        <w:rPr>
          <w:rFonts w:ascii="Arial" w:hAnsi="Arial" w:cs="Arial"/>
          <w:lang w:eastAsia="es-MX"/>
        </w:rPr>
        <w:t>especial</w:t>
      </w:r>
      <w:r w:rsidRPr="00F25C7A">
        <w:rPr>
          <w:rFonts w:ascii="Arial" w:hAnsi="Arial" w:cs="Arial"/>
          <w:lang w:eastAsia="es-MX"/>
        </w:rPr>
        <w:t xml:space="preserve"> sancionador </w:t>
      </w:r>
      <w:r w:rsidRPr="00F25C7A">
        <w:rPr>
          <w:rFonts w:ascii="Arial" w:hAnsi="Arial" w:cs="Arial"/>
        </w:rPr>
        <w:t>TEE</w:t>
      </w:r>
      <w:r w:rsidR="007F1603" w:rsidRPr="00F25C7A">
        <w:rPr>
          <w:rFonts w:ascii="Arial" w:hAnsi="Arial" w:cs="Arial"/>
        </w:rPr>
        <w:t>G</w:t>
      </w:r>
      <w:r w:rsidRPr="00F25C7A">
        <w:rPr>
          <w:rFonts w:ascii="Arial" w:hAnsi="Arial" w:cs="Arial"/>
        </w:rPr>
        <w:t>-P</w:t>
      </w:r>
      <w:r w:rsidR="006A23BC" w:rsidRPr="00F25C7A">
        <w:rPr>
          <w:rFonts w:ascii="Arial" w:hAnsi="Arial" w:cs="Arial"/>
        </w:rPr>
        <w:t>E</w:t>
      </w:r>
      <w:r w:rsidRPr="00F25C7A">
        <w:rPr>
          <w:rFonts w:ascii="Arial" w:hAnsi="Arial" w:cs="Arial"/>
        </w:rPr>
        <w:t>S-</w:t>
      </w:r>
      <w:r w:rsidR="006A23BC" w:rsidRPr="00F25C7A">
        <w:rPr>
          <w:rFonts w:ascii="Arial" w:hAnsi="Arial" w:cs="Arial"/>
        </w:rPr>
        <w:t>09</w:t>
      </w:r>
      <w:r w:rsidRPr="00F25C7A">
        <w:rPr>
          <w:rFonts w:ascii="Arial" w:hAnsi="Arial" w:cs="Arial"/>
        </w:rPr>
        <w:t>/</w:t>
      </w:r>
      <w:r w:rsidRPr="00C25A10">
        <w:rPr>
          <w:rFonts w:ascii="Arial" w:hAnsi="Arial" w:cs="Arial"/>
        </w:rPr>
        <w:t>2020</w:t>
      </w:r>
      <w:r w:rsidR="003326A0" w:rsidRPr="00C25A10">
        <w:rPr>
          <w:rFonts w:ascii="Arial" w:hAnsi="Arial" w:cs="Arial"/>
        </w:rPr>
        <w:t xml:space="preserve"> dado que</w:t>
      </w:r>
      <w:r w:rsidR="003B379D" w:rsidRPr="00C25A10">
        <w:rPr>
          <w:rFonts w:ascii="Arial" w:hAnsi="Arial" w:cs="Arial"/>
        </w:rPr>
        <w:t>: a</w:t>
      </w:r>
      <w:r w:rsidR="003B379D" w:rsidRPr="00F25C7A">
        <w:rPr>
          <w:rFonts w:ascii="Arial" w:hAnsi="Arial" w:cs="Arial"/>
        </w:rPr>
        <w:t>) la sentencia esta debidamente fundada y motivada ya que la difusión de imágenes de menores en eventos políticos está regulada por los Lineamientos para la protección de los derechos de niñas, niños y adolescentes en materia político-</w:t>
      </w:r>
      <w:r w:rsidR="003B379D" w:rsidRPr="00C25A10">
        <w:rPr>
          <w:rFonts w:ascii="Arial" w:hAnsi="Arial" w:cs="Arial"/>
        </w:rPr>
        <w:t>electoral</w:t>
      </w:r>
      <w:r w:rsidR="003326A0" w:rsidRPr="00C25A10">
        <w:rPr>
          <w:rFonts w:ascii="Arial" w:hAnsi="Arial" w:cs="Arial"/>
        </w:rPr>
        <w:t xml:space="preserve"> y</w:t>
      </w:r>
      <w:r w:rsidR="003B379D" w:rsidRPr="00C25A10">
        <w:rPr>
          <w:rFonts w:ascii="Arial" w:hAnsi="Arial" w:cs="Arial"/>
        </w:rPr>
        <w:t>;</w:t>
      </w:r>
      <w:r w:rsidR="003B379D" w:rsidRPr="00F25C7A">
        <w:rPr>
          <w:rFonts w:ascii="Arial" w:hAnsi="Arial" w:cs="Arial"/>
        </w:rPr>
        <w:t xml:space="preserve"> b) durante la tramitación del procedimiento especial sancionador,</w:t>
      </w:r>
      <w:r w:rsidR="003326A0" w:rsidRPr="00F25C7A">
        <w:rPr>
          <w:rFonts w:ascii="Arial" w:hAnsi="Arial" w:cs="Arial"/>
        </w:rPr>
        <w:t xml:space="preserve"> </w:t>
      </w:r>
      <w:r w:rsidR="003326A0" w:rsidRPr="00C25A10">
        <w:rPr>
          <w:rFonts w:ascii="Arial" w:hAnsi="Arial" w:cs="Arial"/>
        </w:rPr>
        <w:t>el actor</w:t>
      </w:r>
      <w:r w:rsidR="003B379D" w:rsidRPr="00F25C7A">
        <w:rPr>
          <w:rFonts w:ascii="Arial" w:hAnsi="Arial" w:cs="Arial"/>
        </w:rPr>
        <w:t xml:space="preserve"> no acreditó contar con la autorización de quien ejerciera la patria potestad de la menor que apareció en una imagen.</w:t>
      </w:r>
    </w:p>
    <w:sdt>
      <w:sdtPr>
        <w:rPr>
          <w:rFonts w:ascii="Arial" w:eastAsia="Times New Roman" w:hAnsi="Arial" w:cs="Arial"/>
          <w:color w:val="auto"/>
          <w:sz w:val="20"/>
          <w:szCs w:val="20"/>
          <w:lang w:val="es-ES" w:eastAsia="es-ES"/>
        </w:rPr>
        <w:id w:val="607091715"/>
        <w:docPartObj>
          <w:docPartGallery w:val="Table of Contents"/>
          <w:docPartUnique/>
        </w:docPartObj>
      </w:sdtPr>
      <w:sdtEndPr>
        <w:rPr>
          <w:b/>
          <w:bCs/>
        </w:rPr>
      </w:sdtEndPr>
      <w:sdtContent>
        <w:p w14:paraId="0663C935" w14:textId="77777777" w:rsidR="0025619B" w:rsidRPr="0025619B" w:rsidRDefault="0025619B" w:rsidP="00ED6C68">
          <w:pPr>
            <w:pStyle w:val="TOCHeading"/>
            <w:jc w:val="center"/>
            <w:rPr>
              <w:rFonts w:ascii="Arial" w:hAnsi="Arial" w:cs="Arial"/>
              <w:b/>
              <w:color w:val="auto"/>
              <w:sz w:val="20"/>
              <w:szCs w:val="20"/>
            </w:rPr>
          </w:pPr>
          <w:r w:rsidRPr="0025619B">
            <w:rPr>
              <w:rFonts w:ascii="Arial" w:hAnsi="Arial" w:cs="Arial"/>
              <w:b/>
              <w:color w:val="auto"/>
              <w:sz w:val="20"/>
              <w:szCs w:val="20"/>
              <w:lang w:val="es-ES"/>
            </w:rPr>
            <w:t>ÍNDICE</w:t>
          </w:r>
        </w:p>
        <w:p w14:paraId="3CCE1AAD" w14:textId="38860564" w:rsidR="00B53A15" w:rsidRPr="007C15F1" w:rsidRDefault="0025619B" w:rsidP="00D8421F">
          <w:pPr>
            <w:pStyle w:val="TOC1"/>
            <w:rPr>
              <w:rFonts w:eastAsiaTheme="minorEastAsia"/>
              <w:lang w:val="es-MX" w:eastAsia="es-MX"/>
            </w:rPr>
          </w:pPr>
          <w:r w:rsidRPr="00D8421F">
            <w:rPr>
              <w:b/>
              <w:bCs/>
            </w:rPr>
            <w:fldChar w:fldCharType="begin"/>
          </w:r>
          <w:r w:rsidRPr="00D8421F">
            <w:rPr>
              <w:b/>
              <w:bCs/>
            </w:rPr>
            <w:instrText xml:space="preserve"> TOC \o "1-3" \h \z \u </w:instrText>
          </w:r>
          <w:r w:rsidRPr="00D8421F">
            <w:rPr>
              <w:b/>
              <w:bCs/>
            </w:rPr>
            <w:fldChar w:fldCharType="separate"/>
          </w:r>
          <w:hyperlink w:anchor="_Toc59140007" w:history="1">
            <w:r w:rsidR="00B53A15" w:rsidRPr="007C15F1">
              <w:rPr>
                <w:rStyle w:val="Hyperlink"/>
              </w:rPr>
              <w:t>GLOSARIO</w:t>
            </w:r>
            <w:r w:rsidR="007E72CF">
              <w:rPr>
                <w:rStyle w:val="Hyperlink"/>
              </w:rPr>
              <w:t>.</w:t>
            </w:r>
            <w:r w:rsidR="00B53A15" w:rsidRPr="007C15F1">
              <w:rPr>
                <w:webHidden/>
              </w:rPr>
              <w:tab/>
            </w:r>
            <w:r w:rsidR="00B53A15" w:rsidRPr="007C15F1">
              <w:rPr>
                <w:webHidden/>
              </w:rPr>
              <w:fldChar w:fldCharType="begin"/>
            </w:r>
            <w:r w:rsidR="00B53A15" w:rsidRPr="007C15F1">
              <w:rPr>
                <w:webHidden/>
              </w:rPr>
              <w:instrText xml:space="preserve"> PAGEREF _Toc59140007 \h </w:instrText>
            </w:r>
            <w:r w:rsidR="00B53A15" w:rsidRPr="007C15F1">
              <w:rPr>
                <w:webHidden/>
              </w:rPr>
            </w:r>
            <w:r w:rsidR="00B53A15" w:rsidRPr="007C15F1">
              <w:rPr>
                <w:webHidden/>
              </w:rPr>
              <w:fldChar w:fldCharType="separate"/>
            </w:r>
            <w:r w:rsidR="0016685C">
              <w:rPr>
                <w:webHidden/>
              </w:rPr>
              <w:t>1</w:t>
            </w:r>
            <w:r w:rsidR="00B53A15" w:rsidRPr="007C15F1">
              <w:rPr>
                <w:webHidden/>
              </w:rPr>
              <w:fldChar w:fldCharType="end"/>
            </w:r>
          </w:hyperlink>
        </w:p>
        <w:p w14:paraId="49E23829" w14:textId="1F386945" w:rsidR="00B53A15" w:rsidRPr="007C15F1" w:rsidRDefault="0031474F" w:rsidP="00D8421F">
          <w:pPr>
            <w:pStyle w:val="TOC1"/>
            <w:rPr>
              <w:rFonts w:eastAsiaTheme="minorEastAsia"/>
              <w:lang w:val="es-MX" w:eastAsia="es-MX"/>
            </w:rPr>
          </w:pPr>
          <w:hyperlink w:anchor="_Toc59140008" w:history="1">
            <w:r w:rsidR="00B53A15" w:rsidRPr="007C15F1">
              <w:rPr>
                <w:rStyle w:val="Hyperlink"/>
              </w:rPr>
              <w:t>1.</w:t>
            </w:r>
            <w:r w:rsidR="00B53A15" w:rsidRPr="007C15F1">
              <w:rPr>
                <w:rFonts w:eastAsiaTheme="minorEastAsia"/>
                <w:lang w:val="es-MX" w:eastAsia="es-MX"/>
              </w:rPr>
              <w:tab/>
            </w:r>
            <w:r w:rsidR="00B53A15" w:rsidRPr="007C15F1">
              <w:rPr>
                <w:rStyle w:val="Hyperlink"/>
              </w:rPr>
              <w:t>ANTECEDENTES</w:t>
            </w:r>
            <w:r w:rsidR="00B53A15" w:rsidRPr="007C15F1">
              <w:rPr>
                <w:webHidden/>
              </w:rPr>
              <w:tab/>
            </w:r>
            <w:r w:rsidR="00B53A15" w:rsidRPr="007C15F1">
              <w:rPr>
                <w:webHidden/>
              </w:rPr>
              <w:fldChar w:fldCharType="begin"/>
            </w:r>
            <w:r w:rsidR="00B53A15" w:rsidRPr="007C15F1">
              <w:rPr>
                <w:webHidden/>
              </w:rPr>
              <w:instrText xml:space="preserve"> PAGEREF _Toc59140008 \h </w:instrText>
            </w:r>
            <w:r w:rsidR="00B53A15" w:rsidRPr="007C15F1">
              <w:rPr>
                <w:webHidden/>
              </w:rPr>
            </w:r>
            <w:r w:rsidR="00B53A15" w:rsidRPr="007C15F1">
              <w:rPr>
                <w:webHidden/>
              </w:rPr>
              <w:fldChar w:fldCharType="separate"/>
            </w:r>
            <w:r w:rsidR="0016685C">
              <w:rPr>
                <w:webHidden/>
              </w:rPr>
              <w:t>2</w:t>
            </w:r>
            <w:r w:rsidR="00B53A15" w:rsidRPr="007C15F1">
              <w:rPr>
                <w:webHidden/>
              </w:rPr>
              <w:fldChar w:fldCharType="end"/>
            </w:r>
          </w:hyperlink>
        </w:p>
        <w:p w14:paraId="06916A85" w14:textId="5FA323F5" w:rsidR="00B53A15" w:rsidRPr="007C15F1" w:rsidRDefault="0031474F" w:rsidP="00D8421F">
          <w:pPr>
            <w:pStyle w:val="TOC1"/>
            <w:rPr>
              <w:rFonts w:eastAsiaTheme="minorEastAsia"/>
              <w:lang w:val="es-MX" w:eastAsia="es-MX"/>
            </w:rPr>
          </w:pPr>
          <w:hyperlink w:anchor="_Toc59140009" w:history="1">
            <w:r w:rsidR="00B53A15" w:rsidRPr="007C15F1">
              <w:rPr>
                <w:rStyle w:val="Hyperlink"/>
              </w:rPr>
              <w:t>2.</w:t>
            </w:r>
            <w:r w:rsidR="00B53A15" w:rsidRPr="007C15F1">
              <w:rPr>
                <w:rFonts w:eastAsiaTheme="minorEastAsia"/>
                <w:lang w:val="es-MX" w:eastAsia="es-MX"/>
              </w:rPr>
              <w:tab/>
            </w:r>
            <w:r w:rsidR="00B53A15" w:rsidRPr="007C15F1">
              <w:rPr>
                <w:rStyle w:val="Hyperlink"/>
              </w:rPr>
              <w:t>COMPETENCIA</w:t>
            </w:r>
            <w:r w:rsidR="00B53A15" w:rsidRPr="007C15F1">
              <w:rPr>
                <w:webHidden/>
              </w:rPr>
              <w:tab/>
            </w:r>
            <w:r w:rsidR="00B53A15" w:rsidRPr="007C15F1">
              <w:rPr>
                <w:webHidden/>
              </w:rPr>
              <w:fldChar w:fldCharType="begin"/>
            </w:r>
            <w:r w:rsidR="00B53A15" w:rsidRPr="007C15F1">
              <w:rPr>
                <w:webHidden/>
              </w:rPr>
              <w:instrText xml:space="preserve"> PAGEREF _Toc59140009 \h </w:instrText>
            </w:r>
            <w:r w:rsidR="00B53A15" w:rsidRPr="007C15F1">
              <w:rPr>
                <w:webHidden/>
              </w:rPr>
            </w:r>
            <w:r w:rsidR="00B53A15" w:rsidRPr="007C15F1">
              <w:rPr>
                <w:webHidden/>
              </w:rPr>
              <w:fldChar w:fldCharType="separate"/>
            </w:r>
            <w:r w:rsidR="0016685C">
              <w:rPr>
                <w:webHidden/>
              </w:rPr>
              <w:t>3</w:t>
            </w:r>
            <w:r w:rsidR="00B53A15" w:rsidRPr="007C15F1">
              <w:rPr>
                <w:webHidden/>
              </w:rPr>
              <w:fldChar w:fldCharType="end"/>
            </w:r>
          </w:hyperlink>
        </w:p>
        <w:p w14:paraId="13B019D4" w14:textId="7E9E2291" w:rsidR="00B53A15" w:rsidRPr="007C15F1" w:rsidRDefault="0031474F" w:rsidP="00D8421F">
          <w:pPr>
            <w:pStyle w:val="TOC1"/>
            <w:rPr>
              <w:rFonts w:eastAsiaTheme="minorEastAsia"/>
              <w:lang w:val="es-MX" w:eastAsia="es-MX"/>
            </w:rPr>
          </w:pPr>
          <w:hyperlink w:anchor="_Toc59140010" w:history="1">
            <w:r w:rsidR="00B53A15" w:rsidRPr="007C15F1">
              <w:rPr>
                <w:rStyle w:val="Hyperlink"/>
              </w:rPr>
              <w:t>3.</w:t>
            </w:r>
            <w:r w:rsidR="00B53A15" w:rsidRPr="007C15F1">
              <w:rPr>
                <w:rFonts w:eastAsiaTheme="minorEastAsia"/>
                <w:lang w:val="es-MX" w:eastAsia="es-MX"/>
              </w:rPr>
              <w:tab/>
            </w:r>
            <w:r w:rsidR="00B53A15" w:rsidRPr="007C15F1">
              <w:rPr>
                <w:rStyle w:val="Hyperlink"/>
              </w:rPr>
              <w:t>PROCEDENCIA</w:t>
            </w:r>
            <w:r w:rsidR="00B53A15" w:rsidRPr="007C15F1">
              <w:rPr>
                <w:webHidden/>
              </w:rPr>
              <w:tab/>
            </w:r>
            <w:r w:rsidR="00B53A15" w:rsidRPr="007C15F1">
              <w:rPr>
                <w:webHidden/>
              </w:rPr>
              <w:fldChar w:fldCharType="begin"/>
            </w:r>
            <w:r w:rsidR="00B53A15" w:rsidRPr="007C15F1">
              <w:rPr>
                <w:webHidden/>
              </w:rPr>
              <w:instrText xml:space="preserve"> PAGEREF _Toc59140010 \h </w:instrText>
            </w:r>
            <w:r w:rsidR="00B53A15" w:rsidRPr="007C15F1">
              <w:rPr>
                <w:webHidden/>
              </w:rPr>
            </w:r>
            <w:r w:rsidR="00B53A15" w:rsidRPr="007C15F1">
              <w:rPr>
                <w:webHidden/>
              </w:rPr>
              <w:fldChar w:fldCharType="separate"/>
            </w:r>
            <w:r w:rsidR="0016685C">
              <w:rPr>
                <w:webHidden/>
              </w:rPr>
              <w:t>3</w:t>
            </w:r>
            <w:r w:rsidR="00B53A15" w:rsidRPr="007C15F1">
              <w:rPr>
                <w:webHidden/>
              </w:rPr>
              <w:fldChar w:fldCharType="end"/>
            </w:r>
          </w:hyperlink>
        </w:p>
        <w:p w14:paraId="65DBA59E" w14:textId="47EDAB5A" w:rsidR="00B53A15" w:rsidRPr="007C15F1" w:rsidRDefault="0031474F" w:rsidP="00D8421F">
          <w:pPr>
            <w:pStyle w:val="TOC1"/>
            <w:rPr>
              <w:rFonts w:eastAsiaTheme="minorEastAsia"/>
              <w:lang w:val="es-MX" w:eastAsia="es-MX"/>
            </w:rPr>
          </w:pPr>
          <w:hyperlink w:anchor="_Toc59140011" w:history="1">
            <w:r w:rsidR="00B53A15" w:rsidRPr="007C15F1">
              <w:rPr>
                <w:rStyle w:val="Hyperlink"/>
              </w:rPr>
              <w:t>4.</w:t>
            </w:r>
            <w:r w:rsidR="00B53A15" w:rsidRPr="007C15F1">
              <w:rPr>
                <w:rFonts w:eastAsiaTheme="minorEastAsia"/>
                <w:lang w:val="es-MX" w:eastAsia="es-MX"/>
              </w:rPr>
              <w:tab/>
            </w:r>
            <w:r w:rsidR="00B53A15" w:rsidRPr="007C15F1">
              <w:rPr>
                <w:rStyle w:val="Hyperlink"/>
              </w:rPr>
              <w:t>ESTUDIO DE FONDO</w:t>
            </w:r>
            <w:r w:rsidR="00B53A15" w:rsidRPr="007C15F1">
              <w:rPr>
                <w:webHidden/>
              </w:rPr>
              <w:tab/>
            </w:r>
            <w:r w:rsidR="00946375">
              <w:rPr>
                <w:webHidden/>
              </w:rPr>
              <w:t>3</w:t>
            </w:r>
          </w:hyperlink>
        </w:p>
        <w:p w14:paraId="366D82CE" w14:textId="27AB20DC" w:rsidR="00B53A15" w:rsidRPr="007C15F1" w:rsidRDefault="0031474F" w:rsidP="00D8421F">
          <w:pPr>
            <w:pStyle w:val="TOC2"/>
            <w:tabs>
              <w:tab w:val="right" w:leader="dot" w:pos="8263"/>
            </w:tabs>
            <w:rPr>
              <w:rFonts w:ascii="Arial" w:eastAsiaTheme="minorEastAsia" w:hAnsi="Arial" w:cs="Arial"/>
              <w:noProof/>
              <w:sz w:val="20"/>
              <w:szCs w:val="20"/>
              <w:lang w:val="es-MX" w:eastAsia="es-MX"/>
            </w:rPr>
          </w:pPr>
          <w:hyperlink w:anchor="_Toc59140012" w:history="1">
            <w:r w:rsidR="00B53A15" w:rsidRPr="007C15F1">
              <w:rPr>
                <w:rStyle w:val="Hyperlink"/>
                <w:rFonts w:ascii="Arial" w:eastAsia="Calibri" w:hAnsi="Arial" w:cs="Arial"/>
                <w:noProof/>
                <w:sz w:val="20"/>
                <w:szCs w:val="20"/>
              </w:rPr>
              <w:t>4.1. Materia de la controversia</w:t>
            </w:r>
            <w:r w:rsidR="00B53A15" w:rsidRPr="007C15F1">
              <w:rPr>
                <w:rFonts w:ascii="Arial" w:hAnsi="Arial" w:cs="Arial"/>
                <w:noProof/>
                <w:webHidden/>
                <w:sz w:val="20"/>
                <w:szCs w:val="20"/>
              </w:rPr>
              <w:tab/>
            </w:r>
            <w:r w:rsidR="00946375">
              <w:rPr>
                <w:rFonts w:ascii="Arial" w:hAnsi="Arial" w:cs="Arial"/>
                <w:noProof/>
                <w:webHidden/>
                <w:sz w:val="20"/>
                <w:szCs w:val="20"/>
              </w:rPr>
              <w:t>3</w:t>
            </w:r>
          </w:hyperlink>
        </w:p>
        <w:p w14:paraId="223FDB99" w14:textId="23809B23" w:rsidR="00B53A15" w:rsidRPr="007C15F1" w:rsidRDefault="0031474F" w:rsidP="00D8421F">
          <w:pPr>
            <w:pStyle w:val="TOC2"/>
            <w:tabs>
              <w:tab w:val="right" w:leader="dot" w:pos="8263"/>
            </w:tabs>
            <w:rPr>
              <w:rFonts w:ascii="Arial" w:eastAsiaTheme="minorEastAsia" w:hAnsi="Arial" w:cs="Arial"/>
              <w:noProof/>
              <w:sz w:val="20"/>
              <w:szCs w:val="20"/>
              <w:lang w:val="es-MX" w:eastAsia="es-MX"/>
            </w:rPr>
          </w:pPr>
          <w:hyperlink w:anchor="_Toc59140013" w:history="1">
            <w:r w:rsidR="00B53A15" w:rsidRPr="007C15F1">
              <w:rPr>
                <w:rStyle w:val="Hyperlink"/>
                <w:rFonts w:ascii="Arial" w:eastAsia="Calibri" w:hAnsi="Arial" w:cs="Arial"/>
                <w:noProof/>
                <w:sz w:val="20"/>
                <w:szCs w:val="20"/>
              </w:rPr>
              <w:t>4.2. Decisión.</w:t>
            </w:r>
            <w:r w:rsidR="00B53A15" w:rsidRPr="007C15F1">
              <w:rPr>
                <w:rFonts w:ascii="Arial" w:hAnsi="Arial" w:cs="Arial"/>
                <w:noProof/>
                <w:webHidden/>
                <w:sz w:val="20"/>
                <w:szCs w:val="20"/>
              </w:rPr>
              <w:tab/>
            </w:r>
            <w:r w:rsidR="00946375">
              <w:rPr>
                <w:rFonts w:ascii="Arial" w:hAnsi="Arial" w:cs="Arial"/>
                <w:noProof/>
                <w:webHidden/>
                <w:sz w:val="20"/>
                <w:szCs w:val="20"/>
              </w:rPr>
              <w:t>5</w:t>
            </w:r>
          </w:hyperlink>
        </w:p>
        <w:p w14:paraId="06D8505B" w14:textId="11EDC67A" w:rsidR="00B53A15" w:rsidRPr="007C15F1" w:rsidRDefault="0031474F" w:rsidP="00D8421F">
          <w:pPr>
            <w:pStyle w:val="TOC2"/>
            <w:tabs>
              <w:tab w:val="right" w:leader="dot" w:pos="8263"/>
            </w:tabs>
            <w:rPr>
              <w:rFonts w:ascii="Arial" w:eastAsiaTheme="minorEastAsia" w:hAnsi="Arial" w:cs="Arial"/>
              <w:noProof/>
              <w:sz w:val="20"/>
              <w:szCs w:val="20"/>
              <w:lang w:val="es-MX" w:eastAsia="es-MX"/>
            </w:rPr>
          </w:pPr>
          <w:hyperlink w:anchor="_Toc59140014" w:history="1">
            <w:r w:rsidR="00B53A15" w:rsidRPr="00C25A10">
              <w:rPr>
                <w:rStyle w:val="Hyperlink"/>
                <w:rFonts w:ascii="Arial" w:eastAsia="Calibri" w:hAnsi="Arial" w:cs="Arial"/>
                <w:noProof/>
                <w:sz w:val="20"/>
                <w:szCs w:val="20"/>
              </w:rPr>
              <w:t>4.</w:t>
            </w:r>
            <w:r w:rsidR="00C953B9" w:rsidRPr="00C25A10">
              <w:rPr>
                <w:rStyle w:val="Hyperlink"/>
                <w:rFonts w:ascii="Arial" w:eastAsia="Calibri" w:hAnsi="Arial" w:cs="Arial"/>
                <w:noProof/>
                <w:sz w:val="20"/>
                <w:szCs w:val="20"/>
              </w:rPr>
              <w:t>2</w:t>
            </w:r>
            <w:r w:rsidR="00B53A15" w:rsidRPr="00C25A10">
              <w:rPr>
                <w:rStyle w:val="Hyperlink"/>
                <w:rFonts w:ascii="Arial" w:eastAsia="Calibri" w:hAnsi="Arial" w:cs="Arial"/>
                <w:noProof/>
                <w:sz w:val="20"/>
                <w:szCs w:val="20"/>
              </w:rPr>
              <w:t>.</w:t>
            </w:r>
            <w:r w:rsidR="00C953B9" w:rsidRPr="00C25A10">
              <w:rPr>
                <w:rStyle w:val="Hyperlink"/>
                <w:rFonts w:ascii="Arial" w:eastAsia="Calibri" w:hAnsi="Arial" w:cs="Arial"/>
                <w:noProof/>
                <w:sz w:val="20"/>
                <w:szCs w:val="20"/>
              </w:rPr>
              <w:t>1.</w:t>
            </w:r>
            <w:r w:rsidR="00B53A15" w:rsidRPr="007C15F1">
              <w:rPr>
                <w:rStyle w:val="Hyperlink"/>
                <w:rFonts w:ascii="Arial" w:eastAsia="Calibri" w:hAnsi="Arial" w:cs="Arial"/>
                <w:noProof/>
                <w:sz w:val="20"/>
                <w:szCs w:val="20"/>
              </w:rPr>
              <w:t xml:space="preserve"> Justificación de la decisión</w:t>
            </w:r>
            <w:r w:rsidR="00B53A15" w:rsidRPr="007C15F1">
              <w:rPr>
                <w:rFonts w:ascii="Arial" w:hAnsi="Arial" w:cs="Arial"/>
                <w:noProof/>
                <w:webHidden/>
                <w:sz w:val="20"/>
                <w:szCs w:val="20"/>
              </w:rPr>
              <w:tab/>
            </w:r>
            <w:r w:rsidR="00946375">
              <w:rPr>
                <w:rFonts w:ascii="Arial" w:hAnsi="Arial" w:cs="Arial"/>
                <w:noProof/>
                <w:webHidden/>
                <w:sz w:val="20"/>
                <w:szCs w:val="20"/>
              </w:rPr>
              <w:t>5</w:t>
            </w:r>
          </w:hyperlink>
        </w:p>
        <w:p w14:paraId="338F6962" w14:textId="21E12EE8" w:rsidR="00B53A15" w:rsidRPr="00D8421F" w:rsidRDefault="0031474F" w:rsidP="00D8421F">
          <w:pPr>
            <w:pStyle w:val="TOC1"/>
            <w:rPr>
              <w:rFonts w:eastAsiaTheme="minorEastAsia"/>
              <w:lang w:val="es-MX" w:eastAsia="es-MX"/>
            </w:rPr>
          </w:pPr>
          <w:hyperlink w:anchor="_Toc59140015" w:history="1">
            <w:r w:rsidR="00B53A15" w:rsidRPr="007C15F1">
              <w:rPr>
                <w:rStyle w:val="Hyperlink"/>
              </w:rPr>
              <w:t>5.</w:t>
            </w:r>
            <w:r w:rsidR="00B53A15" w:rsidRPr="007C15F1">
              <w:rPr>
                <w:rFonts w:eastAsiaTheme="minorEastAsia"/>
                <w:lang w:val="es-MX" w:eastAsia="es-MX"/>
              </w:rPr>
              <w:tab/>
            </w:r>
            <w:r w:rsidR="00B53A15" w:rsidRPr="007C15F1">
              <w:rPr>
                <w:rStyle w:val="Hyperlink"/>
              </w:rPr>
              <w:t>RESOLUTIVO.</w:t>
            </w:r>
            <w:r w:rsidR="00B53A15" w:rsidRPr="007C15F1">
              <w:rPr>
                <w:webHidden/>
              </w:rPr>
              <w:tab/>
            </w:r>
          </w:hyperlink>
          <w:r w:rsidR="00942576">
            <w:t>8</w:t>
          </w:r>
        </w:p>
        <w:p w14:paraId="7ABFF186" w14:textId="03B7CA07" w:rsidR="0025619B" w:rsidRPr="00D8421F" w:rsidRDefault="0025619B" w:rsidP="00D8421F">
          <w:pPr>
            <w:rPr>
              <w:rFonts w:ascii="Arial" w:hAnsi="Arial" w:cs="Arial"/>
              <w:sz w:val="20"/>
              <w:szCs w:val="20"/>
            </w:rPr>
          </w:pPr>
          <w:r w:rsidRPr="00D8421F">
            <w:rPr>
              <w:rFonts w:ascii="Arial" w:hAnsi="Arial" w:cs="Arial"/>
              <w:b/>
              <w:bCs/>
              <w:sz w:val="20"/>
              <w:szCs w:val="20"/>
            </w:rPr>
            <w:fldChar w:fldCharType="end"/>
          </w:r>
        </w:p>
      </w:sdtContent>
    </w:sdt>
    <w:p w14:paraId="30A1A508" w14:textId="77777777" w:rsidR="00C2541C" w:rsidRPr="00427017" w:rsidRDefault="0025619B" w:rsidP="000B4C4E">
      <w:pPr>
        <w:pStyle w:val="Heading1"/>
        <w:shd w:val="clear" w:color="auto" w:fill="FFFFFF" w:themeFill="background1"/>
        <w:spacing w:before="0" w:beforeAutospacing="0" w:after="0" w:afterAutospacing="0"/>
        <w:jc w:val="center"/>
        <w:rPr>
          <w:sz w:val="20"/>
          <w:szCs w:val="18"/>
        </w:rPr>
      </w:pPr>
      <w:bookmarkStart w:id="0" w:name="_Toc483300348"/>
      <w:bookmarkStart w:id="1" w:name="_Toc59140007"/>
      <w:r w:rsidRPr="00427017">
        <w:rPr>
          <w:caps w:val="0"/>
          <w:sz w:val="20"/>
          <w:szCs w:val="18"/>
        </w:rPr>
        <w:t>GLOSARIO:</w:t>
      </w:r>
      <w:bookmarkEnd w:id="0"/>
      <w:bookmarkEnd w:id="1"/>
    </w:p>
    <w:tbl>
      <w:tblPr>
        <w:tblW w:w="6178" w:type="dxa"/>
        <w:jc w:val="center"/>
        <w:tblLook w:val="01E0" w:firstRow="1" w:lastRow="1" w:firstColumn="1" w:lastColumn="1" w:noHBand="0" w:noVBand="0"/>
      </w:tblPr>
      <w:tblGrid>
        <w:gridCol w:w="1839"/>
        <w:gridCol w:w="4339"/>
      </w:tblGrid>
      <w:tr w:rsidR="0090204D" w:rsidRPr="00427017" w14:paraId="0DDF876D" w14:textId="77777777" w:rsidTr="0090204D">
        <w:trPr>
          <w:trHeight w:val="80"/>
          <w:jc w:val="center"/>
        </w:trPr>
        <w:tc>
          <w:tcPr>
            <w:tcW w:w="1839" w:type="dxa"/>
          </w:tcPr>
          <w:p w14:paraId="4BB22ED3" w14:textId="181A3C8B" w:rsidR="006756F1" w:rsidRDefault="006756F1" w:rsidP="00431503">
            <w:pPr>
              <w:shd w:val="clear" w:color="auto" w:fill="FFFFFF" w:themeFill="background1"/>
              <w:ind w:left="-91"/>
              <w:jc w:val="both"/>
              <w:rPr>
                <w:rFonts w:ascii="Arial" w:hAnsi="Arial" w:cs="Arial"/>
                <w:b/>
                <w:i/>
                <w:sz w:val="20"/>
                <w:szCs w:val="18"/>
              </w:rPr>
            </w:pPr>
          </w:p>
          <w:p w14:paraId="4191552C" w14:textId="7653550E" w:rsidR="006756F1" w:rsidRDefault="006756F1" w:rsidP="00431503">
            <w:pPr>
              <w:shd w:val="clear" w:color="auto" w:fill="FFFFFF" w:themeFill="background1"/>
              <w:ind w:left="-91"/>
              <w:jc w:val="both"/>
              <w:rPr>
                <w:rFonts w:ascii="Arial" w:hAnsi="Arial" w:cs="Arial"/>
                <w:b/>
                <w:i/>
                <w:sz w:val="20"/>
                <w:szCs w:val="18"/>
              </w:rPr>
            </w:pPr>
            <w:r>
              <w:rPr>
                <w:rFonts w:ascii="Arial" w:hAnsi="Arial" w:cs="Arial"/>
                <w:b/>
                <w:i/>
                <w:sz w:val="20"/>
                <w:szCs w:val="18"/>
              </w:rPr>
              <w:t>Consejo General:</w:t>
            </w:r>
          </w:p>
          <w:p w14:paraId="67A21BF5" w14:textId="00E0822F" w:rsidR="006756F1" w:rsidRDefault="006756F1" w:rsidP="00F75A93">
            <w:pPr>
              <w:shd w:val="clear" w:color="auto" w:fill="FFFFFF" w:themeFill="background1"/>
              <w:jc w:val="both"/>
              <w:rPr>
                <w:rFonts w:ascii="Arial" w:hAnsi="Arial" w:cs="Arial"/>
                <w:b/>
                <w:i/>
                <w:sz w:val="20"/>
                <w:szCs w:val="18"/>
              </w:rPr>
            </w:pPr>
          </w:p>
          <w:p w14:paraId="4F359CAB" w14:textId="77777777" w:rsidR="006756F1" w:rsidRDefault="006756F1" w:rsidP="00431503">
            <w:pPr>
              <w:shd w:val="clear" w:color="auto" w:fill="FFFFFF" w:themeFill="background1"/>
              <w:ind w:left="-91"/>
              <w:jc w:val="both"/>
              <w:rPr>
                <w:rFonts w:ascii="Arial" w:hAnsi="Arial" w:cs="Arial"/>
                <w:b/>
                <w:i/>
                <w:sz w:val="20"/>
                <w:szCs w:val="18"/>
              </w:rPr>
            </w:pPr>
          </w:p>
          <w:p w14:paraId="3686EC32" w14:textId="7E604B4C" w:rsidR="006756F1" w:rsidRDefault="006756F1" w:rsidP="00431503">
            <w:pPr>
              <w:shd w:val="clear" w:color="auto" w:fill="FFFFFF" w:themeFill="background1"/>
              <w:ind w:left="-91"/>
              <w:jc w:val="both"/>
              <w:rPr>
                <w:rFonts w:ascii="Arial" w:hAnsi="Arial" w:cs="Arial"/>
                <w:b/>
                <w:i/>
                <w:sz w:val="20"/>
                <w:szCs w:val="18"/>
              </w:rPr>
            </w:pPr>
            <w:r>
              <w:rPr>
                <w:rFonts w:ascii="Arial" w:hAnsi="Arial" w:cs="Arial"/>
                <w:b/>
                <w:i/>
                <w:sz w:val="20"/>
                <w:szCs w:val="18"/>
              </w:rPr>
              <w:t>Instituto Local:</w:t>
            </w:r>
          </w:p>
          <w:p w14:paraId="341CDBBF" w14:textId="77777777" w:rsidR="006756F1" w:rsidRDefault="006756F1" w:rsidP="00431503">
            <w:pPr>
              <w:shd w:val="clear" w:color="auto" w:fill="FFFFFF" w:themeFill="background1"/>
              <w:ind w:left="-91"/>
              <w:jc w:val="both"/>
              <w:rPr>
                <w:rFonts w:ascii="Arial" w:hAnsi="Arial" w:cs="Arial"/>
                <w:b/>
                <w:i/>
                <w:sz w:val="20"/>
                <w:szCs w:val="18"/>
              </w:rPr>
            </w:pPr>
          </w:p>
          <w:p w14:paraId="20EDF1C3" w14:textId="63608514" w:rsidR="006756F1" w:rsidRDefault="006756F1" w:rsidP="00431503">
            <w:pPr>
              <w:shd w:val="clear" w:color="auto" w:fill="FFFFFF" w:themeFill="background1"/>
              <w:ind w:left="-91"/>
              <w:jc w:val="both"/>
              <w:rPr>
                <w:rFonts w:ascii="Arial" w:hAnsi="Arial" w:cs="Arial"/>
                <w:b/>
                <w:i/>
                <w:sz w:val="20"/>
                <w:szCs w:val="18"/>
              </w:rPr>
            </w:pPr>
            <w:r w:rsidRPr="0090204D">
              <w:rPr>
                <w:rFonts w:ascii="Arial" w:hAnsi="Arial" w:cs="Arial"/>
                <w:b/>
                <w:i/>
                <w:sz w:val="20"/>
                <w:szCs w:val="18"/>
              </w:rPr>
              <w:t xml:space="preserve">Ley </w:t>
            </w:r>
            <w:r>
              <w:rPr>
                <w:rFonts w:ascii="Arial" w:hAnsi="Arial" w:cs="Arial"/>
                <w:b/>
                <w:i/>
                <w:sz w:val="20"/>
                <w:szCs w:val="18"/>
              </w:rPr>
              <w:t>Electoral Local</w:t>
            </w:r>
            <w:r w:rsidRPr="0090204D">
              <w:rPr>
                <w:rFonts w:ascii="Arial" w:hAnsi="Arial" w:cs="Arial"/>
                <w:b/>
                <w:sz w:val="20"/>
                <w:szCs w:val="18"/>
              </w:rPr>
              <w:t>:</w:t>
            </w:r>
          </w:p>
          <w:p w14:paraId="1B925918" w14:textId="77777777" w:rsidR="00F75A93" w:rsidRDefault="00F75A93" w:rsidP="00431503">
            <w:pPr>
              <w:shd w:val="clear" w:color="auto" w:fill="FFFFFF" w:themeFill="background1"/>
              <w:ind w:left="-91"/>
              <w:jc w:val="both"/>
              <w:rPr>
                <w:rFonts w:ascii="Arial" w:hAnsi="Arial" w:cs="Arial"/>
                <w:b/>
                <w:i/>
                <w:sz w:val="20"/>
                <w:szCs w:val="18"/>
              </w:rPr>
            </w:pPr>
          </w:p>
          <w:p w14:paraId="5BD6C3C0" w14:textId="77777777" w:rsidR="00F75A93" w:rsidRDefault="00F75A93" w:rsidP="00431503">
            <w:pPr>
              <w:shd w:val="clear" w:color="auto" w:fill="FFFFFF" w:themeFill="background1"/>
              <w:ind w:left="-91"/>
              <w:jc w:val="both"/>
              <w:rPr>
                <w:rFonts w:ascii="Arial" w:hAnsi="Arial" w:cs="Arial"/>
                <w:b/>
                <w:i/>
                <w:sz w:val="20"/>
                <w:szCs w:val="18"/>
              </w:rPr>
            </w:pPr>
          </w:p>
          <w:p w14:paraId="07DE390E" w14:textId="5FDDD239" w:rsidR="00B46CB0" w:rsidRDefault="00B46CB0" w:rsidP="00431503">
            <w:pPr>
              <w:shd w:val="clear" w:color="auto" w:fill="FFFFFF" w:themeFill="background1"/>
              <w:ind w:left="-91"/>
              <w:jc w:val="both"/>
              <w:rPr>
                <w:rFonts w:ascii="Arial" w:hAnsi="Arial" w:cs="Arial"/>
                <w:b/>
                <w:i/>
                <w:sz w:val="20"/>
                <w:szCs w:val="18"/>
              </w:rPr>
            </w:pPr>
            <w:r>
              <w:rPr>
                <w:rFonts w:ascii="Arial" w:hAnsi="Arial" w:cs="Arial"/>
                <w:b/>
                <w:i/>
                <w:sz w:val="20"/>
                <w:szCs w:val="18"/>
              </w:rPr>
              <w:lastRenderedPageBreak/>
              <w:t>Lineamientos:</w:t>
            </w:r>
          </w:p>
          <w:p w14:paraId="67C472B0" w14:textId="77777777" w:rsidR="00B46CB0" w:rsidRDefault="00B46CB0" w:rsidP="00431503">
            <w:pPr>
              <w:shd w:val="clear" w:color="auto" w:fill="FFFFFF" w:themeFill="background1"/>
              <w:ind w:left="-91"/>
              <w:jc w:val="both"/>
              <w:rPr>
                <w:rFonts w:ascii="Arial" w:hAnsi="Arial" w:cs="Arial"/>
                <w:b/>
                <w:i/>
                <w:sz w:val="20"/>
                <w:szCs w:val="18"/>
              </w:rPr>
            </w:pPr>
          </w:p>
          <w:p w14:paraId="68A153F9" w14:textId="77777777" w:rsidR="00B46CB0" w:rsidRDefault="00B46CB0" w:rsidP="00431503">
            <w:pPr>
              <w:shd w:val="clear" w:color="auto" w:fill="FFFFFF" w:themeFill="background1"/>
              <w:ind w:left="-91"/>
              <w:jc w:val="both"/>
              <w:rPr>
                <w:rFonts w:ascii="Arial" w:hAnsi="Arial" w:cs="Arial"/>
                <w:b/>
                <w:i/>
                <w:sz w:val="20"/>
                <w:szCs w:val="18"/>
              </w:rPr>
            </w:pPr>
          </w:p>
          <w:p w14:paraId="221621E1" w14:textId="77777777" w:rsidR="00B46CB0" w:rsidRDefault="00B46CB0" w:rsidP="00431503">
            <w:pPr>
              <w:shd w:val="clear" w:color="auto" w:fill="FFFFFF" w:themeFill="background1"/>
              <w:ind w:left="-91"/>
              <w:jc w:val="both"/>
              <w:rPr>
                <w:rFonts w:ascii="Arial" w:hAnsi="Arial" w:cs="Arial"/>
                <w:b/>
                <w:i/>
                <w:sz w:val="20"/>
                <w:szCs w:val="18"/>
              </w:rPr>
            </w:pPr>
          </w:p>
          <w:p w14:paraId="23016F50" w14:textId="101F769D" w:rsidR="0090204D" w:rsidRDefault="00E84AC8" w:rsidP="00431503">
            <w:pPr>
              <w:shd w:val="clear" w:color="auto" w:fill="FFFFFF" w:themeFill="background1"/>
              <w:ind w:left="-91"/>
              <w:jc w:val="both"/>
              <w:rPr>
                <w:rFonts w:ascii="Arial" w:hAnsi="Arial" w:cs="Arial"/>
                <w:b/>
                <w:i/>
                <w:sz w:val="20"/>
                <w:szCs w:val="18"/>
              </w:rPr>
            </w:pPr>
            <w:r>
              <w:rPr>
                <w:rFonts w:ascii="Arial" w:hAnsi="Arial" w:cs="Arial"/>
                <w:b/>
                <w:i/>
                <w:sz w:val="20"/>
                <w:szCs w:val="18"/>
              </w:rPr>
              <w:t>PAN:</w:t>
            </w:r>
          </w:p>
          <w:p w14:paraId="1675E64A" w14:textId="77777777" w:rsidR="00B87D62" w:rsidRDefault="00B87D62" w:rsidP="00431503">
            <w:pPr>
              <w:shd w:val="clear" w:color="auto" w:fill="FFFFFF" w:themeFill="background1"/>
              <w:ind w:left="-91"/>
              <w:jc w:val="both"/>
              <w:rPr>
                <w:rFonts w:ascii="Arial" w:hAnsi="Arial" w:cs="Arial"/>
                <w:b/>
                <w:i/>
                <w:sz w:val="20"/>
                <w:szCs w:val="18"/>
              </w:rPr>
            </w:pPr>
          </w:p>
          <w:p w14:paraId="1A653711" w14:textId="0E01B68E" w:rsidR="00B46CB0" w:rsidRDefault="00B46CB0" w:rsidP="00431503">
            <w:pPr>
              <w:shd w:val="clear" w:color="auto" w:fill="FFFFFF" w:themeFill="background1"/>
              <w:ind w:left="-91"/>
              <w:jc w:val="both"/>
              <w:rPr>
                <w:rFonts w:ascii="Arial" w:hAnsi="Arial" w:cs="Arial"/>
                <w:b/>
                <w:i/>
                <w:sz w:val="20"/>
                <w:szCs w:val="18"/>
              </w:rPr>
            </w:pPr>
            <w:r>
              <w:rPr>
                <w:rFonts w:ascii="Arial" w:hAnsi="Arial" w:cs="Arial"/>
                <w:b/>
                <w:i/>
                <w:sz w:val="20"/>
                <w:szCs w:val="18"/>
              </w:rPr>
              <w:t xml:space="preserve">Tribunal </w:t>
            </w:r>
            <w:r w:rsidR="00F75A93">
              <w:rPr>
                <w:rFonts w:ascii="Arial" w:hAnsi="Arial" w:cs="Arial"/>
                <w:b/>
                <w:i/>
                <w:sz w:val="20"/>
                <w:szCs w:val="18"/>
              </w:rPr>
              <w:t>L</w:t>
            </w:r>
            <w:r>
              <w:rPr>
                <w:rFonts w:ascii="Arial" w:hAnsi="Arial" w:cs="Arial"/>
                <w:b/>
                <w:i/>
                <w:sz w:val="20"/>
                <w:szCs w:val="18"/>
              </w:rPr>
              <w:t>ocal:</w:t>
            </w:r>
          </w:p>
          <w:p w14:paraId="2EA42FC6" w14:textId="77777777" w:rsidR="00B46CB0" w:rsidRDefault="00B46CB0" w:rsidP="00431503">
            <w:pPr>
              <w:shd w:val="clear" w:color="auto" w:fill="FFFFFF" w:themeFill="background1"/>
              <w:ind w:left="-91"/>
              <w:jc w:val="both"/>
              <w:rPr>
                <w:rFonts w:ascii="Arial" w:hAnsi="Arial" w:cs="Arial"/>
                <w:b/>
                <w:i/>
                <w:sz w:val="20"/>
                <w:szCs w:val="18"/>
              </w:rPr>
            </w:pPr>
          </w:p>
          <w:p w14:paraId="23787B75" w14:textId="37FE3781" w:rsidR="00B87D62" w:rsidRDefault="00B87D62" w:rsidP="00431503">
            <w:pPr>
              <w:shd w:val="clear" w:color="auto" w:fill="FFFFFF" w:themeFill="background1"/>
              <w:ind w:left="-91"/>
              <w:jc w:val="both"/>
              <w:rPr>
                <w:rFonts w:ascii="Arial" w:hAnsi="Arial" w:cs="Arial"/>
                <w:b/>
                <w:i/>
                <w:sz w:val="20"/>
                <w:szCs w:val="18"/>
              </w:rPr>
            </w:pPr>
            <w:r>
              <w:rPr>
                <w:rFonts w:ascii="Arial" w:hAnsi="Arial" w:cs="Arial"/>
                <w:b/>
                <w:i/>
                <w:sz w:val="20"/>
                <w:szCs w:val="18"/>
              </w:rPr>
              <w:t>Unidad Técnica Jurídica:</w:t>
            </w:r>
          </w:p>
          <w:p w14:paraId="4444E76B" w14:textId="0918264F" w:rsidR="00B87D62" w:rsidRPr="0090204D" w:rsidRDefault="00B87D62" w:rsidP="00B87D62">
            <w:pPr>
              <w:shd w:val="clear" w:color="auto" w:fill="FFFFFF" w:themeFill="background1"/>
              <w:jc w:val="both"/>
              <w:rPr>
                <w:rFonts w:ascii="Arial" w:hAnsi="Arial" w:cs="Arial"/>
                <w:b/>
                <w:i/>
                <w:sz w:val="20"/>
                <w:szCs w:val="18"/>
              </w:rPr>
            </w:pPr>
          </w:p>
        </w:tc>
        <w:tc>
          <w:tcPr>
            <w:tcW w:w="4339" w:type="dxa"/>
          </w:tcPr>
          <w:p w14:paraId="643DA38D" w14:textId="77777777" w:rsidR="006756F1" w:rsidRDefault="006756F1" w:rsidP="00431503">
            <w:pPr>
              <w:shd w:val="clear" w:color="auto" w:fill="FFFFFF" w:themeFill="background1"/>
              <w:jc w:val="both"/>
              <w:rPr>
                <w:rFonts w:ascii="Arial" w:hAnsi="Arial" w:cs="Arial"/>
                <w:sz w:val="20"/>
                <w:szCs w:val="18"/>
                <w:lang w:eastAsia="es-MX"/>
              </w:rPr>
            </w:pPr>
          </w:p>
          <w:p w14:paraId="10A1C389" w14:textId="043740F2" w:rsidR="006756F1" w:rsidRDefault="006756F1" w:rsidP="00431503">
            <w:pPr>
              <w:shd w:val="clear" w:color="auto" w:fill="FFFFFF" w:themeFill="background1"/>
              <w:jc w:val="both"/>
              <w:rPr>
                <w:rFonts w:ascii="Arial" w:hAnsi="Arial" w:cs="Arial"/>
                <w:sz w:val="20"/>
                <w:szCs w:val="18"/>
                <w:lang w:eastAsia="es-MX"/>
              </w:rPr>
            </w:pPr>
            <w:r>
              <w:rPr>
                <w:rFonts w:ascii="Arial" w:hAnsi="Arial" w:cs="Arial"/>
                <w:sz w:val="20"/>
                <w:szCs w:val="18"/>
                <w:lang w:eastAsia="es-MX"/>
              </w:rPr>
              <w:t>Consejo General del Instituto Electoral del Estado de Guanajuato</w:t>
            </w:r>
          </w:p>
          <w:p w14:paraId="47F0DD22" w14:textId="77777777" w:rsidR="006756F1" w:rsidRDefault="006756F1" w:rsidP="00431503">
            <w:pPr>
              <w:shd w:val="clear" w:color="auto" w:fill="FFFFFF" w:themeFill="background1"/>
              <w:jc w:val="both"/>
              <w:rPr>
                <w:rFonts w:ascii="Arial" w:hAnsi="Arial" w:cs="Arial"/>
                <w:sz w:val="20"/>
                <w:szCs w:val="18"/>
                <w:lang w:eastAsia="es-MX"/>
              </w:rPr>
            </w:pPr>
          </w:p>
          <w:p w14:paraId="1AEC4D7E" w14:textId="41F93637" w:rsidR="006756F1" w:rsidRDefault="006756F1" w:rsidP="00431503">
            <w:pPr>
              <w:shd w:val="clear" w:color="auto" w:fill="FFFFFF" w:themeFill="background1"/>
              <w:jc w:val="both"/>
              <w:rPr>
                <w:rFonts w:ascii="Arial" w:hAnsi="Arial" w:cs="Arial"/>
                <w:sz w:val="20"/>
                <w:szCs w:val="18"/>
                <w:lang w:eastAsia="es-MX"/>
              </w:rPr>
            </w:pPr>
            <w:r w:rsidRPr="0090204D">
              <w:rPr>
                <w:rFonts w:ascii="Arial" w:hAnsi="Arial" w:cs="Arial"/>
                <w:sz w:val="20"/>
                <w:szCs w:val="18"/>
                <w:lang w:eastAsia="es-MX"/>
              </w:rPr>
              <w:t xml:space="preserve">Instituto Electoral del Estado de </w:t>
            </w:r>
            <w:r>
              <w:rPr>
                <w:rFonts w:ascii="Arial" w:hAnsi="Arial" w:cs="Arial"/>
                <w:sz w:val="20"/>
                <w:szCs w:val="18"/>
                <w:lang w:eastAsia="es-MX"/>
              </w:rPr>
              <w:t>Guanajuato</w:t>
            </w:r>
          </w:p>
          <w:p w14:paraId="3D25F9BF" w14:textId="77777777" w:rsidR="006756F1" w:rsidRDefault="006756F1" w:rsidP="00431503">
            <w:pPr>
              <w:shd w:val="clear" w:color="auto" w:fill="FFFFFF" w:themeFill="background1"/>
              <w:jc w:val="both"/>
              <w:rPr>
                <w:rFonts w:ascii="Arial" w:hAnsi="Arial" w:cs="Arial"/>
                <w:sz w:val="20"/>
                <w:szCs w:val="18"/>
                <w:lang w:eastAsia="es-MX"/>
              </w:rPr>
            </w:pPr>
          </w:p>
          <w:p w14:paraId="2EC53DBA" w14:textId="77777777" w:rsidR="00F75A93" w:rsidRDefault="00B46CB0" w:rsidP="00431503">
            <w:pPr>
              <w:shd w:val="clear" w:color="auto" w:fill="FFFFFF" w:themeFill="background1"/>
              <w:jc w:val="both"/>
              <w:rPr>
                <w:rFonts w:ascii="Arial" w:hAnsi="Arial" w:cs="Arial"/>
                <w:sz w:val="20"/>
                <w:szCs w:val="18"/>
                <w:lang w:eastAsia="es-MX"/>
              </w:rPr>
            </w:pPr>
            <w:r w:rsidRPr="00C25A10">
              <w:rPr>
                <w:rFonts w:ascii="Arial" w:hAnsi="Arial" w:cs="Arial"/>
                <w:sz w:val="20"/>
                <w:szCs w:val="18"/>
                <w:lang w:eastAsia="es-MX"/>
              </w:rPr>
              <w:t>Ley de Instituciones y Procedimientos Electorales del Estado</w:t>
            </w:r>
            <w:r>
              <w:rPr>
                <w:rFonts w:ascii="Arial" w:hAnsi="Arial" w:cs="Arial"/>
                <w:sz w:val="20"/>
                <w:szCs w:val="18"/>
                <w:lang w:eastAsia="es-MX"/>
              </w:rPr>
              <w:t xml:space="preserve"> de Guanajuato</w:t>
            </w:r>
          </w:p>
          <w:p w14:paraId="017805E8" w14:textId="7859F97E" w:rsidR="00B46CB0" w:rsidRDefault="00B46CB0" w:rsidP="00431503">
            <w:pPr>
              <w:shd w:val="clear" w:color="auto" w:fill="FFFFFF" w:themeFill="background1"/>
              <w:jc w:val="both"/>
              <w:rPr>
                <w:rFonts w:ascii="Arial" w:hAnsi="Arial" w:cs="Arial"/>
                <w:sz w:val="20"/>
                <w:szCs w:val="18"/>
                <w:lang w:eastAsia="es-MX"/>
              </w:rPr>
            </w:pPr>
            <w:r w:rsidRPr="003B379D">
              <w:rPr>
                <w:rFonts w:ascii="Arial" w:hAnsi="Arial" w:cs="Arial"/>
                <w:sz w:val="20"/>
                <w:szCs w:val="20"/>
              </w:rPr>
              <w:lastRenderedPageBreak/>
              <w:t>Lineamientos para la protección de los derechos de niñas, niños y adolescentes en materia político-electoral</w:t>
            </w:r>
          </w:p>
          <w:p w14:paraId="06DF168E" w14:textId="77777777" w:rsidR="00B46CB0" w:rsidRDefault="00B46CB0" w:rsidP="00431503">
            <w:pPr>
              <w:shd w:val="clear" w:color="auto" w:fill="FFFFFF" w:themeFill="background1"/>
              <w:jc w:val="both"/>
              <w:rPr>
                <w:rFonts w:ascii="Arial" w:hAnsi="Arial" w:cs="Arial"/>
                <w:sz w:val="20"/>
                <w:szCs w:val="18"/>
                <w:lang w:eastAsia="es-MX"/>
              </w:rPr>
            </w:pPr>
          </w:p>
          <w:p w14:paraId="55BCD16F" w14:textId="3E2E37BE" w:rsidR="0090204D" w:rsidRDefault="00E84AC8" w:rsidP="00431503">
            <w:pPr>
              <w:shd w:val="clear" w:color="auto" w:fill="FFFFFF" w:themeFill="background1"/>
              <w:jc w:val="both"/>
              <w:rPr>
                <w:rFonts w:ascii="Arial" w:hAnsi="Arial" w:cs="Arial"/>
                <w:sz w:val="20"/>
                <w:szCs w:val="18"/>
                <w:lang w:eastAsia="es-MX"/>
              </w:rPr>
            </w:pPr>
            <w:r>
              <w:rPr>
                <w:rFonts w:ascii="Arial" w:hAnsi="Arial" w:cs="Arial"/>
                <w:sz w:val="20"/>
                <w:szCs w:val="18"/>
                <w:lang w:eastAsia="es-MX"/>
              </w:rPr>
              <w:t>Partido Acción Nacional</w:t>
            </w:r>
          </w:p>
          <w:p w14:paraId="20CA5990" w14:textId="77777777" w:rsidR="00B87D62" w:rsidRDefault="00B87D62" w:rsidP="00431503">
            <w:pPr>
              <w:shd w:val="clear" w:color="auto" w:fill="FFFFFF" w:themeFill="background1"/>
              <w:jc w:val="both"/>
              <w:rPr>
                <w:rFonts w:ascii="Arial" w:hAnsi="Arial" w:cs="Arial"/>
                <w:sz w:val="20"/>
                <w:szCs w:val="18"/>
                <w:lang w:eastAsia="es-MX"/>
              </w:rPr>
            </w:pPr>
          </w:p>
          <w:p w14:paraId="2D16B059" w14:textId="73AEBCA8" w:rsidR="00B46CB0" w:rsidRDefault="00B46CB0" w:rsidP="00431503">
            <w:pPr>
              <w:shd w:val="clear" w:color="auto" w:fill="FFFFFF" w:themeFill="background1"/>
              <w:jc w:val="both"/>
              <w:rPr>
                <w:rFonts w:ascii="Arial" w:hAnsi="Arial" w:cs="Arial"/>
                <w:sz w:val="20"/>
                <w:szCs w:val="18"/>
                <w:lang w:eastAsia="es-MX"/>
              </w:rPr>
            </w:pPr>
            <w:r>
              <w:rPr>
                <w:rFonts w:ascii="Arial" w:hAnsi="Arial" w:cs="Arial"/>
                <w:sz w:val="20"/>
                <w:szCs w:val="18"/>
                <w:lang w:eastAsia="es-MX"/>
              </w:rPr>
              <w:t>Tribunal Estatal Electoral de Guanajuato</w:t>
            </w:r>
          </w:p>
          <w:p w14:paraId="4A8BAB48" w14:textId="77777777" w:rsidR="00B46CB0" w:rsidRDefault="00B46CB0" w:rsidP="00431503">
            <w:pPr>
              <w:shd w:val="clear" w:color="auto" w:fill="FFFFFF" w:themeFill="background1"/>
              <w:jc w:val="both"/>
              <w:rPr>
                <w:rFonts w:ascii="Arial" w:hAnsi="Arial" w:cs="Arial"/>
                <w:sz w:val="20"/>
                <w:szCs w:val="18"/>
                <w:lang w:eastAsia="es-MX"/>
              </w:rPr>
            </w:pPr>
          </w:p>
          <w:p w14:paraId="45FA467A" w14:textId="0E1D4B65" w:rsidR="00E84AC8" w:rsidRDefault="00895CF7" w:rsidP="00431503">
            <w:pPr>
              <w:shd w:val="clear" w:color="auto" w:fill="FFFFFF" w:themeFill="background1"/>
              <w:jc w:val="both"/>
              <w:rPr>
                <w:rFonts w:ascii="Arial" w:hAnsi="Arial" w:cs="Arial"/>
                <w:sz w:val="20"/>
                <w:szCs w:val="18"/>
                <w:lang w:eastAsia="es-MX"/>
              </w:rPr>
            </w:pPr>
            <w:r>
              <w:rPr>
                <w:rFonts w:ascii="Arial" w:hAnsi="Arial" w:cs="Arial"/>
                <w:sz w:val="20"/>
                <w:szCs w:val="18"/>
                <w:lang w:eastAsia="es-MX"/>
              </w:rPr>
              <w:t xml:space="preserve">Unidad Técnica </w:t>
            </w:r>
            <w:r w:rsidR="00B87D62">
              <w:rPr>
                <w:rFonts w:ascii="Arial" w:hAnsi="Arial" w:cs="Arial"/>
                <w:sz w:val="20"/>
                <w:szCs w:val="18"/>
                <w:lang w:eastAsia="es-MX"/>
              </w:rPr>
              <w:t>Jurídica</w:t>
            </w:r>
            <w:r>
              <w:rPr>
                <w:rFonts w:ascii="Arial" w:hAnsi="Arial" w:cs="Arial"/>
                <w:sz w:val="20"/>
                <w:szCs w:val="18"/>
                <w:lang w:eastAsia="es-MX"/>
              </w:rPr>
              <w:t xml:space="preserve"> </w:t>
            </w:r>
            <w:r w:rsidR="00B87D62">
              <w:rPr>
                <w:rFonts w:ascii="Arial" w:hAnsi="Arial" w:cs="Arial"/>
                <w:sz w:val="20"/>
                <w:szCs w:val="18"/>
                <w:lang w:eastAsia="es-MX"/>
              </w:rPr>
              <w:t>y de lo Contencioso Electoral de la Secretaria Ejecutiva del Instituto Electoral del Estado de Guanajuato</w:t>
            </w:r>
          </w:p>
          <w:p w14:paraId="226EC09A" w14:textId="44107235" w:rsidR="00B87D62" w:rsidRPr="0090204D" w:rsidRDefault="00B87D62" w:rsidP="00431503">
            <w:pPr>
              <w:shd w:val="clear" w:color="auto" w:fill="FFFFFF" w:themeFill="background1"/>
              <w:jc w:val="both"/>
              <w:rPr>
                <w:rFonts w:ascii="Arial" w:hAnsi="Arial" w:cs="Arial"/>
                <w:sz w:val="20"/>
                <w:szCs w:val="18"/>
                <w:lang w:eastAsia="es-MX"/>
              </w:rPr>
            </w:pPr>
          </w:p>
        </w:tc>
        <w:bookmarkStart w:id="2" w:name="_GoBack"/>
        <w:bookmarkEnd w:id="2"/>
      </w:tr>
      <w:tr w:rsidR="0090204D" w:rsidRPr="0090204D" w14:paraId="7CF36448" w14:textId="77777777" w:rsidTr="00C25A10">
        <w:trPr>
          <w:trHeight w:val="80"/>
          <w:jc w:val="center"/>
        </w:trPr>
        <w:tc>
          <w:tcPr>
            <w:tcW w:w="1839" w:type="dxa"/>
          </w:tcPr>
          <w:p w14:paraId="427AC242" w14:textId="77777777" w:rsidR="0090204D" w:rsidRDefault="0090204D" w:rsidP="006756F1">
            <w:pPr>
              <w:shd w:val="clear" w:color="auto" w:fill="FFFFFF" w:themeFill="background1"/>
              <w:jc w:val="both"/>
              <w:rPr>
                <w:rFonts w:ascii="Arial" w:hAnsi="Arial" w:cs="Arial"/>
                <w:b/>
                <w:i/>
                <w:sz w:val="20"/>
                <w:szCs w:val="18"/>
              </w:rPr>
            </w:pPr>
          </w:p>
          <w:p w14:paraId="61B563A2" w14:textId="52B3456A" w:rsidR="00C25A10" w:rsidRPr="0090204D" w:rsidRDefault="00C25A10" w:rsidP="006756F1">
            <w:pPr>
              <w:shd w:val="clear" w:color="auto" w:fill="FFFFFF" w:themeFill="background1"/>
              <w:jc w:val="both"/>
              <w:rPr>
                <w:rFonts w:ascii="Arial" w:hAnsi="Arial" w:cs="Arial"/>
                <w:b/>
                <w:i/>
                <w:sz w:val="20"/>
                <w:szCs w:val="18"/>
              </w:rPr>
            </w:pPr>
          </w:p>
        </w:tc>
        <w:tc>
          <w:tcPr>
            <w:tcW w:w="4339" w:type="dxa"/>
          </w:tcPr>
          <w:p w14:paraId="06BC32BE" w14:textId="040C3C12" w:rsidR="007E72CF" w:rsidRPr="0090204D" w:rsidRDefault="007E72CF" w:rsidP="006756F1">
            <w:pPr>
              <w:shd w:val="clear" w:color="auto" w:fill="FFFFFF" w:themeFill="background1"/>
              <w:jc w:val="both"/>
              <w:rPr>
                <w:rFonts w:ascii="Arial" w:hAnsi="Arial" w:cs="Arial"/>
                <w:sz w:val="20"/>
                <w:szCs w:val="18"/>
                <w:lang w:eastAsia="es-MX"/>
              </w:rPr>
            </w:pPr>
          </w:p>
        </w:tc>
      </w:tr>
    </w:tbl>
    <w:p w14:paraId="63DC1367" w14:textId="77777777" w:rsidR="006A59F6" w:rsidRPr="007E43B4" w:rsidRDefault="0025619B" w:rsidP="009F6140">
      <w:pPr>
        <w:pStyle w:val="Heading1"/>
        <w:numPr>
          <w:ilvl w:val="0"/>
          <w:numId w:val="10"/>
        </w:numPr>
        <w:spacing w:before="240" w:beforeAutospacing="0" w:after="240" w:afterAutospacing="0"/>
      </w:pPr>
      <w:bookmarkStart w:id="3" w:name="_Toc483300349"/>
      <w:bookmarkStart w:id="4" w:name="_Toc59140008"/>
      <w:r w:rsidRPr="007E43B4">
        <w:rPr>
          <w:caps w:val="0"/>
        </w:rPr>
        <w:t>ANTECEDENTES</w:t>
      </w:r>
      <w:bookmarkEnd w:id="3"/>
      <w:bookmarkEnd w:id="4"/>
    </w:p>
    <w:p w14:paraId="0CE15127" w14:textId="10AE34BC" w:rsidR="005B1364" w:rsidRDefault="005B1364" w:rsidP="009F6140">
      <w:pPr>
        <w:spacing w:before="240" w:after="240" w:line="360" w:lineRule="auto"/>
        <w:jc w:val="both"/>
        <w:rPr>
          <w:rFonts w:ascii="Arial" w:hAnsi="Arial" w:cs="Arial"/>
        </w:rPr>
      </w:pPr>
      <w:r w:rsidRPr="005B1364">
        <w:rPr>
          <w:rFonts w:ascii="Arial" w:hAnsi="Arial" w:cs="Arial"/>
        </w:rPr>
        <w:t>De las constancias de autos y afirmaciones realizadas por las partes se advierten los siguientes hechos relevantes</w:t>
      </w:r>
      <w:r w:rsidR="00AE6429" w:rsidRPr="00C25A10">
        <w:rPr>
          <w:rFonts w:ascii="Arial" w:hAnsi="Arial" w:cs="Arial"/>
        </w:rPr>
        <w:t>,</w:t>
      </w:r>
      <w:r w:rsidR="00D8755A" w:rsidRPr="00C25A10">
        <w:rPr>
          <w:rFonts w:ascii="Arial" w:hAnsi="Arial" w:cs="Arial"/>
        </w:rPr>
        <w:t xml:space="preserve"> </w:t>
      </w:r>
      <w:r w:rsidR="009A7340" w:rsidRPr="00C25A10">
        <w:rPr>
          <w:rFonts w:ascii="Arial" w:hAnsi="Arial" w:cs="Arial"/>
        </w:rPr>
        <w:t xml:space="preserve">los cuales </w:t>
      </w:r>
      <w:r w:rsidR="00AE6429" w:rsidRPr="00C25A10">
        <w:rPr>
          <w:rFonts w:ascii="Arial" w:hAnsi="Arial" w:cs="Arial"/>
        </w:rPr>
        <w:t>corresponden</w:t>
      </w:r>
      <w:r w:rsidR="00AE6429" w:rsidRPr="003B52AB">
        <w:rPr>
          <w:rFonts w:ascii="Arial" w:hAnsi="Arial" w:cs="Arial"/>
        </w:rPr>
        <w:t xml:space="preserve"> al año </w:t>
      </w:r>
      <w:r w:rsidR="00E84AC8">
        <w:rPr>
          <w:rFonts w:ascii="Arial" w:hAnsi="Arial" w:cs="Arial"/>
        </w:rPr>
        <w:t>dos mil veinte</w:t>
      </w:r>
      <w:r w:rsidR="00AE6429" w:rsidRPr="003B52AB">
        <w:rPr>
          <w:rFonts w:ascii="Arial" w:hAnsi="Arial" w:cs="Arial"/>
        </w:rPr>
        <w:t>, salvo precisión en contrario</w:t>
      </w:r>
      <w:r w:rsidR="00AE6429">
        <w:rPr>
          <w:rFonts w:ascii="Arial" w:hAnsi="Arial" w:cs="Arial"/>
        </w:rPr>
        <w:t>:</w:t>
      </w:r>
    </w:p>
    <w:p w14:paraId="0674EA52" w14:textId="76429527" w:rsidR="001F6E3C" w:rsidRPr="001A53FB" w:rsidRDefault="001F6E3C" w:rsidP="009F6140">
      <w:pPr>
        <w:spacing w:before="240" w:after="240" w:line="360" w:lineRule="auto"/>
        <w:jc w:val="both"/>
        <w:rPr>
          <w:rFonts w:ascii="Arial" w:hAnsi="Arial" w:cs="Arial"/>
        </w:rPr>
      </w:pPr>
      <w:bookmarkStart w:id="5" w:name="_Hlk61018923"/>
      <w:r>
        <w:rPr>
          <w:rFonts w:ascii="Arial" w:hAnsi="Arial" w:cs="Arial"/>
          <w:b/>
        </w:rPr>
        <w:t>1.1. Inspección</w:t>
      </w:r>
      <w:r w:rsidR="001A53FB">
        <w:rPr>
          <w:rFonts w:ascii="Arial" w:hAnsi="Arial" w:cs="Arial"/>
          <w:b/>
        </w:rPr>
        <w:t xml:space="preserve"> ACTA-OE-IEEG-JERLE-010/2020</w:t>
      </w:r>
      <w:r>
        <w:rPr>
          <w:rFonts w:ascii="Arial" w:hAnsi="Arial" w:cs="Arial"/>
          <w:b/>
        </w:rPr>
        <w:t xml:space="preserve">. </w:t>
      </w:r>
      <w:r w:rsidRPr="001F6E3C">
        <w:rPr>
          <w:rFonts w:ascii="Arial" w:hAnsi="Arial" w:cs="Arial"/>
        </w:rPr>
        <w:t>El</w:t>
      </w:r>
      <w:r>
        <w:rPr>
          <w:rFonts w:ascii="Arial" w:hAnsi="Arial" w:cs="Arial"/>
        </w:rPr>
        <w:t xml:space="preserve"> trece de julio</w:t>
      </w:r>
      <w:r w:rsidRPr="00C25A10">
        <w:rPr>
          <w:rFonts w:ascii="Arial" w:hAnsi="Arial" w:cs="Arial"/>
        </w:rPr>
        <w:t xml:space="preserve">, </w:t>
      </w:r>
      <w:r w:rsidR="009A7340" w:rsidRPr="00C25A10">
        <w:rPr>
          <w:rFonts w:ascii="Arial" w:hAnsi="Arial" w:cs="Arial"/>
        </w:rPr>
        <w:t>el</w:t>
      </w:r>
      <w:r w:rsidR="009A7340">
        <w:rPr>
          <w:rFonts w:ascii="Arial" w:hAnsi="Arial" w:cs="Arial"/>
        </w:rPr>
        <w:t xml:space="preserve"> </w:t>
      </w:r>
      <w:r>
        <w:rPr>
          <w:rFonts w:ascii="Arial" w:hAnsi="Arial" w:cs="Arial"/>
        </w:rPr>
        <w:t>Secretario del Órgano Desconcentrado en Organismo P</w:t>
      </w:r>
      <w:r w:rsidR="0026329A">
        <w:rPr>
          <w:rFonts w:ascii="Arial" w:hAnsi="Arial" w:cs="Arial"/>
        </w:rPr>
        <w:t>ú</w:t>
      </w:r>
      <w:r>
        <w:rPr>
          <w:rFonts w:ascii="Arial" w:hAnsi="Arial" w:cs="Arial"/>
        </w:rPr>
        <w:t xml:space="preserve">blico Local Electoral, con adscripción a la Junta Ejecutiva Regional de León del </w:t>
      </w:r>
      <w:r w:rsidRPr="001F6E3C">
        <w:rPr>
          <w:rFonts w:ascii="Arial" w:hAnsi="Arial" w:cs="Arial"/>
          <w:i/>
        </w:rPr>
        <w:t>Instituto Local</w:t>
      </w:r>
      <w:r w:rsidR="001A53FB">
        <w:rPr>
          <w:rFonts w:ascii="Arial" w:hAnsi="Arial" w:cs="Arial"/>
          <w:i/>
        </w:rPr>
        <w:t xml:space="preserve">, </w:t>
      </w:r>
      <w:r w:rsidR="001A53FB" w:rsidRPr="001A53FB">
        <w:rPr>
          <w:rFonts w:ascii="Arial" w:hAnsi="Arial" w:cs="Arial"/>
        </w:rPr>
        <w:t xml:space="preserve">en función de Oficialía </w:t>
      </w:r>
      <w:r w:rsidR="001A53FB" w:rsidRPr="00C25A10">
        <w:rPr>
          <w:rFonts w:ascii="Arial" w:hAnsi="Arial" w:cs="Arial"/>
        </w:rPr>
        <w:t>Electoral certific</w:t>
      </w:r>
      <w:r w:rsidR="009A7340" w:rsidRPr="00C25A10">
        <w:rPr>
          <w:rFonts w:ascii="Arial" w:hAnsi="Arial" w:cs="Arial"/>
        </w:rPr>
        <w:t>ó</w:t>
      </w:r>
      <w:r w:rsidR="001A53FB" w:rsidRPr="00C25A10">
        <w:rPr>
          <w:rFonts w:ascii="Arial" w:hAnsi="Arial" w:cs="Arial"/>
        </w:rPr>
        <w:t xml:space="preserve"> y d</w:t>
      </w:r>
      <w:r w:rsidR="009A7340" w:rsidRPr="00C25A10">
        <w:rPr>
          <w:rFonts w:ascii="Arial" w:hAnsi="Arial" w:cs="Arial"/>
        </w:rPr>
        <w:t>io</w:t>
      </w:r>
      <w:r w:rsidR="001A53FB" w:rsidRPr="00C25A10">
        <w:rPr>
          <w:rFonts w:ascii="Arial" w:hAnsi="Arial" w:cs="Arial"/>
        </w:rPr>
        <w:t xml:space="preserve"> fe que inspeccion</w:t>
      </w:r>
      <w:r w:rsidR="009A7340" w:rsidRPr="00C25A10">
        <w:rPr>
          <w:rFonts w:ascii="Arial" w:hAnsi="Arial" w:cs="Arial"/>
        </w:rPr>
        <w:t>ó</w:t>
      </w:r>
      <w:r w:rsidR="001A53FB">
        <w:rPr>
          <w:rFonts w:ascii="Arial" w:hAnsi="Arial" w:cs="Arial"/>
        </w:rPr>
        <w:t xml:space="preserve"> lo solicitado por el representante suplente del </w:t>
      </w:r>
      <w:r w:rsidR="001A53FB" w:rsidRPr="001A53FB">
        <w:rPr>
          <w:rFonts w:ascii="Arial" w:hAnsi="Arial" w:cs="Arial"/>
          <w:i/>
        </w:rPr>
        <w:t>PAN</w:t>
      </w:r>
      <w:r w:rsidR="001A53FB">
        <w:rPr>
          <w:rFonts w:ascii="Arial" w:hAnsi="Arial" w:cs="Arial"/>
          <w:i/>
        </w:rPr>
        <w:t>.</w:t>
      </w:r>
    </w:p>
    <w:p w14:paraId="3AF30CE0" w14:textId="382B6A3A" w:rsidR="00B23F1E" w:rsidRDefault="003D7234" w:rsidP="009F6140">
      <w:pPr>
        <w:spacing w:before="240" w:after="240" w:line="360" w:lineRule="auto"/>
        <w:jc w:val="both"/>
        <w:rPr>
          <w:rFonts w:ascii="Arial" w:hAnsi="Arial" w:cs="Arial"/>
          <w:bCs/>
        </w:rPr>
      </w:pPr>
      <w:r>
        <w:rPr>
          <w:rFonts w:ascii="Arial" w:hAnsi="Arial" w:cs="Arial"/>
          <w:b/>
        </w:rPr>
        <w:t>1.</w:t>
      </w:r>
      <w:r w:rsidR="0026329A">
        <w:rPr>
          <w:rFonts w:ascii="Arial" w:hAnsi="Arial" w:cs="Arial"/>
          <w:b/>
        </w:rPr>
        <w:t>2</w:t>
      </w:r>
      <w:r w:rsidR="002A3D01">
        <w:rPr>
          <w:rFonts w:ascii="Arial" w:hAnsi="Arial" w:cs="Arial"/>
          <w:b/>
        </w:rPr>
        <w:t>.</w:t>
      </w:r>
      <w:r w:rsidR="009F6140">
        <w:rPr>
          <w:rFonts w:ascii="Arial" w:hAnsi="Arial" w:cs="Arial"/>
          <w:b/>
        </w:rPr>
        <w:t xml:space="preserve"> </w:t>
      </w:r>
      <w:r w:rsidR="00474281">
        <w:rPr>
          <w:rFonts w:ascii="Arial" w:hAnsi="Arial" w:cs="Arial"/>
          <w:b/>
        </w:rPr>
        <w:t>Presentación de</w:t>
      </w:r>
      <w:r w:rsidR="009F6140">
        <w:rPr>
          <w:rFonts w:ascii="Arial" w:hAnsi="Arial" w:cs="Arial"/>
          <w:b/>
        </w:rPr>
        <w:t xml:space="preserve"> la</w:t>
      </w:r>
      <w:r w:rsidR="00474281">
        <w:rPr>
          <w:rFonts w:ascii="Arial" w:hAnsi="Arial" w:cs="Arial"/>
          <w:b/>
        </w:rPr>
        <w:t xml:space="preserve"> denuncia</w:t>
      </w:r>
      <w:r w:rsidR="005B1364">
        <w:rPr>
          <w:rFonts w:ascii="Arial" w:hAnsi="Arial" w:cs="Arial"/>
          <w:b/>
        </w:rPr>
        <w:t>.</w:t>
      </w:r>
      <w:r w:rsidR="00943790">
        <w:rPr>
          <w:rFonts w:ascii="Arial" w:hAnsi="Arial" w:cs="Arial"/>
          <w:b/>
        </w:rPr>
        <w:t xml:space="preserve"> </w:t>
      </w:r>
      <w:r w:rsidR="00D75234" w:rsidRPr="000375BC">
        <w:rPr>
          <w:rFonts w:ascii="Arial" w:hAnsi="Arial" w:cs="Arial"/>
          <w:bCs/>
        </w:rPr>
        <w:t>E</w:t>
      </w:r>
      <w:r w:rsidR="00AE6429">
        <w:rPr>
          <w:rFonts w:ascii="Arial" w:hAnsi="Arial" w:cs="Arial"/>
          <w:bCs/>
        </w:rPr>
        <w:t xml:space="preserve">l </w:t>
      </w:r>
      <w:r w:rsidR="00E84AC8">
        <w:rPr>
          <w:rFonts w:ascii="Arial" w:hAnsi="Arial" w:cs="Arial"/>
          <w:bCs/>
        </w:rPr>
        <w:t>dieciséis</w:t>
      </w:r>
      <w:r w:rsidR="00B23F1E">
        <w:rPr>
          <w:rFonts w:ascii="Arial" w:hAnsi="Arial" w:cs="Arial"/>
          <w:bCs/>
        </w:rPr>
        <w:t xml:space="preserve"> de ju</w:t>
      </w:r>
      <w:r w:rsidR="00E84AC8">
        <w:rPr>
          <w:rFonts w:ascii="Arial" w:hAnsi="Arial" w:cs="Arial"/>
          <w:bCs/>
        </w:rPr>
        <w:t>l</w:t>
      </w:r>
      <w:r w:rsidR="00B23F1E">
        <w:rPr>
          <w:rFonts w:ascii="Arial" w:hAnsi="Arial" w:cs="Arial"/>
          <w:bCs/>
        </w:rPr>
        <w:t>io</w:t>
      </w:r>
      <w:r>
        <w:rPr>
          <w:rFonts w:ascii="Arial" w:hAnsi="Arial" w:cs="Arial"/>
          <w:bCs/>
        </w:rPr>
        <w:t>,</w:t>
      </w:r>
      <w:r w:rsidR="00AE6429">
        <w:rPr>
          <w:rFonts w:ascii="Arial" w:hAnsi="Arial" w:cs="Arial"/>
          <w:bCs/>
        </w:rPr>
        <w:t xml:space="preserve"> </w:t>
      </w:r>
      <w:r w:rsidR="00E84AC8">
        <w:rPr>
          <w:rFonts w:ascii="Arial" w:hAnsi="Arial" w:cs="Arial"/>
          <w:bCs/>
        </w:rPr>
        <w:t>el</w:t>
      </w:r>
      <w:r w:rsidR="00B23F1E">
        <w:rPr>
          <w:rFonts w:ascii="Arial" w:hAnsi="Arial" w:cs="Arial"/>
          <w:bCs/>
        </w:rPr>
        <w:t xml:space="preserve"> </w:t>
      </w:r>
      <w:r w:rsidR="00E84AC8" w:rsidRPr="00C25A10">
        <w:rPr>
          <w:rFonts w:ascii="Arial" w:hAnsi="Arial" w:cs="Arial"/>
          <w:bCs/>
          <w:i/>
        </w:rPr>
        <w:t>PAN</w:t>
      </w:r>
      <w:r w:rsidR="00B23F1E" w:rsidRPr="00C25A10">
        <w:rPr>
          <w:rFonts w:ascii="Arial" w:hAnsi="Arial" w:cs="Arial"/>
          <w:bCs/>
        </w:rPr>
        <w:t xml:space="preserve"> </w:t>
      </w:r>
      <w:r w:rsidR="009A7340" w:rsidRPr="00C25A10">
        <w:rPr>
          <w:rFonts w:ascii="Arial" w:hAnsi="Arial" w:cs="Arial"/>
          <w:bCs/>
        </w:rPr>
        <w:t>a través</w:t>
      </w:r>
      <w:r w:rsidR="009A7340">
        <w:rPr>
          <w:rFonts w:ascii="Arial" w:hAnsi="Arial" w:cs="Arial"/>
          <w:bCs/>
        </w:rPr>
        <w:t xml:space="preserve"> </w:t>
      </w:r>
      <w:r w:rsidR="00E84AC8">
        <w:rPr>
          <w:rFonts w:ascii="Arial" w:hAnsi="Arial" w:cs="Arial"/>
          <w:bCs/>
        </w:rPr>
        <w:t xml:space="preserve">del representante suplente ante el </w:t>
      </w:r>
      <w:r w:rsidR="00FD1AC4">
        <w:rPr>
          <w:rFonts w:ascii="Arial" w:hAnsi="Arial" w:cs="Arial"/>
          <w:bCs/>
          <w:i/>
        </w:rPr>
        <w:t>Consejo General</w:t>
      </w:r>
      <w:r w:rsidR="00B23F1E">
        <w:rPr>
          <w:rFonts w:ascii="Arial" w:hAnsi="Arial" w:cs="Arial"/>
          <w:bCs/>
        </w:rPr>
        <w:t xml:space="preserve">, </w:t>
      </w:r>
      <w:r w:rsidR="00E93598">
        <w:rPr>
          <w:rFonts w:ascii="Arial" w:hAnsi="Arial" w:cs="Arial"/>
          <w:bCs/>
        </w:rPr>
        <w:t xml:space="preserve">presento </w:t>
      </w:r>
      <w:r w:rsidR="00B23F1E">
        <w:rPr>
          <w:rFonts w:ascii="Arial" w:hAnsi="Arial" w:cs="Arial"/>
          <w:bCs/>
        </w:rPr>
        <w:t xml:space="preserve">una denuncia </w:t>
      </w:r>
      <w:r w:rsidR="00E93598">
        <w:rPr>
          <w:rFonts w:ascii="Arial" w:hAnsi="Arial" w:cs="Arial"/>
          <w:bCs/>
        </w:rPr>
        <w:t>en</w:t>
      </w:r>
      <w:r w:rsidR="008A60D1">
        <w:rPr>
          <w:rFonts w:ascii="Arial" w:hAnsi="Arial" w:cs="Arial"/>
          <w:bCs/>
        </w:rPr>
        <w:t xml:space="preserve"> </w:t>
      </w:r>
      <w:r w:rsidR="00E93598">
        <w:rPr>
          <w:rFonts w:ascii="Arial" w:hAnsi="Arial" w:cs="Arial"/>
          <w:bCs/>
        </w:rPr>
        <w:t>contra de Ernesto Alejandro Prieto Gallardo en su carácter de diputado de M</w:t>
      </w:r>
      <w:r w:rsidR="00F00DE9">
        <w:rPr>
          <w:rFonts w:ascii="Arial" w:hAnsi="Arial" w:cs="Arial"/>
          <w:bCs/>
        </w:rPr>
        <w:t>ORENA</w:t>
      </w:r>
      <w:r w:rsidR="00E93598">
        <w:rPr>
          <w:rFonts w:ascii="Arial" w:hAnsi="Arial" w:cs="Arial"/>
          <w:bCs/>
        </w:rPr>
        <w:t xml:space="preserve"> </w:t>
      </w:r>
      <w:r w:rsidR="008A60D1">
        <w:rPr>
          <w:rFonts w:ascii="Arial" w:hAnsi="Arial" w:cs="Arial"/>
          <w:bCs/>
        </w:rPr>
        <w:t xml:space="preserve">integrante de la LXIV Legislatura del Congreso de Guanajuato, </w:t>
      </w:r>
      <w:r w:rsidR="00FB2094">
        <w:rPr>
          <w:rFonts w:ascii="Arial" w:hAnsi="Arial" w:cs="Arial"/>
          <w:bCs/>
        </w:rPr>
        <w:t>por la supuesta</w:t>
      </w:r>
      <w:r w:rsidR="008A60D1">
        <w:rPr>
          <w:rFonts w:ascii="Arial" w:hAnsi="Arial" w:cs="Arial"/>
          <w:bCs/>
        </w:rPr>
        <w:t xml:space="preserve"> utilización indebida de recursos públicos, con el fin de promocionar su imagen, expresiones y posicionamientos político-electorales, contravenciones a la normativa, así como vulneración al interés superior de la niñez</w:t>
      </w:r>
      <w:r w:rsidR="003F32AB">
        <w:rPr>
          <w:rFonts w:ascii="Arial" w:hAnsi="Arial" w:cs="Arial"/>
          <w:bCs/>
        </w:rPr>
        <w:t xml:space="preserve">. </w:t>
      </w:r>
    </w:p>
    <w:p w14:paraId="7076071B" w14:textId="315FA108" w:rsidR="00922D7F" w:rsidRDefault="00922D7F" w:rsidP="00922D7F">
      <w:pPr>
        <w:spacing w:before="240" w:after="240" w:line="360" w:lineRule="auto"/>
        <w:jc w:val="both"/>
        <w:rPr>
          <w:rFonts w:ascii="Arial" w:hAnsi="Arial" w:cs="Arial"/>
          <w:bCs/>
        </w:rPr>
      </w:pPr>
      <w:r>
        <w:rPr>
          <w:rFonts w:ascii="Arial" w:hAnsi="Arial" w:cs="Arial"/>
          <w:b/>
          <w:bCs/>
        </w:rPr>
        <w:t>1.</w:t>
      </w:r>
      <w:r w:rsidR="0026329A">
        <w:rPr>
          <w:rFonts w:ascii="Arial" w:hAnsi="Arial" w:cs="Arial"/>
          <w:b/>
          <w:bCs/>
        </w:rPr>
        <w:t>3</w:t>
      </w:r>
      <w:r>
        <w:rPr>
          <w:rFonts w:ascii="Arial" w:hAnsi="Arial" w:cs="Arial"/>
          <w:b/>
          <w:bCs/>
        </w:rPr>
        <w:t>.</w:t>
      </w:r>
      <w:r w:rsidRPr="000375BC">
        <w:rPr>
          <w:rFonts w:ascii="Arial" w:hAnsi="Arial" w:cs="Arial"/>
          <w:b/>
          <w:bCs/>
        </w:rPr>
        <w:t xml:space="preserve"> </w:t>
      </w:r>
      <w:r w:rsidR="00841E46">
        <w:rPr>
          <w:rFonts w:ascii="Arial" w:hAnsi="Arial" w:cs="Arial"/>
          <w:b/>
          <w:bCs/>
        </w:rPr>
        <w:t>P</w:t>
      </w:r>
      <w:r w:rsidRPr="009F6140">
        <w:rPr>
          <w:rFonts w:ascii="Arial" w:hAnsi="Arial" w:cs="Arial"/>
          <w:b/>
          <w:bCs/>
        </w:rPr>
        <w:t xml:space="preserve">rocedimiento </w:t>
      </w:r>
      <w:r w:rsidR="0026329A">
        <w:rPr>
          <w:rFonts w:ascii="Arial" w:hAnsi="Arial" w:cs="Arial"/>
          <w:b/>
          <w:bCs/>
        </w:rPr>
        <w:t xml:space="preserve">especial </w:t>
      </w:r>
      <w:r w:rsidRPr="009F6140">
        <w:rPr>
          <w:rFonts w:ascii="Arial" w:hAnsi="Arial" w:cs="Arial"/>
          <w:b/>
          <w:bCs/>
        </w:rPr>
        <w:t>sancionador.</w:t>
      </w:r>
      <w:r w:rsidRPr="000375BC">
        <w:rPr>
          <w:rFonts w:ascii="Arial" w:hAnsi="Arial" w:cs="Arial"/>
          <w:bCs/>
        </w:rPr>
        <w:t xml:space="preserve"> </w:t>
      </w:r>
      <w:r>
        <w:rPr>
          <w:rFonts w:ascii="Arial" w:hAnsi="Arial" w:cs="Arial"/>
          <w:bCs/>
        </w:rPr>
        <w:t xml:space="preserve">El dieciséis de julio, la </w:t>
      </w:r>
      <w:r w:rsidRPr="00922D7F">
        <w:rPr>
          <w:rFonts w:ascii="Arial" w:hAnsi="Arial" w:cs="Arial"/>
          <w:bCs/>
          <w:i/>
        </w:rPr>
        <w:t>Unidad Técnica Jurídica</w:t>
      </w:r>
      <w:r>
        <w:rPr>
          <w:rFonts w:ascii="Arial" w:hAnsi="Arial" w:cs="Arial"/>
          <w:bCs/>
        </w:rPr>
        <w:t xml:space="preserve"> del </w:t>
      </w:r>
      <w:r>
        <w:rPr>
          <w:rFonts w:ascii="Arial" w:hAnsi="Arial" w:cs="Arial"/>
          <w:bCs/>
          <w:i/>
        </w:rPr>
        <w:t>Instituto Local</w:t>
      </w:r>
      <w:r>
        <w:rPr>
          <w:rFonts w:ascii="Arial" w:hAnsi="Arial" w:cs="Arial"/>
          <w:bCs/>
        </w:rPr>
        <w:t xml:space="preserve"> tuvo por recibida la denuncia y la registro bajo el número 21/2020-PES-CG. </w:t>
      </w:r>
    </w:p>
    <w:p w14:paraId="1941C0B3" w14:textId="53EB24AB" w:rsidR="003F4F18" w:rsidRPr="00841E46" w:rsidRDefault="003D7234" w:rsidP="009F6140">
      <w:pPr>
        <w:spacing w:before="240" w:after="240" w:line="360" w:lineRule="auto"/>
        <w:jc w:val="both"/>
        <w:rPr>
          <w:rFonts w:ascii="Arial" w:hAnsi="Arial" w:cs="Arial"/>
          <w:bCs/>
          <w:i/>
        </w:rPr>
      </w:pPr>
      <w:r>
        <w:rPr>
          <w:rFonts w:ascii="Arial" w:hAnsi="Arial" w:cs="Arial"/>
          <w:b/>
          <w:bCs/>
        </w:rPr>
        <w:t>1</w:t>
      </w:r>
      <w:r w:rsidR="002A3D01">
        <w:rPr>
          <w:rFonts w:ascii="Arial" w:hAnsi="Arial" w:cs="Arial"/>
          <w:b/>
          <w:bCs/>
        </w:rPr>
        <w:t>.</w:t>
      </w:r>
      <w:r w:rsidR="0026329A">
        <w:rPr>
          <w:rFonts w:ascii="Arial" w:hAnsi="Arial" w:cs="Arial"/>
          <w:b/>
          <w:bCs/>
        </w:rPr>
        <w:t>4</w:t>
      </w:r>
      <w:r>
        <w:rPr>
          <w:rFonts w:ascii="Arial" w:hAnsi="Arial" w:cs="Arial"/>
          <w:b/>
          <w:bCs/>
        </w:rPr>
        <w:t>.</w:t>
      </w:r>
      <w:r w:rsidR="00974D09">
        <w:rPr>
          <w:rFonts w:ascii="Arial" w:hAnsi="Arial" w:cs="Arial"/>
          <w:b/>
          <w:bCs/>
        </w:rPr>
        <w:t xml:space="preserve"> </w:t>
      </w:r>
      <w:r w:rsidR="00922D7F">
        <w:rPr>
          <w:rFonts w:ascii="Arial" w:hAnsi="Arial" w:cs="Arial"/>
          <w:b/>
          <w:bCs/>
        </w:rPr>
        <w:t>Remisión de expediente</w:t>
      </w:r>
      <w:r w:rsidR="00D75234" w:rsidRPr="000375BC">
        <w:rPr>
          <w:rFonts w:ascii="Arial" w:hAnsi="Arial" w:cs="Arial"/>
          <w:b/>
          <w:bCs/>
        </w:rPr>
        <w:t>.</w:t>
      </w:r>
      <w:r w:rsidR="00943790">
        <w:rPr>
          <w:rFonts w:ascii="Arial" w:hAnsi="Arial" w:cs="Arial"/>
          <w:b/>
          <w:bCs/>
        </w:rPr>
        <w:t xml:space="preserve"> </w:t>
      </w:r>
      <w:r w:rsidR="00974D09">
        <w:rPr>
          <w:rFonts w:ascii="Arial" w:hAnsi="Arial" w:cs="Arial"/>
          <w:bCs/>
        </w:rPr>
        <w:t xml:space="preserve">El </w:t>
      </w:r>
      <w:r w:rsidR="00B87D62">
        <w:rPr>
          <w:rFonts w:ascii="Arial" w:hAnsi="Arial" w:cs="Arial"/>
          <w:bCs/>
        </w:rPr>
        <w:t>nueve</w:t>
      </w:r>
      <w:r w:rsidR="003F4F18">
        <w:rPr>
          <w:rFonts w:ascii="Arial" w:hAnsi="Arial" w:cs="Arial"/>
          <w:bCs/>
        </w:rPr>
        <w:t xml:space="preserve"> de </w:t>
      </w:r>
      <w:r w:rsidR="00B87D62">
        <w:rPr>
          <w:rFonts w:ascii="Arial" w:hAnsi="Arial" w:cs="Arial"/>
          <w:bCs/>
        </w:rPr>
        <w:t>octubre</w:t>
      </w:r>
      <w:r w:rsidR="003F4F18">
        <w:rPr>
          <w:rFonts w:ascii="Arial" w:hAnsi="Arial" w:cs="Arial"/>
          <w:bCs/>
        </w:rPr>
        <w:t xml:space="preserve">, el titular de la </w:t>
      </w:r>
      <w:r w:rsidR="003F4F18" w:rsidRPr="00797D28">
        <w:rPr>
          <w:rFonts w:ascii="Arial" w:hAnsi="Arial" w:cs="Arial"/>
          <w:bCs/>
          <w:i/>
        </w:rPr>
        <w:t xml:space="preserve">Unidad Técnica </w:t>
      </w:r>
      <w:r w:rsidR="00797D28" w:rsidRPr="00797D28">
        <w:rPr>
          <w:rFonts w:ascii="Arial" w:hAnsi="Arial" w:cs="Arial"/>
          <w:bCs/>
          <w:i/>
        </w:rPr>
        <w:t>Jurídica</w:t>
      </w:r>
      <w:r w:rsidR="003F4F18">
        <w:rPr>
          <w:rFonts w:ascii="Arial" w:hAnsi="Arial" w:cs="Arial"/>
          <w:bCs/>
        </w:rPr>
        <w:t xml:space="preserve"> determinó </w:t>
      </w:r>
      <w:r w:rsidR="003F4F18" w:rsidRPr="00C25A10">
        <w:rPr>
          <w:rFonts w:ascii="Arial" w:hAnsi="Arial" w:cs="Arial"/>
          <w:bCs/>
        </w:rPr>
        <w:t xml:space="preserve">que </w:t>
      </w:r>
      <w:r w:rsidR="009A7340" w:rsidRPr="00C25A10">
        <w:rPr>
          <w:rFonts w:ascii="Arial" w:hAnsi="Arial" w:cs="Arial"/>
          <w:bCs/>
        </w:rPr>
        <w:t xml:space="preserve">podrían </w:t>
      </w:r>
      <w:r w:rsidR="00DF07F2" w:rsidRPr="00C25A10">
        <w:rPr>
          <w:rFonts w:ascii="Arial" w:hAnsi="Arial" w:cs="Arial"/>
          <w:bCs/>
        </w:rPr>
        <w:t>existir</w:t>
      </w:r>
      <w:r w:rsidR="00DF07F2">
        <w:rPr>
          <w:rFonts w:ascii="Arial" w:hAnsi="Arial" w:cs="Arial"/>
          <w:bCs/>
        </w:rPr>
        <w:t xml:space="preserve"> conductas infractoras</w:t>
      </w:r>
      <w:r w:rsidR="00922D7F">
        <w:rPr>
          <w:rFonts w:ascii="Arial" w:hAnsi="Arial" w:cs="Arial"/>
          <w:bCs/>
        </w:rPr>
        <w:t xml:space="preserve"> por parte del actor por lo que remite el expediente 21/2020-PES-CG al </w:t>
      </w:r>
      <w:r w:rsidR="00DF07F2">
        <w:rPr>
          <w:rFonts w:ascii="Arial" w:hAnsi="Arial" w:cs="Arial"/>
          <w:bCs/>
          <w:i/>
        </w:rPr>
        <w:t xml:space="preserve">Tribunal </w:t>
      </w:r>
      <w:r w:rsidR="00922D7F">
        <w:rPr>
          <w:rFonts w:ascii="Arial" w:hAnsi="Arial" w:cs="Arial"/>
          <w:bCs/>
          <w:i/>
        </w:rPr>
        <w:t>L</w:t>
      </w:r>
      <w:r w:rsidR="00DF07F2">
        <w:rPr>
          <w:rFonts w:ascii="Arial" w:hAnsi="Arial" w:cs="Arial"/>
          <w:bCs/>
          <w:i/>
        </w:rPr>
        <w:t>ocal</w:t>
      </w:r>
      <w:r w:rsidR="003F4F18">
        <w:rPr>
          <w:rFonts w:ascii="Arial" w:hAnsi="Arial" w:cs="Arial"/>
          <w:bCs/>
          <w:i/>
        </w:rPr>
        <w:t>,</w:t>
      </w:r>
      <w:r w:rsidR="00841E46">
        <w:rPr>
          <w:rFonts w:ascii="Arial" w:hAnsi="Arial" w:cs="Arial"/>
          <w:bCs/>
        </w:rPr>
        <w:t xml:space="preserve"> quien lo registro bajo el número de expediente </w:t>
      </w:r>
      <w:r w:rsidR="00841E46">
        <w:rPr>
          <w:rFonts w:ascii="Arial" w:hAnsi="Arial" w:cs="Arial"/>
        </w:rPr>
        <w:t>TEEG-PES-09/2020</w:t>
      </w:r>
      <w:r w:rsidR="00CA4508">
        <w:rPr>
          <w:rFonts w:ascii="Arial" w:hAnsi="Arial" w:cs="Arial"/>
          <w:bCs/>
        </w:rPr>
        <w:t xml:space="preserve">. </w:t>
      </w:r>
      <w:r w:rsidR="003F4F18">
        <w:rPr>
          <w:rFonts w:ascii="Arial" w:hAnsi="Arial" w:cs="Arial"/>
          <w:bCs/>
        </w:rPr>
        <w:t xml:space="preserve"> </w:t>
      </w:r>
    </w:p>
    <w:p w14:paraId="1FE5E293" w14:textId="6BB2BA04" w:rsidR="00F334CE" w:rsidRDefault="00F334CE" w:rsidP="009F6140">
      <w:pPr>
        <w:spacing w:before="240" w:after="240" w:line="360" w:lineRule="auto"/>
        <w:jc w:val="both"/>
        <w:rPr>
          <w:rFonts w:ascii="Arial" w:hAnsi="Arial" w:cs="Arial"/>
          <w:bCs/>
        </w:rPr>
      </w:pPr>
      <w:r>
        <w:rPr>
          <w:rFonts w:ascii="Arial" w:hAnsi="Arial" w:cs="Arial"/>
          <w:b/>
          <w:bCs/>
        </w:rPr>
        <w:t>1</w:t>
      </w:r>
      <w:r w:rsidR="00244BA8">
        <w:rPr>
          <w:rFonts w:ascii="Arial" w:hAnsi="Arial" w:cs="Arial"/>
          <w:b/>
          <w:bCs/>
        </w:rPr>
        <w:t>.</w:t>
      </w:r>
      <w:r w:rsidR="00841E46">
        <w:rPr>
          <w:rFonts w:ascii="Arial" w:hAnsi="Arial" w:cs="Arial"/>
          <w:b/>
          <w:bCs/>
        </w:rPr>
        <w:t>5</w:t>
      </w:r>
      <w:r>
        <w:rPr>
          <w:rFonts w:ascii="Arial" w:hAnsi="Arial" w:cs="Arial"/>
          <w:b/>
          <w:bCs/>
        </w:rPr>
        <w:t>. Resolución impugnada</w:t>
      </w:r>
      <w:r w:rsidR="00E27392">
        <w:rPr>
          <w:rFonts w:ascii="Arial" w:hAnsi="Arial" w:cs="Arial"/>
          <w:b/>
          <w:bCs/>
        </w:rPr>
        <w:t xml:space="preserve">. </w:t>
      </w:r>
      <w:r w:rsidR="00E656B7" w:rsidRPr="000326B4">
        <w:rPr>
          <w:rFonts w:ascii="Arial" w:hAnsi="Arial" w:cs="Arial"/>
          <w:bCs/>
        </w:rPr>
        <w:t>El</w:t>
      </w:r>
      <w:r w:rsidR="00E656B7">
        <w:rPr>
          <w:rFonts w:ascii="Arial" w:hAnsi="Arial" w:cs="Arial"/>
          <w:b/>
          <w:bCs/>
        </w:rPr>
        <w:t xml:space="preserve"> </w:t>
      </w:r>
      <w:r w:rsidR="003D79C1">
        <w:rPr>
          <w:rFonts w:ascii="Arial" w:hAnsi="Arial" w:cs="Arial"/>
          <w:bCs/>
        </w:rPr>
        <w:t>quince</w:t>
      </w:r>
      <w:r w:rsidR="008B5AFC">
        <w:rPr>
          <w:rFonts w:ascii="Arial" w:hAnsi="Arial" w:cs="Arial"/>
          <w:bCs/>
        </w:rPr>
        <w:t xml:space="preserve"> de </w:t>
      </w:r>
      <w:r w:rsidR="003D79C1">
        <w:rPr>
          <w:rFonts w:ascii="Arial" w:hAnsi="Arial" w:cs="Arial"/>
          <w:bCs/>
        </w:rPr>
        <w:t>dici</w:t>
      </w:r>
      <w:r w:rsidR="008B5AFC">
        <w:rPr>
          <w:rFonts w:ascii="Arial" w:hAnsi="Arial" w:cs="Arial"/>
          <w:bCs/>
        </w:rPr>
        <w:t>embre</w:t>
      </w:r>
      <w:r>
        <w:rPr>
          <w:rFonts w:ascii="Arial" w:hAnsi="Arial" w:cs="Arial"/>
          <w:bCs/>
        </w:rPr>
        <w:t xml:space="preserve">, el </w:t>
      </w:r>
      <w:r w:rsidR="008B5AFC" w:rsidRPr="003D79C1">
        <w:rPr>
          <w:rFonts w:ascii="Arial" w:hAnsi="Arial" w:cs="Arial"/>
          <w:bCs/>
          <w:i/>
        </w:rPr>
        <w:t>T</w:t>
      </w:r>
      <w:r w:rsidRPr="003D79C1">
        <w:rPr>
          <w:rFonts w:ascii="Arial" w:hAnsi="Arial" w:cs="Arial"/>
          <w:bCs/>
          <w:i/>
        </w:rPr>
        <w:t xml:space="preserve">ribunal </w:t>
      </w:r>
      <w:r w:rsidR="008B5AFC" w:rsidRPr="003D79C1">
        <w:rPr>
          <w:rFonts w:ascii="Arial" w:hAnsi="Arial" w:cs="Arial"/>
          <w:bCs/>
          <w:i/>
        </w:rPr>
        <w:t>L</w:t>
      </w:r>
      <w:r w:rsidRPr="003D79C1">
        <w:rPr>
          <w:rFonts w:ascii="Arial" w:hAnsi="Arial" w:cs="Arial"/>
          <w:bCs/>
          <w:i/>
        </w:rPr>
        <w:t>ocal</w:t>
      </w:r>
      <w:r>
        <w:rPr>
          <w:rFonts w:ascii="Arial" w:hAnsi="Arial" w:cs="Arial"/>
          <w:bCs/>
        </w:rPr>
        <w:t xml:space="preserve"> </w:t>
      </w:r>
      <w:r w:rsidR="00244BA8">
        <w:rPr>
          <w:rFonts w:ascii="Arial" w:hAnsi="Arial" w:cs="Arial"/>
          <w:bCs/>
        </w:rPr>
        <w:t xml:space="preserve">resolvió el procedimiento </w:t>
      </w:r>
      <w:r w:rsidR="003E7836">
        <w:rPr>
          <w:rFonts w:ascii="Arial" w:hAnsi="Arial" w:cs="Arial"/>
          <w:bCs/>
        </w:rPr>
        <w:t>especial sancionar</w:t>
      </w:r>
      <w:r w:rsidR="00244BA8">
        <w:rPr>
          <w:rFonts w:ascii="Arial" w:hAnsi="Arial" w:cs="Arial"/>
          <w:bCs/>
        </w:rPr>
        <w:t xml:space="preserve"> de cuenta y determinó, </w:t>
      </w:r>
      <w:r w:rsidR="006F6A04">
        <w:rPr>
          <w:rFonts w:ascii="Arial" w:hAnsi="Arial" w:cs="Arial"/>
          <w:bCs/>
        </w:rPr>
        <w:t xml:space="preserve">entre otras </w:t>
      </w:r>
      <w:r w:rsidR="006F6A04">
        <w:rPr>
          <w:rFonts w:ascii="Arial" w:hAnsi="Arial" w:cs="Arial"/>
          <w:bCs/>
        </w:rPr>
        <w:lastRenderedPageBreak/>
        <w:t>cuestiones,</w:t>
      </w:r>
      <w:r w:rsidR="00244BA8">
        <w:rPr>
          <w:rStyle w:val="FootnoteReference"/>
          <w:rFonts w:ascii="Arial" w:hAnsi="Arial" w:cs="Arial"/>
          <w:bCs/>
        </w:rPr>
        <w:footnoteReference w:id="1"/>
      </w:r>
      <w:r w:rsidR="00207CA7">
        <w:rPr>
          <w:rFonts w:ascii="Arial" w:hAnsi="Arial" w:cs="Arial"/>
        </w:rPr>
        <w:t xml:space="preserve"> </w:t>
      </w:r>
      <w:r w:rsidR="00207CA7" w:rsidRPr="00207CA7">
        <w:rPr>
          <w:rFonts w:ascii="Arial" w:hAnsi="Arial" w:cs="Arial"/>
          <w:lang w:val="es-MX"/>
        </w:rPr>
        <w:t>da</w:t>
      </w:r>
      <w:r w:rsidR="00207CA7">
        <w:rPr>
          <w:rFonts w:ascii="Arial" w:hAnsi="Arial" w:cs="Arial"/>
          <w:lang w:val="es-MX"/>
        </w:rPr>
        <w:t>rle</w:t>
      </w:r>
      <w:r w:rsidR="00207CA7" w:rsidRPr="00207CA7">
        <w:rPr>
          <w:rFonts w:ascii="Arial" w:hAnsi="Arial" w:cs="Arial"/>
          <w:lang w:val="es-MX"/>
        </w:rPr>
        <w:t xml:space="preserve"> vista a la Contraloría Interna del Poder Legislativo y a la Procuraduría de Protección de Niñas, Niños y Adolescentes, ambas del Estado de Guanajuato.</w:t>
      </w:r>
    </w:p>
    <w:p w14:paraId="5131E9EF" w14:textId="748AD560" w:rsidR="00FA4794" w:rsidRDefault="001D09AD" w:rsidP="00244BA8">
      <w:pPr>
        <w:spacing w:before="240" w:after="240" w:line="360" w:lineRule="auto"/>
        <w:jc w:val="both"/>
        <w:rPr>
          <w:rFonts w:ascii="Arial" w:eastAsia="Calibri" w:hAnsi="Arial" w:cs="Arial"/>
          <w:lang w:val="es-ES_tradnl"/>
        </w:rPr>
      </w:pPr>
      <w:r>
        <w:rPr>
          <w:rFonts w:ascii="Arial" w:hAnsi="Arial" w:cs="Arial"/>
          <w:b/>
          <w:bCs/>
        </w:rPr>
        <w:t>1.</w:t>
      </w:r>
      <w:r w:rsidR="00244BA8">
        <w:rPr>
          <w:rFonts w:ascii="Arial" w:hAnsi="Arial" w:cs="Arial"/>
          <w:b/>
          <w:bCs/>
        </w:rPr>
        <w:t>6</w:t>
      </w:r>
      <w:r>
        <w:rPr>
          <w:rFonts w:ascii="Arial" w:hAnsi="Arial" w:cs="Arial"/>
          <w:b/>
          <w:bCs/>
        </w:rPr>
        <w:t>. Juicio federal</w:t>
      </w:r>
      <w:r w:rsidR="00D15863">
        <w:rPr>
          <w:rFonts w:ascii="Arial" w:hAnsi="Arial" w:cs="Arial"/>
          <w:b/>
          <w:bCs/>
        </w:rPr>
        <w:t xml:space="preserve"> SM-JE-85/2020</w:t>
      </w:r>
      <w:r>
        <w:rPr>
          <w:rFonts w:ascii="Arial" w:hAnsi="Arial" w:cs="Arial"/>
          <w:b/>
          <w:bCs/>
        </w:rPr>
        <w:t>.</w:t>
      </w:r>
      <w:bookmarkStart w:id="7" w:name="_Toc483300358"/>
      <w:r w:rsidR="00951FAF" w:rsidRPr="001A3F29">
        <w:rPr>
          <w:rFonts w:ascii="Arial" w:eastAsia="Calibri" w:hAnsi="Arial" w:cs="Arial"/>
          <w:lang w:val="es-ES_tradnl"/>
        </w:rPr>
        <w:t xml:space="preserve"> </w:t>
      </w:r>
      <w:r w:rsidR="00DD5E81" w:rsidRPr="001A3F29">
        <w:rPr>
          <w:rFonts w:ascii="Arial" w:eastAsia="Calibri" w:hAnsi="Arial" w:cs="Arial"/>
          <w:lang w:val="es-ES_tradnl"/>
        </w:rPr>
        <w:t>Inconforme</w:t>
      </w:r>
      <w:r w:rsidR="00B87134">
        <w:rPr>
          <w:rFonts w:ascii="Arial" w:eastAsia="Calibri" w:hAnsi="Arial" w:cs="Arial"/>
          <w:lang w:val="es-ES_tradnl"/>
        </w:rPr>
        <w:t xml:space="preserve"> con esa decisión</w:t>
      </w:r>
      <w:r w:rsidR="00DD5E81" w:rsidRPr="001A3F29">
        <w:rPr>
          <w:rFonts w:ascii="Arial" w:eastAsia="Calibri" w:hAnsi="Arial" w:cs="Arial"/>
          <w:lang w:val="es-ES_tradnl"/>
        </w:rPr>
        <w:t xml:space="preserve">, </w:t>
      </w:r>
      <w:r w:rsidR="00357CAA">
        <w:rPr>
          <w:rFonts w:ascii="Arial" w:eastAsia="Calibri" w:hAnsi="Arial" w:cs="Arial"/>
          <w:lang w:val="es-ES_tradnl"/>
        </w:rPr>
        <w:t xml:space="preserve">el </w:t>
      </w:r>
      <w:r w:rsidR="001F6E3C">
        <w:rPr>
          <w:rFonts w:ascii="Arial" w:eastAsia="Calibri" w:hAnsi="Arial" w:cs="Arial"/>
          <w:lang w:val="es-ES_tradnl"/>
        </w:rPr>
        <w:t>veintidós</w:t>
      </w:r>
      <w:r w:rsidR="006F6A04">
        <w:rPr>
          <w:rFonts w:ascii="Arial" w:eastAsia="Calibri" w:hAnsi="Arial" w:cs="Arial"/>
          <w:lang w:val="es-ES_tradnl"/>
        </w:rPr>
        <w:t xml:space="preserve"> de </w:t>
      </w:r>
      <w:r w:rsidR="00207CA7">
        <w:rPr>
          <w:rFonts w:ascii="Arial" w:eastAsia="Calibri" w:hAnsi="Arial" w:cs="Arial"/>
          <w:lang w:val="es-ES_tradnl"/>
        </w:rPr>
        <w:t>diciembre</w:t>
      </w:r>
      <w:r w:rsidR="00B87134">
        <w:rPr>
          <w:rFonts w:ascii="Arial" w:eastAsia="Calibri" w:hAnsi="Arial" w:cs="Arial"/>
          <w:lang w:val="es-ES_tradnl"/>
        </w:rPr>
        <w:t>,</w:t>
      </w:r>
      <w:r w:rsidR="00951FAF" w:rsidRPr="001A3F29">
        <w:rPr>
          <w:rFonts w:ascii="Arial" w:eastAsia="Calibri" w:hAnsi="Arial" w:cs="Arial"/>
          <w:lang w:val="es-ES_tradnl"/>
        </w:rPr>
        <w:t xml:space="preserve"> </w:t>
      </w:r>
      <w:r w:rsidR="00207CA7">
        <w:rPr>
          <w:rFonts w:ascii="Arial" w:eastAsia="Calibri" w:hAnsi="Arial" w:cs="Arial"/>
          <w:lang w:val="es-ES_tradnl"/>
        </w:rPr>
        <w:t>el</w:t>
      </w:r>
      <w:r w:rsidR="006F6A04">
        <w:rPr>
          <w:rFonts w:ascii="Arial" w:eastAsia="Calibri" w:hAnsi="Arial" w:cs="Arial"/>
          <w:lang w:val="es-ES_tradnl"/>
        </w:rPr>
        <w:t xml:space="preserve"> </w:t>
      </w:r>
      <w:r w:rsidR="001F6E3C" w:rsidRPr="001F6E3C">
        <w:rPr>
          <w:rFonts w:ascii="Arial" w:eastAsia="Calibri" w:hAnsi="Arial" w:cs="Arial"/>
          <w:lang w:val="es-ES_tradnl"/>
        </w:rPr>
        <w:t>actor</w:t>
      </w:r>
      <w:r w:rsidR="00B87134">
        <w:rPr>
          <w:rFonts w:ascii="Arial" w:eastAsia="Calibri" w:hAnsi="Arial" w:cs="Arial"/>
          <w:lang w:val="es-ES_tradnl"/>
        </w:rPr>
        <w:t xml:space="preserve"> promovi</w:t>
      </w:r>
      <w:r w:rsidR="006F6A04">
        <w:rPr>
          <w:rFonts w:ascii="Arial" w:eastAsia="Calibri" w:hAnsi="Arial" w:cs="Arial"/>
          <w:lang w:val="es-ES_tradnl"/>
        </w:rPr>
        <w:t>ó</w:t>
      </w:r>
      <w:r w:rsidR="00B87134">
        <w:rPr>
          <w:rFonts w:ascii="Arial" w:eastAsia="Calibri" w:hAnsi="Arial" w:cs="Arial"/>
          <w:lang w:val="es-ES_tradnl"/>
        </w:rPr>
        <w:t xml:space="preserve"> </w:t>
      </w:r>
      <w:r w:rsidR="006F6A04">
        <w:rPr>
          <w:rFonts w:ascii="Arial" w:eastAsia="Calibri" w:hAnsi="Arial" w:cs="Arial"/>
          <w:lang w:val="es-ES_tradnl"/>
        </w:rPr>
        <w:t>el</w:t>
      </w:r>
      <w:r w:rsidR="0092030A">
        <w:rPr>
          <w:rFonts w:ascii="Arial" w:eastAsia="Calibri" w:hAnsi="Arial" w:cs="Arial"/>
          <w:lang w:val="es-ES_tradnl"/>
        </w:rPr>
        <w:t xml:space="preserve"> presente medio de impugnación</w:t>
      </w:r>
      <w:r w:rsidR="00FA4794">
        <w:rPr>
          <w:rFonts w:ascii="Arial" w:eastAsia="Calibri" w:hAnsi="Arial" w:cs="Arial"/>
          <w:lang w:val="es-ES_tradnl"/>
        </w:rPr>
        <w:t>.</w:t>
      </w:r>
    </w:p>
    <w:p w14:paraId="02E84913" w14:textId="77777777" w:rsidR="00951FAF" w:rsidRPr="007430B7" w:rsidRDefault="0025619B" w:rsidP="009F6140">
      <w:pPr>
        <w:pStyle w:val="Heading1"/>
        <w:numPr>
          <w:ilvl w:val="0"/>
          <w:numId w:val="10"/>
        </w:numPr>
        <w:spacing w:before="240" w:beforeAutospacing="0" w:after="240" w:afterAutospacing="0"/>
      </w:pPr>
      <w:bookmarkStart w:id="8" w:name="_Toc5673428"/>
      <w:bookmarkStart w:id="9" w:name="_Toc59140009"/>
      <w:bookmarkStart w:id="10" w:name="_Toc483300361"/>
      <w:bookmarkEnd w:id="5"/>
      <w:bookmarkEnd w:id="7"/>
      <w:r w:rsidRPr="007430B7">
        <w:rPr>
          <w:caps w:val="0"/>
        </w:rPr>
        <w:t>COMPETENCIA</w:t>
      </w:r>
      <w:bookmarkEnd w:id="8"/>
      <w:bookmarkEnd w:id="9"/>
    </w:p>
    <w:p w14:paraId="244809D0" w14:textId="7EEA8BC9" w:rsidR="00951FAF" w:rsidRPr="00C84516" w:rsidRDefault="00951FAF" w:rsidP="00C84516">
      <w:pPr>
        <w:shd w:val="clear" w:color="auto" w:fill="FFFFFF" w:themeFill="background1"/>
        <w:spacing w:before="240" w:after="240" w:line="360" w:lineRule="auto"/>
        <w:jc w:val="both"/>
        <w:rPr>
          <w:rFonts w:ascii="Arial" w:hAnsi="Arial" w:cs="Arial"/>
          <w:lang w:val="es-MX"/>
        </w:rPr>
      </w:pPr>
      <w:r w:rsidRPr="00B44984">
        <w:rPr>
          <w:rFonts w:ascii="Arial" w:hAnsi="Arial" w:cs="Arial"/>
          <w:lang w:val="es-ES_tradnl"/>
        </w:rPr>
        <w:t xml:space="preserve">Esta Sala Regional es competente para conocer y resolver el presente juicio, </w:t>
      </w:r>
      <w:r w:rsidR="0026329A">
        <w:rPr>
          <w:rFonts w:ascii="Arial" w:hAnsi="Arial" w:cs="Arial"/>
          <w:lang w:val="es-ES_tradnl"/>
        </w:rPr>
        <w:t>toda vez que</w:t>
      </w:r>
      <w:r w:rsidR="00CF71F2" w:rsidRPr="00B44984">
        <w:rPr>
          <w:rFonts w:ascii="Arial" w:hAnsi="Arial" w:cs="Arial"/>
          <w:lang w:val="es-ES_tradnl"/>
        </w:rPr>
        <w:t xml:space="preserve"> controvierte una</w:t>
      </w:r>
      <w:r w:rsidR="00CE6441" w:rsidRPr="00B44984">
        <w:rPr>
          <w:rFonts w:ascii="Arial" w:hAnsi="Arial" w:cs="Arial"/>
          <w:lang w:val="es-ES_tradnl"/>
        </w:rPr>
        <w:t xml:space="preserve"> sentencia del </w:t>
      </w:r>
      <w:r w:rsidR="00CF71F2" w:rsidRPr="00B44984">
        <w:rPr>
          <w:rFonts w:ascii="Arial" w:hAnsi="Arial" w:cs="Arial"/>
          <w:lang w:val="es-ES_tradnl"/>
        </w:rPr>
        <w:t>Tribunal</w:t>
      </w:r>
      <w:r w:rsidR="0026329A">
        <w:rPr>
          <w:rFonts w:ascii="Arial" w:hAnsi="Arial" w:cs="Arial"/>
          <w:lang w:val="es-ES_tradnl"/>
        </w:rPr>
        <w:t xml:space="preserve"> Estatal</w:t>
      </w:r>
      <w:r w:rsidR="00CF71F2" w:rsidRPr="00B44984">
        <w:rPr>
          <w:rFonts w:ascii="Arial" w:hAnsi="Arial" w:cs="Arial"/>
          <w:lang w:val="es-ES_tradnl"/>
        </w:rPr>
        <w:t xml:space="preserve"> </w:t>
      </w:r>
      <w:r w:rsidR="005441D7" w:rsidRPr="00B44984">
        <w:rPr>
          <w:rFonts w:ascii="Arial" w:hAnsi="Arial" w:cs="Arial"/>
          <w:lang w:val="es-ES_tradnl"/>
        </w:rPr>
        <w:t>Electoral de</w:t>
      </w:r>
      <w:r w:rsidR="00CF71F2" w:rsidRPr="00B44984">
        <w:rPr>
          <w:rFonts w:ascii="Arial" w:hAnsi="Arial" w:cs="Arial"/>
          <w:lang w:val="es-ES_tradnl"/>
        </w:rPr>
        <w:t xml:space="preserve"> </w:t>
      </w:r>
      <w:r w:rsidR="0026329A">
        <w:rPr>
          <w:rFonts w:ascii="Arial" w:hAnsi="Arial" w:cs="Arial"/>
          <w:lang w:val="es-ES_tradnl"/>
        </w:rPr>
        <w:t>Guanajuato</w:t>
      </w:r>
      <w:r w:rsidR="0035529A">
        <w:rPr>
          <w:rFonts w:ascii="Arial" w:hAnsi="Arial" w:cs="Arial"/>
          <w:lang w:val="es-ES_tradnl"/>
        </w:rPr>
        <w:t xml:space="preserve"> </w:t>
      </w:r>
      <w:r w:rsidR="00E4408D">
        <w:rPr>
          <w:rFonts w:ascii="Arial" w:hAnsi="Arial" w:cs="Arial"/>
          <w:lang w:val="es-ES_tradnl"/>
        </w:rPr>
        <w:t>dictada en un</w:t>
      </w:r>
      <w:r w:rsidR="00A11329" w:rsidRPr="000A4B72">
        <w:rPr>
          <w:rFonts w:ascii="Arial" w:hAnsi="Arial" w:cs="Arial"/>
        </w:rPr>
        <w:t xml:space="preserve"> procedimiento </w:t>
      </w:r>
      <w:r w:rsidR="00CD23F2">
        <w:rPr>
          <w:rFonts w:ascii="Arial" w:hAnsi="Arial" w:cs="Arial"/>
        </w:rPr>
        <w:t xml:space="preserve">especial </w:t>
      </w:r>
      <w:r w:rsidR="00A11329" w:rsidRPr="000A4B72">
        <w:rPr>
          <w:rFonts w:ascii="Arial" w:hAnsi="Arial" w:cs="Arial"/>
        </w:rPr>
        <w:t xml:space="preserve">sancionador iniciado </w:t>
      </w:r>
      <w:r w:rsidR="00E4408D">
        <w:rPr>
          <w:rFonts w:ascii="Arial" w:hAnsi="Arial" w:cs="Arial"/>
          <w:lang w:val="es-ES_tradnl"/>
        </w:rPr>
        <w:t xml:space="preserve">por supuestas irregularidades </w:t>
      </w:r>
      <w:r w:rsidR="009A7340" w:rsidRPr="00C25A10">
        <w:rPr>
          <w:rFonts w:ascii="Arial" w:hAnsi="Arial" w:cs="Arial"/>
          <w:lang w:val="es-ES_tradnl"/>
        </w:rPr>
        <w:t xml:space="preserve">relacionadas con el indebido uso </w:t>
      </w:r>
      <w:r w:rsidR="00CD23F2" w:rsidRPr="00C25A10">
        <w:rPr>
          <w:rFonts w:ascii="Arial" w:hAnsi="Arial" w:cs="Arial"/>
          <w:lang w:val="es-MX"/>
        </w:rPr>
        <w:t>de recursos públicos,</w:t>
      </w:r>
      <w:r w:rsidR="00CD23F2" w:rsidRPr="00CD23F2">
        <w:rPr>
          <w:rFonts w:ascii="Arial" w:hAnsi="Arial" w:cs="Arial"/>
          <w:lang w:val="es-MX"/>
        </w:rPr>
        <w:t xml:space="preserve"> promoción personalizada </w:t>
      </w:r>
      <w:r w:rsidR="00CD23F2">
        <w:rPr>
          <w:rFonts w:ascii="Arial" w:hAnsi="Arial" w:cs="Arial"/>
          <w:lang w:val="es-MX"/>
        </w:rPr>
        <w:t xml:space="preserve">y afectación al interés superior de la niñez </w:t>
      </w:r>
      <w:r w:rsidR="00CD23F2" w:rsidRPr="00CD23F2">
        <w:rPr>
          <w:rFonts w:ascii="Arial" w:hAnsi="Arial" w:cs="Arial"/>
          <w:lang w:val="es-MX"/>
        </w:rPr>
        <w:t>así como por culpa en la vigilancia</w:t>
      </w:r>
      <w:r w:rsidR="0098390A" w:rsidRPr="00B44984">
        <w:rPr>
          <w:rFonts w:ascii="Arial" w:hAnsi="Arial" w:cs="Arial"/>
          <w:lang w:val="es-ES_tradnl"/>
        </w:rPr>
        <w:t>,</w:t>
      </w:r>
      <w:r w:rsidR="00C84516">
        <w:rPr>
          <w:rFonts w:ascii="Arial" w:hAnsi="Arial" w:cs="Arial"/>
          <w:lang w:val="es-ES_tradnl"/>
        </w:rPr>
        <w:t xml:space="preserve"> </w:t>
      </w:r>
      <w:r w:rsidR="00D15863">
        <w:rPr>
          <w:rFonts w:ascii="Arial" w:hAnsi="Arial" w:cs="Arial"/>
          <w:lang w:val="es-ES_tradnl"/>
        </w:rPr>
        <w:t>atribuidas a un diputado del partido político MORENA, integrante la</w:t>
      </w:r>
      <w:r w:rsidR="00D15863">
        <w:rPr>
          <w:rFonts w:ascii="Arial" w:hAnsi="Arial" w:cs="Arial"/>
          <w:bCs/>
        </w:rPr>
        <w:t xml:space="preserve"> LXIV Legislatura del Congreso de Guanajuato,</w:t>
      </w:r>
      <w:r w:rsidR="00D15863">
        <w:rPr>
          <w:rFonts w:ascii="Arial" w:hAnsi="Arial" w:cs="Arial"/>
          <w:lang w:val="es-ES_tradnl"/>
        </w:rPr>
        <w:t xml:space="preserve"> </w:t>
      </w:r>
      <w:r w:rsidR="00CF71F2" w:rsidRPr="00B44984">
        <w:rPr>
          <w:rFonts w:ascii="Arial" w:hAnsi="Arial" w:cs="Arial"/>
          <w:lang w:val="es-ES_tradnl"/>
        </w:rPr>
        <w:t xml:space="preserve">entidad federativa que se </w:t>
      </w:r>
      <w:r w:rsidRPr="00B44984">
        <w:rPr>
          <w:rFonts w:ascii="Arial" w:hAnsi="Arial" w:cs="Arial"/>
          <w:lang w:val="es-ES_tradnl"/>
        </w:rPr>
        <w:t>ubica</w:t>
      </w:r>
      <w:r w:rsidR="00485831" w:rsidRPr="00B44984">
        <w:rPr>
          <w:rFonts w:ascii="Arial" w:hAnsi="Arial" w:cs="Arial"/>
          <w:lang w:val="es-ES_tradnl"/>
        </w:rPr>
        <w:t xml:space="preserve"> dentro de</w:t>
      </w:r>
      <w:r w:rsidRPr="00B44984">
        <w:rPr>
          <w:rFonts w:ascii="Arial" w:hAnsi="Arial" w:cs="Arial"/>
          <w:lang w:val="es-ES_tradnl"/>
        </w:rPr>
        <w:t xml:space="preserve"> la Segunda Circunscripción Plurinominal Electoral en la que esta Sala ejerce jurisdicción.</w:t>
      </w:r>
    </w:p>
    <w:p w14:paraId="7AAD34F9" w14:textId="5F9BFBA8" w:rsidR="00546EF1" w:rsidRPr="00244BA8" w:rsidRDefault="00B44984" w:rsidP="00244BA8">
      <w:pPr>
        <w:tabs>
          <w:tab w:val="left" w:pos="708"/>
        </w:tabs>
        <w:spacing w:before="240" w:after="240" w:line="360" w:lineRule="auto"/>
        <w:jc w:val="both"/>
        <w:rPr>
          <w:rFonts w:ascii="Arial" w:hAnsi="Arial" w:cs="Arial"/>
          <w:bCs/>
          <w:lang w:eastAsia="es-MX"/>
        </w:rPr>
      </w:pPr>
      <w:r>
        <w:rPr>
          <w:rFonts w:ascii="Arial" w:hAnsi="Arial" w:cs="Arial"/>
          <w:lang w:eastAsia="es-MX"/>
        </w:rPr>
        <w:t xml:space="preserve">Lo anterior, con fundamento en el artículo </w:t>
      </w:r>
      <w:r>
        <w:rPr>
          <w:rFonts w:ascii="Arial" w:hAnsi="Arial" w:cs="Arial"/>
        </w:rPr>
        <w:t xml:space="preserve">195, </w:t>
      </w:r>
      <w:r w:rsidR="00C84516">
        <w:rPr>
          <w:rFonts w:ascii="Arial" w:hAnsi="Arial" w:cs="Arial"/>
        </w:rPr>
        <w:t>fracción</w:t>
      </w:r>
      <w:r>
        <w:rPr>
          <w:rFonts w:ascii="Arial" w:hAnsi="Arial" w:cs="Arial"/>
        </w:rPr>
        <w:t xml:space="preserve"> XIV, de la Ley Orgánica del Poder Judicial de la Federación</w:t>
      </w:r>
      <w:r>
        <w:rPr>
          <w:rFonts w:ascii="Arial" w:hAnsi="Arial" w:cs="Arial"/>
          <w:bCs/>
          <w:lang w:eastAsia="es-MX"/>
        </w:rPr>
        <w:t xml:space="preserve"> y </w:t>
      </w:r>
      <w:r>
        <w:rPr>
          <w:rFonts w:ascii="Arial" w:hAnsi="Arial" w:cs="Arial"/>
          <w:lang w:eastAsia="es-MX"/>
        </w:rPr>
        <w:t xml:space="preserve">los Lineamientos </w:t>
      </w:r>
      <w:r>
        <w:rPr>
          <w:rFonts w:ascii="Arial" w:hAnsi="Arial" w:cs="Arial"/>
          <w:bCs/>
          <w:lang w:eastAsia="es-MX"/>
        </w:rPr>
        <w:t>Generales para la Identificación e Integración de Expedientes del Tribunal Electoral del Poder Judicial de la Federación.</w:t>
      </w:r>
      <w:r>
        <w:rPr>
          <w:rFonts w:ascii="Arial" w:hAnsi="Arial" w:cs="Arial"/>
          <w:bCs/>
          <w:vertAlign w:val="superscript"/>
        </w:rPr>
        <w:footnoteReference w:id="2"/>
      </w:r>
      <w:bookmarkEnd w:id="10"/>
    </w:p>
    <w:p w14:paraId="61D61F14" w14:textId="77777777" w:rsidR="00AB5924" w:rsidRPr="007430B7" w:rsidRDefault="0025619B" w:rsidP="009F6140">
      <w:pPr>
        <w:pStyle w:val="Heading1"/>
        <w:numPr>
          <w:ilvl w:val="0"/>
          <w:numId w:val="10"/>
        </w:numPr>
        <w:spacing w:before="240" w:beforeAutospacing="0" w:after="240" w:afterAutospacing="0"/>
      </w:pPr>
      <w:bookmarkStart w:id="11" w:name="_Toc59140010"/>
      <w:r w:rsidRPr="007430B7">
        <w:rPr>
          <w:caps w:val="0"/>
        </w:rPr>
        <w:t>PROCEDENCIA</w:t>
      </w:r>
      <w:bookmarkEnd w:id="11"/>
    </w:p>
    <w:p w14:paraId="6E732E62" w14:textId="42232B1A" w:rsidR="00485AA8" w:rsidRDefault="00485AA8" w:rsidP="009F6140">
      <w:pPr>
        <w:spacing w:before="240" w:after="240" w:line="360" w:lineRule="auto"/>
        <w:jc w:val="both"/>
        <w:rPr>
          <w:rFonts w:ascii="Arial" w:hAnsi="Arial" w:cs="Arial"/>
        </w:rPr>
      </w:pPr>
      <w:r w:rsidRPr="00D91205">
        <w:rPr>
          <w:rFonts w:ascii="Arial" w:hAnsi="Arial" w:cs="Arial"/>
        </w:rPr>
        <w:t xml:space="preserve">El presente juicio es procedente porque reúne los requisitos previstos en los artículos 8, 9, párrafo 1, 79 y 80 de la </w:t>
      </w:r>
      <w:r w:rsidRPr="00D91205">
        <w:rPr>
          <w:rFonts w:ascii="Arial" w:hAnsi="Arial" w:cs="Arial"/>
          <w:i/>
        </w:rPr>
        <w:t>Ley de Medios</w:t>
      </w:r>
      <w:r w:rsidRPr="00D91205">
        <w:rPr>
          <w:rFonts w:ascii="Arial" w:hAnsi="Arial" w:cs="Arial"/>
        </w:rPr>
        <w:t xml:space="preserve">, conforme lo razonado en el auto de admisión de </w:t>
      </w:r>
      <w:r w:rsidR="00D8755A">
        <w:rPr>
          <w:rFonts w:ascii="Arial" w:hAnsi="Arial" w:cs="Arial"/>
        </w:rPr>
        <w:t>treinta</w:t>
      </w:r>
      <w:r>
        <w:rPr>
          <w:rFonts w:ascii="Arial" w:hAnsi="Arial" w:cs="Arial"/>
        </w:rPr>
        <w:t xml:space="preserve"> de diciembre </w:t>
      </w:r>
      <w:r w:rsidRPr="00D91205">
        <w:rPr>
          <w:rFonts w:ascii="Arial" w:hAnsi="Arial" w:cs="Arial"/>
        </w:rPr>
        <w:t xml:space="preserve">de </w:t>
      </w:r>
      <w:r w:rsidR="00D8755A">
        <w:rPr>
          <w:rFonts w:ascii="Arial" w:hAnsi="Arial" w:cs="Arial"/>
        </w:rPr>
        <w:t>dos mil veinte</w:t>
      </w:r>
      <w:r w:rsidRPr="00D91205">
        <w:rPr>
          <w:rFonts w:ascii="Arial" w:hAnsi="Arial" w:cs="Arial"/>
        </w:rPr>
        <w:t>.</w:t>
      </w:r>
    </w:p>
    <w:p w14:paraId="5A395032" w14:textId="00C51F75" w:rsidR="00640A5F" w:rsidRPr="004A5F03" w:rsidRDefault="008811C1" w:rsidP="008811C1">
      <w:pPr>
        <w:pStyle w:val="ListParagraph"/>
        <w:numPr>
          <w:ilvl w:val="0"/>
          <w:numId w:val="10"/>
        </w:numPr>
        <w:spacing w:before="240" w:after="240" w:line="360" w:lineRule="auto"/>
        <w:jc w:val="both"/>
        <w:rPr>
          <w:rFonts w:ascii="Arial" w:hAnsi="Arial" w:cs="Arial"/>
          <w:b/>
        </w:rPr>
      </w:pPr>
      <w:r w:rsidRPr="004A5F03">
        <w:rPr>
          <w:rFonts w:ascii="Arial" w:hAnsi="Arial" w:cs="Arial"/>
          <w:b/>
        </w:rPr>
        <w:t>ESTUDIO DE FONDO</w:t>
      </w:r>
    </w:p>
    <w:p w14:paraId="25548C3E" w14:textId="4F9A045D" w:rsidR="008811C1" w:rsidRPr="00F25C7A" w:rsidRDefault="008811C1" w:rsidP="00F25C7A">
      <w:pPr>
        <w:spacing w:before="240" w:after="240" w:line="360" w:lineRule="auto"/>
        <w:jc w:val="both"/>
        <w:rPr>
          <w:rFonts w:ascii="Arial" w:hAnsi="Arial" w:cs="Arial"/>
          <w:b/>
        </w:rPr>
      </w:pPr>
      <w:r w:rsidRPr="00F25C7A">
        <w:rPr>
          <w:rFonts w:ascii="Arial" w:hAnsi="Arial" w:cs="Arial"/>
          <w:b/>
        </w:rPr>
        <w:t xml:space="preserve">4.1. </w:t>
      </w:r>
      <w:r w:rsidR="00942576" w:rsidRPr="00F25C7A">
        <w:rPr>
          <w:rFonts w:ascii="Arial" w:hAnsi="Arial" w:cs="Arial"/>
          <w:b/>
        </w:rPr>
        <w:t>Materia de la controversia</w:t>
      </w:r>
    </w:p>
    <w:p w14:paraId="0FA3A706" w14:textId="788685C7" w:rsidR="008811C1" w:rsidRPr="00F25C7A" w:rsidRDefault="008811C1" w:rsidP="00F25C7A">
      <w:pPr>
        <w:spacing w:line="360" w:lineRule="auto"/>
        <w:jc w:val="both"/>
        <w:rPr>
          <w:rFonts w:ascii="Arial" w:hAnsi="Arial" w:cs="Arial"/>
          <w:b/>
        </w:rPr>
      </w:pPr>
      <w:r w:rsidRPr="00F25C7A">
        <w:rPr>
          <w:rFonts w:ascii="Arial" w:hAnsi="Arial" w:cs="Arial"/>
          <w:b/>
        </w:rPr>
        <w:t>4.</w:t>
      </w:r>
      <w:r w:rsidR="002D0A0F" w:rsidRPr="00F25C7A">
        <w:rPr>
          <w:rFonts w:ascii="Arial" w:hAnsi="Arial" w:cs="Arial"/>
          <w:b/>
        </w:rPr>
        <w:t>1</w:t>
      </w:r>
      <w:r w:rsidRPr="00F25C7A">
        <w:rPr>
          <w:rFonts w:ascii="Arial" w:hAnsi="Arial" w:cs="Arial"/>
          <w:b/>
        </w:rPr>
        <w:t>.1. Sentencia dictada en el expediente TEEG-PES-9/2020</w:t>
      </w:r>
    </w:p>
    <w:p w14:paraId="6E10EA58" w14:textId="19FB2E94" w:rsidR="008811C1" w:rsidRPr="00F25C7A" w:rsidRDefault="008811C1" w:rsidP="00F25C7A">
      <w:pPr>
        <w:spacing w:line="360" w:lineRule="auto"/>
        <w:jc w:val="both"/>
        <w:rPr>
          <w:rFonts w:ascii="Arial" w:hAnsi="Arial" w:cs="Arial"/>
        </w:rPr>
      </w:pPr>
    </w:p>
    <w:p w14:paraId="543699F0" w14:textId="0F95BE85" w:rsidR="008811C1" w:rsidRPr="00F25C7A" w:rsidRDefault="008811C1" w:rsidP="00F25C7A">
      <w:pPr>
        <w:spacing w:line="360" w:lineRule="auto"/>
        <w:jc w:val="both"/>
        <w:rPr>
          <w:rFonts w:ascii="Arial" w:hAnsi="Arial" w:cs="Arial"/>
        </w:rPr>
      </w:pPr>
      <w:r w:rsidRPr="00F25C7A">
        <w:rPr>
          <w:rFonts w:ascii="Arial" w:hAnsi="Arial" w:cs="Arial"/>
        </w:rPr>
        <w:lastRenderedPageBreak/>
        <w:t xml:space="preserve">En la sentencia local, el </w:t>
      </w:r>
      <w:r w:rsidRPr="00F25C7A">
        <w:rPr>
          <w:rFonts w:ascii="Arial" w:hAnsi="Arial" w:cs="Arial"/>
          <w:i/>
        </w:rPr>
        <w:t xml:space="preserve">Tribunal </w:t>
      </w:r>
      <w:r w:rsidR="00F75A93" w:rsidRPr="00F25C7A">
        <w:rPr>
          <w:rFonts w:ascii="Arial" w:hAnsi="Arial" w:cs="Arial"/>
          <w:i/>
        </w:rPr>
        <w:t>L</w:t>
      </w:r>
      <w:r w:rsidRPr="00F25C7A">
        <w:rPr>
          <w:rFonts w:ascii="Arial" w:hAnsi="Arial" w:cs="Arial"/>
          <w:i/>
        </w:rPr>
        <w:t>ocal</w:t>
      </w:r>
      <w:r w:rsidRPr="00F25C7A">
        <w:rPr>
          <w:rFonts w:ascii="Arial" w:hAnsi="Arial" w:cs="Arial"/>
        </w:rPr>
        <w:t>, determinó que el actor había vulnerado el interés superior del menor, ya que exhibió en la red social Facebook una fotografía donde se mostraba a una menor de edad sin haber acreditado que contaba con el consentimiento correspondiente, siendo que tal requisito estaba exigido en los</w:t>
      </w:r>
      <w:r w:rsidR="003B379D" w:rsidRPr="00F25C7A">
        <w:rPr>
          <w:rFonts w:ascii="Arial" w:hAnsi="Arial" w:cs="Arial"/>
        </w:rPr>
        <w:t xml:space="preserve"> </w:t>
      </w:r>
      <w:r w:rsidR="003B379D" w:rsidRPr="00F25C7A">
        <w:rPr>
          <w:rFonts w:ascii="Arial" w:hAnsi="Arial" w:cs="Arial"/>
          <w:i/>
        </w:rPr>
        <w:t>Lineamientos</w:t>
      </w:r>
      <w:r w:rsidR="009D4C96" w:rsidRPr="00F25C7A">
        <w:rPr>
          <w:rFonts w:ascii="Arial" w:hAnsi="Arial" w:cs="Arial"/>
        </w:rPr>
        <w:t>.</w:t>
      </w:r>
    </w:p>
    <w:p w14:paraId="3CB6B6DA" w14:textId="790DD3F0" w:rsidR="009D4C96" w:rsidRPr="00F25C7A" w:rsidRDefault="009D4C96" w:rsidP="00F25C7A">
      <w:pPr>
        <w:spacing w:line="360" w:lineRule="auto"/>
        <w:jc w:val="both"/>
        <w:rPr>
          <w:rFonts w:ascii="Arial" w:hAnsi="Arial" w:cs="Arial"/>
        </w:rPr>
      </w:pPr>
    </w:p>
    <w:p w14:paraId="22889720" w14:textId="035C18AE" w:rsidR="009D4C96" w:rsidRPr="00F25C7A" w:rsidRDefault="009D4C96" w:rsidP="00F25C7A">
      <w:pPr>
        <w:spacing w:line="360" w:lineRule="auto"/>
        <w:jc w:val="both"/>
        <w:rPr>
          <w:rFonts w:ascii="Arial" w:hAnsi="Arial" w:cs="Arial"/>
        </w:rPr>
      </w:pPr>
      <w:r w:rsidRPr="00F25C7A">
        <w:rPr>
          <w:rFonts w:ascii="Arial" w:hAnsi="Arial" w:cs="Arial"/>
        </w:rPr>
        <w:t xml:space="preserve">Sostuvo que no era factible </w:t>
      </w:r>
      <w:r w:rsidR="007676CE" w:rsidRPr="00F25C7A">
        <w:rPr>
          <w:rFonts w:ascii="Arial" w:hAnsi="Arial" w:cs="Arial"/>
        </w:rPr>
        <w:t>imponer</w:t>
      </w:r>
      <w:r w:rsidRPr="00F25C7A">
        <w:rPr>
          <w:rFonts w:ascii="Arial" w:hAnsi="Arial" w:cs="Arial"/>
        </w:rPr>
        <w:t xml:space="preserve"> una sanción </w:t>
      </w:r>
      <w:r w:rsidR="007676CE" w:rsidRPr="00F25C7A">
        <w:rPr>
          <w:rFonts w:ascii="Arial" w:hAnsi="Arial" w:cs="Arial"/>
        </w:rPr>
        <w:t xml:space="preserve">al denunciado </w:t>
      </w:r>
      <w:r w:rsidRPr="00F25C7A">
        <w:rPr>
          <w:rFonts w:ascii="Arial" w:hAnsi="Arial" w:cs="Arial"/>
        </w:rPr>
        <w:t>ya que</w:t>
      </w:r>
      <w:r w:rsidRPr="00C25A10">
        <w:rPr>
          <w:rFonts w:ascii="Arial" w:hAnsi="Arial" w:cs="Arial"/>
        </w:rPr>
        <w:t xml:space="preserve"> </w:t>
      </w:r>
      <w:r w:rsidR="007676CE" w:rsidRPr="00C25A10">
        <w:rPr>
          <w:rFonts w:ascii="Arial" w:hAnsi="Arial" w:cs="Arial"/>
        </w:rPr>
        <w:t>la</w:t>
      </w:r>
      <w:r w:rsidR="007676CE" w:rsidRPr="00F25C7A">
        <w:rPr>
          <w:rFonts w:ascii="Arial" w:hAnsi="Arial" w:cs="Arial"/>
          <w:i/>
        </w:rPr>
        <w:t xml:space="preserve"> Ley Electoral Local</w:t>
      </w:r>
      <w:r w:rsidR="007676CE" w:rsidRPr="00F25C7A">
        <w:rPr>
          <w:rFonts w:ascii="Arial" w:hAnsi="Arial" w:cs="Arial"/>
        </w:rPr>
        <w:t>, no establecía dicha conducta dentro de su catalogo de sanciones, pero que era evidente que se vulneró el derecho a la privacidad de una menor de edad al no existir alguna constancia que hiciera visible la existencia del consentimiento para aparecer en la red social del denunciado.</w:t>
      </w:r>
    </w:p>
    <w:p w14:paraId="4127FDCB" w14:textId="6C273E61" w:rsidR="008811C1" w:rsidRPr="00F25C7A" w:rsidRDefault="008811C1" w:rsidP="00F25C7A">
      <w:pPr>
        <w:spacing w:line="360" w:lineRule="auto"/>
        <w:jc w:val="both"/>
        <w:rPr>
          <w:rFonts w:ascii="Arial" w:hAnsi="Arial" w:cs="Arial"/>
        </w:rPr>
      </w:pPr>
    </w:p>
    <w:p w14:paraId="3890F691" w14:textId="6E27A224" w:rsidR="008811C1" w:rsidRPr="00F25C7A" w:rsidRDefault="008811C1" w:rsidP="00F25C7A">
      <w:pPr>
        <w:spacing w:line="360" w:lineRule="auto"/>
        <w:jc w:val="both"/>
        <w:rPr>
          <w:rFonts w:ascii="Arial" w:hAnsi="Arial" w:cs="Arial"/>
        </w:rPr>
      </w:pPr>
      <w:r w:rsidRPr="00F25C7A">
        <w:rPr>
          <w:rFonts w:ascii="Arial" w:hAnsi="Arial" w:cs="Arial"/>
        </w:rPr>
        <w:t xml:space="preserve">Por lo anterior, determinó dar vista a diversas autoridades para los efectos de </w:t>
      </w:r>
      <w:r w:rsidR="00D0643B" w:rsidRPr="00F25C7A">
        <w:rPr>
          <w:rFonts w:ascii="Arial" w:hAnsi="Arial" w:cs="Arial"/>
        </w:rPr>
        <w:t>que,</w:t>
      </w:r>
      <w:r w:rsidRPr="00F25C7A">
        <w:rPr>
          <w:rFonts w:ascii="Arial" w:hAnsi="Arial" w:cs="Arial"/>
        </w:rPr>
        <w:t xml:space="preserve"> </w:t>
      </w:r>
      <w:r w:rsidR="007676CE" w:rsidRPr="00F25C7A">
        <w:rPr>
          <w:rFonts w:ascii="Arial" w:hAnsi="Arial" w:cs="Arial"/>
        </w:rPr>
        <w:t>en el ámbito de sus atribuciones, determinaran lo que en derecho correspondiera.</w:t>
      </w:r>
    </w:p>
    <w:p w14:paraId="263CF713" w14:textId="7FC3DDBD" w:rsidR="007676CE" w:rsidRPr="00F25C7A" w:rsidRDefault="00D0643B"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4.</w:t>
      </w:r>
      <w:r w:rsidR="002D0A0F" w:rsidRPr="00F25C7A">
        <w:rPr>
          <w:rFonts w:ascii="Arial" w:hAnsi="Arial" w:cs="Arial"/>
          <w:b/>
        </w:rPr>
        <w:t>1</w:t>
      </w:r>
      <w:r w:rsidRPr="00F25C7A">
        <w:rPr>
          <w:rFonts w:ascii="Arial" w:hAnsi="Arial" w:cs="Arial"/>
          <w:b/>
        </w:rPr>
        <w:t>.2. Demanda ante la Sala Regional</w:t>
      </w:r>
    </w:p>
    <w:p w14:paraId="6FB08C4F" w14:textId="07018BCB" w:rsidR="00D0643B" w:rsidRPr="00F25C7A" w:rsidRDefault="00D0643B"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En esta instancia, el actor, expresa los siguientes motivos de disenso en su agravio UNICO</w:t>
      </w:r>
      <w:r w:rsidR="00C25A10">
        <w:rPr>
          <w:rFonts w:ascii="Arial" w:hAnsi="Arial" w:cs="Arial"/>
        </w:rPr>
        <w:t>.</w:t>
      </w:r>
    </w:p>
    <w:p w14:paraId="135BE9C3" w14:textId="0893C060" w:rsidR="00D0643B" w:rsidRPr="00F25C7A" w:rsidRDefault="00D0643B" w:rsidP="00F25C7A">
      <w:pPr>
        <w:pStyle w:val="ListParagraph"/>
        <w:numPr>
          <w:ilvl w:val="0"/>
          <w:numId w:val="11"/>
        </w:numPr>
        <w:tabs>
          <w:tab w:val="left" w:pos="1665"/>
        </w:tabs>
        <w:spacing w:before="100" w:beforeAutospacing="1" w:after="100" w:afterAutospacing="1" w:line="360" w:lineRule="auto"/>
        <w:jc w:val="both"/>
        <w:rPr>
          <w:rFonts w:ascii="Arial" w:hAnsi="Arial" w:cs="Arial"/>
        </w:rPr>
      </w:pPr>
      <w:r w:rsidRPr="00F25C7A">
        <w:rPr>
          <w:rFonts w:ascii="Arial" w:hAnsi="Arial" w:cs="Arial"/>
        </w:rPr>
        <w:t>Que le causa agravio la vista a la Contraloría Interna del Poder Legislativo y a la Procuraduría de Protección de Niñas y Niños del Estado de Guanajuato, porque no existió alguna infracción en perjuicio de algún menor de edad.</w:t>
      </w:r>
    </w:p>
    <w:p w14:paraId="2747C8DE" w14:textId="6C7FDC68" w:rsidR="00D0643B" w:rsidRPr="00F25C7A" w:rsidRDefault="00D0643B" w:rsidP="00F25C7A">
      <w:pPr>
        <w:pStyle w:val="ListParagraph"/>
        <w:numPr>
          <w:ilvl w:val="0"/>
          <w:numId w:val="11"/>
        </w:numPr>
        <w:tabs>
          <w:tab w:val="left" w:pos="1665"/>
        </w:tabs>
        <w:spacing w:before="100" w:beforeAutospacing="1" w:after="100" w:afterAutospacing="1" w:line="360" w:lineRule="auto"/>
        <w:jc w:val="both"/>
        <w:rPr>
          <w:rFonts w:ascii="Arial" w:hAnsi="Arial" w:cs="Arial"/>
        </w:rPr>
      </w:pPr>
      <w:r w:rsidRPr="00F25C7A">
        <w:rPr>
          <w:rFonts w:ascii="Arial" w:hAnsi="Arial" w:cs="Arial"/>
        </w:rPr>
        <w:t>Que la publicación está amparada en su labor legislativa, ya que se trata de la distribución de apoyos sociales.</w:t>
      </w:r>
    </w:p>
    <w:p w14:paraId="00377B65" w14:textId="5AEF0051" w:rsidR="00D0643B" w:rsidRPr="00F25C7A" w:rsidRDefault="00D0643B" w:rsidP="00F25C7A">
      <w:pPr>
        <w:pStyle w:val="ListParagraph"/>
        <w:numPr>
          <w:ilvl w:val="0"/>
          <w:numId w:val="11"/>
        </w:numPr>
        <w:tabs>
          <w:tab w:val="left" w:pos="1665"/>
        </w:tabs>
        <w:spacing w:before="100" w:beforeAutospacing="1" w:after="100" w:afterAutospacing="1" w:line="360" w:lineRule="auto"/>
        <w:jc w:val="both"/>
        <w:rPr>
          <w:rFonts w:ascii="Arial" w:hAnsi="Arial" w:cs="Arial"/>
        </w:rPr>
      </w:pPr>
      <w:r w:rsidRPr="00F25C7A">
        <w:rPr>
          <w:rFonts w:ascii="Arial" w:hAnsi="Arial" w:cs="Arial"/>
        </w:rPr>
        <w:t>Que la responsable no define las razones por las cuales la publicación se considera como un acto político, cuando se trata de un ejercicio de rendición de cuentas de su labor como diputado.</w:t>
      </w:r>
    </w:p>
    <w:p w14:paraId="1DEC1060" w14:textId="35893F6C" w:rsidR="00D0643B" w:rsidRPr="00F25C7A" w:rsidRDefault="00D0643B" w:rsidP="00F25C7A">
      <w:pPr>
        <w:pStyle w:val="ListParagraph"/>
        <w:numPr>
          <w:ilvl w:val="0"/>
          <w:numId w:val="11"/>
        </w:num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Que no existió alguna infracción porque contrario a lo señalado por el </w:t>
      </w:r>
      <w:r w:rsidRPr="00F25C7A">
        <w:rPr>
          <w:rFonts w:ascii="Arial" w:hAnsi="Arial" w:cs="Arial"/>
          <w:i/>
        </w:rPr>
        <w:t>Tribunal Local</w:t>
      </w:r>
      <w:r w:rsidRPr="00F25C7A">
        <w:rPr>
          <w:rFonts w:ascii="Arial" w:hAnsi="Arial" w:cs="Arial"/>
        </w:rPr>
        <w:t>, en todo momento contó con el consentimiento de la madre de la menor.</w:t>
      </w:r>
    </w:p>
    <w:p w14:paraId="6D52F091" w14:textId="58EC057F" w:rsidR="00D0643B" w:rsidRPr="00F25C7A" w:rsidRDefault="004A5F03"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Atendiendo a esta síntesis, en primer </w:t>
      </w:r>
      <w:r w:rsidR="003B379D" w:rsidRPr="00F25C7A">
        <w:rPr>
          <w:rFonts w:ascii="Arial" w:hAnsi="Arial" w:cs="Arial"/>
        </w:rPr>
        <w:t>término,</w:t>
      </w:r>
      <w:r w:rsidRPr="00F25C7A">
        <w:rPr>
          <w:rFonts w:ascii="Arial" w:hAnsi="Arial" w:cs="Arial"/>
        </w:rPr>
        <w:t xml:space="preserve"> se analizará el disenso relativo a la fundamentación y motivación del acto impugnado, y posteriormente, el relacionado con la inexistencia de la infracción por presuntamente contar con el </w:t>
      </w:r>
      <w:r w:rsidR="002D0A0F" w:rsidRPr="00F25C7A">
        <w:rPr>
          <w:rFonts w:ascii="Arial" w:hAnsi="Arial" w:cs="Arial"/>
        </w:rPr>
        <w:t>consentimiento por parte de la madre de la menor.</w:t>
      </w:r>
    </w:p>
    <w:p w14:paraId="41B2C931" w14:textId="17BD503B" w:rsidR="002D0A0F" w:rsidRPr="00F25C7A" w:rsidRDefault="002D0A0F"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lastRenderedPageBreak/>
        <w:t xml:space="preserve">4.2. Decisión </w:t>
      </w:r>
    </w:p>
    <w:p w14:paraId="54BBA2B3" w14:textId="6EC9F580" w:rsidR="002D0A0F" w:rsidRPr="00F25C7A" w:rsidRDefault="002D0A0F"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Esta Sala regional considera que se debe confirmar la sentencia combatida toda vez que:</w:t>
      </w:r>
    </w:p>
    <w:p w14:paraId="54DC1062" w14:textId="2256FA7A" w:rsidR="002D0A0F" w:rsidRPr="00F25C7A" w:rsidRDefault="002D0A0F" w:rsidP="00F25C7A">
      <w:pPr>
        <w:pStyle w:val="ListParagraph"/>
        <w:numPr>
          <w:ilvl w:val="0"/>
          <w:numId w:val="12"/>
        </w:num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Se encuentra debidamente fundada y motivada al establecer que la difusión de la fotografía de la menor se dio en un acto político </w:t>
      </w:r>
      <w:r w:rsidR="0062250D" w:rsidRPr="00F25C7A">
        <w:rPr>
          <w:rFonts w:ascii="Arial" w:hAnsi="Arial" w:cs="Arial"/>
        </w:rPr>
        <w:t>y,</w:t>
      </w:r>
      <w:r w:rsidRPr="00F25C7A">
        <w:rPr>
          <w:rFonts w:ascii="Arial" w:hAnsi="Arial" w:cs="Arial"/>
        </w:rPr>
        <w:t xml:space="preserve"> por ende, debía regirse por los </w:t>
      </w:r>
      <w:r w:rsidRPr="00F25C7A">
        <w:rPr>
          <w:rFonts w:ascii="Arial" w:hAnsi="Arial" w:cs="Arial"/>
          <w:i/>
        </w:rPr>
        <w:t>Lineamientos</w:t>
      </w:r>
      <w:r w:rsidR="004A081D" w:rsidRPr="00F25C7A">
        <w:rPr>
          <w:rFonts w:ascii="Arial" w:hAnsi="Arial" w:cs="Arial"/>
        </w:rPr>
        <w:t>.</w:t>
      </w:r>
      <w:r w:rsidRPr="00F25C7A">
        <w:rPr>
          <w:rFonts w:ascii="Arial" w:hAnsi="Arial" w:cs="Arial"/>
        </w:rPr>
        <w:t xml:space="preserve"> </w:t>
      </w:r>
    </w:p>
    <w:p w14:paraId="03E0F57C" w14:textId="426BEFD6" w:rsidR="002D0A0F" w:rsidRPr="00F25C7A" w:rsidRDefault="002D0A0F" w:rsidP="00F25C7A">
      <w:pPr>
        <w:pStyle w:val="ListParagraph"/>
        <w:numPr>
          <w:ilvl w:val="0"/>
          <w:numId w:val="12"/>
        </w:numPr>
        <w:tabs>
          <w:tab w:val="left" w:pos="1665"/>
        </w:tabs>
        <w:spacing w:before="100" w:beforeAutospacing="1" w:after="100" w:afterAutospacing="1" w:line="360" w:lineRule="auto"/>
        <w:jc w:val="both"/>
        <w:rPr>
          <w:rFonts w:ascii="Arial" w:hAnsi="Arial" w:cs="Arial"/>
        </w:rPr>
      </w:pPr>
      <w:r w:rsidRPr="00F25C7A">
        <w:rPr>
          <w:rFonts w:ascii="Arial" w:hAnsi="Arial" w:cs="Arial"/>
        </w:rPr>
        <w:t>Durante el procedimiento especial sancionador no se acreditó contar con el consentimiento de la madre de la menor, por lo que en esta instancia dicha documental no es apta para desvirtuar la conducta que le fue imputada</w:t>
      </w:r>
      <w:r w:rsidR="004A081D" w:rsidRPr="00F25C7A">
        <w:rPr>
          <w:rFonts w:ascii="Arial" w:hAnsi="Arial" w:cs="Arial"/>
        </w:rPr>
        <w:t>.</w:t>
      </w:r>
    </w:p>
    <w:p w14:paraId="41E852E5" w14:textId="19B5C1E4" w:rsidR="002D0A0F" w:rsidRPr="00F25C7A" w:rsidRDefault="002D0A0F"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4.2.1. Justificación de la decisión</w:t>
      </w:r>
    </w:p>
    <w:p w14:paraId="3579B8DD" w14:textId="6C8673ED" w:rsidR="002D0A0F" w:rsidRPr="00F25C7A" w:rsidRDefault="002D0A0F"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 xml:space="preserve">4.2.1.1. </w:t>
      </w:r>
      <w:r w:rsidR="008F10BE" w:rsidRPr="00F25C7A">
        <w:rPr>
          <w:rFonts w:ascii="Arial" w:hAnsi="Arial" w:cs="Arial"/>
          <w:b/>
        </w:rPr>
        <w:t>La sentencia se encuentra debidamente fundada y motivada</w:t>
      </w:r>
    </w:p>
    <w:p w14:paraId="45B6E729" w14:textId="06096D79" w:rsidR="008F10BE" w:rsidRPr="00F25C7A" w:rsidRDefault="008F10BE"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Marco normativo</w:t>
      </w:r>
    </w:p>
    <w:p w14:paraId="7D1A2F6C" w14:textId="2CAEB733" w:rsidR="008F10BE" w:rsidRPr="00F25C7A" w:rsidRDefault="008F10B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De conformidad con lo dispuesto en los artículos 14 y 16 de la Constitución Federal, todo acto de autoridad debe estar fundado y motivado.</w:t>
      </w:r>
    </w:p>
    <w:p w14:paraId="494B23EB" w14:textId="16939ED2" w:rsidR="008F10BE" w:rsidRPr="00F25C7A" w:rsidRDefault="008F10B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En el caso de las determinaciones de la autoridad jurisdiccional, la fundamentación y motivación se da cuando al emitir sus resoluciones, expresa cuales son los fundamentos del acto y explica las razones por que la llevan a determinar que se está en dicho supuesto.</w:t>
      </w:r>
    </w:p>
    <w:p w14:paraId="3840A77F" w14:textId="15E927F6" w:rsidR="008F10BE" w:rsidRPr="00F25C7A" w:rsidRDefault="008F10B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Conforme la </w:t>
      </w:r>
      <w:r w:rsidRPr="00F25C7A">
        <w:rPr>
          <w:rFonts w:ascii="Arial" w:hAnsi="Arial" w:cs="Arial"/>
          <w:i/>
        </w:rPr>
        <w:t>Ley Electoral Local</w:t>
      </w:r>
      <w:r w:rsidRPr="00F25C7A">
        <w:rPr>
          <w:rFonts w:ascii="Arial" w:hAnsi="Arial" w:cs="Arial"/>
        </w:rPr>
        <w:t xml:space="preserve">, en su artículo 380, las sentencias que dicte el </w:t>
      </w:r>
      <w:r w:rsidRPr="00F25C7A">
        <w:rPr>
          <w:rFonts w:ascii="Arial" w:hAnsi="Arial" w:cs="Arial"/>
          <w:i/>
        </w:rPr>
        <w:t>Tribunal Local</w:t>
      </w:r>
      <w:r w:rsidRPr="00F25C7A">
        <w:rPr>
          <w:rFonts w:ascii="Arial" w:hAnsi="Arial" w:cs="Arial"/>
        </w:rPr>
        <w:t xml:space="preserve"> tendrán por efecto declarar la existencia de las infracciones denunciadas y sancionarlas, para lo cual, debe razonar los motivos por los cuales la conducta denunciada se subsume en alguno de las hipótesis normativas.</w:t>
      </w:r>
    </w:p>
    <w:p w14:paraId="38010CE1" w14:textId="5C4DB674" w:rsidR="008F10BE" w:rsidRPr="00F25C7A" w:rsidRDefault="008F10BE"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 xml:space="preserve">En la sentencia se justificaron las razones por las cuales se consideró que existió una infracción a los </w:t>
      </w:r>
      <w:r w:rsidRPr="00F25C7A">
        <w:rPr>
          <w:rFonts w:ascii="Arial" w:hAnsi="Arial" w:cs="Arial"/>
          <w:b/>
          <w:i/>
        </w:rPr>
        <w:t>Lineamientos</w:t>
      </w:r>
    </w:p>
    <w:p w14:paraId="2C5D7328" w14:textId="73BDE55C" w:rsidR="008F10BE" w:rsidRPr="00F25C7A" w:rsidRDefault="008F10B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Esta Sala Regional considera que </w:t>
      </w:r>
      <w:r w:rsidRPr="00F25C7A">
        <w:rPr>
          <w:rFonts w:ascii="Arial" w:hAnsi="Arial" w:cs="Arial"/>
          <w:b/>
        </w:rPr>
        <w:t>no le asiste la razón</w:t>
      </w:r>
      <w:r w:rsidRPr="00F25C7A">
        <w:rPr>
          <w:rFonts w:ascii="Arial" w:hAnsi="Arial" w:cs="Arial"/>
        </w:rPr>
        <w:t xml:space="preserve"> al quejoso cuando señala que no se justificó porque </w:t>
      </w:r>
      <w:r w:rsidR="008E0390" w:rsidRPr="00F25C7A">
        <w:rPr>
          <w:rFonts w:ascii="Arial" w:hAnsi="Arial" w:cs="Arial"/>
        </w:rPr>
        <w:t>la difusión de la imagen se dio en un contexto político-electoral.</w:t>
      </w:r>
    </w:p>
    <w:p w14:paraId="5714E0B3" w14:textId="1E93E364" w:rsidR="008E0390" w:rsidRPr="00F25C7A" w:rsidRDefault="008E0390"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lastRenderedPageBreak/>
        <w:t xml:space="preserve">En la sentencia impugnada se señaló que la difusión de la imagen se efectuó con motivo de la difusión de imágenes relacionadas con el otorgamiento de apoyos sociales que fueron distribuidos por el quejoso, </w:t>
      </w:r>
      <w:r w:rsidR="0062250D" w:rsidRPr="00F25C7A">
        <w:rPr>
          <w:rFonts w:ascii="Arial" w:hAnsi="Arial" w:cs="Arial"/>
        </w:rPr>
        <w:t>y,</w:t>
      </w:r>
      <w:r w:rsidRPr="00F25C7A">
        <w:rPr>
          <w:rFonts w:ascii="Arial" w:hAnsi="Arial" w:cs="Arial"/>
        </w:rPr>
        <w:t xml:space="preserve"> por ende, debió recabar el consentimiento de la madre de la menor, por así establecerse en los </w:t>
      </w:r>
      <w:r w:rsidR="003B379D" w:rsidRPr="00F25C7A">
        <w:rPr>
          <w:rFonts w:ascii="Arial" w:hAnsi="Arial" w:cs="Arial"/>
          <w:i/>
        </w:rPr>
        <w:t>Lineamientos</w:t>
      </w:r>
      <w:r w:rsidRPr="00F25C7A">
        <w:rPr>
          <w:rFonts w:ascii="Arial" w:hAnsi="Arial" w:cs="Arial"/>
        </w:rPr>
        <w:t>.</w:t>
      </w:r>
    </w:p>
    <w:p w14:paraId="67C2B09E" w14:textId="575CCD25" w:rsidR="008E0390" w:rsidRPr="00F25C7A" w:rsidRDefault="008E0390"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Se coincide con dicha conclusión.</w:t>
      </w:r>
    </w:p>
    <w:p w14:paraId="727D40E1" w14:textId="40C8285C" w:rsidR="006E4E54" w:rsidRPr="00F25C7A" w:rsidRDefault="008E0390"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En términos de lo dispuesto en el artículo </w:t>
      </w:r>
      <w:r w:rsidR="006E4E54" w:rsidRPr="00F25C7A">
        <w:rPr>
          <w:rFonts w:ascii="Arial" w:hAnsi="Arial" w:cs="Arial"/>
        </w:rPr>
        <w:t xml:space="preserve">1 de los </w:t>
      </w:r>
      <w:r w:rsidR="006E4E54" w:rsidRPr="00F25C7A">
        <w:rPr>
          <w:rFonts w:ascii="Arial" w:hAnsi="Arial" w:cs="Arial"/>
          <w:i/>
        </w:rPr>
        <w:t>Lineamientos</w:t>
      </w:r>
      <w:r w:rsidR="006E4E54" w:rsidRPr="00F25C7A">
        <w:rPr>
          <w:rFonts w:ascii="Arial" w:hAnsi="Arial" w:cs="Arial"/>
        </w:rPr>
        <w:t>, las personas físicas o morales relacionadas con los partidos políticos, están obligadas a su observancia.</w:t>
      </w:r>
    </w:p>
    <w:p w14:paraId="1E36F822" w14:textId="2AEA428E" w:rsidR="008E0390" w:rsidRPr="00F25C7A" w:rsidRDefault="006E4E54"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Por su parte, en el artículo </w:t>
      </w:r>
      <w:r w:rsidR="008E0390" w:rsidRPr="00F25C7A">
        <w:rPr>
          <w:rFonts w:ascii="Arial" w:hAnsi="Arial" w:cs="Arial"/>
        </w:rPr>
        <w:t xml:space="preserve">3, fracción III, de los </w:t>
      </w:r>
      <w:r w:rsidR="008E0390" w:rsidRPr="00C25A10">
        <w:rPr>
          <w:rFonts w:ascii="Arial" w:hAnsi="Arial" w:cs="Arial"/>
          <w:i/>
        </w:rPr>
        <w:t>Lineamientos</w:t>
      </w:r>
      <w:r w:rsidR="008E0390" w:rsidRPr="00C25A10">
        <w:rPr>
          <w:rFonts w:ascii="Arial" w:hAnsi="Arial" w:cs="Arial"/>
        </w:rPr>
        <w:t xml:space="preserve">, </w:t>
      </w:r>
      <w:r w:rsidR="006C5DD5" w:rsidRPr="00C25A10">
        <w:rPr>
          <w:rFonts w:ascii="Arial" w:hAnsi="Arial" w:cs="Arial"/>
        </w:rPr>
        <w:t>señala que</w:t>
      </w:r>
      <w:r w:rsidR="006C5DD5" w:rsidRPr="00F25C7A">
        <w:rPr>
          <w:rFonts w:ascii="Arial" w:hAnsi="Arial" w:cs="Arial"/>
        </w:rPr>
        <w:t xml:space="preserve"> </w:t>
      </w:r>
      <w:r w:rsidR="008E0390" w:rsidRPr="00F25C7A">
        <w:rPr>
          <w:rFonts w:ascii="Arial" w:hAnsi="Arial" w:cs="Arial"/>
        </w:rPr>
        <w:t>los actos políticos son aquellos realizados por las dirigencias o militantes de un partido político con motivo de sus actividades ordinarias no esenciales.</w:t>
      </w:r>
    </w:p>
    <w:p w14:paraId="73224CAF" w14:textId="6C99F671" w:rsidR="006E4E54" w:rsidRPr="00F25C7A" w:rsidRDefault="006E4E54"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Ahora, un evento donde un diputado realiza la distribución de apoyos sociales como parte de su gestión, debe considerarse como un acto político, pues, su pretensión es la de dar a conocer a la ciudadanía las acciones que está realizando en su apoyo o beneficio, sin que se pueda perder la vista la vinculación que guarda con el partido político al cual pertenece.</w:t>
      </w:r>
    </w:p>
    <w:p w14:paraId="69904023" w14:textId="22EDA03D" w:rsidR="006E4E54" w:rsidRPr="00F25C7A" w:rsidRDefault="006E4E54"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En el caso que nos ocupa, el quejoso, en su carácter de diputado de la LXIV legislatura de estado de Guanajuato perteneciente al partido político MORENA, participó en la distribución de apoyos sociales y durante estos, tomó fotografías y las publicó en su cuenta de Facebook con el fin de difundirlas entre la ciudadanía.</w:t>
      </w:r>
    </w:p>
    <w:p w14:paraId="4639B002" w14:textId="615CA244" w:rsidR="006E4E54" w:rsidRPr="00F25C7A" w:rsidRDefault="006E4E54"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En esta línea, se tiene que las imágenes que difundió forman parte de dichos actos políticos, relacionados con el desempeño de su cargo </w:t>
      </w:r>
      <w:r w:rsidR="005C3034" w:rsidRPr="00F25C7A">
        <w:rPr>
          <w:rFonts w:ascii="Arial" w:hAnsi="Arial" w:cs="Arial"/>
        </w:rPr>
        <w:t>y,</w:t>
      </w:r>
      <w:r w:rsidRPr="00F25C7A">
        <w:rPr>
          <w:rFonts w:ascii="Arial" w:hAnsi="Arial" w:cs="Arial"/>
        </w:rPr>
        <w:t xml:space="preserve"> por ende, se subsumen en las hipótesis normativas de los </w:t>
      </w:r>
      <w:r w:rsidRPr="00F25C7A">
        <w:rPr>
          <w:rFonts w:ascii="Arial" w:hAnsi="Arial" w:cs="Arial"/>
          <w:i/>
        </w:rPr>
        <w:t>Lineamientos</w:t>
      </w:r>
      <w:r w:rsidRPr="00F25C7A">
        <w:rPr>
          <w:rFonts w:ascii="Arial" w:hAnsi="Arial" w:cs="Arial"/>
        </w:rPr>
        <w:t>, por lo tanto, para el caso de que utilizará la imagen de un menor</w:t>
      </w:r>
      <w:r w:rsidR="004334F8" w:rsidRPr="00F25C7A">
        <w:rPr>
          <w:rFonts w:ascii="Arial" w:hAnsi="Arial" w:cs="Arial"/>
        </w:rPr>
        <w:t xml:space="preserve"> que apareciera de forma directa, según lo previsto en el numeral 5 de </w:t>
      </w:r>
      <w:r w:rsidR="0092265B" w:rsidRPr="00F25C7A">
        <w:rPr>
          <w:rFonts w:ascii="Arial" w:hAnsi="Arial" w:cs="Arial"/>
        </w:rPr>
        <w:t xml:space="preserve">dicho ordenamiento </w:t>
      </w:r>
      <w:r w:rsidR="005C3034" w:rsidRPr="00F25C7A">
        <w:rPr>
          <w:rFonts w:ascii="Arial" w:hAnsi="Arial" w:cs="Arial"/>
        </w:rPr>
        <w:t xml:space="preserve">debe contar con el consentimiento por escrito de quien ejerza la </w:t>
      </w:r>
      <w:r w:rsidR="006C5DD5" w:rsidRPr="00C25A10">
        <w:rPr>
          <w:rFonts w:ascii="Arial" w:hAnsi="Arial" w:cs="Arial"/>
        </w:rPr>
        <w:t>patria</w:t>
      </w:r>
      <w:r w:rsidR="005C3034" w:rsidRPr="00F25C7A">
        <w:rPr>
          <w:rFonts w:ascii="Arial" w:hAnsi="Arial" w:cs="Arial"/>
        </w:rPr>
        <w:t xml:space="preserve"> potestad según el diverso artículo 8.</w:t>
      </w:r>
    </w:p>
    <w:p w14:paraId="309C5918" w14:textId="36400F59" w:rsidR="005C3034" w:rsidRPr="00F25C7A" w:rsidRDefault="005C3034"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En este tenor, se tiene que el </w:t>
      </w:r>
      <w:r w:rsidRPr="00F25C7A">
        <w:rPr>
          <w:rFonts w:ascii="Arial" w:hAnsi="Arial" w:cs="Arial"/>
          <w:i/>
        </w:rPr>
        <w:t>Tribunal Local</w:t>
      </w:r>
      <w:r w:rsidRPr="00F25C7A">
        <w:rPr>
          <w:rFonts w:ascii="Arial" w:hAnsi="Arial" w:cs="Arial"/>
        </w:rPr>
        <w:t xml:space="preserve">, al dictar la sentencia impugnada correctamente determinó que la difusión de la imagen materia de análisis se regía por los </w:t>
      </w:r>
      <w:r w:rsidRPr="00F25C7A">
        <w:rPr>
          <w:rFonts w:ascii="Arial" w:hAnsi="Arial" w:cs="Arial"/>
          <w:i/>
        </w:rPr>
        <w:t>Lineamientos</w:t>
      </w:r>
      <w:r w:rsidRPr="00F25C7A">
        <w:rPr>
          <w:rFonts w:ascii="Arial" w:hAnsi="Arial" w:cs="Arial"/>
        </w:rPr>
        <w:t>, y expresó las razones y fundamentos por los cuales alcanzó dicha conclusión.</w:t>
      </w:r>
    </w:p>
    <w:p w14:paraId="07AB260A" w14:textId="2741CA7F" w:rsidR="005C3034" w:rsidRPr="00F25C7A" w:rsidRDefault="005C3034"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lastRenderedPageBreak/>
        <w:t xml:space="preserve">4.2.1.2. El quejoso no acreditó en el momento procesal oportuno que contaba con la autorización de la madre de la menor </w:t>
      </w:r>
    </w:p>
    <w:p w14:paraId="22023BA9" w14:textId="1DF7AB73" w:rsidR="005C3034" w:rsidRPr="00F25C7A" w:rsidRDefault="005C3034"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Marco normativo</w:t>
      </w:r>
    </w:p>
    <w:p w14:paraId="417921BC" w14:textId="316D2FED" w:rsidR="005C3034" w:rsidRPr="00F25C7A" w:rsidRDefault="009527E3"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De conformidad con el artículo 373 de la </w:t>
      </w:r>
      <w:r w:rsidRPr="00F25C7A">
        <w:rPr>
          <w:rFonts w:ascii="Arial" w:hAnsi="Arial" w:cs="Arial"/>
          <w:i/>
        </w:rPr>
        <w:t>Ley Electoral Local</w:t>
      </w:r>
      <w:r w:rsidRPr="00F25C7A">
        <w:rPr>
          <w:rFonts w:ascii="Arial" w:hAnsi="Arial" w:cs="Arial"/>
        </w:rPr>
        <w:t>, en respeto a su derecho de ser oídos y vencidos en juicio, las personas denunciadas en un proceso especial sancionador tienen la prerrogativa procesal de dar respuesta a los hechos que se les imputan y además de ofrecer pruebas.</w:t>
      </w:r>
    </w:p>
    <w:p w14:paraId="44D45729" w14:textId="1D8AABBE" w:rsidR="009527E3" w:rsidRPr="00F25C7A" w:rsidRDefault="009527E3"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En tal virtud, en caso de no ejercer de forma oportuna el derecho de ofrece pruebas dentro de un procedimiento, los sujetos denunciados podrán ser sujetos a alguna sanción, precisamente por no haber aportado elementos que desvirtuaran los hechos que les fueron imputados, mismos que, deberán estar sustentados en otros elementos de convicción, y sobre los cuales el </w:t>
      </w:r>
      <w:r w:rsidRPr="00F25C7A">
        <w:rPr>
          <w:rFonts w:ascii="Arial" w:hAnsi="Arial" w:cs="Arial"/>
          <w:i/>
        </w:rPr>
        <w:t>Tribunal Local</w:t>
      </w:r>
      <w:r w:rsidRPr="00F25C7A">
        <w:rPr>
          <w:rFonts w:ascii="Arial" w:hAnsi="Arial" w:cs="Arial"/>
        </w:rPr>
        <w:t xml:space="preserve"> deberá pronunciarse según el artículo 380 de la </w:t>
      </w:r>
      <w:r w:rsidRPr="00F25C7A">
        <w:rPr>
          <w:rFonts w:ascii="Arial" w:hAnsi="Arial" w:cs="Arial"/>
          <w:i/>
        </w:rPr>
        <w:t>Ley Electoral Local</w:t>
      </w:r>
      <w:r w:rsidRPr="00F25C7A">
        <w:rPr>
          <w:rFonts w:ascii="Arial" w:hAnsi="Arial" w:cs="Arial"/>
        </w:rPr>
        <w:t>.</w:t>
      </w:r>
    </w:p>
    <w:p w14:paraId="6BEB486D" w14:textId="3D2D3385" w:rsidR="009527E3" w:rsidRPr="00F25C7A" w:rsidRDefault="009527E3" w:rsidP="00F25C7A">
      <w:pPr>
        <w:tabs>
          <w:tab w:val="left" w:pos="1665"/>
        </w:tabs>
        <w:spacing w:before="100" w:beforeAutospacing="1" w:after="100" w:afterAutospacing="1" w:line="360" w:lineRule="auto"/>
        <w:jc w:val="both"/>
        <w:rPr>
          <w:rFonts w:ascii="Arial" w:hAnsi="Arial" w:cs="Arial"/>
          <w:b/>
        </w:rPr>
      </w:pPr>
      <w:r w:rsidRPr="00F25C7A">
        <w:rPr>
          <w:rFonts w:ascii="Arial" w:hAnsi="Arial" w:cs="Arial"/>
          <w:b/>
        </w:rPr>
        <w:t>El quejoso no ofreció en forma oportuna la documentación idónea para desvirtuar la infracción que le fue imputada</w:t>
      </w:r>
    </w:p>
    <w:p w14:paraId="0A1E3EC0" w14:textId="20D6E6C9" w:rsidR="009527E3" w:rsidRPr="00F25C7A" w:rsidRDefault="009527E3"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Del análisis de las consta</w:t>
      </w:r>
      <w:r w:rsidR="005E168F" w:rsidRPr="00F25C7A">
        <w:rPr>
          <w:rFonts w:ascii="Arial" w:hAnsi="Arial" w:cs="Arial"/>
        </w:rPr>
        <w:t xml:space="preserve">ncias que integran el cuaderno accesorio único, se aprecia que cuando el </w:t>
      </w:r>
      <w:r w:rsidR="005E168F" w:rsidRPr="00371E82">
        <w:rPr>
          <w:rFonts w:ascii="Arial" w:hAnsi="Arial" w:cs="Arial"/>
        </w:rPr>
        <w:t xml:space="preserve">quejoso </w:t>
      </w:r>
      <w:r w:rsidR="006C5DD5" w:rsidRPr="00371E82">
        <w:rPr>
          <w:rFonts w:ascii="Arial" w:hAnsi="Arial" w:cs="Arial"/>
        </w:rPr>
        <w:t>compareció</w:t>
      </w:r>
      <w:r w:rsidR="006C5DD5" w:rsidRPr="00F25C7A">
        <w:rPr>
          <w:rFonts w:ascii="Arial" w:hAnsi="Arial" w:cs="Arial"/>
        </w:rPr>
        <w:t xml:space="preserve"> </w:t>
      </w:r>
      <w:r w:rsidR="005E168F" w:rsidRPr="00F25C7A">
        <w:rPr>
          <w:rFonts w:ascii="Arial" w:hAnsi="Arial" w:cs="Arial"/>
        </w:rPr>
        <w:t xml:space="preserve">en su carácter de denunciado en el expediente 21/2020-PES-CG según las constancias que obran a fojas 251, no realizó algún pronunciamiento sobre las imputaciones relativas a la afectación del interés superior de una menor, ni tampoco ofreció alguna prueba para acreditar que cumplió con la obligación prevista en el artículo 8 de los </w:t>
      </w:r>
      <w:r w:rsidR="005E168F" w:rsidRPr="00F25C7A">
        <w:rPr>
          <w:rFonts w:ascii="Arial" w:hAnsi="Arial" w:cs="Arial"/>
          <w:i/>
        </w:rPr>
        <w:t>Lineamientos</w:t>
      </w:r>
      <w:r w:rsidR="005E168F" w:rsidRPr="00F25C7A">
        <w:rPr>
          <w:rFonts w:ascii="Arial" w:hAnsi="Arial" w:cs="Arial"/>
        </w:rPr>
        <w:t>, consistente en recabar por escrito el consentimiento por parte de quien ejerciera la patria potestad de la menor.</w:t>
      </w:r>
    </w:p>
    <w:p w14:paraId="7E06707A" w14:textId="1607363F" w:rsidR="005E168F" w:rsidRPr="00F25C7A" w:rsidRDefault="005E168F"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El quejoso,</w:t>
      </w:r>
      <w:r w:rsidR="00AD58A2" w:rsidRPr="00F25C7A">
        <w:rPr>
          <w:rFonts w:ascii="Arial" w:hAnsi="Arial" w:cs="Arial"/>
        </w:rPr>
        <w:t xml:space="preserve"> conforme a los </w:t>
      </w:r>
      <w:r w:rsidR="00AD58A2" w:rsidRPr="00F25C7A">
        <w:rPr>
          <w:rFonts w:ascii="Arial" w:hAnsi="Arial" w:cs="Arial"/>
          <w:i/>
        </w:rPr>
        <w:t>Lineamientos</w:t>
      </w:r>
      <w:r w:rsidR="00AD58A2" w:rsidRPr="00F25C7A">
        <w:rPr>
          <w:rFonts w:ascii="Arial" w:hAnsi="Arial" w:cs="Arial"/>
        </w:rPr>
        <w:t>,</w:t>
      </w:r>
      <w:r w:rsidRPr="00F25C7A">
        <w:rPr>
          <w:rFonts w:ascii="Arial" w:hAnsi="Arial" w:cs="Arial"/>
        </w:rPr>
        <w:t xml:space="preserve"> </w:t>
      </w:r>
      <w:r w:rsidR="00AD58A2" w:rsidRPr="00F25C7A">
        <w:rPr>
          <w:rFonts w:ascii="Arial" w:hAnsi="Arial" w:cs="Arial"/>
        </w:rPr>
        <w:t>estaba obligado a recabar la autorización de quien ostentara la patria protestad de la menor para efectos de utilizar su imagen y así, estar en aptitud de acreditar el cumplimiento a dicha carga, y en términos del procedimiento especial sancionador, estaba vinculado a ofrecer dicha constancia para desvirtuar la inobservancia de la norma.</w:t>
      </w:r>
    </w:p>
    <w:p w14:paraId="2DB8CC2E" w14:textId="7D5DB502" w:rsidR="00AD58A2" w:rsidRPr="00F25C7A" w:rsidRDefault="00F25C7A" w:rsidP="00F25C7A">
      <w:pPr>
        <w:tabs>
          <w:tab w:val="left" w:pos="1665"/>
        </w:tabs>
        <w:spacing w:before="100" w:beforeAutospacing="1" w:after="100" w:afterAutospacing="1" w:line="360" w:lineRule="auto"/>
        <w:jc w:val="both"/>
        <w:rPr>
          <w:rFonts w:ascii="Arial" w:hAnsi="Arial" w:cs="Arial"/>
        </w:rPr>
      </w:pPr>
      <w:r w:rsidRPr="00371E82">
        <w:rPr>
          <w:rFonts w:ascii="Arial" w:hAnsi="Arial" w:cs="Arial"/>
        </w:rPr>
        <w:t>El promovente n</w:t>
      </w:r>
      <w:r w:rsidR="00AD58A2" w:rsidRPr="00371E82">
        <w:rPr>
          <w:rFonts w:ascii="Arial" w:hAnsi="Arial" w:cs="Arial"/>
        </w:rPr>
        <w:t>o actuó en</w:t>
      </w:r>
      <w:r w:rsidR="00AD58A2" w:rsidRPr="00F25C7A">
        <w:rPr>
          <w:rFonts w:ascii="Arial" w:hAnsi="Arial" w:cs="Arial"/>
        </w:rPr>
        <w:t xml:space="preserve"> tal sentido por lo que, ante la existencia de la imagen, el </w:t>
      </w:r>
      <w:r w:rsidR="00AD58A2" w:rsidRPr="00F25C7A">
        <w:rPr>
          <w:rFonts w:ascii="Arial" w:hAnsi="Arial" w:cs="Arial"/>
          <w:i/>
        </w:rPr>
        <w:t xml:space="preserve">Tribunal </w:t>
      </w:r>
      <w:r w:rsidR="00F75A93" w:rsidRPr="00F25C7A">
        <w:rPr>
          <w:rFonts w:ascii="Arial" w:hAnsi="Arial" w:cs="Arial"/>
          <w:i/>
        </w:rPr>
        <w:t>L</w:t>
      </w:r>
      <w:r w:rsidR="00AD58A2" w:rsidRPr="00F25C7A">
        <w:rPr>
          <w:rFonts w:ascii="Arial" w:hAnsi="Arial" w:cs="Arial"/>
          <w:i/>
        </w:rPr>
        <w:t>ocal</w:t>
      </w:r>
      <w:r w:rsidR="00AD58A2" w:rsidRPr="00F25C7A">
        <w:rPr>
          <w:rFonts w:ascii="Arial" w:hAnsi="Arial" w:cs="Arial"/>
        </w:rPr>
        <w:t xml:space="preserve">, válidamente concluyó que el entonces denunciado infringió los </w:t>
      </w:r>
      <w:r w:rsidR="00AD58A2" w:rsidRPr="00F25C7A">
        <w:rPr>
          <w:rFonts w:ascii="Arial" w:hAnsi="Arial" w:cs="Arial"/>
          <w:i/>
        </w:rPr>
        <w:t>Lineamientos</w:t>
      </w:r>
      <w:r w:rsidR="00AD58A2" w:rsidRPr="00F25C7A">
        <w:rPr>
          <w:rFonts w:ascii="Arial" w:hAnsi="Arial" w:cs="Arial"/>
        </w:rPr>
        <w:t>, por lo que determinó dar vista a diversas autoridades para que resolvieran lo que en derecho correspondiera.</w:t>
      </w:r>
    </w:p>
    <w:p w14:paraId="7748442F" w14:textId="672F1FD3" w:rsidR="00AD58A2" w:rsidRPr="00F25C7A" w:rsidRDefault="00AD58A2"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lastRenderedPageBreak/>
        <w:t>Ahora, pese a dicha actitud rebelde en el proceso especial sancionador, el quejoso pretende evidenciar que</w:t>
      </w:r>
      <w:r w:rsidRPr="00371E82">
        <w:rPr>
          <w:rFonts w:ascii="Arial" w:hAnsi="Arial" w:cs="Arial"/>
        </w:rPr>
        <w:t>, s</w:t>
      </w:r>
      <w:r w:rsidR="006C5DD5" w:rsidRPr="00371E82">
        <w:rPr>
          <w:rFonts w:ascii="Arial" w:hAnsi="Arial" w:cs="Arial"/>
        </w:rPr>
        <w:t>í</w:t>
      </w:r>
      <w:r w:rsidRPr="00371E82">
        <w:rPr>
          <w:rFonts w:ascii="Arial" w:hAnsi="Arial" w:cs="Arial"/>
        </w:rPr>
        <w:t xml:space="preserve"> contaba</w:t>
      </w:r>
      <w:r w:rsidRPr="00F25C7A">
        <w:rPr>
          <w:rFonts w:ascii="Arial" w:hAnsi="Arial" w:cs="Arial"/>
        </w:rPr>
        <w:t xml:space="preserve"> con la autorización y para ello, ofrece como prueba de su parte la documental correspondiente.</w:t>
      </w:r>
    </w:p>
    <w:p w14:paraId="3FE0B8FC" w14:textId="3E3B2321" w:rsidR="00AD58A2" w:rsidRPr="00F25C7A" w:rsidRDefault="00AD58A2"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Sin embargo, ello no es posible, ya que, como se mencionó, tenía la carga procesal de ofrecer dicha constancia durante el proceso especial sancionador, precisamente para desvirtuar la responsabilidad que se le estaba imputando</w:t>
      </w:r>
      <w:r w:rsidR="00207A6E" w:rsidRPr="00F25C7A">
        <w:rPr>
          <w:rFonts w:ascii="Arial" w:hAnsi="Arial" w:cs="Arial"/>
        </w:rPr>
        <w:t xml:space="preserve"> además que, en esta instancia, esta Sala Regional sólo puede analizar la legalidad de lo actuado por el </w:t>
      </w:r>
      <w:r w:rsidR="00207A6E" w:rsidRPr="00F25C7A">
        <w:rPr>
          <w:rFonts w:ascii="Arial" w:hAnsi="Arial" w:cs="Arial"/>
          <w:i/>
        </w:rPr>
        <w:t>Tribunal Local</w:t>
      </w:r>
      <w:r w:rsidR="00207A6E" w:rsidRPr="00F25C7A">
        <w:rPr>
          <w:rFonts w:ascii="Arial" w:hAnsi="Arial" w:cs="Arial"/>
        </w:rPr>
        <w:t>.</w:t>
      </w:r>
    </w:p>
    <w:p w14:paraId="0AF67C67" w14:textId="4563E9A4" w:rsidR="00207A6E" w:rsidRPr="00F25C7A" w:rsidRDefault="00207A6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Aunado a lo anterior, al no haberse ofrecido de manera oportuna</w:t>
      </w:r>
      <w:r w:rsidR="00F15B31" w:rsidRPr="00F25C7A">
        <w:rPr>
          <w:rFonts w:ascii="Arial" w:hAnsi="Arial" w:cs="Arial"/>
        </w:rPr>
        <w:t xml:space="preserve"> dentro del Procedimiento especial sancionador</w:t>
      </w:r>
      <w:r w:rsidRPr="00F25C7A">
        <w:rPr>
          <w:rFonts w:ascii="Arial" w:hAnsi="Arial" w:cs="Arial"/>
        </w:rPr>
        <w:t xml:space="preserve">, no existe certeza de que dicho documento se hubiere suscrito </w:t>
      </w:r>
      <w:r w:rsidR="00F15B31" w:rsidRPr="00F25C7A">
        <w:rPr>
          <w:rFonts w:ascii="Arial" w:hAnsi="Arial" w:cs="Arial"/>
        </w:rPr>
        <w:t>de forma previa a que se hubiere utilizado la imagen de la menor, por ende, que este fuera suficiente para eximirlo de los hechos que le fueron imputados</w:t>
      </w:r>
      <w:r w:rsidRPr="00F25C7A">
        <w:rPr>
          <w:rFonts w:ascii="Arial" w:hAnsi="Arial" w:cs="Arial"/>
        </w:rPr>
        <w:t>.</w:t>
      </w:r>
    </w:p>
    <w:p w14:paraId="3126837A" w14:textId="59EF6265" w:rsidR="00207A6E" w:rsidRPr="00F25C7A" w:rsidRDefault="00207A6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Esto es así, pues, al ser una documental suscrita entre particulares, sólo se podrá tener certeza de su creación, entre otros supuestos, a partir de la fecha en que se presenta ante una </w:t>
      </w:r>
      <w:r w:rsidR="00F15B31" w:rsidRPr="00F25C7A">
        <w:rPr>
          <w:rFonts w:ascii="Arial" w:hAnsi="Arial" w:cs="Arial"/>
        </w:rPr>
        <w:t>autoridad</w:t>
      </w:r>
      <w:r w:rsidRPr="00F25C7A">
        <w:rPr>
          <w:rFonts w:ascii="Arial" w:hAnsi="Arial" w:cs="Arial"/>
        </w:rPr>
        <w:t xml:space="preserve"> en razón de su oficio, ya que, a partir de tal hecho no podría existir duda sobre su existencia de forma previa al momento en que se presentó.</w:t>
      </w:r>
    </w:p>
    <w:p w14:paraId="4BCB1A91" w14:textId="6F60777F" w:rsidR="00207A6E" w:rsidRPr="00F25C7A" w:rsidRDefault="00207A6E" w:rsidP="00F25C7A">
      <w:pPr>
        <w:tabs>
          <w:tab w:val="left" w:pos="1665"/>
        </w:tabs>
        <w:spacing w:before="100" w:beforeAutospacing="1" w:after="100" w:afterAutospacing="1" w:line="360" w:lineRule="auto"/>
        <w:jc w:val="both"/>
        <w:rPr>
          <w:rFonts w:ascii="Arial" w:hAnsi="Arial" w:cs="Arial"/>
        </w:rPr>
      </w:pPr>
      <w:r w:rsidRPr="00F25C7A">
        <w:rPr>
          <w:rFonts w:ascii="Arial" w:hAnsi="Arial" w:cs="Arial"/>
        </w:rPr>
        <w:t xml:space="preserve">Así las cosas, con la presentación de la documental de manera oportuna </w:t>
      </w:r>
      <w:r w:rsidR="00F15B31" w:rsidRPr="00F25C7A">
        <w:rPr>
          <w:rFonts w:ascii="Arial" w:hAnsi="Arial" w:cs="Arial"/>
        </w:rPr>
        <w:t>durante la tramitación del procedimiento especial sancionador</w:t>
      </w:r>
      <w:r w:rsidRPr="00F25C7A">
        <w:rPr>
          <w:rFonts w:ascii="Arial" w:hAnsi="Arial" w:cs="Arial"/>
        </w:rPr>
        <w:t xml:space="preserve">, no solo hubiere </w:t>
      </w:r>
      <w:r w:rsidR="00F15B31" w:rsidRPr="00F25C7A">
        <w:rPr>
          <w:rFonts w:ascii="Arial" w:hAnsi="Arial" w:cs="Arial"/>
        </w:rPr>
        <w:t xml:space="preserve">sido objeto de valoración al momento de que el </w:t>
      </w:r>
      <w:r w:rsidR="00F15B31" w:rsidRPr="00F25C7A">
        <w:rPr>
          <w:rFonts w:ascii="Arial" w:hAnsi="Arial" w:cs="Arial"/>
          <w:i/>
        </w:rPr>
        <w:t>Tribunal Local</w:t>
      </w:r>
      <w:r w:rsidR="00F15B31" w:rsidRPr="00F25C7A">
        <w:rPr>
          <w:rFonts w:ascii="Arial" w:hAnsi="Arial" w:cs="Arial"/>
        </w:rPr>
        <w:t xml:space="preserve"> lo resolviera, sino que también, hubiera generado certeza sobre su generación de forma </w:t>
      </w:r>
      <w:r w:rsidR="006C5DD5" w:rsidRPr="00371E82">
        <w:rPr>
          <w:rFonts w:ascii="Arial" w:hAnsi="Arial" w:cs="Arial"/>
        </w:rPr>
        <w:t>previa</w:t>
      </w:r>
      <w:r w:rsidR="00F15B31" w:rsidRPr="00371E82">
        <w:rPr>
          <w:rFonts w:ascii="Arial" w:hAnsi="Arial" w:cs="Arial"/>
        </w:rPr>
        <w:t>.</w:t>
      </w:r>
    </w:p>
    <w:p w14:paraId="15434B94" w14:textId="1E86538D" w:rsidR="00F15B31" w:rsidRPr="00F25C7A" w:rsidRDefault="00F15B31" w:rsidP="00F25C7A">
      <w:pPr>
        <w:tabs>
          <w:tab w:val="left" w:pos="1665"/>
        </w:tabs>
        <w:spacing w:before="100" w:beforeAutospacing="1" w:after="100" w:afterAutospacing="1" w:line="360" w:lineRule="auto"/>
        <w:jc w:val="both"/>
        <w:rPr>
          <w:rFonts w:ascii="Arial" w:hAnsi="Arial" w:cs="Arial"/>
          <w:i/>
        </w:rPr>
      </w:pPr>
      <w:r w:rsidRPr="00F25C7A">
        <w:rPr>
          <w:rFonts w:ascii="Arial" w:hAnsi="Arial" w:cs="Arial"/>
        </w:rPr>
        <w:t xml:space="preserve">En las narradas circunstancias, no se logró desvirtuar la conclusión alcanzada por el </w:t>
      </w:r>
      <w:r w:rsidRPr="00F25C7A">
        <w:rPr>
          <w:rFonts w:ascii="Arial" w:hAnsi="Arial" w:cs="Arial"/>
          <w:i/>
        </w:rPr>
        <w:t>Tribunal Local</w:t>
      </w:r>
      <w:r w:rsidRPr="00F25C7A">
        <w:rPr>
          <w:rFonts w:ascii="Arial" w:hAnsi="Arial" w:cs="Arial"/>
        </w:rPr>
        <w:t xml:space="preserve">, ya que no se </w:t>
      </w:r>
      <w:r w:rsidRPr="00371E82">
        <w:rPr>
          <w:rFonts w:ascii="Arial" w:hAnsi="Arial" w:cs="Arial"/>
        </w:rPr>
        <w:t>acredit</w:t>
      </w:r>
      <w:r w:rsidR="006C5DD5" w:rsidRPr="00371E82">
        <w:rPr>
          <w:rFonts w:ascii="Arial" w:hAnsi="Arial" w:cs="Arial"/>
        </w:rPr>
        <w:t>ó</w:t>
      </w:r>
      <w:r w:rsidRPr="00F25C7A">
        <w:rPr>
          <w:rFonts w:ascii="Arial" w:hAnsi="Arial" w:cs="Arial"/>
        </w:rPr>
        <w:t xml:space="preserve"> que hubiere cumplido con la obligación establecida en el artículo 8 de los </w:t>
      </w:r>
      <w:r w:rsidRPr="00F25C7A">
        <w:rPr>
          <w:rFonts w:ascii="Arial" w:hAnsi="Arial" w:cs="Arial"/>
          <w:i/>
        </w:rPr>
        <w:t>Lineamientos</w:t>
      </w:r>
      <w:r w:rsidRPr="00F25C7A">
        <w:rPr>
          <w:rFonts w:ascii="Arial" w:hAnsi="Arial" w:cs="Arial"/>
        </w:rPr>
        <w:t>, motivo por el cual, debe confirmarse la sentencia impugnada</w:t>
      </w:r>
      <w:r w:rsidR="00564FF4">
        <w:rPr>
          <w:rFonts w:ascii="Arial" w:hAnsi="Arial" w:cs="Arial"/>
        </w:rPr>
        <w:t>.</w:t>
      </w:r>
      <w:r w:rsidRPr="00F25C7A">
        <w:rPr>
          <w:rFonts w:ascii="Arial" w:hAnsi="Arial" w:cs="Arial"/>
        </w:rPr>
        <w:t xml:space="preserve"> </w:t>
      </w:r>
    </w:p>
    <w:p w14:paraId="1B0ADFC3" w14:textId="7A980361" w:rsidR="00F53AFF" w:rsidRPr="00F25C7A" w:rsidRDefault="00F53AFF" w:rsidP="00F25C7A">
      <w:pPr>
        <w:pStyle w:val="Heading1"/>
        <w:numPr>
          <w:ilvl w:val="0"/>
          <w:numId w:val="10"/>
        </w:numPr>
        <w:spacing w:before="240" w:beforeAutospacing="0" w:after="240" w:afterAutospacing="0"/>
        <w:rPr>
          <w:rFonts w:cs="Arial"/>
          <w:szCs w:val="24"/>
        </w:rPr>
      </w:pPr>
      <w:bookmarkStart w:id="12" w:name="_Toc59140015"/>
      <w:r w:rsidRPr="00F25C7A">
        <w:rPr>
          <w:rFonts w:cs="Arial"/>
          <w:szCs w:val="24"/>
        </w:rPr>
        <w:t>RESOLUTIVO</w:t>
      </w:r>
      <w:bookmarkEnd w:id="12"/>
    </w:p>
    <w:p w14:paraId="0B36FFE1" w14:textId="37161D23" w:rsidR="008848A8" w:rsidRPr="00F25C7A" w:rsidRDefault="008848A8" w:rsidP="00F25C7A">
      <w:pPr>
        <w:spacing w:before="240" w:after="240" w:line="360" w:lineRule="auto"/>
        <w:jc w:val="both"/>
        <w:rPr>
          <w:rFonts w:ascii="Arial" w:hAnsi="Arial" w:cs="Arial"/>
          <w:lang w:val="es-MX" w:eastAsia="en-US"/>
        </w:rPr>
      </w:pPr>
      <w:r w:rsidRPr="00F25C7A">
        <w:rPr>
          <w:rFonts w:ascii="Arial" w:hAnsi="Arial" w:cs="Arial"/>
          <w:b/>
          <w:lang w:val="es-MX" w:eastAsia="en-US"/>
        </w:rPr>
        <w:t>ÚNICO.</w:t>
      </w:r>
      <w:r w:rsidRPr="00F25C7A">
        <w:rPr>
          <w:rFonts w:ascii="Arial" w:hAnsi="Arial" w:cs="Arial"/>
          <w:lang w:val="es-MX" w:eastAsia="en-US"/>
        </w:rPr>
        <w:t xml:space="preserve"> Se </w:t>
      </w:r>
      <w:r w:rsidR="00F15B31" w:rsidRPr="00F25C7A">
        <w:rPr>
          <w:rFonts w:ascii="Arial" w:hAnsi="Arial" w:cs="Arial"/>
          <w:lang w:val="es-MX" w:eastAsia="en-US"/>
        </w:rPr>
        <w:t xml:space="preserve">confirma </w:t>
      </w:r>
      <w:r w:rsidRPr="00F25C7A">
        <w:rPr>
          <w:rFonts w:ascii="Arial" w:hAnsi="Arial" w:cs="Arial"/>
          <w:lang w:val="es-MX" w:eastAsia="en-US"/>
        </w:rPr>
        <w:t>la sentencia impugnada.</w:t>
      </w:r>
    </w:p>
    <w:p w14:paraId="58032285" w14:textId="5EE6AB95" w:rsidR="008848A8" w:rsidRPr="00F25C7A" w:rsidRDefault="008848A8" w:rsidP="00F25C7A">
      <w:pPr>
        <w:spacing w:before="240" w:after="240" w:line="360" w:lineRule="auto"/>
        <w:jc w:val="both"/>
        <w:rPr>
          <w:rFonts w:ascii="Arial" w:hAnsi="Arial" w:cs="Arial"/>
          <w:lang w:val="es-MX" w:eastAsia="en-US"/>
        </w:rPr>
      </w:pPr>
      <w:r w:rsidRPr="00F25C7A">
        <w:rPr>
          <w:rFonts w:ascii="Arial" w:hAnsi="Arial" w:cs="Arial"/>
          <w:lang w:val="es-MX" w:eastAsia="en-US"/>
        </w:rPr>
        <w:t>En su oportunidad, archívese el expediente como asunto concluido y, en su caso, devuélvase la documentación remitida por la responsable.</w:t>
      </w:r>
    </w:p>
    <w:p w14:paraId="326C2A1A" w14:textId="77777777" w:rsidR="00371E82" w:rsidRDefault="00371E82" w:rsidP="00F25C7A">
      <w:pPr>
        <w:spacing w:before="240" w:after="240" w:line="360" w:lineRule="auto"/>
        <w:jc w:val="both"/>
        <w:rPr>
          <w:rFonts w:ascii="Arial" w:hAnsi="Arial" w:cs="Arial"/>
          <w:b/>
          <w:lang w:val="es-MX" w:eastAsia="en-US"/>
        </w:rPr>
      </w:pPr>
    </w:p>
    <w:p w14:paraId="424B0947" w14:textId="002A2B71" w:rsidR="00371E82" w:rsidRPr="00F25C7A" w:rsidRDefault="003C6BF0" w:rsidP="00F25C7A">
      <w:pPr>
        <w:spacing w:before="240" w:after="240" w:line="360" w:lineRule="auto"/>
        <w:jc w:val="both"/>
        <w:rPr>
          <w:rFonts w:ascii="Arial" w:hAnsi="Arial" w:cs="Arial"/>
          <w:b/>
          <w:lang w:val="es-MX" w:eastAsia="en-US"/>
        </w:rPr>
      </w:pPr>
      <w:r w:rsidRPr="00F25C7A">
        <w:rPr>
          <w:rFonts w:ascii="Arial" w:hAnsi="Arial" w:cs="Arial"/>
          <w:b/>
          <w:lang w:val="es-MX" w:eastAsia="en-US"/>
        </w:rPr>
        <w:lastRenderedPageBreak/>
        <w:t>NOTIFÍQUESE</w:t>
      </w:r>
    </w:p>
    <w:p w14:paraId="17EAEAC3" w14:textId="5C6ABB86" w:rsidR="003C6BF0" w:rsidRPr="00F25C7A" w:rsidRDefault="003C6BF0" w:rsidP="00F25C7A">
      <w:pPr>
        <w:spacing w:before="240" w:after="240" w:line="360" w:lineRule="auto"/>
        <w:jc w:val="both"/>
        <w:rPr>
          <w:rFonts w:ascii="Arial" w:hAnsi="Arial" w:cs="Arial"/>
          <w:lang w:val="es-MX" w:eastAsia="en-US"/>
        </w:rPr>
      </w:pPr>
      <w:r w:rsidRPr="00F25C7A">
        <w:rPr>
          <w:rFonts w:ascii="Arial" w:hAnsi="Arial" w:cs="Arial"/>
          <w:lang w:val="es-MX" w:eastAsia="en-US"/>
        </w:rPr>
        <w:t xml:space="preserve">Así lo resolvieron por </w:t>
      </w:r>
      <w:r w:rsidR="00371E82">
        <w:rPr>
          <w:rFonts w:ascii="Arial" w:hAnsi="Arial" w:cs="Arial"/>
          <w:b/>
          <w:lang w:val="es-MX" w:eastAsia="en-US"/>
        </w:rPr>
        <w:t>unanimidad</w:t>
      </w:r>
      <w:r w:rsidR="00317062" w:rsidRPr="00F25C7A">
        <w:rPr>
          <w:rFonts w:ascii="Arial" w:hAnsi="Arial" w:cs="Arial"/>
          <w:lang w:val="es-MX" w:eastAsia="en-US"/>
        </w:rPr>
        <w:t xml:space="preserve"> </w:t>
      </w:r>
      <w:r w:rsidRPr="00F25C7A">
        <w:rPr>
          <w:rFonts w:ascii="Arial" w:hAnsi="Arial" w:cs="Arial"/>
          <w:lang w:val="es-MX" w:eastAsia="en-US"/>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272A609" w14:textId="05A8E7F0" w:rsidR="00317062" w:rsidRPr="00F25C7A" w:rsidRDefault="00910771" w:rsidP="00F25C7A">
      <w:pPr>
        <w:spacing w:before="240" w:after="240" w:line="360" w:lineRule="auto"/>
        <w:jc w:val="both"/>
        <w:rPr>
          <w:rFonts w:ascii="Arial" w:hAnsi="Arial" w:cs="Arial"/>
          <w:i/>
          <w:iCs/>
          <w:lang w:val="es-MX" w:eastAsia="en-US"/>
        </w:rPr>
      </w:pPr>
      <w:r w:rsidRPr="00F25C7A">
        <w:rPr>
          <w:rFonts w:ascii="Arial" w:hAnsi="Arial" w:cs="Arial"/>
          <w:i/>
          <w:iCs/>
          <w:lang w:val="es-MX" w:eastAsia="en-U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w:t>
      </w:r>
      <w:r w:rsidR="00371E82">
        <w:rPr>
          <w:rFonts w:ascii="Arial" w:hAnsi="Arial" w:cs="Arial"/>
          <w:i/>
          <w:iCs/>
          <w:lang w:val="es-MX" w:eastAsia="en-US"/>
        </w:rPr>
        <w:t>.</w:t>
      </w:r>
    </w:p>
    <w:sectPr w:rsidR="00317062" w:rsidRPr="00F25C7A" w:rsidSect="0051792B">
      <w:headerReference w:type="even" r:id="rId8"/>
      <w:headerReference w:type="default" r:id="rId9"/>
      <w:footerReference w:type="even" r:id="rId10"/>
      <w:footerReference w:type="default" r:id="rId11"/>
      <w:headerReference w:type="first" r:id="rId12"/>
      <w:footerReference w:type="first" r:id="rId13"/>
      <w:pgSz w:w="12242" w:h="19295" w:code="119"/>
      <w:pgMar w:top="1576" w:right="1134" w:bottom="1985" w:left="2835"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BD78" w14:textId="77777777" w:rsidR="0031474F" w:rsidRDefault="0031474F" w:rsidP="006A59F6">
      <w:r>
        <w:separator/>
      </w:r>
    </w:p>
  </w:endnote>
  <w:endnote w:type="continuationSeparator" w:id="0">
    <w:p w14:paraId="6E512A88" w14:textId="77777777" w:rsidR="0031474F" w:rsidRDefault="0031474F" w:rsidP="006A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Univers">
    <w:altName w:val="Univers"/>
    <w:panose1 w:val="020B0603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18C1" w14:textId="77777777" w:rsidR="003F48EB" w:rsidRPr="00050ACE" w:rsidRDefault="003F48EB" w:rsidP="000B37D8">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B682" w14:textId="77777777" w:rsidR="003F48EB" w:rsidRPr="009912DF" w:rsidRDefault="003F48EB" w:rsidP="000B37D8">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C699" w14:textId="77777777" w:rsidR="009E5B83" w:rsidRDefault="009E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1C3D" w14:textId="77777777" w:rsidR="0031474F" w:rsidRDefault="0031474F" w:rsidP="006A59F6">
      <w:r>
        <w:separator/>
      </w:r>
    </w:p>
  </w:footnote>
  <w:footnote w:type="continuationSeparator" w:id="0">
    <w:p w14:paraId="3D638AEF" w14:textId="77777777" w:rsidR="0031474F" w:rsidRDefault="0031474F" w:rsidP="006A59F6">
      <w:r>
        <w:continuationSeparator/>
      </w:r>
    </w:p>
  </w:footnote>
  <w:footnote w:id="1">
    <w:p w14:paraId="4109ABE3" w14:textId="5F3DCE26" w:rsidR="00244BA8" w:rsidRPr="00103BB5" w:rsidRDefault="00244BA8" w:rsidP="001D36DF">
      <w:pPr>
        <w:pStyle w:val="FootnoteText"/>
        <w:jc w:val="both"/>
        <w:rPr>
          <w:rFonts w:ascii="Arial" w:hAnsi="Arial" w:cs="Arial"/>
          <w:lang w:val="es-MX"/>
        </w:rPr>
      </w:pPr>
      <w:r w:rsidRPr="00103BB5">
        <w:rPr>
          <w:rStyle w:val="FootnoteReference"/>
          <w:rFonts w:ascii="Arial" w:hAnsi="Arial" w:cs="Arial"/>
        </w:rPr>
        <w:footnoteRef/>
      </w:r>
      <w:r w:rsidRPr="00103BB5">
        <w:rPr>
          <w:rFonts w:ascii="Arial" w:hAnsi="Arial" w:cs="Arial"/>
        </w:rPr>
        <w:t xml:space="preserve"> </w:t>
      </w:r>
      <w:r w:rsidRPr="00103BB5">
        <w:rPr>
          <w:rFonts w:ascii="Arial" w:hAnsi="Arial" w:cs="Arial"/>
          <w:lang w:val="es-MX"/>
        </w:rPr>
        <w:t>Respecto a la</w:t>
      </w:r>
      <w:r w:rsidR="00207CA7">
        <w:rPr>
          <w:rFonts w:ascii="Arial" w:hAnsi="Arial" w:cs="Arial"/>
          <w:lang w:val="es-MX"/>
        </w:rPr>
        <w:t>s</w:t>
      </w:r>
      <w:r w:rsidRPr="00103BB5">
        <w:rPr>
          <w:rFonts w:ascii="Arial" w:hAnsi="Arial" w:cs="Arial"/>
          <w:lang w:val="es-MX"/>
        </w:rPr>
        <w:t xml:space="preserve"> </w:t>
      </w:r>
      <w:r w:rsidR="003D79C1">
        <w:rPr>
          <w:rFonts w:ascii="Arial" w:hAnsi="Arial" w:cs="Arial"/>
          <w:lang w:val="es-MX"/>
        </w:rPr>
        <w:t>falta</w:t>
      </w:r>
      <w:r w:rsidR="00207CA7">
        <w:rPr>
          <w:rFonts w:ascii="Arial" w:hAnsi="Arial" w:cs="Arial"/>
          <w:lang w:val="es-MX"/>
        </w:rPr>
        <w:t>s</w:t>
      </w:r>
      <w:r w:rsidR="003D79C1">
        <w:rPr>
          <w:rFonts w:ascii="Arial" w:hAnsi="Arial" w:cs="Arial"/>
          <w:lang w:val="es-MX"/>
        </w:rPr>
        <w:t xml:space="preserve"> atribuidas por </w:t>
      </w:r>
      <w:bookmarkStart w:id="6" w:name="_Hlk61019415"/>
      <w:r w:rsidR="003D79C1">
        <w:rPr>
          <w:rFonts w:ascii="Arial" w:hAnsi="Arial" w:cs="Arial"/>
          <w:lang w:val="es-MX"/>
        </w:rPr>
        <w:t xml:space="preserve">utilización de recursos públicos, promoción </w:t>
      </w:r>
      <w:r w:rsidR="00CD23F2">
        <w:rPr>
          <w:rFonts w:ascii="Arial" w:hAnsi="Arial" w:cs="Arial"/>
          <w:lang w:val="es-MX"/>
        </w:rPr>
        <w:t>personalizada,</w:t>
      </w:r>
      <w:r w:rsidR="003D79C1">
        <w:rPr>
          <w:rFonts w:ascii="Arial" w:hAnsi="Arial" w:cs="Arial"/>
          <w:lang w:val="es-MX"/>
        </w:rPr>
        <w:t xml:space="preserve"> </w:t>
      </w:r>
      <w:r w:rsidR="00207CA7">
        <w:rPr>
          <w:rFonts w:ascii="Arial" w:hAnsi="Arial" w:cs="Arial"/>
          <w:lang w:val="es-MX"/>
        </w:rPr>
        <w:t xml:space="preserve">así como por culpa en la vigilancia, </w:t>
      </w:r>
      <w:r w:rsidR="003D79C1">
        <w:rPr>
          <w:rFonts w:ascii="Arial" w:hAnsi="Arial" w:cs="Arial"/>
          <w:lang w:val="es-MX"/>
        </w:rPr>
        <w:t>la</w:t>
      </w:r>
      <w:r w:rsidR="00207CA7">
        <w:rPr>
          <w:rFonts w:ascii="Arial" w:hAnsi="Arial" w:cs="Arial"/>
          <w:lang w:val="es-MX"/>
        </w:rPr>
        <w:t>s</w:t>
      </w:r>
      <w:r w:rsidR="003D79C1">
        <w:rPr>
          <w:rFonts w:ascii="Arial" w:hAnsi="Arial" w:cs="Arial"/>
          <w:lang w:val="es-MX"/>
        </w:rPr>
        <w:t xml:space="preserve"> declara inexistente</w:t>
      </w:r>
      <w:r w:rsidR="00207CA7">
        <w:rPr>
          <w:rFonts w:ascii="Arial" w:hAnsi="Arial" w:cs="Arial"/>
          <w:lang w:val="es-MX"/>
        </w:rPr>
        <w:t>s</w:t>
      </w:r>
      <w:r w:rsidR="003D79C1">
        <w:rPr>
          <w:rFonts w:ascii="Arial" w:hAnsi="Arial" w:cs="Arial"/>
          <w:lang w:val="es-MX"/>
        </w:rPr>
        <w:t>. Declarando existente la irregularidad atribuida a la vulneración al interés superior de la niñez</w:t>
      </w:r>
      <w:r w:rsidR="00207CA7">
        <w:rPr>
          <w:rFonts w:ascii="Arial" w:hAnsi="Arial" w:cs="Arial"/>
          <w:lang w:val="es-MX"/>
        </w:rPr>
        <w:t>.</w:t>
      </w:r>
    </w:p>
    <w:bookmarkEnd w:id="6"/>
  </w:footnote>
  <w:footnote w:id="2">
    <w:p w14:paraId="2B13F271" w14:textId="77777777" w:rsidR="003F48EB" w:rsidRPr="00103BB5" w:rsidRDefault="003F48EB" w:rsidP="001D36DF">
      <w:pPr>
        <w:pStyle w:val="NoSpacing"/>
        <w:rPr>
          <w:rFonts w:cs="Arial"/>
          <w:szCs w:val="20"/>
        </w:rPr>
      </w:pPr>
      <w:r w:rsidRPr="00103BB5">
        <w:rPr>
          <w:rStyle w:val="FootnoteReference"/>
          <w:rFonts w:cs="Arial"/>
          <w:szCs w:val="20"/>
        </w:rPr>
        <w:footnoteRef/>
      </w:r>
      <w:r w:rsidRPr="00103BB5">
        <w:rPr>
          <w:rFonts w:cs="Arial"/>
          <w:szCs w:val="20"/>
        </w:rPr>
        <w:t xml:space="preserve"> Aprobados por la Presidencia de la Sala Superior del Tribunal Electoral del Poder Judicial de la Federación 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103BB5">
        <w:rPr>
          <w:rFonts w:cs="Arial"/>
          <w:i/>
          <w:szCs w:val="20"/>
        </w:rPr>
        <w:t>Ley de Medios</w:t>
      </w:r>
      <w:r w:rsidRPr="00103BB5">
        <w:rPr>
          <w:rFonts w:cs="Arial"/>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A308" w14:textId="1686701C" w:rsidR="003F48EB" w:rsidRPr="004C6F15" w:rsidRDefault="0031474F" w:rsidP="004C6F15">
    <w:pPr>
      <w:pStyle w:val="NormalWeb"/>
      <w:spacing w:before="0" w:beforeAutospacing="0" w:after="0" w:afterAutospacing="0"/>
      <w:rPr>
        <w:rFonts w:ascii="Univers" w:hAnsi="Univers"/>
        <w:b/>
      </w:rPr>
    </w:pPr>
    <w:sdt>
      <w:sdtPr>
        <w:rPr>
          <w:rFonts w:ascii="Arial" w:hAnsi="Arial" w:cs="Arial"/>
          <w:b/>
          <w:bCs/>
        </w:rPr>
        <w:id w:val="-2012983602"/>
        <w:docPartObj>
          <w:docPartGallery w:val="Page Numbers (Margins)"/>
          <w:docPartUnique/>
        </w:docPartObj>
      </w:sdtPr>
      <w:sdtEndPr/>
      <w:sdtContent>
        <w:r w:rsidR="003F48EB" w:rsidRPr="004C6F15">
          <w:rPr>
            <w:rFonts w:ascii="Arial" w:hAnsi="Arial" w:cs="Arial"/>
            <w:b/>
            <w:bCs/>
            <w:noProof/>
          </w:rPr>
          <mc:AlternateContent>
            <mc:Choice Requires="wps">
              <w:drawing>
                <wp:anchor distT="0" distB="0" distL="114300" distR="114300" simplePos="0" relativeHeight="251669504" behindDoc="0" locked="0" layoutInCell="0" allowOverlap="1" wp14:anchorId="1FA44D6D" wp14:editId="7D3B03CB">
                  <wp:simplePos x="0" y="0"/>
                  <wp:positionH relativeFrom="lef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67568310"/>
                                <w:docPartObj>
                                  <w:docPartGallery w:val="Page Numbers (Margins)"/>
                                  <w:docPartUnique/>
                                </w:docPartObj>
                              </w:sdtPr>
                              <w:sdtEndPr/>
                              <w:sdtContent>
                                <w:sdt>
                                  <w:sdtPr>
                                    <w:rPr>
                                      <w:rFonts w:asciiTheme="majorHAnsi" w:eastAsiaTheme="majorEastAsia" w:hAnsiTheme="majorHAnsi" w:cstheme="majorBidi"/>
                                      <w:sz w:val="48"/>
                                      <w:szCs w:val="48"/>
                                    </w:rPr>
                                    <w:id w:val="-1512377173"/>
                                    <w:docPartObj>
                                      <w:docPartGallery w:val="Page Numbers (Margins)"/>
                                      <w:docPartUnique/>
                                    </w:docPartObj>
                                  </w:sdtPr>
                                  <w:sdtEndPr/>
                                  <w:sdtContent>
                                    <w:p w14:paraId="2253F871" w14:textId="77777777" w:rsidR="003F48EB" w:rsidRDefault="003F48E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4D6D" id="Rectángulo 4" o:spid="_x0000_s1026"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VOiQ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Cuu&#10;ZU6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367568310"/>
                          <w:docPartObj>
                            <w:docPartGallery w:val="Page Numbers (Margins)"/>
                            <w:docPartUnique/>
                          </w:docPartObj>
                        </w:sdtPr>
                        <w:sdtEndPr/>
                        <w:sdtContent>
                          <w:sdt>
                            <w:sdtPr>
                              <w:rPr>
                                <w:rFonts w:asciiTheme="majorHAnsi" w:eastAsiaTheme="majorEastAsia" w:hAnsiTheme="majorHAnsi" w:cstheme="majorBidi"/>
                                <w:sz w:val="48"/>
                                <w:szCs w:val="48"/>
                              </w:rPr>
                              <w:id w:val="-1512377173"/>
                              <w:docPartObj>
                                <w:docPartGallery w:val="Page Numbers (Margins)"/>
                                <w:docPartUnique/>
                              </w:docPartObj>
                            </w:sdtPr>
                            <w:sdtEndPr/>
                            <w:sdtContent>
                              <w:p w14:paraId="2253F871" w14:textId="77777777" w:rsidR="003F48EB" w:rsidRDefault="003F48EB">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3F48EB" w:rsidRPr="004C6F15">
      <w:rPr>
        <w:rFonts w:ascii="Arial" w:hAnsi="Arial" w:cs="Arial"/>
        <w:b/>
        <w:bCs/>
      </w:rPr>
      <w:t>SM-J</w:t>
    </w:r>
    <w:r w:rsidR="003F48EB">
      <w:rPr>
        <w:rFonts w:ascii="Arial" w:hAnsi="Arial" w:cs="Arial"/>
        <w:b/>
        <w:bCs/>
      </w:rPr>
      <w:t>E</w:t>
    </w:r>
    <w:r w:rsidR="003F48EB" w:rsidRPr="004C6F15">
      <w:rPr>
        <w:rFonts w:ascii="Arial" w:hAnsi="Arial" w:cs="Arial"/>
        <w:b/>
        <w:bCs/>
      </w:rPr>
      <w:t>-</w:t>
    </w:r>
    <w:r w:rsidR="001E3CCD">
      <w:rPr>
        <w:rFonts w:ascii="Arial" w:hAnsi="Arial" w:cs="Arial"/>
        <w:b/>
        <w:bCs/>
      </w:rPr>
      <w:t>8</w:t>
    </w:r>
    <w:r w:rsidR="007D2964">
      <w:rPr>
        <w:rFonts w:ascii="Arial" w:hAnsi="Arial" w:cs="Arial"/>
        <w:b/>
        <w:bCs/>
      </w:rPr>
      <w:t>5</w:t>
    </w:r>
    <w:r w:rsidR="003F48EB">
      <w:rPr>
        <w:rFonts w:ascii="Arial" w:hAnsi="Arial" w:cs="Arial"/>
        <w:b/>
        <w:bCs/>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3F75" w14:textId="3E87ADA0" w:rsidR="003F48EB" w:rsidRDefault="003F48EB" w:rsidP="00336C64">
    <w:pPr>
      <w:pStyle w:val="Header"/>
    </w:pPr>
    <w:r>
      <w:rPr>
        <w:noProof/>
      </w:rPr>
      <w:drawing>
        <wp:anchor distT="0" distB="0" distL="114300" distR="114300" simplePos="0" relativeHeight="251661312" behindDoc="1" locked="0" layoutInCell="1" allowOverlap="1" wp14:anchorId="0D31B85B" wp14:editId="477A3281">
          <wp:simplePos x="0" y="0"/>
          <wp:positionH relativeFrom="page">
            <wp:posOffset>152400</wp:posOffset>
          </wp:positionH>
          <wp:positionV relativeFrom="page">
            <wp:posOffset>495935</wp:posOffset>
          </wp:positionV>
          <wp:extent cx="1371600" cy="1143000"/>
          <wp:effectExtent l="0" t="0" r="0" b="0"/>
          <wp:wrapTight wrapText="bothSides">
            <wp:wrapPolygon edited="0">
              <wp:start x="0" y="0"/>
              <wp:lineTo x="0" y="21240"/>
              <wp:lineTo x="21300" y="21240"/>
              <wp:lineTo x="21300" y="0"/>
              <wp:lineTo x="0" y="0"/>
            </wp:wrapPolygon>
          </wp:wrapTight>
          <wp:docPr id="17" name="Imagen 1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73103419"/>
        <w:docPartObj>
          <w:docPartGallery w:val="Page Numbers (Margins)"/>
          <w:docPartUnique/>
        </w:docPartObj>
      </w:sdtPr>
      <w:sdtEndPr/>
      <w:sdtContent>
        <w:r>
          <w:rPr>
            <w:noProof/>
          </w:rPr>
          <mc:AlternateContent>
            <mc:Choice Requires="wps">
              <w:drawing>
                <wp:anchor distT="0" distB="0" distL="114300" distR="114300" simplePos="0" relativeHeight="251671552" behindDoc="0" locked="0" layoutInCell="0" allowOverlap="1" wp14:anchorId="35F06897" wp14:editId="62E927A5">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2669920"/>
                                <w:docPartObj>
                                  <w:docPartGallery w:val="Page Numbers (Margins)"/>
                                  <w:docPartUnique/>
                                </w:docPartObj>
                              </w:sdtPr>
                              <w:sdtEndPr/>
                              <w:sdtContent>
                                <w:p w14:paraId="58CAD29D" w14:textId="77777777" w:rsidR="003F48EB" w:rsidRDefault="003F48EB">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6897" id="Rectángulo 6" o:spid="_x0000_s1027"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RIjAIAAA4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AhiVEiMAgAADgUAAA4AAAAAAAAAAAAAAAAALgIAAGRycy9lMm9Eb2MueG1sUEsBAi0AFAAGAAgA&#10;AAAhAGzVH9PZAAAABQEAAA8AAAAAAAAAAAAAAAAA5gQAAGRycy9kb3ducmV2LnhtbFBLBQYAAAAA&#10;BAAEAPMAAADsBQAAAAA=&#10;" o:allowincell="f" stroked="f">
                  <v:textbox>
                    <w:txbxContent>
                      <w:sdt>
                        <w:sdtPr>
                          <w:rPr>
                            <w:rFonts w:asciiTheme="majorHAnsi" w:eastAsiaTheme="majorEastAsia" w:hAnsiTheme="majorHAnsi" w:cstheme="majorBidi"/>
                            <w:sz w:val="48"/>
                            <w:szCs w:val="48"/>
                          </w:rPr>
                          <w:id w:val="-1472669920"/>
                          <w:docPartObj>
                            <w:docPartGallery w:val="Page Numbers (Margins)"/>
                            <w:docPartUnique/>
                          </w:docPartObj>
                        </w:sdtPr>
                        <w:sdtEndPr/>
                        <w:sdtContent>
                          <w:p w14:paraId="58CAD29D" w14:textId="77777777" w:rsidR="003F48EB" w:rsidRDefault="003F48EB">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450C1743" w14:textId="7C20DA4A" w:rsidR="003F48EB" w:rsidRDefault="003F48EB" w:rsidP="000B37D8">
    <w:pPr>
      <w:pStyle w:val="NormalWeb"/>
      <w:spacing w:before="0" w:beforeAutospacing="0" w:after="0" w:afterAutospacing="0"/>
      <w:jc w:val="right"/>
      <w:rPr>
        <w:rFonts w:ascii="Arial" w:hAnsi="Arial" w:cs="Arial"/>
        <w:b/>
        <w:bCs/>
      </w:rPr>
    </w:pPr>
    <w:r>
      <w:rPr>
        <w:rFonts w:ascii="Arial" w:hAnsi="Arial" w:cs="Arial"/>
        <w:b/>
        <w:bCs/>
      </w:rPr>
      <w:t>SM-JE-</w:t>
    </w:r>
    <w:r w:rsidR="007A07F9">
      <w:rPr>
        <w:rFonts w:ascii="Arial" w:hAnsi="Arial" w:cs="Arial"/>
        <w:b/>
        <w:bCs/>
      </w:rPr>
      <w:t>8</w:t>
    </w:r>
    <w:r w:rsidR="003E7836">
      <w:rPr>
        <w:rFonts w:ascii="Arial" w:hAnsi="Arial" w:cs="Arial"/>
        <w:b/>
        <w:bCs/>
      </w:rPr>
      <w:t>5</w:t>
    </w:r>
    <w:r>
      <w:rPr>
        <w:rFonts w:ascii="Arial" w:hAnsi="Arial" w:cs="Arial"/>
        <w:b/>
        <w:bCs/>
      </w:rPr>
      <w:t>/2020</w:t>
    </w:r>
  </w:p>
  <w:p w14:paraId="7BE5422D" w14:textId="77777777" w:rsidR="003F48EB" w:rsidRDefault="003F48EB" w:rsidP="000B37D8">
    <w:pPr>
      <w:pStyle w:val="NormalWeb"/>
      <w:spacing w:before="0" w:beforeAutospacing="0" w:after="0" w:afterAutospacing="0"/>
      <w:jc w:val="right"/>
      <w:rPr>
        <w:rFonts w:ascii="Arial" w:hAnsi="Arial" w:cs="Arial"/>
        <w:b/>
        <w:bCs/>
      </w:rPr>
    </w:pPr>
  </w:p>
  <w:p w14:paraId="25289FAD" w14:textId="77777777" w:rsidR="003F48EB" w:rsidRPr="00C2541C" w:rsidRDefault="003F48EB" w:rsidP="000B37D8">
    <w:pPr>
      <w:pStyle w:val="NormalWeb"/>
      <w:spacing w:before="0" w:beforeAutospacing="0" w:after="0" w:afterAutospacing="0"/>
      <w:jc w:val="right"/>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25F0" w14:textId="2D22438E" w:rsidR="003F48EB" w:rsidRDefault="003F48EB">
    <w:pPr>
      <w:pStyle w:val="Header"/>
    </w:pPr>
    <w:r>
      <w:rPr>
        <w:noProof/>
      </w:rPr>
      <w:drawing>
        <wp:anchor distT="0" distB="0" distL="114300" distR="114300" simplePos="0" relativeHeight="251659264" behindDoc="1" locked="0" layoutInCell="1" allowOverlap="1" wp14:anchorId="70BA0219" wp14:editId="2AEF7FE1">
          <wp:simplePos x="0" y="0"/>
          <wp:positionH relativeFrom="page">
            <wp:posOffset>428625</wp:posOffset>
          </wp:positionH>
          <wp:positionV relativeFrom="page">
            <wp:posOffset>715010</wp:posOffset>
          </wp:positionV>
          <wp:extent cx="1371600" cy="1143000"/>
          <wp:effectExtent l="0" t="0" r="0" b="0"/>
          <wp:wrapTight wrapText="bothSides">
            <wp:wrapPolygon edited="0">
              <wp:start x="0" y="0"/>
              <wp:lineTo x="0" y="21240"/>
              <wp:lineTo x="21300" y="21240"/>
              <wp:lineTo x="21300" y="0"/>
              <wp:lineTo x="0" y="0"/>
            </wp:wrapPolygon>
          </wp:wrapTight>
          <wp:docPr id="18" name="Imagen 1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FF7"/>
    <w:multiLevelType w:val="hybridMultilevel"/>
    <w:tmpl w:val="FCE44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B13C4"/>
    <w:multiLevelType w:val="multilevel"/>
    <w:tmpl w:val="59546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4E77AF"/>
    <w:multiLevelType w:val="hybridMultilevel"/>
    <w:tmpl w:val="389C1D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00712"/>
    <w:multiLevelType w:val="hybridMultilevel"/>
    <w:tmpl w:val="F6FE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E39"/>
    <w:multiLevelType w:val="hybridMultilevel"/>
    <w:tmpl w:val="8E980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C54EB8"/>
    <w:multiLevelType w:val="hybridMultilevel"/>
    <w:tmpl w:val="8EAE14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783785"/>
    <w:multiLevelType w:val="hybridMultilevel"/>
    <w:tmpl w:val="8E38607E"/>
    <w:lvl w:ilvl="0" w:tplc="488ED178">
      <w:start w:val="1"/>
      <w:numFmt w:val="decimal"/>
      <w:lvlText w:val="%1."/>
      <w:lvlJc w:val="left"/>
      <w:pPr>
        <w:ind w:left="720" w:hanging="360"/>
      </w:pPr>
      <w:rPr>
        <w:rFonts w:eastAsiaTheme="majorEastAsia" w:cstheme="maj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EA2ACC"/>
    <w:multiLevelType w:val="hybridMultilevel"/>
    <w:tmpl w:val="269EE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57786"/>
    <w:multiLevelType w:val="hybridMultilevel"/>
    <w:tmpl w:val="B3A08E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73D78"/>
    <w:multiLevelType w:val="hybridMultilevel"/>
    <w:tmpl w:val="B48A8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434334"/>
    <w:multiLevelType w:val="hybridMultilevel"/>
    <w:tmpl w:val="42F2C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604C5"/>
    <w:multiLevelType w:val="hybridMultilevel"/>
    <w:tmpl w:val="9938A4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6"/>
  </w:num>
  <w:num w:numId="6">
    <w:abstractNumId w:val="7"/>
  </w:num>
  <w:num w:numId="7">
    <w:abstractNumId w:val="2"/>
  </w:num>
  <w:num w:numId="8">
    <w:abstractNumId w:val="4"/>
  </w:num>
  <w:num w:numId="9">
    <w:abstractNumId w:val="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6"/>
    <w:rsid w:val="000012AA"/>
    <w:rsid w:val="00004FB8"/>
    <w:rsid w:val="00012653"/>
    <w:rsid w:val="000155BD"/>
    <w:rsid w:val="000177CA"/>
    <w:rsid w:val="00022EEF"/>
    <w:rsid w:val="000232C1"/>
    <w:rsid w:val="000248F2"/>
    <w:rsid w:val="000326B4"/>
    <w:rsid w:val="00034B37"/>
    <w:rsid w:val="000364A1"/>
    <w:rsid w:val="00044251"/>
    <w:rsid w:val="00045020"/>
    <w:rsid w:val="00045B8D"/>
    <w:rsid w:val="000509C7"/>
    <w:rsid w:val="0005311D"/>
    <w:rsid w:val="00053DFB"/>
    <w:rsid w:val="00054312"/>
    <w:rsid w:val="0005601D"/>
    <w:rsid w:val="00056F3C"/>
    <w:rsid w:val="000606A3"/>
    <w:rsid w:val="00062B97"/>
    <w:rsid w:val="00064929"/>
    <w:rsid w:val="00065DD9"/>
    <w:rsid w:val="00066E23"/>
    <w:rsid w:val="00071DD3"/>
    <w:rsid w:val="00072768"/>
    <w:rsid w:val="00072BED"/>
    <w:rsid w:val="000778BB"/>
    <w:rsid w:val="00087DB7"/>
    <w:rsid w:val="00090613"/>
    <w:rsid w:val="00094885"/>
    <w:rsid w:val="0009671E"/>
    <w:rsid w:val="0009672D"/>
    <w:rsid w:val="00096D85"/>
    <w:rsid w:val="000A0910"/>
    <w:rsid w:val="000A0D27"/>
    <w:rsid w:val="000A34D1"/>
    <w:rsid w:val="000A35E4"/>
    <w:rsid w:val="000A5974"/>
    <w:rsid w:val="000A60DA"/>
    <w:rsid w:val="000B37D8"/>
    <w:rsid w:val="000B4C4E"/>
    <w:rsid w:val="000B4E9C"/>
    <w:rsid w:val="000B76CC"/>
    <w:rsid w:val="000B7BD4"/>
    <w:rsid w:val="000C1B68"/>
    <w:rsid w:val="000C261B"/>
    <w:rsid w:val="000C2E48"/>
    <w:rsid w:val="000C35A0"/>
    <w:rsid w:val="000C4D60"/>
    <w:rsid w:val="000C674C"/>
    <w:rsid w:val="000C6E78"/>
    <w:rsid w:val="000D0644"/>
    <w:rsid w:val="000D36D5"/>
    <w:rsid w:val="000D61A7"/>
    <w:rsid w:val="000E09C0"/>
    <w:rsid w:val="000E29A8"/>
    <w:rsid w:val="000E7A32"/>
    <w:rsid w:val="000F5BE4"/>
    <w:rsid w:val="00101CEA"/>
    <w:rsid w:val="00103BB5"/>
    <w:rsid w:val="00103CF6"/>
    <w:rsid w:val="00104835"/>
    <w:rsid w:val="001105A4"/>
    <w:rsid w:val="001114E1"/>
    <w:rsid w:val="00112407"/>
    <w:rsid w:val="00112B94"/>
    <w:rsid w:val="00117C28"/>
    <w:rsid w:val="00120AF3"/>
    <w:rsid w:val="00133C45"/>
    <w:rsid w:val="00134085"/>
    <w:rsid w:val="00136685"/>
    <w:rsid w:val="00140195"/>
    <w:rsid w:val="001419F5"/>
    <w:rsid w:val="00142757"/>
    <w:rsid w:val="00142E1B"/>
    <w:rsid w:val="001468F4"/>
    <w:rsid w:val="00147536"/>
    <w:rsid w:val="00147BE0"/>
    <w:rsid w:val="00150D89"/>
    <w:rsid w:val="001556B4"/>
    <w:rsid w:val="00155736"/>
    <w:rsid w:val="001643C5"/>
    <w:rsid w:val="0016490A"/>
    <w:rsid w:val="0016501E"/>
    <w:rsid w:val="00165B8C"/>
    <w:rsid w:val="0016685C"/>
    <w:rsid w:val="00170D66"/>
    <w:rsid w:val="001713EC"/>
    <w:rsid w:val="00175C2D"/>
    <w:rsid w:val="00176E58"/>
    <w:rsid w:val="00180942"/>
    <w:rsid w:val="0018630F"/>
    <w:rsid w:val="0018798B"/>
    <w:rsid w:val="00187D98"/>
    <w:rsid w:val="00191204"/>
    <w:rsid w:val="00194744"/>
    <w:rsid w:val="00197E89"/>
    <w:rsid w:val="001A185D"/>
    <w:rsid w:val="001A22D1"/>
    <w:rsid w:val="001A3A25"/>
    <w:rsid w:val="001A3F29"/>
    <w:rsid w:val="001A53FB"/>
    <w:rsid w:val="001A5B01"/>
    <w:rsid w:val="001A7C2A"/>
    <w:rsid w:val="001B44A2"/>
    <w:rsid w:val="001B69D4"/>
    <w:rsid w:val="001C065E"/>
    <w:rsid w:val="001C0D64"/>
    <w:rsid w:val="001C57DB"/>
    <w:rsid w:val="001C654E"/>
    <w:rsid w:val="001D09AD"/>
    <w:rsid w:val="001D36DF"/>
    <w:rsid w:val="001D493D"/>
    <w:rsid w:val="001D6361"/>
    <w:rsid w:val="001D6FA5"/>
    <w:rsid w:val="001E02A7"/>
    <w:rsid w:val="001E0393"/>
    <w:rsid w:val="001E1D6F"/>
    <w:rsid w:val="001E1F36"/>
    <w:rsid w:val="001E298D"/>
    <w:rsid w:val="001E3CCD"/>
    <w:rsid w:val="001E4269"/>
    <w:rsid w:val="001E46CB"/>
    <w:rsid w:val="001E49EC"/>
    <w:rsid w:val="001E4D22"/>
    <w:rsid w:val="001E5E81"/>
    <w:rsid w:val="001F17E2"/>
    <w:rsid w:val="001F2D0E"/>
    <w:rsid w:val="001F32D7"/>
    <w:rsid w:val="001F6E3C"/>
    <w:rsid w:val="00202882"/>
    <w:rsid w:val="00203C5F"/>
    <w:rsid w:val="00203D3D"/>
    <w:rsid w:val="002067DE"/>
    <w:rsid w:val="00207A6E"/>
    <w:rsid w:val="00207CA7"/>
    <w:rsid w:val="0021036D"/>
    <w:rsid w:val="00210937"/>
    <w:rsid w:val="00216BF4"/>
    <w:rsid w:val="0021703F"/>
    <w:rsid w:val="00221A62"/>
    <w:rsid w:val="00221D87"/>
    <w:rsid w:val="00226B5D"/>
    <w:rsid w:val="0023116E"/>
    <w:rsid w:val="002367EC"/>
    <w:rsid w:val="00236CB4"/>
    <w:rsid w:val="00237332"/>
    <w:rsid w:val="00237A7B"/>
    <w:rsid w:val="0024012C"/>
    <w:rsid w:val="00241871"/>
    <w:rsid w:val="00244BA8"/>
    <w:rsid w:val="0025078E"/>
    <w:rsid w:val="002528F3"/>
    <w:rsid w:val="00254D05"/>
    <w:rsid w:val="0025619B"/>
    <w:rsid w:val="00257D90"/>
    <w:rsid w:val="0026329A"/>
    <w:rsid w:val="00264032"/>
    <w:rsid w:val="00266218"/>
    <w:rsid w:val="00266992"/>
    <w:rsid w:val="00267CF4"/>
    <w:rsid w:val="0027318E"/>
    <w:rsid w:val="002733C3"/>
    <w:rsid w:val="0027503C"/>
    <w:rsid w:val="00276B3D"/>
    <w:rsid w:val="00276BE1"/>
    <w:rsid w:val="002776B4"/>
    <w:rsid w:val="00277D83"/>
    <w:rsid w:val="002823A1"/>
    <w:rsid w:val="00282F57"/>
    <w:rsid w:val="002909DC"/>
    <w:rsid w:val="00291351"/>
    <w:rsid w:val="0029410F"/>
    <w:rsid w:val="002A1077"/>
    <w:rsid w:val="002A1CCF"/>
    <w:rsid w:val="002A1DA1"/>
    <w:rsid w:val="002A30AA"/>
    <w:rsid w:val="002A3C91"/>
    <w:rsid w:val="002A3D01"/>
    <w:rsid w:val="002A4177"/>
    <w:rsid w:val="002A62BD"/>
    <w:rsid w:val="002A6F9C"/>
    <w:rsid w:val="002B069E"/>
    <w:rsid w:val="002B40CA"/>
    <w:rsid w:val="002C0610"/>
    <w:rsid w:val="002C45A8"/>
    <w:rsid w:val="002C50DE"/>
    <w:rsid w:val="002C62F9"/>
    <w:rsid w:val="002C66A3"/>
    <w:rsid w:val="002C679D"/>
    <w:rsid w:val="002D0A0F"/>
    <w:rsid w:val="002D17ED"/>
    <w:rsid w:val="002D314B"/>
    <w:rsid w:val="002D3FA9"/>
    <w:rsid w:val="002D4064"/>
    <w:rsid w:val="002E493A"/>
    <w:rsid w:val="002F4093"/>
    <w:rsid w:val="002F43BC"/>
    <w:rsid w:val="002F5451"/>
    <w:rsid w:val="00301C0B"/>
    <w:rsid w:val="00301FEB"/>
    <w:rsid w:val="00302883"/>
    <w:rsid w:val="00305749"/>
    <w:rsid w:val="00311D37"/>
    <w:rsid w:val="0031474F"/>
    <w:rsid w:val="00315825"/>
    <w:rsid w:val="00316893"/>
    <w:rsid w:val="00317062"/>
    <w:rsid w:val="00317D43"/>
    <w:rsid w:val="003204F6"/>
    <w:rsid w:val="00322350"/>
    <w:rsid w:val="0032241A"/>
    <w:rsid w:val="00322424"/>
    <w:rsid w:val="00327252"/>
    <w:rsid w:val="00331430"/>
    <w:rsid w:val="00331D70"/>
    <w:rsid w:val="003322F9"/>
    <w:rsid w:val="003326A0"/>
    <w:rsid w:val="00336C64"/>
    <w:rsid w:val="003376F0"/>
    <w:rsid w:val="00340230"/>
    <w:rsid w:val="0034529A"/>
    <w:rsid w:val="0034673F"/>
    <w:rsid w:val="003471B2"/>
    <w:rsid w:val="00347FDF"/>
    <w:rsid w:val="00351EFC"/>
    <w:rsid w:val="003549EC"/>
    <w:rsid w:val="0035529A"/>
    <w:rsid w:val="00357CAA"/>
    <w:rsid w:val="0036151A"/>
    <w:rsid w:val="00362100"/>
    <w:rsid w:val="003637F2"/>
    <w:rsid w:val="003649DE"/>
    <w:rsid w:val="003652D3"/>
    <w:rsid w:val="003658F9"/>
    <w:rsid w:val="00371E82"/>
    <w:rsid w:val="003802E2"/>
    <w:rsid w:val="003827E5"/>
    <w:rsid w:val="003864C9"/>
    <w:rsid w:val="0039233F"/>
    <w:rsid w:val="0039525A"/>
    <w:rsid w:val="003962DE"/>
    <w:rsid w:val="003A0374"/>
    <w:rsid w:val="003A1534"/>
    <w:rsid w:val="003A3E3A"/>
    <w:rsid w:val="003B379D"/>
    <w:rsid w:val="003B52AB"/>
    <w:rsid w:val="003C4D9F"/>
    <w:rsid w:val="003C584F"/>
    <w:rsid w:val="003C6BF0"/>
    <w:rsid w:val="003C6D5D"/>
    <w:rsid w:val="003D3F68"/>
    <w:rsid w:val="003D4B74"/>
    <w:rsid w:val="003D6ADF"/>
    <w:rsid w:val="003D6D14"/>
    <w:rsid w:val="003D7234"/>
    <w:rsid w:val="003D79C1"/>
    <w:rsid w:val="003E0308"/>
    <w:rsid w:val="003E1677"/>
    <w:rsid w:val="003E3D2C"/>
    <w:rsid w:val="003E7836"/>
    <w:rsid w:val="003F1C96"/>
    <w:rsid w:val="003F32AB"/>
    <w:rsid w:val="003F48EB"/>
    <w:rsid w:val="003F4F18"/>
    <w:rsid w:val="003F64B0"/>
    <w:rsid w:val="003F7064"/>
    <w:rsid w:val="00403A57"/>
    <w:rsid w:val="00404D17"/>
    <w:rsid w:val="00405DE2"/>
    <w:rsid w:val="00406FF0"/>
    <w:rsid w:val="0041242C"/>
    <w:rsid w:val="004169DF"/>
    <w:rsid w:val="00420062"/>
    <w:rsid w:val="0042071F"/>
    <w:rsid w:val="004239F8"/>
    <w:rsid w:val="00424E43"/>
    <w:rsid w:val="00426969"/>
    <w:rsid w:val="00427017"/>
    <w:rsid w:val="00431503"/>
    <w:rsid w:val="004334F8"/>
    <w:rsid w:val="00434D34"/>
    <w:rsid w:val="00436A6E"/>
    <w:rsid w:val="00441DF1"/>
    <w:rsid w:val="0044363A"/>
    <w:rsid w:val="00447F1F"/>
    <w:rsid w:val="00450EDE"/>
    <w:rsid w:val="00451EBD"/>
    <w:rsid w:val="004532B5"/>
    <w:rsid w:val="00455216"/>
    <w:rsid w:val="004557CE"/>
    <w:rsid w:val="004572FB"/>
    <w:rsid w:val="00457B82"/>
    <w:rsid w:val="00460318"/>
    <w:rsid w:val="004607AF"/>
    <w:rsid w:val="00460CF1"/>
    <w:rsid w:val="00463AC2"/>
    <w:rsid w:val="00466479"/>
    <w:rsid w:val="00471720"/>
    <w:rsid w:val="0047243C"/>
    <w:rsid w:val="00474281"/>
    <w:rsid w:val="00476087"/>
    <w:rsid w:val="004762EB"/>
    <w:rsid w:val="00480806"/>
    <w:rsid w:val="00485831"/>
    <w:rsid w:val="00485AA8"/>
    <w:rsid w:val="004964B6"/>
    <w:rsid w:val="004A081D"/>
    <w:rsid w:val="004A1E76"/>
    <w:rsid w:val="004A3A85"/>
    <w:rsid w:val="004A4DE4"/>
    <w:rsid w:val="004A5417"/>
    <w:rsid w:val="004A5F03"/>
    <w:rsid w:val="004A5F74"/>
    <w:rsid w:val="004B09C3"/>
    <w:rsid w:val="004B4801"/>
    <w:rsid w:val="004B6FDB"/>
    <w:rsid w:val="004C4E1B"/>
    <w:rsid w:val="004C6F15"/>
    <w:rsid w:val="004C7D57"/>
    <w:rsid w:val="004D08F2"/>
    <w:rsid w:val="004D0FBF"/>
    <w:rsid w:val="004D2DDC"/>
    <w:rsid w:val="004D37A2"/>
    <w:rsid w:val="004E0D31"/>
    <w:rsid w:val="004E14AC"/>
    <w:rsid w:val="004E1E64"/>
    <w:rsid w:val="004E59E0"/>
    <w:rsid w:val="004E67BB"/>
    <w:rsid w:val="004E6C2A"/>
    <w:rsid w:val="004F058A"/>
    <w:rsid w:val="004F1104"/>
    <w:rsid w:val="004F391A"/>
    <w:rsid w:val="0051063E"/>
    <w:rsid w:val="00510AE7"/>
    <w:rsid w:val="005158BB"/>
    <w:rsid w:val="0051721D"/>
    <w:rsid w:val="0051792B"/>
    <w:rsid w:val="00524018"/>
    <w:rsid w:val="00525BB6"/>
    <w:rsid w:val="005316C2"/>
    <w:rsid w:val="00537464"/>
    <w:rsid w:val="005402E0"/>
    <w:rsid w:val="005426D3"/>
    <w:rsid w:val="00543988"/>
    <w:rsid w:val="00543DE9"/>
    <w:rsid w:val="005441D7"/>
    <w:rsid w:val="00546933"/>
    <w:rsid w:val="00546EF1"/>
    <w:rsid w:val="00551C89"/>
    <w:rsid w:val="00553C49"/>
    <w:rsid w:val="00560E47"/>
    <w:rsid w:val="00562479"/>
    <w:rsid w:val="00564FF4"/>
    <w:rsid w:val="005673AA"/>
    <w:rsid w:val="0057249E"/>
    <w:rsid w:val="00577170"/>
    <w:rsid w:val="00577352"/>
    <w:rsid w:val="00577D22"/>
    <w:rsid w:val="00580355"/>
    <w:rsid w:val="005818A2"/>
    <w:rsid w:val="0059077A"/>
    <w:rsid w:val="00596042"/>
    <w:rsid w:val="005A4676"/>
    <w:rsid w:val="005A583E"/>
    <w:rsid w:val="005A6AC8"/>
    <w:rsid w:val="005B0433"/>
    <w:rsid w:val="005B1364"/>
    <w:rsid w:val="005B52EF"/>
    <w:rsid w:val="005C03C1"/>
    <w:rsid w:val="005C3034"/>
    <w:rsid w:val="005C3564"/>
    <w:rsid w:val="005D383D"/>
    <w:rsid w:val="005D3B18"/>
    <w:rsid w:val="005D4411"/>
    <w:rsid w:val="005E14B7"/>
    <w:rsid w:val="005E168F"/>
    <w:rsid w:val="005E4CF3"/>
    <w:rsid w:val="005E6E5D"/>
    <w:rsid w:val="005F0551"/>
    <w:rsid w:val="005F2218"/>
    <w:rsid w:val="005F4E86"/>
    <w:rsid w:val="00600013"/>
    <w:rsid w:val="006026E6"/>
    <w:rsid w:val="006034F3"/>
    <w:rsid w:val="0060396E"/>
    <w:rsid w:val="00604CC6"/>
    <w:rsid w:val="006055E6"/>
    <w:rsid w:val="006071D7"/>
    <w:rsid w:val="00611381"/>
    <w:rsid w:val="00621822"/>
    <w:rsid w:val="0062250D"/>
    <w:rsid w:val="006238E4"/>
    <w:rsid w:val="00623A26"/>
    <w:rsid w:val="00623C36"/>
    <w:rsid w:val="0062576D"/>
    <w:rsid w:val="00626191"/>
    <w:rsid w:val="00627D6B"/>
    <w:rsid w:val="00633311"/>
    <w:rsid w:val="00640A5F"/>
    <w:rsid w:val="00646C57"/>
    <w:rsid w:val="006477DA"/>
    <w:rsid w:val="006479CA"/>
    <w:rsid w:val="0066077B"/>
    <w:rsid w:val="00664ADF"/>
    <w:rsid w:val="00666415"/>
    <w:rsid w:val="006679E0"/>
    <w:rsid w:val="00671626"/>
    <w:rsid w:val="006756F1"/>
    <w:rsid w:val="006801A9"/>
    <w:rsid w:val="00680AF7"/>
    <w:rsid w:val="00680B03"/>
    <w:rsid w:val="00680E63"/>
    <w:rsid w:val="00681409"/>
    <w:rsid w:val="00681497"/>
    <w:rsid w:val="006821C6"/>
    <w:rsid w:val="00683CC8"/>
    <w:rsid w:val="006847DE"/>
    <w:rsid w:val="0068556A"/>
    <w:rsid w:val="00685F19"/>
    <w:rsid w:val="00686AA0"/>
    <w:rsid w:val="00693D94"/>
    <w:rsid w:val="00694250"/>
    <w:rsid w:val="006967D1"/>
    <w:rsid w:val="00696E00"/>
    <w:rsid w:val="006A23BC"/>
    <w:rsid w:val="006A2515"/>
    <w:rsid w:val="006A59F6"/>
    <w:rsid w:val="006A7FEF"/>
    <w:rsid w:val="006B4E70"/>
    <w:rsid w:val="006C0D30"/>
    <w:rsid w:val="006C53F4"/>
    <w:rsid w:val="006C5DD5"/>
    <w:rsid w:val="006D3839"/>
    <w:rsid w:val="006D6A39"/>
    <w:rsid w:val="006E4CB4"/>
    <w:rsid w:val="006E4E54"/>
    <w:rsid w:val="006E509E"/>
    <w:rsid w:val="006F0117"/>
    <w:rsid w:val="006F6A04"/>
    <w:rsid w:val="006F6BCD"/>
    <w:rsid w:val="007017FA"/>
    <w:rsid w:val="00702BDA"/>
    <w:rsid w:val="00705965"/>
    <w:rsid w:val="00715353"/>
    <w:rsid w:val="0071604C"/>
    <w:rsid w:val="007162F0"/>
    <w:rsid w:val="007165CD"/>
    <w:rsid w:val="007168FF"/>
    <w:rsid w:val="00717294"/>
    <w:rsid w:val="007210D0"/>
    <w:rsid w:val="007215B8"/>
    <w:rsid w:val="0072329A"/>
    <w:rsid w:val="00724D41"/>
    <w:rsid w:val="0072554B"/>
    <w:rsid w:val="00730C7B"/>
    <w:rsid w:val="007351BC"/>
    <w:rsid w:val="007430B7"/>
    <w:rsid w:val="0074378B"/>
    <w:rsid w:val="00750776"/>
    <w:rsid w:val="00751C13"/>
    <w:rsid w:val="0075421C"/>
    <w:rsid w:val="00757E28"/>
    <w:rsid w:val="007604CF"/>
    <w:rsid w:val="00761866"/>
    <w:rsid w:val="00762AFC"/>
    <w:rsid w:val="007630D4"/>
    <w:rsid w:val="0076597A"/>
    <w:rsid w:val="007676CE"/>
    <w:rsid w:val="00772CEA"/>
    <w:rsid w:val="00775A87"/>
    <w:rsid w:val="007864A4"/>
    <w:rsid w:val="00786AC5"/>
    <w:rsid w:val="007930EE"/>
    <w:rsid w:val="00793CEB"/>
    <w:rsid w:val="0079480D"/>
    <w:rsid w:val="00795ABA"/>
    <w:rsid w:val="00796287"/>
    <w:rsid w:val="007969A7"/>
    <w:rsid w:val="00796B18"/>
    <w:rsid w:val="00797D28"/>
    <w:rsid w:val="007A07F9"/>
    <w:rsid w:val="007A278C"/>
    <w:rsid w:val="007A2CC7"/>
    <w:rsid w:val="007A40DA"/>
    <w:rsid w:val="007A66CC"/>
    <w:rsid w:val="007B147C"/>
    <w:rsid w:val="007B3434"/>
    <w:rsid w:val="007B3B7E"/>
    <w:rsid w:val="007B4F4D"/>
    <w:rsid w:val="007B616C"/>
    <w:rsid w:val="007B6182"/>
    <w:rsid w:val="007B7376"/>
    <w:rsid w:val="007B7424"/>
    <w:rsid w:val="007B7BF9"/>
    <w:rsid w:val="007C15F1"/>
    <w:rsid w:val="007C6F16"/>
    <w:rsid w:val="007C78BB"/>
    <w:rsid w:val="007D1047"/>
    <w:rsid w:val="007D2588"/>
    <w:rsid w:val="007D2964"/>
    <w:rsid w:val="007D4B25"/>
    <w:rsid w:val="007E079F"/>
    <w:rsid w:val="007E237D"/>
    <w:rsid w:val="007E394F"/>
    <w:rsid w:val="007E43B4"/>
    <w:rsid w:val="007E49B1"/>
    <w:rsid w:val="007E72CF"/>
    <w:rsid w:val="007F0191"/>
    <w:rsid w:val="007F1603"/>
    <w:rsid w:val="007F408A"/>
    <w:rsid w:val="007F4719"/>
    <w:rsid w:val="007F4C43"/>
    <w:rsid w:val="007F563C"/>
    <w:rsid w:val="007F5691"/>
    <w:rsid w:val="007F6C1C"/>
    <w:rsid w:val="007F7602"/>
    <w:rsid w:val="00800CB0"/>
    <w:rsid w:val="0080180C"/>
    <w:rsid w:val="00802673"/>
    <w:rsid w:val="00805901"/>
    <w:rsid w:val="00805D8E"/>
    <w:rsid w:val="00810FDD"/>
    <w:rsid w:val="0081327B"/>
    <w:rsid w:val="008147AD"/>
    <w:rsid w:val="00816889"/>
    <w:rsid w:val="00822FAC"/>
    <w:rsid w:val="00824B58"/>
    <w:rsid w:val="008251A2"/>
    <w:rsid w:val="00826996"/>
    <w:rsid w:val="00826F75"/>
    <w:rsid w:val="00836D09"/>
    <w:rsid w:val="00841E46"/>
    <w:rsid w:val="00844ED6"/>
    <w:rsid w:val="0085206E"/>
    <w:rsid w:val="008562C6"/>
    <w:rsid w:val="00857095"/>
    <w:rsid w:val="00857A78"/>
    <w:rsid w:val="00861F16"/>
    <w:rsid w:val="008712E7"/>
    <w:rsid w:val="00873B68"/>
    <w:rsid w:val="00874451"/>
    <w:rsid w:val="008746F9"/>
    <w:rsid w:val="0087597C"/>
    <w:rsid w:val="0088049F"/>
    <w:rsid w:val="008811C1"/>
    <w:rsid w:val="008847E9"/>
    <w:rsid w:val="008848A8"/>
    <w:rsid w:val="0088556E"/>
    <w:rsid w:val="008905CB"/>
    <w:rsid w:val="008917C1"/>
    <w:rsid w:val="00895CF7"/>
    <w:rsid w:val="008A26CD"/>
    <w:rsid w:val="008A60D1"/>
    <w:rsid w:val="008B26EF"/>
    <w:rsid w:val="008B376D"/>
    <w:rsid w:val="008B393C"/>
    <w:rsid w:val="008B5AFC"/>
    <w:rsid w:val="008B64FD"/>
    <w:rsid w:val="008B7365"/>
    <w:rsid w:val="008C087F"/>
    <w:rsid w:val="008C4322"/>
    <w:rsid w:val="008C52B9"/>
    <w:rsid w:val="008C7A6D"/>
    <w:rsid w:val="008D0BBE"/>
    <w:rsid w:val="008D1CEF"/>
    <w:rsid w:val="008D6564"/>
    <w:rsid w:val="008D68A3"/>
    <w:rsid w:val="008D78FB"/>
    <w:rsid w:val="008E0390"/>
    <w:rsid w:val="008E177B"/>
    <w:rsid w:val="008E1EF1"/>
    <w:rsid w:val="008E2068"/>
    <w:rsid w:val="008F096F"/>
    <w:rsid w:val="008F10BE"/>
    <w:rsid w:val="008F5817"/>
    <w:rsid w:val="008F7916"/>
    <w:rsid w:val="0090204D"/>
    <w:rsid w:val="00903F0F"/>
    <w:rsid w:val="009050D1"/>
    <w:rsid w:val="00906912"/>
    <w:rsid w:val="00910771"/>
    <w:rsid w:val="00911B6A"/>
    <w:rsid w:val="0092030A"/>
    <w:rsid w:val="009213A9"/>
    <w:rsid w:val="009225A3"/>
    <w:rsid w:val="0092265B"/>
    <w:rsid w:val="00922D7F"/>
    <w:rsid w:val="009238D0"/>
    <w:rsid w:val="00932486"/>
    <w:rsid w:val="00932B05"/>
    <w:rsid w:val="00935939"/>
    <w:rsid w:val="0093668E"/>
    <w:rsid w:val="00937F0D"/>
    <w:rsid w:val="00942576"/>
    <w:rsid w:val="00943790"/>
    <w:rsid w:val="00946375"/>
    <w:rsid w:val="009519B0"/>
    <w:rsid w:val="00951FAF"/>
    <w:rsid w:val="009527E3"/>
    <w:rsid w:val="009538BB"/>
    <w:rsid w:val="009542A8"/>
    <w:rsid w:val="00956135"/>
    <w:rsid w:val="00956985"/>
    <w:rsid w:val="00956FE6"/>
    <w:rsid w:val="0096045E"/>
    <w:rsid w:val="0096071D"/>
    <w:rsid w:val="00961B0E"/>
    <w:rsid w:val="00963BAA"/>
    <w:rsid w:val="009675A5"/>
    <w:rsid w:val="00974D09"/>
    <w:rsid w:val="009817C2"/>
    <w:rsid w:val="009822A8"/>
    <w:rsid w:val="00982D39"/>
    <w:rsid w:val="0098390A"/>
    <w:rsid w:val="00983CAC"/>
    <w:rsid w:val="00983FEE"/>
    <w:rsid w:val="00985BF7"/>
    <w:rsid w:val="00992B0E"/>
    <w:rsid w:val="00997396"/>
    <w:rsid w:val="00997C7A"/>
    <w:rsid w:val="009A1E0D"/>
    <w:rsid w:val="009A2790"/>
    <w:rsid w:val="009A46A4"/>
    <w:rsid w:val="009A7340"/>
    <w:rsid w:val="009A7741"/>
    <w:rsid w:val="009B5DCB"/>
    <w:rsid w:val="009C18D5"/>
    <w:rsid w:val="009C40C7"/>
    <w:rsid w:val="009C6947"/>
    <w:rsid w:val="009C71F3"/>
    <w:rsid w:val="009C7498"/>
    <w:rsid w:val="009D4C96"/>
    <w:rsid w:val="009D5606"/>
    <w:rsid w:val="009D5BB3"/>
    <w:rsid w:val="009E0E60"/>
    <w:rsid w:val="009E14D7"/>
    <w:rsid w:val="009E1E2C"/>
    <w:rsid w:val="009E2557"/>
    <w:rsid w:val="009E4B24"/>
    <w:rsid w:val="009E5B83"/>
    <w:rsid w:val="009E73D2"/>
    <w:rsid w:val="009F4F33"/>
    <w:rsid w:val="009F5980"/>
    <w:rsid w:val="009F6140"/>
    <w:rsid w:val="009F67B5"/>
    <w:rsid w:val="009F6F7C"/>
    <w:rsid w:val="00A01C5B"/>
    <w:rsid w:val="00A06D56"/>
    <w:rsid w:val="00A11329"/>
    <w:rsid w:val="00A14EF0"/>
    <w:rsid w:val="00A15FAD"/>
    <w:rsid w:val="00A20291"/>
    <w:rsid w:val="00A21DE4"/>
    <w:rsid w:val="00A22AE0"/>
    <w:rsid w:val="00A258DB"/>
    <w:rsid w:val="00A30B60"/>
    <w:rsid w:val="00A33260"/>
    <w:rsid w:val="00A35CF2"/>
    <w:rsid w:val="00A37471"/>
    <w:rsid w:val="00A42079"/>
    <w:rsid w:val="00A43D73"/>
    <w:rsid w:val="00A45159"/>
    <w:rsid w:val="00A45A18"/>
    <w:rsid w:val="00A543AE"/>
    <w:rsid w:val="00A646D3"/>
    <w:rsid w:val="00A64905"/>
    <w:rsid w:val="00A65462"/>
    <w:rsid w:val="00A672F3"/>
    <w:rsid w:val="00A717D5"/>
    <w:rsid w:val="00A73E12"/>
    <w:rsid w:val="00A74C76"/>
    <w:rsid w:val="00A769D0"/>
    <w:rsid w:val="00A82C38"/>
    <w:rsid w:val="00A8304F"/>
    <w:rsid w:val="00A8495B"/>
    <w:rsid w:val="00A85336"/>
    <w:rsid w:val="00A85F6B"/>
    <w:rsid w:val="00A91E28"/>
    <w:rsid w:val="00A96BF5"/>
    <w:rsid w:val="00A9734F"/>
    <w:rsid w:val="00AA2338"/>
    <w:rsid w:val="00AA43ED"/>
    <w:rsid w:val="00AA4D37"/>
    <w:rsid w:val="00AA5C4B"/>
    <w:rsid w:val="00AA65DE"/>
    <w:rsid w:val="00AA7CC3"/>
    <w:rsid w:val="00AB2013"/>
    <w:rsid w:val="00AB3D02"/>
    <w:rsid w:val="00AB5924"/>
    <w:rsid w:val="00AB67CB"/>
    <w:rsid w:val="00AB6B79"/>
    <w:rsid w:val="00AB7704"/>
    <w:rsid w:val="00AC2592"/>
    <w:rsid w:val="00AC3C78"/>
    <w:rsid w:val="00AC4117"/>
    <w:rsid w:val="00AD2CD2"/>
    <w:rsid w:val="00AD58A2"/>
    <w:rsid w:val="00AE0F3C"/>
    <w:rsid w:val="00AE121E"/>
    <w:rsid w:val="00AE1384"/>
    <w:rsid w:val="00AE4159"/>
    <w:rsid w:val="00AE47EB"/>
    <w:rsid w:val="00AE6429"/>
    <w:rsid w:val="00AE6D04"/>
    <w:rsid w:val="00AF0341"/>
    <w:rsid w:val="00AF061D"/>
    <w:rsid w:val="00AF0EC0"/>
    <w:rsid w:val="00AF49F8"/>
    <w:rsid w:val="00AF4C45"/>
    <w:rsid w:val="00AF5CB2"/>
    <w:rsid w:val="00B00D9C"/>
    <w:rsid w:val="00B01784"/>
    <w:rsid w:val="00B03E10"/>
    <w:rsid w:val="00B04267"/>
    <w:rsid w:val="00B0484C"/>
    <w:rsid w:val="00B1099E"/>
    <w:rsid w:val="00B15C4E"/>
    <w:rsid w:val="00B15CE0"/>
    <w:rsid w:val="00B16F20"/>
    <w:rsid w:val="00B172DC"/>
    <w:rsid w:val="00B2364E"/>
    <w:rsid w:val="00B23A57"/>
    <w:rsid w:val="00B23F1E"/>
    <w:rsid w:val="00B25C17"/>
    <w:rsid w:val="00B34B03"/>
    <w:rsid w:val="00B351C4"/>
    <w:rsid w:val="00B40EF2"/>
    <w:rsid w:val="00B4341F"/>
    <w:rsid w:val="00B43DEC"/>
    <w:rsid w:val="00B44984"/>
    <w:rsid w:val="00B46A0D"/>
    <w:rsid w:val="00B46CB0"/>
    <w:rsid w:val="00B4703A"/>
    <w:rsid w:val="00B50175"/>
    <w:rsid w:val="00B52CA8"/>
    <w:rsid w:val="00B53A15"/>
    <w:rsid w:val="00B54233"/>
    <w:rsid w:val="00B55448"/>
    <w:rsid w:val="00B56829"/>
    <w:rsid w:val="00B57928"/>
    <w:rsid w:val="00B579E1"/>
    <w:rsid w:val="00B57FDC"/>
    <w:rsid w:val="00B6240F"/>
    <w:rsid w:val="00B62E2B"/>
    <w:rsid w:val="00B63E9F"/>
    <w:rsid w:val="00B66B00"/>
    <w:rsid w:val="00B66D5C"/>
    <w:rsid w:val="00B66E9D"/>
    <w:rsid w:val="00B73CE0"/>
    <w:rsid w:val="00B758A7"/>
    <w:rsid w:val="00B81ED3"/>
    <w:rsid w:val="00B86F12"/>
    <w:rsid w:val="00B87134"/>
    <w:rsid w:val="00B87D62"/>
    <w:rsid w:val="00B90B0D"/>
    <w:rsid w:val="00B932FD"/>
    <w:rsid w:val="00B94C5E"/>
    <w:rsid w:val="00BA45AD"/>
    <w:rsid w:val="00BA5951"/>
    <w:rsid w:val="00BB6ADD"/>
    <w:rsid w:val="00BB70BA"/>
    <w:rsid w:val="00BB7D42"/>
    <w:rsid w:val="00BC0417"/>
    <w:rsid w:val="00BC0AE4"/>
    <w:rsid w:val="00BC1947"/>
    <w:rsid w:val="00BC5F07"/>
    <w:rsid w:val="00BC67A6"/>
    <w:rsid w:val="00BD1FF2"/>
    <w:rsid w:val="00BD26D4"/>
    <w:rsid w:val="00BD5995"/>
    <w:rsid w:val="00BD6EC2"/>
    <w:rsid w:val="00BD70CB"/>
    <w:rsid w:val="00BE3B35"/>
    <w:rsid w:val="00BE49E9"/>
    <w:rsid w:val="00BE4A28"/>
    <w:rsid w:val="00BE5A44"/>
    <w:rsid w:val="00BF1A74"/>
    <w:rsid w:val="00BF248F"/>
    <w:rsid w:val="00BF34CB"/>
    <w:rsid w:val="00BF7ADE"/>
    <w:rsid w:val="00C001E7"/>
    <w:rsid w:val="00C02929"/>
    <w:rsid w:val="00C04079"/>
    <w:rsid w:val="00C06AD1"/>
    <w:rsid w:val="00C06BA5"/>
    <w:rsid w:val="00C13AB5"/>
    <w:rsid w:val="00C1488F"/>
    <w:rsid w:val="00C1616D"/>
    <w:rsid w:val="00C177EE"/>
    <w:rsid w:val="00C2188E"/>
    <w:rsid w:val="00C2230C"/>
    <w:rsid w:val="00C23FBC"/>
    <w:rsid w:val="00C2541C"/>
    <w:rsid w:val="00C25A10"/>
    <w:rsid w:val="00C25AE6"/>
    <w:rsid w:val="00C269E3"/>
    <w:rsid w:val="00C30749"/>
    <w:rsid w:val="00C324E6"/>
    <w:rsid w:val="00C33B5B"/>
    <w:rsid w:val="00C41887"/>
    <w:rsid w:val="00C451F4"/>
    <w:rsid w:val="00C46526"/>
    <w:rsid w:val="00C475F9"/>
    <w:rsid w:val="00C50960"/>
    <w:rsid w:val="00C53886"/>
    <w:rsid w:val="00C56BB5"/>
    <w:rsid w:val="00C62713"/>
    <w:rsid w:val="00C63D49"/>
    <w:rsid w:val="00C652FE"/>
    <w:rsid w:val="00C65A1F"/>
    <w:rsid w:val="00C72705"/>
    <w:rsid w:val="00C730A0"/>
    <w:rsid w:val="00C737A9"/>
    <w:rsid w:val="00C75A12"/>
    <w:rsid w:val="00C76231"/>
    <w:rsid w:val="00C80CCC"/>
    <w:rsid w:val="00C80F11"/>
    <w:rsid w:val="00C84516"/>
    <w:rsid w:val="00C846E2"/>
    <w:rsid w:val="00C847F6"/>
    <w:rsid w:val="00C84AB9"/>
    <w:rsid w:val="00C865C7"/>
    <w:rsid w:val="00C911BA"/>
    <w:rsid w:val="00C93F5C"/>
    <w:rsid w:val="00C945AE"/>
    <w:rsid w:val="00C953B9"/>
    <w:rsid w:val="00C9559A"/>
    <w:rsid w:val="00C97563"/>
    <w:rsid w:val="00C97E59"/>
    <w:rsid w:val="00CA3ED8"/>
    <w:rsid w:val="00CA4508"/>
    <w:rsid w:val="00CA4C2B"/>
    <w:rsid w:val="00CA6551"/>
    <w:rsid w:val="00CB352B"/>
    <w:rsid w:val="00CB45B6"/>
    <w:rsid w:val="00CB60C6"/>
    <w:rsid w:val="00CB688D"/>
    <w:rsid w:val="00CC5B0C"/>
    <w:rsid w:val="00CD0866"/>
    <w:rsid w:val="00CD17F2"/>
    <w:rsid w:val="00CD23F2"/>
    <w:rsid w:val="00CD317B"/>
    <w:rsid w:val="00CD39DB"/>
    <w:rsid w:val="00CE6441"/>
    <w:rsid w:val="00CF314C"/>
    <w:rsid w:val="00CF50AB"/>
    <w:rsid w:val="00CF71F2"/>
    <w:rsid w:val="00CF7306"/>
    <w:rsid w:val="00D03061"/>
    <w:rsid w:val="00D053FE"/>
    <w:rsid w:val="00D0643B"/>
    <w:rsid w:val="00D11132"/>
    <w:rsid w:val="00D15749"/>
    <w:rsid w:val="00D15863"/>
    <w:rsid w:val="00D165E1"/>
    <w:rsid w:val="00D228FA"/>
    <w:rsid w:val="00D22C9B"/>
    <w:rsid w:val="00D243D1"/>
    <w:rsid w:val="00D301EC"/>
    <w:rsid w:val="00D338D6"/>
    <w:rsid w:val="00D37361"/>
    <w:rsid w:val="00D37C4C"/>
    <w:rsid w:val="00D41BE3"/>
    <w:rsid w:val="00D43D22"/>
    <w:rsid w:val="00D44B8D"/>
    <w:rsid w:val="00D45853"/>
    <w:rsid w:val="00D46414"/>
    <w:rsid w:val="00D47FE0"/>
    <w:rsid w:val="00D54C1A"/>
    <w:rsid w:val="00D55D7D"/>
    <w:rsid w:val="00D602CA"/>
    <w:rsid w:val="00D620AC"/>
    <w:rsid w:val="00D620E3"/>
    <w:rsid w:val="00D75234"/>
    <w:rsid w:val="00D76B97"/>
    <w:rsid w:val="00D81C29"/>
    <w:rsid w:val="00D82634"/>
    <w:rsid w:val="00D83B6D"/>
    <w:rsid w:val="00D8421F"/>
    <w:rsid w:val="00D8755A"/>
    <w:rsid w:val="00D93A04"/>
    <w:rsid w:val="00D93D99"/>
    <w:rsid w:val="00D9539F"/>
    <w:rsid w:val="00D9540C"/>
    <w:rsid w:val="00D96F47"/>
    <w:rsid w:val="00DA1127"/>
    <w:rsid w:val="00DA4830"/>
    <w:rsid w:val="00DA6711"/>
    <w:rsid w:val="00DB190B"/>
    <w:rsid w:val="00DB2C33"/>
    <w:rsid w:val="00DB6B05"/>
    <w:rsid w:val="00DC0C89"/>
    <w:rsid w:val="00DC1914"/>
    <w:rsid w:val="00DC23BF"/>
    <w:rsid w:val="00DC3911"/>
    <w:rsid w:val="00DC41C9"/>
    <w:rsid w:val="00DC69D6"/>
    <w:rsid w:val="00DD5719"/>
    <w:rsid w:val="00DD5E81"/>
    <w:rsid w:val="00DD669C"/>
    <w:rsid w:val="00DE0B0E"/>
    <w:rsid w:val="00DE3298"/>
    <w:rsid w:val="00DE4370"/>
    <w:rsid w:val="00DF07F2"/>
    <w:rsid w:val="00DF0FC1"/>
    <w:rsid w:val="00DF152D"/>
    <w:rsid w:val="00DF2F6A"/>
    <w:rsid w:val="00DF38F8"/>
    <w:rsid w:val="00DF66AB"/>
    <w:rsid w:val="00DF6ABC"/>
    <w:rsid w:val="00DF7E7D"/>
    <w:rsid w:val="00DF7F04"/>
    <w:rsid w:val="00E04E72"/>
    <w:rsid w:val="00E10103"/>
    <w:rsid w:val="00E1316E"/>
    <w:rsid w:val="00E1402C"/>
    <w:rsid w:val="00E149D7"/>
    <w:rsid w:val="00E158CF"/>
    <w:rsid w:val="00E16AB7"/>
    <w:rsid w:val="00E177F9"/>
    <w:rsid w:val="00E20446"/>
    <w:rsid w:val="00E21A00"/>
    <w:rsid w:val="00E23D00"/>
    <w:rsid w:val="00E25B01"/>
    <w:rsid w:val="00E27392"/>
    <w:rsid w:val="00E302D2"/>
    <w:rsid w:val="00E309AD"/>
    <w:rsid w:val="00E4408D"/>
    <w:rsid w:val="00E553C4"/>
    <w:rsid w:val="00E579EA"/>
    <w:rsid w:val="00E57E27"/>
    <w:rsid w:val="00E612EC"/>
    <w:rsid w:val="00E65248"/>
    <w:rsid w:val="00E656B7"/>
    <w:rsid w:val="00E65C45"/>
    <w:rsid w:val="00E66D08"/>
    <w:rsid w:val="00E72CD3"/>
    <w:rsid w:val="00E75027"/>
    <w:rsid w:val="00E76EC2"/>
    <w:rsid w:val="00E80EDB"/>
    <w:rsid w:val="00E81137"/>
    <w:rsid w:val="00E8252F"/>
    <w:rsid w:val="00E82BFC"/>
    <w:rsid w:val="00E8352F"/>
    <w:rsid w:val="00E84AC8"/>
    <w:rsid w:val="00E84B00"/>
    <w:rsid w:val="00E85676"/>
    <w:rsid w:val="00E90DA7"/>
    <w:rsid w:val="00E921C8"/>
    <w:rsid w:val="00E92228"/>
    <w:rsid w:val="00E93598"/>
    <w:rsid w:val="00EA1D62"/>
    <w:rsid w:val="00EA2926"/>
    <w:rsid w:val="00EA579D"/>
    <w:rsid w:val="00EA7A6C"/>
    <w:rsid w:val="00EB254E"/>
    <w:rsid w:val="00EB51C0"/>
    <w:rsid w:val="00EC3F71"/>
    <w:rsid w:val="00ED0337"/>
    <w:rsid w:val="00ED075C"/>
    <w:rsid w:val="00ED0784"/>
    <w:rsid w:val="00ED176C"/>
    <w:rsid w:val="00ED1B2A"/>
    <w:rsid w:val="00ED46DB"/>
    <w:rsid w:val="00ED6C68"/>
    <w:rsid w:val="00EE094E"/>
    <w:rsid w:val="00EE0D77"/>
    <w:rsid w:val="00EE4C40"/>
    <w:rsid w:val="00EE7142"/>
    <w:rsid w:val="00EF0CAB"/>
    <w:rsid w:val="00EF4055"/>
    <w:rsid w:val="00EF6EF4"/>
    <w:rsid w:val="00EF7E71"/>
    <w:rsid w:val="00F00DE9"/>
    <w:rsid w:val="00F01250"/>
    <w:rsid w:val="00F013BC"/>
    <w:rsid w:val="00F01E80"/>
    <w:rsid w:val="00F0339F"/>
    <w:rsid w:val="00F06C62"/>
    <w:rsid w:val="00F06CD1"/>
    <w:rsid w:val="00F079CE"/>
    <w:rsid w:val="00F10990"/>
    <w:rsid w:val="00F11B3B"/>
    <w:rsid w:val="00F132E4"/>
    <w:rsid w:val="00F15B31"/>
    <w:rsid w:val="00F21F10"/>
    <w:rsid w:val="00F23F53"/>
    <w:rsid w:val="00F25C7A"/>
    <w:rsid w:val="00F2655E"/>
    <w:rsid w:val="00F334CE"/>
    <w:rsid w:val="00F34466"/>
    <w:rsid w:val="00F419D6"/>
    <w:rsid w:val="00F450C8"/>
    <w:rsid w:val="00F45525"/>
    <w:rsid w:val="00F46136"/>
    <w:rsid w:val="00F46BF6"/>
    <w:rsid w:val="00F530C0"/>
    <w:rsid w:val="00F53AFF"/>
    <w:rsid w:val="00F5401B"/>
    <w:rsid w:val="00F605DE"/>
    <w:rsid w:val="00F642A0"/>
    <w:rsid w:val="00F64B72"/>
    <w:rsid w:val="00F73145"/>
    <w:rsid w:val="00F75A93"/>
    <w:rsid w:val="00F825F3"/>
    <w:rsid w:val="00F84F10"/>
    <w:rsid w:val="00F86223"/>
    <w:rsid w:val="00F867C3"/>
    <w:rsid w:val="00F95039"/>
    <w:rsid w:val="00F95B61"/>
    <w:rsid w:val="00F96179"/>
    <w:rsid w:val="00F96B58"/>
    <w:rsid w:val="00FA0CDC"/>
    <w:rsid w:val="00FA4794"/>
    <w:rsid w:val="00FA5CAB"/>
    <w:rsid w:val="00FA720D"/>
    <w:rsid w:val="00FB1572"/>
    <w:rsid w:val="00FB2094"/>
    <w:rsid w:val="00FB5573"/>
    <w:rsid w:val="00FB6A10"/>
    <w:rsid w:val="00FC2248"/>
    <w:rsid w:val="00FC27AC"/>
    <w:rsid w:val="00FC30FB"/>
    <w:rsid w:val="00FD1AC4"/>
    <w:rsid w:val="00FD420C"/>
    <w:rsid w:val="00FE1AAE"/>
    <w:rsid w:val="00FE2CDE"/>
    <w:rsid w:val="00FE371A"/>
    <w:rsid w:val="00FE39A2"/>
    <w:rsid w:val="00FE4DA7"/>
    <w:rsid w:val="00FE7141"/>
    <w:rsid w:val="00FF3235"/>
    <w:rsid w:val="00FF491B"/>
    <w:rsid w:val="00FF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C6F4"/>
  <w15:chartTrackingRefBased/>
  <w15:docId w15:val="{FD6B448F-C6AA-4C4A-867F-39CCC83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1E7"/>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6A59F6"/>
    <w:pPr>
      <w:keepNext/>
      <w:spacing w:before="100" w:beforeAutospacing="1" w:after="100" w:afterAutospacing="1" w:line="360" w:lineRule="auto"/>
      <w:jc w:val="both"/>
      <w:outlineLvl w:val="0"/>
    </w:pPr>
    <w:rPr>
      <w:rFonts w:ascii="Arial" w:eastAsiaTheme="majorEastAsia" w:hAnsi="Arial" w:cstheme="majorBidi"/>
      <w:b/>
      <w:bCs/>
      <w:caps/>
      <w:kern w:val="32"/>
      <w:szCs w:val="32"/>
      <w:lang w:val="es-MX" w:eastAsia="en-US"/>
    </w:rPr>
  </w:style>
  <w:style w:type="paragraph" w:styleId="Heading2">
    <w:name w:val="heading 2"/>
    <w:basedOn w:val="Normal"/>
    <w:next w:val="Normal"/>
    <w:link w:val="Heading2Char"/>
    <w:uiPriority w:val="9"/>
    <w:unhideWhenUsed/>
    <w:qFormat/>
    <w:rsid w:val="002C62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62F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30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9F6"/>
    <w:rPr>
      <w:rFonts w:ascii="Arial" w:eastAsiaTheme="majorEastAsia" w:hAnsi="Arial" w:cstheme="majorBidi"/>
      <w:b/>
      <w:bCs/>
      <w:caps/>
      <w:kern w:val="32"/>
      <w:sz w:val="24"/>
      <w:szCs w:val="32"/>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har"/>
    <w:uiPriority w:val="99"/>
    <w:qFormat/>
    <w:rsid w:val="006A59F6"/>
    <w:pPr>
      <w:spacing w:before="100" w:beforeAutospacing="1" w:after="100" w:afterAutospacing="1"/>
    </w:pPr>
  </w:style>
  <w:style w:type="character" w:customStyle="1" w:styleId="NormalWebChar">
    <w:name w:val="Normal (Web) Char"/>
    <w:aliases w:val="Normal (Web) Car1 Char,Normal (Web) Car Car Char,Normal (Web) Car1 Car Car Char,Normal (Web) Car Car Car Car Car Car Car Car Car Car Car Char,Normal (Web) Car Car Car Car Car Car Char, Car Car Car Char, Car Car Car Car Car Char,C Char"/>
    <w:link w:val="NormalWeb"/>
    <w:uiPriority w:val="99"/>
    <w:rsid w:val="006A59F6"/>
    <w:rPr>
      <w:rFonts w:ascii="Times New Roman" w:eastAsia="Times New Roman" w:hAnsi="Times New Roman" w:cs="Times New Roman"/>
      <w:sz w:val="24"/>
      <w:szCs w:val="24"/>
      <w:lang w:val="es-ES" w:eastAsia="es-ES"/>
    </w:rPr>
  </w:style>
  <w:style w:type="paragraph" w:styleId="Header">
    <w:name w:val="header"/>
    <w:basedOn w:val="Normal"/>
    <w:link w:val="HeaderChar"/>
    <w:rsid w:val="006A59F6"/>
    <w:pPr>
      <w:tabs>
        <w:tab w:val="center" w:pos="4419"/>
        <w:tab w:val="right" w:pos="8838"/>
      </w:tabs>
    </w:pPr>
  </w:style>
  <w:style w:type="character" w:customStyle="1" w:styleId="HeaderChar">
    <w:name w:val="Header Char"/>
    <w:basedOn w:val="DefaultParagraphFont"/>
    <w:link w:val="Header"/>
    <w:uiPriority w:val="99"/>
    <w:rsid w:val="006A59F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6A59F6"/>
    <w:pPr>
      <w:tabs>
        <w:tab w:val="center" w:pos="4252"/>
        <w:tab w:val="right" w:pos="8504"/>
      </w:tabs>
    </w:pPr>
  </w:style>
  <w:style w:type="character" w:customStyle="1" w:styleId="FooterChar">
    <w:name w:val="Footer Char"/>
    <w:basedOn w:val="DefaultParagraphFont"/>
    <w:link w:val="Footer"/>
    <w:uiPriority w:val="99"/>
    <w:rsid w:val="006A59F6"/>
    <w:rPr>
      <w:rFonts w:ascii="Times New Roman" w:eastAsia="Times New Roman" w:hAnsi="Times New Roman" w:cs="Times New Roman"/>
      <w:sz w:val="24"/>
      <w:szCs w:val="24"/>
      <w:lang w:val="es-ES" w:eastAsia="es-E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julio,ftref,Ref"/>
    <w:link w:val="4GChar"/>
    <w:uiPriority w:val="99"/>
    <w:unhideWhenUsed/>
    <w:qFormat/>
    <w:rsid w:val="006A59F6"/>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FootnoteTextChar"/>
    <w:uiPriority w:val="99"/>
    <w:unhideWhenUsed/>
    <w:qFormat/>
    <w:rsid w:val="006A59F6"/>
    <w:rPr>
      <w:rFonts w:ascii="Calibri" w:eastAsia="Calibri" w:hAnsi="Calibri"/>
      <w:sz w:val="20"/>
      <w:szCs w:val="20"/>
      <w:lang w:val="x-none"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uiPriority w:val="99"/>
    <w:qFormat/>
    <w:rsid w:val="006A59F6"/>
    <w:rPr>
      <w:rFonts w:ascii="Calibri" w:eastAsia="Calibri" w:hAnsi="Calibri" w:cs="Times New Roman"/>
      <w:sz w:val="20"/>
      <w:szCs w:val="20"/>
      <w:lang w:val="x-none"/>
    </w:rPr>
  </w:style>
  <w:style w:type="table" w:customStyle="1" w:styleId="Tablaconcuadrcula1">
    <w:name w:val="Tabla con cuadrícula1"/>
    <w:basedOn w:val="TableNormal"/>
    <w:next w:val="TableGrid"/>
    <w:uiPriority w:val="39"/>
    <w:rsid w:val="006A59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59F6"/>
    <w:pPr>
      <w:ind w:left="720"/>
      <w:contextualSpacing/>
    </w:pPr>
  </w:style>
  <w:style w:type="paragraph" w:styleId="BalloonText">
    <w:name w:val="Balloon Text"/>
    <w:basedOn w:val="Normal"/>
    <w:link w:val="BalloonTextChar"/>
    <w:uiPriority w:val="99"/>
    <w:semiHidden/>
    <w:unhideWhenUsed/>
    <w:rsid w:val="0071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353"/>
    <w:rPr>
      <w:rFonts w:ascii="Segoe UI" w:eastAsia="Times New Roman" w:hAnsi="Segoe UI" w:cs="Segoe UI"/>
      <w:sz w:val="18"/>
      <w:szCs w:val="18"/>
      <w:lang w:val="es-ES" w:eastAsia="es-ES"/>
    </w:rPr>
  </w:style>
  <w:style w:type="character" w:customStyle="1" w:styleId="ListParagraphChar">
    <w:name w:val="List Paragraph Char"/>
    <w:basedOn w:val="DefaultParagraphFont"/>
    <w:link w:val="ListParagraph"/>
    <w:uiPriority w:val="34"/>
    <w:rsid w:val="00004FB8"/>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7969A7"/>
  </w:style>
  <w:style w:type="character" w:customStyle="1" w:styleId="Heading4Char">
    <w:name w:val="Heading 4 Char"/>
    <w:basedOn w:val="DefaultParagraphFont"/>
    <w:link w:val="Heading4"/>
    <w:uiPriority w:val="9"/>
    <w:semiHidden/>
    <w:rsid w:val="002A30AA"/>
    <w:rPr>
      <w:rFonts w:asciiTheme="majorHAnsi" w:eastAsiaTheme="majorEastAsia" w:hAnsiTheme="majorHAnsi" w:cstheme="majorBidi"/>
      <w:i/>
      <w:iCs/>
      <w:color w:val="2E74B5" w:themeColor="accent1" w:themeShade="BF"/>
      <w:sz w:val="24"/>
      <w:szCs w:val="24"/>
      <w:lang w:val="es-ES" w:eastAsia="es-ES"/>
    </w:rPr>
  </w:style>
  <w:style w:type="character" w:styleId="Hyperlink">
    <w:name w:val="Hyperlink"/>
    <w:basedOn w:val="DefaultParagraphFont"/>
    <w:uiPriority w:val="99"/>
    <w:unhideWhenUsed/>
    <w:rsid w:val="00C04079"/>
    <w:rPr>
      <w:color w:val="0563C1" w:themeColor="hyperlink"/>
      <w:u w:val="single"/>
    </w:rPr>
  </w:style>
  <w:style w:type="character" w:styleId="CommentReference">
    <w:name w:val="annotation reference"/>
    <w:basedOn w:val="DefaultParagraphFont"/>
    <w:uiPriority w:val="99"/>
    <w:semiHidden/>
    <w:unhideWhenUsed/>
    <w:rsid w:val="009C71F3"/>
    <w:rPr>
      <w:sz w:val="16"/>
      <w:szCs w:val="16"/>
    </w:rPr>
  </w:style>
  <w:style w:type="paragraph" w:styleId="CommentText">
    <w:name w:val="annotation text"/>
    <w:basedOn w:val="Normal"/>
    <w:link w:val="CommentTextChar"/>
    <w:uiPriority w:val="99"/>
    <w:semiHidden/>
    <w:unhideWhenUsed/>
    <w:rsid w:val="009C71F3"/>
    <w:rPr>
      <w:sz w:val="20"/>
      <w:szCs w:val="20"/>
    </w:rPr>
  </w:style>
  <w:style w:type="character" w:customStyle="1" w:styleId="CommentTextChar">
    <w:name w:val="Comment Text Char"/>
    <w:basedOn w:val="DefaultParagraphFont"/>
    <w:link w:val="CommentText"/>
    <w:uiPriority w:val="99"/>
    <w:semiHidden/>
    <w:rsid w:val="009C71F3"/>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9C71F3"/>
    <w:rPr>
      <w:b/>
      <w:bCs/>
    </w:rPr>
  </w:style>
  <w:style w:type="character" w:customStyle="1" w:styleId="CommentSubjectChar">
    <w:name w:val="Comment Subject Char"/>
    <w:basedOn w:val="CommentTextChar"/>
    <w:link w:val="CommentSubject"/>
    <w:uiPriority w:val="99"/>
    <w:semiHidden/>
    <w:rsid w:val="009C71F3"/>
    <w:rPr>
      <w:rFonts w:ascii="Times New Roman" w:eastAsia="Times New Roman" w:hAnsi="Times New Roman" w:cs="Times New Roman"/>
      <w:b/>
      <w:bCs/>
      <w:sz w:val="20"/>
      <w:szCs w:val="20"/>
      <w:lang w:val="es-ES" w:eastAsia="es-ES"/>
    </w:rPr>
  </w:style>
  <w:style w:type="character" w:styleId="FollowedHyperlink">
    <w:name w:val="FollowedHyperlink"/>
    <w:basedOn w:val="DefaultParagraphFont"/>
    <w:uiPriority w:val="99"/>
    <w:semiHidden/>
    <w:unhideWhenUsed/>
    <w:rsid w:val="006821C6"/>
    <w:rPr>
      <w:color w:val="954F72" w:themeColor="followedHyperlink"/>
      <w:u w:val="single"/>
    </w:rPr>
  </w:style>
  <w:style w:type="paragraph" w:customStyle="1" w:styleId="General">
    <w:name w:val="General"/>
    <w:basedOn w:val="Normal"/>
    <w:uiPriority w:val="99"/>
    <w:qFormat/>
    <w:rsid w:val="006F6BCD"/>
    <w:pPr>
      <w:spacing w:line="360" w:lineRule="auto"/>
      <w:ind w:firstLine="709"/>
      <w:jc w:val="both"/>
    </w:pPr>
    <w:rPr>
      <w:sz w:val="28"/>
    </w:rPr>
  </w:style>
  <w:style w:type="paragraph" w:styleId="NoSpacing">
    <w:name w:val="No Spacing"/>
    <w:link w:val="NoSpacingChar"/>
    <w:uiPriority w:val="1"/>
    <w:qFormat/>
    <w:rsid w:val="00ED0784"/>
    <w:pPr>
      <w:spacing w:after="0" w:line="240" w:lineRule="auto"/>
      <w:jc w:val="both"/>
    </w:pPr>
    <w:rPr>
      <w:rFonts w:ascii="Arial" w:eastAsia="Calibri" w:hAnsi="Arial" w:cs="Times New Roman"/>
      <w:sz w:val="20"/>
    </w:rPr>
  </w:style>
  <w:style w:type="paragraph" w:customStyle="1" w:styleId="MonthNames">
    <w:name w:val="Month Names"/>
    <w:basedOn w:val="Normal"/>
    <w:rsid w:val="00E82BFC"/>
    <w:pPr>
      <w:jc w:val="center"/>
    </w:pPr>
    <w:rPr>
      <w:rFonts w:ascii="Franklin Gothic Book" w:hAnsi="Franklin Gothic Book"/>
      <w:bCs/>
      <w:sz w:val="40"/>
      <w:szCs w:val="20"/>
      <w:lang w:eastAsia="en-US"/>
    </w:rPr>
  </w:style>
  <w:style w:type="paragraph" w:customStyle="1" w:styleId="Dates">
    <w:name w:val="Dates"/>
    <w:basedOn w:val="Normal"/>
    <w:rsid w:val="00E82BFC"/>
    <w:rPr>
      <w:rFonts w:ascii="Perpetua" w:hAnsi="Perpetua" w:cs="Arial"/>
      <w:sz w:val="20"/>
      <w:szCs w:val="20"/>
      <w:lang w:eastAsia="en-US"/>
    </w:rPr>
  </w:style>
  <w:style w:type="paragraph" w:customStyle="1" w:styleId="Weekdays">
    <w:name w:val="Weekdays"/>
    <w:basedOn w:val="Normal"/>
    <w:rsid w:val="00E82BFC"/>
    <w:pPr>
      <w:jc w:val="center"/>
    </w:pPr>
    <w:rPr>
      <w:rFonts w:ascii="Franklin Gothic Book" w:hAnsi="Franklin Gothic Book"/>
      <w:b/>
      <w:spacing w:val="1"/>
      <w:sz w:val="20"/>
      <w:szCs w:val="16"/>
      <w:lang w:eastAsia="en-US"/>
    </w:rPr>
  </w:style>
  <w:style w:type="character" w:customStyle="1" w:styleId="Heading2Char">
    <w:name w:val="Heading 2 Char"/>
    <w:basedOn w:val="DefaultParagraphFont"/>
    <w:link w:val="Heading2"/>
    <w:uiPriority w:val="9"/>
    <w:rsid w:val="002C62F9"/>
    <w:rPr>
      <w:rFonts w:asciiTheme="majorHAnsi" w:eastAsiaTheme="majorEastAsia" w:hAnsiTheme="majorHAnsi" w:cstheme="majorBidi"/>
      <w:color w:val="2E74B5" w:themeColor="accent1" w:themeShade="BF"/>
      <w:sz w:val="26"/>
      <w:szCs w:val="26"/>
      <w:lang w:val="es-ES" w:eastAsia="es-ES"/>
    </w:rPr>
  </w:style>
  <w:style w:type="character" w:customStyle="1" w:styleId="Heading3Char">
    <w:name w:val="Heading 3 Char"/>
    <w:basedOn w:val="DefaultParagraphFont"/>
    <w:link w:val="Heading3"/>
    <w:uiPriority w:val="9"/>
    <w:rsid w:val="002C62F9"/>
    <w:rPr>
      <w:rFonts w:asciiTheme="majorHAnsi" w:eastAsiaTheme="majorEastAsia" w:hAnsiTheme="majorHAnsi" w:cstheme="majorBidi"/>
      <w:color w:val="1F4D78" w:themeColor="accent1" w:themeShade="7F"/>
      <w:sz w:val="24"/>
      <w:szCs w:val="24"/>
      <w:lang w:val="es-ES" w:eastAsia="es-ES"/>
    </w:rPr>
  </w:style>
  <w:style w:type="paragraph" w:styleId="TOCHeading">
    <w:name w:val="TOC Heading"/>
    <w:basedOn w:val="Heading1"/>
    <w:next w:val="Normal"/>
    <w:uiPriority w:val="39"/>
    <w:unhideWhenUsed/>
    <w:qFormat/>
    <w:rsid w:val="008746F9"/>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OC1">
    <w:name w:val="toc 1"/>
    <w:basedOn w:val="Normal"/>
    <w:next w:val="Normal"/>
    <w:autoRedefine/>
    <w:uiPriority w:val="39"/>
    <w:unhideWhenUsed/>
    <w:rsid w:val="0025619B"/>
    <w:pPr>
      <w:tabs>
        <w:tab w:val="left" w:pos="480"/>
        <w:tab w:val="right" w:leader="dot" w:pos="8263"/>
      </w:tabs>
      <w:spacing w:after="100"/>
    </w:pPr>
    <w:rPr>
      <w:rFonts w:ascii="Arial" w:eastAsia="Calibri" w:hAnsi="Arial" w:cs="Arial"/>
      <w:noProof/>
      <w:sz w:val="20"/>
      <w:szCs w:val="20"/>
    </w:rPr>
  </w:style>
  <w:style w:type="paragraph" w:styleId="TOC2">
    <w:name w:val="toc 2"/>
    <w:basedOn w:val="Normal"/>
    <w:next w:val="Normal"/>
    <w:autoRedefine/>
    <w:uiPriority w:val="39"/>
    <w:unhideWhenUsed/>
    <w:rsid w:val="008746F9"/>
    <w:pPr>
      <w:spacing w:after="100"/>
      <w:ind w:left="240"/>
    </w:pPr>
  </w:style>
  <w:style w:type="paragraph" w:styleId="TOC3">
    <w:name w:val="toc 3"/>
    <w:basedOn w:val="Normal"/>
    <w:next w:val="Normal"/>
    <w:autoRedefine/>
    <w:uiPriority w:val="39"/>
    <w:unhideWhenUsed/>
    <w:rsid w:val="008746F9"/>
    <w:pPr>
      <w:spacing w:after="100"/>
      <w:ind w:left="48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51FAF"/>
    <w:pPr>
      <w:jc w:val="both"/>
    </w:pPr>
    <w:rPr>
      <w:rFonts w:asciiTheme="minorHAnsi" w:eastAsiaTheme="minorHAnsi" w:hAnsiTheme="minorHAnsi" w:cstheme="minorBidi"/>
      <w:sz w:val="22"/>
      <w:szCs w:val="22"/>
      <w:vertAlign w:val="superscript"/>
      <w:lang w:val="es-MX" w:eastAsia="en-US"/>
    </w:rPr>
  </w:style>
  <w:style w:type="character" w:customStyle="1" w:styleId="NoSpacingChar">
    <w:name w:val="No Spacing Char"/>
    <w:basedOn w:val="DefaultParagraphFont"/>
    <w:link w:val="NoSpacing"/>
    <w:uiPriority w:val="1"/>
    <w:locked/>
    <w:rsid w:val="00B44984"/>
    <w:rPr>
      <w:rFonts w:ascii="Arial" w:eastAsia="Calibri" w:hAnsi="Arial" w:cs="Times New Roman"/>
      <w:sz w:val="20"/>
    </w:rPr>
  </w:style>
  <w:style w:type="table" w:customStyle="1" w:styleId="Tablaconcuadrcula2">
    <w:name w:val="Tabla con cuadrícula2"/>
    <w:basedOn w:val="TableNormal"/>
    <w:uiPriority w:val="39"/>
    <w:rsid w:val="00724D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20E3"/>
    <w:rPr>
      <w:color w:val="605E5C"/>
      <w:shd w:val="clear" w:color="auto" w:fill="E1DFDD"/>
    </w:rPr>
  </w:style>
  <w:style w:type="paragraph" w:styleId="Revision">
    <w:name w:val="Revision"/>
    <w:hidden/>
    <w:uiPriority w:val="99"/>
    <w:semiHidden/>
    <w:rsid w:val="00B758A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63908013">
      <w:bodyDiv w:val="1"/>
      <w:marLeft w:val="0"/>
      <w:marRight w:val="0"/>
      <w:marTop w:val="0"/>
      <w:marBottom w:val="0"/>
      <w:divBdr>
        <w:top w:val="none" w:sz="0" w:space="0" w:color="auto"/>
        <w:left w:val="none" w:sz="0" w:space="0" w:color="auto"/>
        <w:bottom w:val="none" w:sz="0" w:space="0" w:color="auto"/>
        <w:right w:val="none" w:sz="0" w:space="0" w:color="auto"/>
      </w:divBdr>
    </w:div>
    <w:div w:id="211234790">
      <w:bodyDiv w:val="1"/>
      <w:marLeft w:val="0"/>
      <w:marRight w:val="0"/>
      <w:marTop w:val="0"/>
      <w:marBottom w:val="0"/>
      <w:divBdr>
        <w:top w:val="none" w:sz="0" w:space="0" w:color="auto"/>
        <w:left w:val="none" w:sz="0" w:space="0" w:color="auto"/>
        <w:bottom w:val="none" w:sz="0" w:space="0" w:color="auto"/>
        <w:right w:val="none" w:sz="0" w:space="0" w:color="auto"/>
      </w:divBdr>
    </w:div>
    <w:div w:id="289479649">
      <w:bodyDiv w:val="1"/>
      <w:marLeft w:val="0"/>
      <w:marRight w:val="0"/>
      <w:marTop w:val="0"/>
      <w:marBottom w:val="0"/>
      <w:divBdr>
        <w:top w:val="none" w:sz="0" w:space="0" w:color="auto"/>
        <w:left w:val="none" w:sz="0" w:space="0" w:color="auto"/>
        <w:bottom w:val="none" w:sz="0" w:space="0" w:color="auto"/>
        <w:right w:val="none" w:sz="0" w:space="0" w:color="auto"/>
      </w:divBdr>
    </w:div>
    <w:div w:id="293408333">
      <w:bodyDiv w:val="1"/>
      <w:marLeft w:val="0"/>
      <w:marRight w:val="0"/>
      <w:marTop w:val="0"/>
      <w:marBottom w:val="0"/>
      <w:divBdr>
        <w:top w:val="none" w:sz="0" w:space="0" w:color="auto"/>
        <w:left w:val="none" w:sz="0" w:space="0" w:color="auto"/>
        <w:bottom w:val="none" w:sz="0" w:space="0" w:color="auto"/>
        <w:right w:val="none" w:sz="0" w:space="0" w:color="auto"/>
      </w:divBdr>
    </w:div>
    <w:div w:id="315500918">
      <w:bodyDiv w:val="1"/>
      <w:marLeft w:val="0"/>
      <w:marRight w:val="0"/>
      <w:marTop w:val="0"/>
      <w:marBottom w:val="0"/>
      <w:divBdr>
        <w:top w:val="none" w:sz="0" w:space="0" w:color="auto"/>
        <w:left w:val="none" w:sz="0" w:space="0" w:color="auto"/>
        <w:bottom w:val="none" w:sz="0" w:space="0" w:color="auto"/>
        <w:right w:val="none" w:sz="0" w:space="0" w:color="auto"/>
      </w:divBdr>
    </w:div>
    <w:div w:id="330180593">
      <w:bodyDiv w:val="1"/>
      <w:marLeft w:val="0"/>
      <w:marRight w:val="0"/>
      <w:marTop w:val="0"/>
      <w:marBottom w:val="0"/>
      <w:divBdr>
        <w:top w:val="none" w:sz="0" w:space="0" w:color="auto"/>
        <w:left w:val="none" w:sz="0" w:space="0" w:color="auto"/>
        <w:bottom w:val="none" w:sz="0" w:space="0" w:color="auto"/>
        <w:right w:val="none" w:sz="0" w:space="0" w:color="auto"/>
      </w:divBdr>
      <w:divsChild>
        <w:div w:id="762411584">
          <w:marLeft w:val="0"/>
          <w:marRight w:val="0"/>
          <w:marTop w:val="0"/>
          <w:marBottom w:val="0"/>
          <w:divBdr>
            <w:top w:val="none" w:sz="0" w:space="0" w:color="auto"/>
            <w:left w:val="none" w:sz="0" w:space="0" w:color="auto"/>
            <w:bottom w:val="none" w:sz="0" w:space="0" w:color="auto"/>
            <w:right w:val="none" w:sz="0" w:space="0" w:color="auto"/>
          </w:divBdr>
        </w:div>
        <w:div w:id="111901865">
          <w:marLeft w:val="0"/>
          <w:marRight w:val="0"/>
          <w:marTop w:val="0"/>
          <w:marBottom w:val="0"/>
          <w:divBdr>
            <w:top w:val="none" w:sz="0" w:space="0" w:color="auto"/>
            <w:left w:val="none" w:sz="0" w:space="0" w:color="auto"/>
            <w:bottom w:val="none" w:sz="0" w:space="0" w:color="auto"/>
            <w:right w:val="none" w:sz="0" w:space="0" w:color="auto"/>
          </w:divBdr>
        </w:div>
      </w:divsChild>
    </w:div>
    <w:div w:id="348652012">
      <w:bodyDiv w:val="1"/>
      <w:marLeft w:val="0"/>
      <w:marRight w:val="0"/>
      <w:marTop w:val="0"/>
      <w:marBottom w:val="0"/>
      <w:divBdr>
        <w:top w:val="none" w:sz="0" w:space="0" w:color="auto"/>
        <w:left w:val="none" w:sz="0" w:space="0" w:color="auto"/>
        <w:bottom w:val="none" w:sz="0" w:space="0" w:color="auto"/>
        <w:right w:val="none" w:sz="0" w:space="0" w:color="auto"/>
      </w:divBdr>
    </w:div>
    <w:div w:id="373850038">
      <w:bodyDiv w:val="1"/>
      <w:marLeft w:val="0"/>
      <w:marRight w:val="0"/>
      <w:marTop w:val="0"/>
      <w:marBottom w:val="0"/>
      <w:divBdr>
        <w:top w:val="none" w:sz="0" w:space="0" w:color="auto"/>
        <w:left w:val="none" w:sz="0" w:space="0" w:color="auto"/>
        <w:bottom w:val="none" w:sz="0" w:space="0" w:color="auto"/>
        <w:right w:val="none" w:sz="0" w:space="0" w:color="auto"/>
      </w:divBdr>
    </w:div>
    <w:div w:id="419251748">
      <w:bodyDiv w:val="1"/>
      <w:marLeft w:val="0"/>
      <w:marRight w:val="0"/>
      <w:marTop w:val="0"/>
      <w:marBottom w:val="0"/>
      <w:divBdr>
        <w:top w:val="none" w:sz="0" w:space="0" w:color="auto"/>
        <w:left w:val="none" w:sz="0" w:space="0" w:color="auto"/>
        <w:bottom w:val="none" w:sz="0" w:space="0" w:color="auto"/>
        <w:right w:val="none" w:sz="0" w:space="0" w:color="auto"/>
      </w:divBdr>
    </w:div>
    <w:div w:id="493885481">
      <w:bodyDiv w:val="1"/>
      <w:marLeft w:val="0"/>
      <w:marRight w:val="0"/>
      <w:marTop w:val="0"/>
      <w:marBottom w:val="0"/>
      <w:divBdr>
        <w:top w:val="none" w:sz="0" w:space="0" w:color="auto"/>
        <w:left w:val="none" w:sz="0" w:space="0" w:color="auto"/>
        <w:bottom w:val="none" w:sz="0" w:space="0" w:color="auto"/>
        <w:right w:val="none" w:sz="0" w:space="0" w:color="auto"/>
      </w:divBdr>
    </w:div>
    <w:div w:id="498349326">
      <w:bodyDiv w:val="1"/>
      <w:marLeft w:val="0"/>
      <w:marRight w:val="0"/>
      <w:marTop w:val="0"/>
      <w:marBottom w:val="0"/>
      <w:divBdr>
        <w:top w:val="none" w:sz="0" w:space="0" w:color="auto"/>
        <w:left w:val="none" w:sz="0" w:space="0" w:color="auto"/>
        <w:bottom w:val="none" w:sz="0" w:space="0" w:color="auto"/>
        <w:right w:val="none" w:sz="0" w:space="0" w:color="auto"/>
      </w:divBdr>
    </w:div>
    <w:div w:id="541287184">
      <w:bodyDiv w:val="1"/>
      <w:marLeft w:val="0"/>
      <w:marRight w:val="0"/>
      <w:marTop w:val="0"/>
      <w:marBottom w:val="0"/>
      <w:divBdr>
        <w:top w:val="none" w:sz="0" w:space="0" w:color="auto"/>
        <w:left w:val="none" w:sz="0" w:space="0" w:color="auto"/>
        <w:bottom w:val="none" w:sz="0" w:space="0" w:color="auto"/>
        <w:right w:val="none" w:sz="0" w:space="0" w:color="auto"/>
      </w:divBdr>
    </w:div>
    <w:div w:id="565381955">
      <w:bodyDiv w:val="1"/>
      <w:marLeft w:val="0"/>
      <w:marRight w:val="0"/>
      <w:marTop w:val="0"/>
      <w:marBottom w:val="0"/>
      <w:divBdr>
        <w:top w:val="none" w:sz="0" w:space="0" w:color="auto"/>
        <w:left w:val="none" w:sz="0" w:space="0" w:color="auto"/>
        <w:bottom w:val="none" w:sz="0" w:space="0" w:color="auto"/>
        <w:right w:val="none" w:sz="0" w:space="0" w:color="auto"/>
      </w:divBdr>
    </w:div>
    <w:div w:id="589504421">
      <w:bodyDiv w:val="1"/>
      <w:marLeft w:val="0"/>
      <w:marRight w:val="0"/>
      <w:marTop w:val="0"/>
      <w:marBottom w:val="0"/>
      <w:divBdr>
        <w:top w:val="none" w:sz="0" w:space="0" w:color="auto"/>
        <w:left w:val="none" w:sz="0" w:space="0" w:color="auto"/>
        <w:bottom w:val="none" w:sz="0" w:space="0" w:color="auto"/>
        <w:right w:val="none" w:sz="0" w:space="0" w:color="auto"/>
      </w:divBdr>
    </w:div>
    <w:div w:id="595745026">
      <w:bodyDiv w:val="1"/>
      <w:marLeft w:val="0"/>
      <w:marRight w:val="0"/>
      <w:marTop w:val="0"/>
      <w:marBottom w:val="0"/>
      <w:divBdr>
        <w:top w:val="none" w:sz="0" w:space="0" w:color="auto"/>
        <w:left w:val="none" w:sz="0" w:space="0" w:color="auto"/>
        <w:bottom w:val="none" w:sz="0" w:space="0" w:color="auto"/>
        <w:right w:val="none" w:sz="0" w:space="0" w:color="auto"/>
      </w:divBdr>
    </w:div>
    <w:div w:id="900021475">
      <w:bodyDiv w:val="1"/>
      <w:marLeft w:val="0"/>
      <w:marRight w:val="0"/>
      <w:marTop w:val="0"/>
      <w:marBottom w:val="0"/>
      <w:divBdr>
        <w:top w:val="none" w:sz="0" w:space="0" w:color="auto"/>
        <w:left w:val="none" w:sz="0" w:space="0" w:color="auto"/>
        <w:bottom w:val="none" w:sz="0" w:space="0" w:color="auto"/>
        <w:right w:val="none" w:sz="0" w:space="0" w:color="auto"/>
      </w:divBdr>
    </w:div>
    <w:div w:id="962493730">
      <w:bodyDiv w:val="1"/>
      <w:marLeft w:val="0"/>
      <w:marRight w:val="0"/>
      <w:marTop w:val="0"/>
      <w:marBottom w:val="0"/>
      <w:divBdr>
        <w:top w:val="none" w:sz="0" w:space="0" w:color="auto"/>
        <w:left w:val="none" w:sz="0" w:space="0" w:color="auto"/>
        <w:bottom w:val="none" w:sz="0" w:space="0" w:color="auto"/>
        <w:right w:val="none" w:sz="0" w:space="0" w:color="auto"/>
      </w:divBdr>
    </w:div>
    <w:div w:id="969895261">
      <w:bodyDiv w:val="1"/>
      <w:marLeft w:val="0"/>
      <w:marRight w:val="0"/>
      <w:marTop w:val="0"/>
      <w:marBottom w:val="0"/>
      <w:divBdr>
        <w:top w:val="none" w:sz="0" w:space="0" w:color="auto"/>
        <w:left w:val="none" w:sz="0" w:space="0" w:color="auto"/>
        <w:bottom w:val="none" w:sz="0" w:space="0" w:color="auto"/>
        <w:right w:val="none" w:sz="0" w:space="0" w:color="auto"/>
      </w:divBdr>
    </w:div>
    <w:div w:id="987057038">
      <w:bodyDiv w:val="1"/>
      <w:marLeft w:val="0"/>
      <w:marRight w:val="0"/>
      <w:marTop w:val="0"/>
      <w:marBottom w:val="0"/>
      <w:divBdr>
        <w:top w:val="none" w:sz="0" w:space="0" w:color="auto"/>
        <w:left w:val="none" w:sz="0" w:space="0" w:color="auto"/>
        <w:bottom w:val="none" w:sz="0" w:space="0" w:color="auto"/>
        <w:right w:val="none" w:sz="0" w:space="0" w:color="auto"/>
      </w:divBdr>
    </w:div>
    <w:div w:id="1053502121">
      <w:bodyDiv w:val="1"/>
      <w:marLeft w:val="0"/>
      <w:marRight w:val="0"/>
      <w:marTop w:val="0"/>
      <w:marBottom w:val="0"/>
      <w:divBdr>
        <w:top w:val="none" w:sz="0" w:space="0" w:color="auto"/>
        <w:left w:val="none" w:sz="0" w:space="0" w:color="auto"/>
        <w:bottom w:val="none" w:sz="0" w:space="0" w:color="auto"/>
        <w:right w:val="none" w:sz="0" w:space="0" w:color="auto"/>
      </w:divBdr>
    </w:div>
    <w:div w:id="1063067939">
      <w:bodyDiv w:val="1"/>
      <w:marLeft w:val="0"/>
      <w:marRight w:val="0"/>
      <w:marTop w:val="0"/>
      <w:marBottom w:val="0"/>
      <w:divBdr>
        <w:top w:val="none" w:sz="0" w:space="0" w:color="auto"/>
        <w:left w:val="none" w:sz="0" w:space="0" w:color="auto"/>
        <w:bottom w:val="none" w:sz="0" w:space="0" w:color="auto"/>
        <w:right w:val="none" w:sz="0" w:space="0" w:color="auto"/>
      </w:divBdr>
    </w:div>
    <w:div w:id="1122572641">
      <w:bodyDiv w:val="1"/>
      <w:marLeft w:val="0"/>
      <w:marRight w:val="0"/>
      <w:marTop w:val="0"/>
      <w:marBottom w:val="0"/>
      <w:divBdr>
        <w:top w:val="none" w:sz="0" w:space="0" w:color="auto"/>
        <w:left w:val="none" w:sz="0" w:space="0" w:color="auto"/>
        <w:bottom w:val="none" w:sz="0" w:space="0" w:color="auto"/>
        <w:right w:val="none" w:sz="0" w:space="0" w:color="auto"/>
      </w:divBdr>
    </w:div>
    <w:div w:id="1135609829">
      <w:bodyDiv w:val="1"/>
      <w:marLeft w:val="0"/>
      <w:marRight w:val="0"/>
      <w:marTop w:val="0"/>
      <w:marBottom w:val="0"/>
      <w:divBdr>
        <w:top w:val="none" w:sz="0" w:space="0" w:color="auto"/>
        <w:left w:val="none" w:sz="0" w:space="0" w:color="auto"/>
        <w:bottom w:val="none" w:sz="0" w:space="0" w:color="auto"/>
        <w:right w:val="none" w:sz="0" w:space="0" w:color="auto"/>
      </w:divBdr>
    </w:div>
    <w:div w:id="1252081144">
      <w:bodyDiv w:val="1"/>
      <w:marLeft w:val="0"/>
      <w:marRight w:val="0"/>
      <w:marTop w:val="0"/>
      <w:marBottom w:val="0"/>
      <w:divBdr>
        <w:top w:val="none" w:sz="0" w:space="0" w:color="auto"/>
        <w:left w:val="none" w:sz="0" w:space="0" w:color="auto"/>
        <w:bottom w:val="none" w:sz="0" w:space="0" w:color="auto"/>
        <w:right w:val="none" w:sz="0" w:space="0" w:color="auto"/>
      </w:divBdr>
    </w:div>
    <w:div w:id="1300956448">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30"/>
      <w:marRight w:val="30"/>
      <w:marTop w:val="0"/>
      <w:marBottom w:val="0"/>
      <w:divBdr>
        <w:top w:val="none" w:sz="0" w:space="0" w:color="auto"/>
        <w:left w:val="none" w:sz="0" w:space="0" w:color="auto"/>
        <w:bottom w:val="none" w:sz="0" w:space="0" w:color="auto"/>
        <w:right w:val="none" w:sz="0" w:space="0" w:color="auto"/>
      </w:divBdr>
      <w:divsChild>
        <w:div w:id="1473719224">
          <w:marLeft w:val="0"/>
          <w:marRight w:val="0"/>
          <w:marTop w:val="0"/>
          <w:marBottom w:val="0"/>
          <w:divBdr>
            <w:top w:val="none" w:sz="0" w:space="0" w:color="auto"/>
            <w:left w:val="none" w:sz="0" w:space="0" w:color="auto"/>
            <w:bottom w:val="none" w:sz="0" w:space="0" w:color="auto"/>
            <w:right w:val="none" w:sz="0" w:space="0" w:color="auto"/>
          </w:divBdr>
          <w:divsChild>
            <w:div w:id="32118968">
              <w:marLeft w:val="0"/>
              <w:marRight w:val="0"/>
              <w:marTop w:val="0"/>
              <w:marBottom w:val="0"/>
              <w:divBdr>
                <w:top w:val="none" w:sz="0" w:space="0" w:color="auto"/>
                <w:left w:val="none" w:sz="0" w:space="0" w:color="auto"/>
                <w:bottom w:val="none" w:sz="0" w:space="0" w:color="auto"/>
                <w:right w:val="none" w:sz="0" w:space="0" w:color="auto"/>
              </w:divBdr>
              <w:divsChild>
                <w:div w:id="14791072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23">
      <w:bodyDiv w:val="1"/>
      <w:marLeft w:val="30"/>
      <w:marRight w:val="30"/>
      <w:marTop w:val="0"/>
      <w:marBottom w:val="0"/>
      <w:divBdr>
        <w:top w:val="none" w:sz="0" w:space="0" w:color="auto"/>
        <w:left w:val="none" w:sz="0" w:space="0" w:color="auto"/>
        <w:bottom w:val="none" w:sz="0" w:space="0" w:color="auto"/>
        <w:right w:val="none" w:sz="0" w:space="0" w:color="auto"/>
      </w:divBdr>
      <w:divsChild>
        <w:div w:id="1425607947">
          <w:marLeft w:val="0"/>
          <w:marRight w:val="0"/>
          <w:marTop w:val="0"/>
          <w:marBottom w:val="0"/>
          <w:divBdr>
            <w:top w:val="none" w:sz="0" w:space="0" w:color="auto"/>
            <w:left w:val="none" w:sz="0" w:space="0" w:color="auto"/>
            <w:bottom w:val="none" w:sz="0" w:space="0" w:color="auto"/>
            <w:right w:val="none" w:sz="0" w:space="0" w:color="auto"/>
          </w:divBdr>
          <w:divsChild>
            <w:div w:id="22901470">
              <w:marLeft w:val="0"/>
              <w:marRight w:val="0"/>
              <w:marTop w:val="0"/>
              <w:marBottom w:val="0"/>
              <w:divBdr>
                <w:top w:val="none" w:sz="0" w:space="0" w:color="auto"/>
                <w:left w:val="none" w:sz="0" w:space="0" w:color="auto"/>
                <w:bottom w:val="none" w:sz="0" w:space="0" w:color="auto"/>
                <w:right w:val="none" w:sz="0" w:space="0" w:color="auto"/>
              </w:divBdr>
              <w:divsChild>
                <w:div w:id="16481720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2918">
      <w:bodyDiv w:val="1"/>
      <w:marLeft w:val="30"/>
      <w:marRight w:val="30"/>
      <w:marTop w:val="0"/>
      <w:marBottom w:val="0"/>
      <w:divBdr>
        <w:top w:val="none" w:sz="0" w:space="0" w:color="auto"/>
        <w:left w:val="none" w:sz="0" w:space="0" w:color="auto"/>
        <w:bottom w:val="none" w:sz="0" w:space="0" w:color="auto"/>
        <w:right w:val="none" w:sz="0" w:space="0" w:color="auto"/>
      </w:divBdr>
      <w:divsChild>
        <w:div w:id="1500537835">
          <w:marLeft w:val="0"/>
          <w:marRight w:val="0"/>
          <w:marTop w:val="0"/>
          <w:marBottom w:val="0"/>
          <w:divBdr>
            <w:top w:val="none" w:sz="0" w:space="0" w:color="auto"/>
            <w:left w:val="none" w:sz="0" w:space="0" w:color="auto"/>
            <w:bottom w:val="none" w:sz="0" w:space="0" w:color="auto"/>
            <w:right w:val="none" w:sz="0" w:space="0" w:color="auto"/>
          </w:divBdr>
          <w:divsChild>
            <w:div w:id="1229995775">
              <w:marLeft w:val="0"/>
              <w:marRight w:val="0"/>
              <w:marTop w:val="0"/>
              <w:marBottom w:val="0"/>
              <w:divBdr>
                <w:top w:val="none" w:sz="0" w:space="0" w:color="auto"/>
                <w:left w:val="none" w:sz="0" w:space="0" w:color="auto"/>
                <w:bottom w:val="none" w:sz="0" w:space="0" w:color="auto"/>
                <w:right w:val="none" w:sz="0" w:space="0" w:color="auto"/>
              </w:divBdr>
              <w:divsChild>
                <w:div w:id="14128517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0998">
      <w:bodyDiv w:val="1"/>
      <w:marLeft w:val="0"/>
      <w:marRight w:val="0"/>
      <w:marTop w:val="0"/>
      <w:marBottom w:val="0"/>
      <w:divBdr>
        <w:top w:val="none" w:sz="0" w:space="0" w:color="auto"/>
        <w:left w:val="none" w:sz="0" w:space="0" w:color="auto"/>
        <w:bottom w:val="none" w:sz="0" w:space="0" w:color="auto"/>
        <w:right w:val="none" w:sz="0" w:space="0" w:color="auto"/>
      </w:divBdr>
    </w:div>
    <w:div w:id="1637754978">
      <w:bodyDiv w:val="1"/>
      <w:marLeft w:val="0"/>
      <w:marRight w:val="0"/>
      <w:marTop w:val="0"/>
      <w:marBottom w:val="0"/>
      <w:divBdr>
        <w:top w:val="none" w:sz="0" w:space="0" w:color="auto"/>
        <w:left w:val="none" w:sz="0" w:space="0" w:color="auto"/>
        <w:bottom w:val="none" w:sz="0" w:space="0" w:color="auto"/>
        <w:right w:val="none" w:sz="0" w:space="0" w:color="auto"/>
      </w:divBdr>
    </w:div>
    <w:div w:id="1665163674">
      <w:bodyDiv w:val="1"/>
      <w:marLeft w:val="0"/>
      <w:marRight w:val="0"/>
      <w:marTop w:val="0"/>
      <w:marBottom w:val="0"/>
      <w:divBdr>
        <w:top w:val="none" w:sz="0" w:space="0" w:color="auto"/>
        <w:left w:val="none" w:sz="0" w:space="0" w:color="auto"/>
        <w:bottom w:val="none" w:sz="0" w:space="0" w:color="auto"/>
        <w:right w:val="none" w:sz="0" w:space="0" w:color="auto"/>
      </w:divBdr>
    </w:div>
    <w:div w:id="1725829043">
      <w:bodyDiv w:val="1"/>
      <w:marLeft w:val="0"/>
      <w:marRight w:val="0"/>
      <w:marTop w:val="0"/>
      <w:marBottom w:val="0"/>
      <w:divBdr>
        <w:top w:val="none" w:sz="0" w:space="0" w:color="auto"/>
        <w:left w:val="none" w:sz="0" w:space="0" w:color="auto"/>
        <w:bottom w:val="none" w:sz="0" w:space="0" w:color="auto"/>
        <w:right w:val="none" w:sz="0" w:space="0" w:color="auto"/>
      </w:divBdr>
    </w:div>
    <w:div w:id="1728529284">
      <w:bodyDiv w:val="1"/>
      <w:marLeft w:val="0"/>
      <w:marRight w:val="0"/>
      <w:marTop w:val="0"/>
      <w:marBottom w:val="0"/>
      <w:divBdr>
        <w:top w:val="none" w:sz="0" w:space="0" w:color="auto"/>
        <w:left w:val="none" w:sz="0" w:space="0" w:color="auto"/>
        <w:bottom w:val="none" w:sz="0" w:space="0" w:color="auto"/>
        <w:right w:val="none" w:sz="0" w:space="0" w:color="auto"/>
      </w:divBdr>
    </w:div>
    <w:div w:id="1854221964">
      <w:bodyDiv w:val="1"/>
      <w:marLeft w:val="0"/>
      <w:marRight w:val="0"/>
      <w:marTop w:val="0"/>
      <w:marBottom w:val="0"/>
      <w:divBdr>
        <w:top w:val="none" w:sz="0" w:space="0" w:color="auto"/>
        <w:left w:val="none" w:sz="0" w:space="0" w:color="auto"/>
        <w:bottom w:val="none" w:sz="0" w:space="0" w:color="auto"/>
        <w:right w:val="none" w:sz="0" w:space="0" w:color="auto"/>
      </w:divBdr>
      <w:divsChild>
        <w:div w:id="156658272">
          <w:marLeft w:val="0"/>
          <w:marRight w:val="0"/>
          <w:marTop w:val="0"/>
          <w:marBottom w:val="0"/>
          <w:divBdr>
            <w:top w:val="none" w:sz="0" w:space="0" w:color="auto"/>
            <w:left w:val="none" w:sz="0" w:space="0" w:color="auto"/>
            <w:bottom w:val="none" w:sz="0" w:space="0" w:color="auto"/>
            <w:right w:val="none" w:sz="0" w:space="0" w:color="auto"/>
          </w:divBdr>
        </w:div>
        <w:div w:id="73746416">
          <w:marLeft w:val="0"/>
          <w:marRight w:val="0"/>
          <w:marTop w:val="0"/>
          <w:marBottom w:val="0"/>
          <w:divBdr>
            <w:top w:val="none" w:sz="0" w:space="0" w:color="auto"/>
            <w:left w:val="none" w:sz="0" w:space="0" w:color="auto"/>
            <w:bottom w:val="none" w:sz="0" w:space="0" w:color="auto"/>
            <w:right w:val="none" w:sz="0" w:space="0" w:color="auto"/>
          </w:divBdr>
        </w:div>
      </w:divsChild>
    </w:div>
    <w:div w:id="1872104829">
      <w:bodyDiv w:val="1"/>
      <w:marLeft w:val="0"/>
      <w:marRight w:val="0"/>
      <w:marTop w:val="0"/>
      <w:marBottom w:val="0"/>
      <w:divBdr>
        <w:top w:val="none" w:sz="0" w:space="0" w:color="auto"/>
        <w:left w:val="none" w:sz="0" w:space="0" w:color="auto"/>
        <w:bottom w:val="none" w:sz="0" w:space="0" w:color="auto"/>
        <w:right w:val="none" w:sz="0" w:space="0" w:color="auto"/>
      </w:divBdr>
    </w:div>
    <w:div w:id="2049647693">
      <w:bodyDiv w:val="1"/>
      <w:marLeft w:val="0"/>
      <w:marRight w:val="0"/>
      <w:marTop w:val="0"/>
      <w:marBottom w:val="0"/>
      <w:divBdr>
        <w:top w:val="none" w:sz="0" w:space="0" w:color="auto"/>
        <w:left w:val="none" w:sz="0" w:space="0" w:color="auto"/>
        <w:bottom w:val="none" w:sz="0" w:space="0" w:color="auto"/>
        <w:right w:val="none" w:sz="0" w:space="0" w:color="auto"/>
      </w:divBdr>
    </w:div>
    <w:div w:id="20805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ED48-11EC-4CD7-8770-798F1B94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2517</Words>
  <Characters>13844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luis.apodaca@te.gob.mx</dc:creator>
  <cp:keywords/>
  <dc:description/>
  <cp:lastModifiedBy>Nubia Selene Puga Zapata</cp:lastModifiedBy>
  <cp:revision>12</cp:revision>
  <cp:lastPrinted>2021-01-15T18:01:00Z</cp:lastPrinted>
  <dcterms:created xsi:type="dcterms:W3CDTF">2021-01-13T00:58:00Z</dcterms:created>
  <dcterms:modified xsi:type="dcterms:W3CDTF">2021-01-15T18:28:00Z</dcterms:modified>
</cp:coreProperties>
</file>