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7C74" w14:textId="6A59E4F0" w:rsidR="0012045B" w:rsidRDefault="0012045B" w:rsidP="000F52CB">
      <w:pPr>
        <w:ind w:left="3119"/>
        <w:rPr>
          <w:rFonts w:ascii="Arial" w:hAnsi="Arial" w:cs="Arial"/>
          <w:b/>
        </w:rPr>
      </w:pPr>
      <w:r w:rsidRPr="000F52CB">
        <w:rPr>
          <w:rFonts w:ascii="Arial" w:hAnsi="Arial" w:cs="Arial"/>
          <w:b/>
        </w:rPr>
        <w:t>ACUERDO DE SALA</w:t>
      </w:r>
    </w:p>
    <w:p w14:paraId="15B0B716" w14:textId="77777777" w:rsidR="000F52CB" w:rsidRPr="000F52CB" w:rsidRDefault="000F52CB" w:rsidP="000F52CB">
      <w:pPr>
        <w:ind w:left="3119"/>
        <w:rPr>
          <w:rFonts w:ascii="Arial" w:hAnsi="Arial" w:cs="Arial"/>
          <w:b/>
        </w:rPr>
      </w:pPr>
    </w:p>
    <w:p w14:paraId="6B375CCF" w14:textId="376C900C" w:rsidR="0012045B" w:rsidRDefault="0012045B" w:rsidP="000F52CB">
      <w:pPr>
        <w:ind w:left="3119"/>
        <w:jc w:val="both"/>
        <w:rPr>
          <w:rFonts w:ascii="Arial" w:hAnsi="Arial" w:cs="Arial"/>
          <w:b/>
        </w:rPr>
      </w:pPr>
      <w:r w:rsidRPr="000F52CB">
        <w:rPr>
          <w:rFonts w:ascii="Arial" w:hAnsi="Arial" w:cs="Arial"/>
          <w:b/>
        </w:rPr>
        <w:t>JUICIO PARA LA PROTECCIÓN DE LOS DERECHOS POLÍTICO-ELECTORALES DEL CIUDADANO</w:t>
      </w:r>
    </w:p>
    <w:p w14:paraId="5ADEFA05" w14:textId="77777777" w:rsidR="000F52CB" w:rsidRPr="000F52CB" w:rsidRDefault="000F52CB" w:rsidP="000F52CB">
      <w:pPr>
        <w:ind w:left="3119"/>
        <w:jc w:val="both"/>
        <w:rPr>
          <w:rFonts w:ascii="Arial" w:hAnsi="Arial" w:cs="Arial"/>
          <w:b/>
        </w:rPr>
      </w:pPr>
    </w:p>
    <w:p w14:paraId="56F4F07B" w14:textId="07ACF30D" w:rsidR="001C3986" w:rsidRPr="00667E9F" w:rsidRDefault="001C3986" w:rsidP="000F52CB">
      <w:pPr>
        <w:pStyle w:val="proemio"/>
        <w:suppressLineNumbers/>
        <w:ind w:left="3119"/>
        <w:rPr>
          <w:rFonts w:ascii="Arial" w:hAnsi="Arial" w:cs="Arial"/>
          <w:b w:val="0"/>
          <w:color w:val="000000" w:themeColor="text1"/>
          <w:sz w:val="24"/>
          <w:lang w:val="es-MX"/>
        </w:rPr>
      </w:pPr>
      <w:r w:rsidRPr="000F52CB">
        <w:rPr>
          <w:rFonts w:ascii="Arial" w:hAnsi="Arial" w:cs="Arial"/>
          <w:color w:val="000000" w:themeColor="text1"/>
          <w:sz w:val="24"/>
          <w:lang w:val="es-MX"/>
        </w:rPr>
        <w:t>EXPEDIENTE</w:t>
      </w:r>
      <w:r w:rsidRPr="00667E9F">
        <w:rPr>
          <w:rFonts w:ascii="Arial" w:hAnsi="Arial" w:cs="Arial"/>
          <w:color w:val="000000" w:themeColor="text1"/>
          <w:sz w:val="24"/>
          <w:lang w:val="es-MX"/>
        </w:rPr>
        <w:t xml:space="preserve">: </w:t>
      </w:r>
      <w:r w:rsidRPr="00667E9F">
        <w:rPr>
          <w:rFonts w:ascii="Arial" w:hAnsi="Arial" w:cs="Arial"/>
          <w:b w:val="0"/>
          <w:color w:val="000000" w:themeColor="text1"/>
          <w:sz w:val="24"/>
          <w:lang w:val="es-MX"/>
        </w:rPr>
        <w:t>SUP-</w:t>
      </w:r>
      <w:r w:rsidR="00C25E5B">
        <w:rPr>
          <w:rFonts w:ascii="Arial" w:hAnsi="Arial" w:cs="Arial"/>
          <w:b w:val="0"/>
          <w:color w:val="000000" w:themeColor="text1"/>
          <w:sz w:val="24"/>
          <w:lang w:val="es-MX"/>
        </w:rPr>
        <w:t>JDC</w:t>
      </w:r>
      <w:r w:rsidRPr="00667E9F">
        <w:rPr>
          <w:rFonts w:ascii="Arial" w:hAnsi="Arial" w:cs="Arial"/>
          <w:b w:val="0"/>
          <w:color w:val="000000" w:themeColor="text1"/>
          <w:sz w:val="24"/>
          <w:lang w:val="es-MX"/>
        </w:rPr>
        <w:t>-</w:t>
      </w:r>
      <w:r w:rsidR="00071D17">
        <w:rPr>
          <w:rFonts w:ascii="Arial" w:hAnsi="Arial" w:cs="Arial"/>
          <w:b w:val="0"/>
          <w:color w:val="000000" w:themeColor="text1"/>
          <w:sz w:val="24"/>
          <w:lang w:val="es-MX"/>
        </w:rPr>
        <w:t>57</w:t>
      </w:r>
      <w:r w:rsidRPr="00667E9F">
        <w:rPr>
          <w:rFonts w:ascii="Arial" w:hAnsi="Arial" w:cs="Arial"/>
          <w:b w:val="0"/>
          <w:color w:val="000000" w:themeColor="text1"/>
          <w:sz w:val="24"/>
          <w:lang w:val="es-MX"/>
        </w:rPr>
        <w:t>/202</w:t>
      </w:r>
      <w:r w:rsidR="00C25E5B">
        <w:rPr>
          <w:rFonts w:ascii="Arial" w:hAnsi="Arial" w:cs="Arial"/>
          <w:b w:val="0"/>
          <w:color w:val="000000" w:themeColor="text1"/>
          <w:sz w:val="24"/>
          <w:lang w:val="es-MX"/>
        </w:rPr>
        <w:t>1</w:t>
      </w:r>
    </w:p>
    <w:p w14:paraId="0DBA84D0" w14:textId="77777777" w:rsidR="001C3986" w:rsidRPr="00667E9F" w:rsidRDefault="001C3986" w:rsidP="000F52CB">
      <w:pPr>
        <w:pStyle w:val="proemio"/>
        <w:suppressLineNumbers/>
        <w:ind w:left="3119"/>
        <w:rPr>
          <w:rFonts w:ascii="Arial" w:hAnsi="Arial" w:cs="Arial"/>
          <w:b w:val="0"/>
          <w:color w:val="000000" w:themeColor="text1"/>
          <w:sz w:val="24"/>
          <w:lang w:val="es-MX"/>
        </w:rPr>
      </w:pPr>
    </w:p>
    <w:p w14:paraId="774DF227" w14:textId="0CD9088D" w:rsidR="001C3986" w:rsidRPr="00087BEC" w:rsidRDefault="000F52CB" w:rsidP="000F52CB">
      <w:pPr>
        <w:pStyle w:val="proemio"/>
        <w:suppressLineNumbers/>
        <w:ind w:left="3119"/>
        <w:rPr>
          <w:rFonts w:ascii="Arial" w:hAnsi="Arial" w:cs="Arial"/>
          <w:b w:val="0"/>
          <w:bCs/>
          <w:color w:val="000000" w:themeColor="text1"/>
          <w:sz w:val="24"/>
          <w:lang w:val="es-MX"/>
        </w:rPr>
      </w:pPr>
      <w:r w:rsidRPr="00912050">
        <w:rPr>
          <w:rFonts w:ascii="Arial" w:hAnsi="Arial" w:cs="Arial"/>
          <w:color w:val="000000" w:themeColor="text1"/>
          <w:sz w:val="24"/>
          <w:lang w:val="es-MX"/>
        </w:rPr>
        <w:t>PROMOVENTE</w:t>
      </w:r>
      <w:r w:rsidR="001C3986" w:rsidRPr="00912050">
        <w:rPr>
          <w:rFonts w:ascii="Arial" w:hAnsi="Arial" w:cs="Arial"/>
          <w:color w:val="000000" w:themeColor="text1"/>
          <w:sz w:val="24"/>
          <w:lang w:val="es-MX"/>
        </w:rPr>
        <w:t xml:space="preserve">: </w:t>
      </w:r>
      <w:r w:rsidR="00DA779E" w:rsidRPr="00912050">
        <w:rPr>
          <w:rFonts w:ascii="Arial" w:hAnsi="Arial" w:cs="Arial"/>
          <w:b w:val="0"/>
          <w:bCs/>
          <w:color w:val="000000" w:themeColor="text1"/>
          <w:sz w:val="24"/>
          <w:lang w:val="es-MX"/>
        </w:rPr>
        <w:t>A</w:t>
      </w:r>
      <w:r w:rsidR="00DA779E" w:rsidRPr="00DA779E">
        <w:rPr>
          <w:rFonts w:ascii="Arial" w:hAnsi="Arial" w:cs="Arial"/>
          <w:b w:val="0"/>
          <w:bCs/>
          <w:color w:val="000000" w:themeColor="text1"/>
          <w:sz w:val="24"/>
          <w:lang w:val="es-MX"/>
        </w:rPr>
        <w:t xml:space="preserve">NTARES GUADALUPE </w:t>
      </w:r>
      <w:r w:rsidR="00DA779E" w:rsidRPr="00087BEC">
        <w:rPr>
          <w:rFonts w:ascii="Arial" w:hAnsi="Arial" w:cs="Arial"/>
          <w:b w:val="0"/>
          <w:bCs/>
          <w:color w:val="000000" w:themeColor="text1"/>
          <w:sz w:val="24"/>
          <w:lang w:val="es-MX"/>
        </w:rPr>
        <w:t>VÁZQUEZ ALATORRE</w:t>
      </w:r>
    </w:p>
    <w:p w14:paraId="7A75088C" w14:textId="77777777" w:rsidR="00DA779E" w:rsidRPr="00087BEC" w:rsidRDefault="00DA779E" w:rsidP="007E5B3C">
      <w:pPr>
        <w:pStyle w:val="proemio"/>
        <w:suppressLineNumbers/>
        <w:ind w:left="3119"/>
        <w:rPr>
          <w:rFonts w:ascii="Arial" w:hAnsi="Arial" w:cs="Arial"/>
          <w:b w:val="0"/>
          <w:color w:val="000000" w:themeColor="text1"/>
          <w:sz w:val="24"/>
          <w:lang w:val="es-MX"/>
        </w:rPr>
      </w:pPr>
    </w:p>
    <w:p w14:paraId="044FA77A" w14:textId="3956B068" w:rsidR="001C3986" w:rsidRPr="00087BEC" w:rsidRDefault="001C3986" w:rsidP="007E5B3C">
      <w:pPr>
        <w:pStyle w:val="proemio"/>
        <w:suppressLineNumbers/>
        <w:ind w:left="3119"/>
        <w:rPr>
          <w:rFonts w:ascii="Arial" w:hAnsi="Arial" w:cs="Arial"/>
          <w:b w:val="0"/>
          <w:color w:val="000000" w:themeColor="text1"/>
          <w:sz w:val="24"/>
          <w:lang w:val="es-MX"/>
        </w:rPr>
      </w:pPr>
      <w:r w:rsidRPr="00087BEC">
        <w:rPr>
          <w:rFonts w:ascii="Arial" w:hAnsi="Arial" w:cs="Arial"/>
          <w:color w:val="000000" w:themeColor="text1"/>
          <w:sz w:val="24"/>
          <w:lang w:val="es-MX"/>
        </w:rPr>
        <w:t xml:space="preserve">RESPONSABLE: </w:t>
      </w:r>
      <w:r w:rsidR="007F54BF" w:rsidRPr="00087BEC">
        <w:rPr>
          <w:rFonts w:ascii="Arial" w:hAnsi="Arial" w:cs="Arial"/>
          <w:b w:val="0"/>
          <w:bCs/>
          <w:color w:val="000000" w:themeColor="text1"/>
          <w:sz w:val="24"/>
          <w:lang w:val="es-MX"/>
        </w:rPr>
        <w:t>TRIBUNAL ESTATAL ELECTORAL DE GUANAJUATO</w:t>
      </w:r>
    </w:p>
    <w:p w14:paraId="7ED8969C" w14:textId="77777777" w:rsidR="001C3986" w:rsidRPr="00087BEC" w:rsidRDefault="001C3986" w:rsidP="007E5B3C">
      <w:pPr>
        <w:pStyle w:val="proemio"/>
        <w:suppressLineNumbers/>
        <w:ind w:left="3119"/>
        <w:rPr>
          <w:rFonts w:ascii="Arial" w:hAnsi="Arial" w:cs="Arial"/>
          <w:b w:val="0"/>
          <w:color w:val="000000" w:themeColor="text1"/>
          <w:sz w:val="24"/>
          <w:lang w:val="es-MX"/>
        </w:rPr>
      </w:pPr>
    </w:p>
    <w:p w14:paraId="5616CDB7" w14:textId="5E288A29" w:rsidR="001C3986" w:rsidRPr="00087BEC" w:rsidRDefault="001C3986" w:rsidP="007E5B3C">
      <w:pPr>
        <w:pStyle w:val="proemio"/>
        <w:suppressLineNumbers/>
        <w:ind w:left="3119"/>
        <w:rPr>
          <w:rFonts w:ascii="Arial" w:hAnsi="Arial" w:cs="Arial"/>
          <w:b w:val="0"/>
          <w:color w:val="000000" w:themeColor="text1"/>
          <w:sz w:val="24"/>
          <w:lang w:val="es-MX"/>
        </w:rPr>
      </w:pPr>
      <w:r w:rsidRPr="00087BEC">
        <w:rPr>
          <w:rFonts w:ascii="Arial" w:hAnsi="Arial" w:cs="Arial"/>
          <w:color w:val="000000" w:themeColor="text1"/>
          <w:sz w:val="24"/>
          <w:lang w:val="es-MX"/>
        </w:rPr>
        <w:t xml:space="preserve">MAGISTRADO PONENTE: </w:t>
      </w:r>
      <w:r w:rsidR="00C53913" w:rsidRPr="00087BEC">
        <w:rPr>
          <w:rFonts w:ascii="Arial" w:hAnsi="Arial" w:cs="Arial"/>
          <w:b w:val="0"/>
          <w:color w:val="000000" w:themeColor="text1"/>
          <w:sz w:val="24"/>
          <w:lang w:val="es-MX"/>
        </w:rPr>
        <w:t>FELIPE ALFREDO FUENTES BARRERA</w:t>
      </w:r>
    </w:p>
    <w:p w14:paraId="43DEC6D0" w14:textId="77777777" w:rsidR="001C3986" w:rsidRPr="00087BEC" w:rsidRDefault="001C3986" w:rsidP="007E5B3C">
      <w:pPr>
        <w:pStyle w:val="proemio"/>
        <w:suppressLineNumbers/>
        <w:ind w:left="3119"/>
        <w:rPr>
          <w:rFonts w:ascii="Arial" w:hAnsi="Arial" w:cs="Arial"/>
          <w:b w:val="0"/>
          <w:color w:val="000000" w:themeColor="text1"/>
          <w:sz w:val="24"/>
          <w:lang w:val="es-MX"/>
        </w:rPr>
      </w:pPr>
    </w:p>
    <w:p w14:paraId="2D03A403" w14:textId="3FB9C48E" w:rsidR="00385F24" w:rsidRPr="00087BEC" w:rsidRDefault="001C3986" w:rsidP="007E5B3C">
      <w:pPr>
        <w:pStyle w:val="proemio"/>
        <w:suppressLineNumbers/>
        <w:ind w:left="3119"/>
        <w:rPr>
          <w:rFonts w:ascii="Arial" w:hAnsi="Arial" w:cs="Arial"/>
          <w:b w:val="0"/>
          <w:color w:val="000000" w:themeColor="text1"/>
          <w:sz w:val="24"/>
          <w:lang w:val="es-MX"/>
        </w:rPr>
      </w:pPr>
      <w:bookmarkStart w:id="0" w:name="_Hlk59552995"/>
      <w:r w:rsidRPr="00087BEC">
        <w:rPr>
          <w:rFonts w:ascii="Arial" w:hAnsi="Arial" w:cs="Arial"/>
          <w:color w:val="000000" w:themeColor="text1"/>
          <w:sz w:val="24"/>
          <w:lang w:val="es-MX"/>
        </w:rPr>
        <w:t>SECRETARI</w:t>
      </w:r>
      <w:r w:rsidR="000F52CB" w:rsidRPr="00087BEC">
        <w:rPr>
          <w:rFonts w:ascii="Arial" w:hAnsi="Arial" w:cs="Arial"/>
          <w:color w:val="000000" w:themeColor="text1"/>
          <w:sz w:val="24"/>
          <w:lang w:val="es-MX"/>
        </w:rPr>
        <w:t>ADO</w:t>
      </w:r>
      <w:r w:rsidRPr="00087BEC">
        <w:rPr>
          <w:rFonts w:ascii="Arial" w:hAnsi="Arial" w:cs="Arial"/>
          <w:color w:val="000000" w:themeColor="text1"/>
          <w:sz w:val="24"/>
          <w:lang w:val="es-MX"/>
        </w:rPr>
        <w:t>:</w:t>
      </w:r>
      <w:r w:rsidRPr="00087BEC">
        <w:rPr>
          <w:rFonts w:ascii="Arial" w:hAnsi="Arial" w:cs="Arial"/>
          <w:b w:val="0"/>
          <w:color w:val="000000" w:themeColor="text1"/>
          <w:sz w:val="24"/>
          <w:lang w:val="es-MX"/>
        </w:rPr>
        <w:t xml:space="preserve"> </w:t>
      </w:r>
      <w:r w:rsidR="00865A60" w:rsidRPr="00087BEC">
        <w:rPr>
          <w:rFonts w:ascii="Arial" w:hAnsi="Arial" w:cs="Arial"/>
          <w:b w:val="0"/>
          <w:color w:val="000000" w:themeColor="text1"/>
          <w:sz w:val="24"/>
          <w:lang w:val="es-MX"/>
        </w:rPr>
        <w:t>FABIOLA NAVARRO LUNA</w:t>
      </w:r>
      <w:r w:rsidR="00A91906" w:rsidRPr="00087BEC">
        <w:rPr>
          <w:rFonts w:ascii="Arial" w:hAnsi="Arial" w:cs="Arial"/>
          <w:b w:val="0"/>
          <w:color w:val="000000" w:themeColor="text1"/>
          <w:sz w:val="24"/>
          <w:lang w:val="es-MX"/>
        </w:rPr>
        <w:t xml:space="preserve"> Y FRANCISCO M</w:t>
      </w:r>
      <w:r w:rsidR="007D2088" w:rsidRPr="00087BEC">
        <w:rPr>
          <w:rFonts w:ascii="Arial" w:hAnsi="Arial" w:cs="Arial"/>
          <w:b w:val="0"/>
          <w:color w:val="000000" w:themeColor="text1"/>
          <w:sz w:val="24"/>
          <w:lang w:val="es-MX"/>
        </w:rPr>
        <w:t>.</w:t>
      </w:r>
      <w:r w:rsidR="000F52CB" w:rsidRPr="00087BEC">
        <w:rPr>
          <w:rFonts w:ascii="Arial" w:hAnsi="Arial" w:cs="Arial"/>
          <w:b w:val="0"/>
          <w:color w:val="000000" w:themeColor="text1"/>
          <w:sz w:val="24"/>
          <w:lang w:val="es-MX"/>
        </w:rPr>
        <w:t xml:space="preserve"> </w:t>
      </w:r>
      <w:r w:rsidR="00A91906" w:rsidRPr="00087BEC">
        <w:rPr>
          <w:rFonts w:ascii="Arial" w:hAnsi="Arial" w:cs="Arial"/>
          <w:b w:val="0"/>
          <w:color w:val="000000" w:themeColor="text1"/>
          <w:sz w:val="24"/>
          <w:lang w:val="es-MX"/>
        </w:rPr>
        <w:t>ZORRILLA MATEO</w:t>
      </w:r>
      <w:r w:rsidR="007D2088" w:rsidRPr="00087BEC">
        <w:rPr>
          <w:rFonts w:ascii="Arial" w:hAnsi="Arial" w:cs="Arial"/>
          <w:b w:val="0"/>
          <w:color w:val="000000" w:themeColor="text1"/>
          <w:sz w:val="24"/>
          <w:lang w:val="es-MX"/>
        </w:rPr>
        <w:t>S</w:t>
      </w:r>
      <w:r w:rsidR="00A91906" w:rsidRPr="00087BEC">
        <w:rPr>
          <w:rFonts w:ascii="Arial" w:hAnsi="Arial" w:cs="Arial"/>
          <w:b w:val="0"/>
          <w:color w:val="000000" w:themeColor="text1"/>
          <w:sz w:val="24"/>
          <w:lang w:val="es-MX"/>
        </w:rPr>
        <w:t xml:space="preserve"> </w:t>
      </w:r>
    </w:p>
    <w:p w14:paraId="54B644DD" w14:textId="77777777" w:rsidR="00E016EF" w:rsidRPr="00087BEC" w:rsidRDefault="00E016EF" w:rsidP="00EB65E5">
      <w:pPr>
        <w:pStyle w:val="proemio"/>
        <w:suppressLineNumbers/>
        <w:rPr>
          <w:rFonts w:ascii="Arial" w:hAnsi="Arial" w:cs="Arial"/>
          <w:b w:val="0"/>
          <w:color w:val="000000" w:themeColor="text1"/>
          <w:sz w:val="24"/>
          <w:lang w:val="es-MX"/>
        </w:rPr>
      </w:pPr>
    </w:p>
    <w:bookmarkEnd w:id="0"/>
    <w:p w14:paraId="023C9F8C" w14:textId="77777777" w:rsidR="001C3986" w:rsidRPr="00087BEC" w:rsidRDefault="001C3986" w:rsidP="007E5B3C">
      <w:pPr>
        <w:pStyle w:val="proemio"/>
        <w:suppressLineNumbers/>
        <w:ind w:left="3402"/>
        <w:rPr>
          <w:rFonts w:ascii="Arial" w:hAnsi="Arial" w:cs="Arial"/>
          <w:b w:val="0"/>
          <w:color w:val="000000" w:themeColor="text1"/>
          <w:sz w:val="24"/>
          <w:lang w:val="es-MX"/>
        </w:rPr>
      </w:pPr>
    </w:p>
    <w:p w14:paraId="6AC16E90" w14:textId="582EA9D9" w:rsidR="001C3986" w:rsidRPr="00087BEC" w:rsidRDefault="001C3986" w:rsidP="007E5B3C">
      <w:pPr>
        <w:pStyle w:val="PRRAFOSENTENCIA"/>
        <w:suppressLineNumbers/>
        <w:spacing w:before="240" w:beforeAutospacing="0" w:after="240" w:afterAutospacing="0"/>
        <w:rPr>
          <w:color w:val="000000" w:themeColor="text1"/>
          <w:sz w:val="24"/>
          <w:szCs w:val="24"/>
        </w:rPr>
      </w:pPr>
      <w:r w:rsidRPr="00087BEC">
        <w:rPr>
          <w:color w:val="000000" w:themeColor="text1"/>
          <w:sz w:val="24"/>
          <w:szCs w:val="24"/>
        </w:rPr>
        <w:t xml:space="preserve">Ciudad de México, </w:t>
      </w:r>
      <w:r w:rsidR="008D4693" w:rsidRPr="008D4693">
        <w:rPr>
          <w:color w:val="000000" w:themeColor="text1"/>
          <w:sz w:val="24"/>
          <w:szCs w:val="24"/>
        </w:rPr>
        <w:t>trece</w:t>
      </w:r>
      <w:r w:rsidR="00667E9F" w:rsidRPr="00087BEC">
        <w:rPr>
          <w:color w:val="000000" w:themeColor="text1"/>
          <w:sz w:val="24"/>
          <w:szCs w:val="24"/>
        </w:rPr>
        <w:t xml:space="preserve"> </w:t>
      </w:r>
      <w:r w:rsidRPr="00087BEC">
        <w:rPr>
          <w:color w:val="000000" w:themeColor="text1"/>
          <w:sz w:val="24"/>
          <w:szCs w:val="24"/>
        </w:rPr>
        <w:t xml:space="preserve">de </w:t>
      </w:r>
      <w:r w:rsidR="00C450CB" w:rsidRPr="00087BEC">
        <w:rPr>
          <w:color w:val="000000" w:themeColor="text1"/>
          <w:sz w:val="24"/>
          <w:szCs w:val="24"/>
        </w:rPr>
        <w:t>enero</w:t>
      </w:r>
      <w:r w:rsidR="00767B19" w:rsidRPr="00087BEC">
        <w:rPr>
          <w:color w:val="000000" w:themeColor="text1"/>
          <w:sz w:val="24"/>
          <w:szCs w:val="24"/>
        </w:rPr>
        <w:t xml:space="preserve"> </w:t>
      </w:r>
      <w:r w:rsidRPr="00087BEC">
        <w:rPr>
          <w:color w:val="000000" w:themeColor="text1"/>
          <w:sz w:val="24"/>
          <w:szCs w:val="24"/>
        </w:rPr>
        <w:t xml:space="preserve">de </w:t>
      </w:r>
      <w:r w:rsidR="00C450CB" w:rsidRPr="00087BEC">
        <w:rPr>
          <w:color w:val="000000" w:themeColor="text1"/>
          <w:sz w:val="24"/>
          <w:szCs w:val="24"/>
        </w:rPr>
        <w:t>dos mil veintiuno</w:t>
      </w:r>
      <w:r w:rsidRPr="00087BEC">
        <w:rPr>
          <w:color w:val="000000" w:themeColor="text1"/>
          <w:sz w:val="24"/>
          <w:szCs w:val="24"/>
        </w:rPr>
        <w:t>.</w:t>
      </w:r>
    </w:p>
    <w:p w14:paraId="020B0E37" w14:textId="724763F4" w:rsidR="00CC397F" w:rsidRPr="00087BEC" w:rsidRDefault="00CC397F" w:rsidP="00CC397F">
      <w:pPr>
        <w:spacing w:after="240" w:line="360" w:lineRule="auto"/>
        <w:jc w:val="center"/>
        <w:rPr>
          <w:rFonts w:ascii="Arial" w:hAnsi="Arial" w:cs="Arial"/>
          <w:b/>
          <w:sz w:val="28"/>
          <w:szCs w:val="28"/>
        </w:rPr>
      </w:pPr>
      <w:bookmarkStart w:id="1" w:name="_Hlk47612549"/>
      <w:r w:rsidRPr="00087BEC">
        <w:rPr>
          <w:rFonts w:ascii="Arial" w:hAnsi="Arial" w:cs="Arial"/>
          <w:b/>
          <w:sz w:val="28"/>
          <w:szCs w:val="28"/>
        </w:rPr>
        <w:t>A C U E R D O</w:t>
      </w:r>
    </w:p>
    <w:p w14:paraId="336A21C5" w14:textId="11F39815" w:rsidR="00F242C6" w:rsidRPr="00D5790A" w:rsidRDefault="00D5790A" w:rsidP="00D5790A">
      <w:pPr>
        <w:pStyle w:val="TtuloTDC"/>
        <w:spacing w:before="0" w:line="360" w:lineRule="auto"/>
        <w:jc w:val="both"/>
        <w:rPr>
          <w:rFonts w:ascii="Arial" w:eastAsia="Times New Roman" w:hAnsi="Arial" w:cs="Arial"/>
          <w:color w:val="000000" w:themeColor="text1"/>
          <w:sz w:val="24"/>
          <w:szCs w:val="24"/>
          <w:lang w:val="es-ES" w:eastAsia="es-ES"/>
        </w:rPr>
      </w:pPr>
      <w:r w:rsidRPr="00087BEC">
        <w:rPr>
          <w:rFonts w:ascii="Arial" w:eastAsia="Times New Roman" w:hAnsi="Arial" w:cs="Arial"/>
          <w:color w:val="000000" w:themeColor="text1"/>
          <w:sz w:val="24"/>
          <w:szCs w:val="24"/>
          <w:lang w:val="es-ES" w:eastAsia="es-ES"/>
        </w:rPr>
        <w:t xml:space="preserve">La Sala Superior del Tribunal Electoral del Poder Judicial de la Federación emite un acuerdo que determina la competencia en favor de la Sala Regional Monterrey para conocer el juicio </w:t>
      </w:r>
      <w:r w:rsidR="000F52CB" w:rsidRPr="00087BEC">
        <w:rPr>
          <w:rFonts w:ascii="Arial" w:eastAsia="Times New Roman" w:hAnsi="Arial" w:cs="Arial"/>
          <w:color w:val="000000" w:themeColor="text1"/>
          <w:sz w:val="24"/>
          <w:szCs w:val="24"/>
          <w:lang w:val="es-ES" w:eastAsia="es-ES"/>
        </w:rPr>
        <w:t xml:space="preserve">ciudadano </w:t>
      </w:r>
      <w:r w:rsidRPr="00087BEC">
        <w:rPr>
          <w:rFonts w:ascii="Arial" w:eastAsia="Times New Roman" w:hAnsi="Arial" w:cs="Arial"/>
          <w:color w:val="000000" w:themeColor="text1"/>
          <w:sz w:val="24"/>
          <w:szCs w:val="24"/>
          <w:lang w:val="es-ES" w:eastAsia="es-ES"/>
        </w:rPr>
        <w:t>promovido</w:t>
      </w:r>
      <w:r w:rsidRPr="00D5790A">
        <w:rPr>
          <w:rFonts w:ascii="Arial" w:eastAsia="Times New Roman" w:hAnsi="Arial" w:cs="Arial"/>
          <w:color w:val="000000" w:themeColor="text1"/>
          <w:sz w:val="24"/>
          <w:szCs w:val="24"/>
          <w:lang w:val="es-ES" w:eastAsia="es-ES"/>
        </w:rPr>
        <w:t xml:space="preserve"> por Antares Guadalupe Vázquez Alatorre, a fin de controvertir la sentencia emitida por el Tribunal Electoral del Estado de Guanajuato de número TEEF-PES-004/2020.</w:t>
      </w:r>
    </w:p>
    <w:p w14:paraId="40BCDF1E" w14:textId="77777777" w:rsidR="00CC397F" w:rsidRDefault="00CC397F" w:rsidP="00385F24">
      <w:pPr>
        <w:pStyle w:val="TtuloTDC"/>
        <w:spacing w:before="0" w:line="240" w:lineRule="auto"/>
        <w:jc w:val="center"/>
        <w:rPr>
          <w:rFonts w:ascii="Arial Nova" w:eastAsia="Times New Roman" w:hAnsi="Arial Nova" w:cs="Arial"/>
          <w:b/>
          <w:color w:val="auto"/>
          <w:sz w:val="24"/>
          <w:szCs w:val="24"/>
          <w:lang w:val="es-ES" w:eastAsia="es-ES"/>
        </w:rPr>
      </w:pPr>
    </w:p>
    <w:sdt>
      <w:sdtPr>
        <w:rPr>
          <w:rFonts w:ascii="Arial Nova" w:eastAsia="Times New Roman" w:hAnsi="Arial Nova" w:cs="Arial"/>
          <w:b/>
          <w:color w:val="auto"/>
          <w:sz w:val="24"/>
          <w:szCs w:val="24"/>
          <w:lang w:val="es-ES" w:eastAsia="es-ES"/>
        </w:rPr>
        <w:id w:val="18678280"/>
        <w:docPartObj>
          <w:docPartGallery w:val="Table of Contents"/>
          <w:docPartUnique/>
        </w:docPartObj>
      </w:sdtPr>
      <w:sdtEndPr>
        <w:rPr>
          <w:rFonts w:ascii="Arial" w:hAnsi="Arial"/>
          <w:b w:val="0"/>
          <w:bCs/>
        </w:rPr>
      </w:sdtEndPr>
      <w:sdtContent>
        <w:p w14:paraId="2B14AEFC" w14:textId="67E706B0" w:rsidR="00385F24" w:rsidRPr="00667E9F" w:rsidRDefault="008D4693" w:rsidP="00385F24">
          <w:pPr>
            <w:pStyle w:val="TtuloTDC"/>
            <w:spacing w:before="0" w:line="240" w:lineRule="auto"/>
            <w:jc w:val="center"/>
            <w:rPr>
              <w:rFonts w:ascii="Arial Nova" w:hAnsi="Arial Nova" w:cs="Arial"/>
              <w:color w:val="auto"/>
              <w:sz w:val="24"/>
              <w:szCs w:val="24"/>
              <w:lang w:val="es-ES"/>
            </w:rPr>
          </w:pPr>
          <w:r w:rsidRPr="00763C28">
            <w:rPr>
              <w:rFonts w:ascii="Arial" w:hAnsi="Arial" w:cs="Arial"/>
              <w:b/>
              <w:bCs/>
              <w:color w:val="auto"/>
              <w:sz w:val="22"/>
              <w:szCs w:val="22"/>
              <w:lang w:val="es-ES"/>
            </w:rPr>
            <w:t>ÍNDICE</w:t>
          </w:r>
        </w:p>
        <w:p w14:paraId="1AA04FF2" w14:textId="77777777" w:rsidR="00385F24" w:rsidRPr="00886D33" w:rsidRDefault="00385F24" w:rsidP="00385F24">
          <w:pPr>
            <w:rPr>
              <w:rFonts w:ascii="Arial" w:hAnsi="Arial" w:cs="Arial"/>
              <w:sz w:val="22"/>
              <w:szCs w:val="22"/>
              <w:lang w:eastAsia="es-MX"/>
            </w:rPr>
          </w:pPr>
        </w:p>
        <w:p w14:paraId="5CFCDB7F" w14:textId="2E7BABE3" w:rsidR="008D4693" w:rsidRPr="00763C28" w:rsidRDefault="00385F24" w:rsidP="008D4693">
          <w:pPr>
            <w:pStyle w:val="TDC1"/>
            <w:rPr>
              <w:rFonts w:ascii="Arial" w:eastAsiaTheme="minorEastAsia" w:hAnsi="Arial" w:cs="Arial"/>
              <w:noProof/>
              <w:sz w:val="22"/>
              <w:szCs w:val="22"/>
              <w:lang w:val="es-MX" w:eastAsia="es-MX"/>
            </w:rPr>
          </w:pPr>
          <w:r w:rsidRPr="00886D33">
            <w:rPr>
              <w:rFonts w:ascii="Arial" w:hAnsi="Arial" w:cs="Arial"/>
              <w:sz w:val="22"/>
              <w:szCs w:val="22"/>
            </w:rPr>
            <w:fldChar w:fldCharType="begin"/>
          </w:r>
          <w:r w:rsidRPr="00886D33">
            <w:rPr>
              <w:rFonts w:ascii="Arial" w:hAnsi="Arial" w:cs="Arial"/>
              <w:sz w:val="22"/>
              <w:szCs w:val="22"/>
            </w:rPr>
            <w:instrText xml:space="preserve"> TOC \o "1-3" \h \z \u </w:instrText>
          </w:r>
          <w:r w:rsidRPr="00886D33">
            <w:rPr>
              <w:rFonts w:ascii="Arial" w:hAnsi="Arial" w:cs="Arial"/>
              <w:sz w:val="22"/>
              <w:szCs w:val="22"/>
            </w:rPr>
            <w:fldChar w:fldCharType="separate"/>
          </w:r>
          <w:hyperlink w:anchor="_Toc61446189" w:history="1">
            <w:r w:rsidR="008D4693" w:rsidRPr="00763C28">
              <w:rPr>
                <w:rStyle w:val="Hipervnculo"/>
                <w:rFonts w:ascii="Arial" w:hAnsi="Arial" w:cs="Arial"/>
                <w:noProof/>
              </w:rPr>
              <w:t>A N T E C E D E N T E S</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_Toc61446189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2</w:t>
            </w:r>
            <w:r w:rsidR="008D4693" w:rsidRPr="00763C28">
              <w:rPr>
                <w:rFonts w:ascii="Arial" w:hAnsi="Arial" w:cs="Arial"/>
                <w:noProof/>
                <w:webHidden/>
              </w:rPr>
              <w:fldChar w:fldCharType="end"/>
            </w:r>
          </w:hyperlink>
        </w:p>
        <w:p w14:paraId="6B7D6D3A" w14:textId="4E970B99" w:rsidR="008D4693" w:rsidRPr="00763C28" w:rsidRDefault="00765CE2" w:rsidP="008D4693">
          <w:pPr>
            <w:pStyle w:val="TDC1"/>
            <w:rPr>
              <w:rFonts w:ascii="Arial" w:eastAsiaTheme="minorEastAsia" w:hAnsi="Arial" w:cs="Arial"/>
              <w:noProof/>
              <w:sz w:val="22"/>
              <w:szCs w:val="22"/>
              <w:lang w:val="es-MX" w:eastAsia="es-MX"/>
            </w:rPr>
          </w:pPr>
          <w:hyperlink w:anchor="_Toc61446190" w:history="1">
            <w:r w:rsidR="008D4693" w:rsidRPr="00763C28">
              <w:rPr>
                <w:rStyle w:val="Hipervnculo"/>
                <w:rFonts w:ascii="Arial" w:hAnsi="Arial" w:cs="Arial"/>
                <w:noProof/>
              </w:rPr>
              <w:t>CONSIDERACIONES Y FUNDAMENTOS JURÍDICOS</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_Toc61446190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3</w:t>
            </w:r>
            <w:r w:rsidR="008D4693" w:rsidRPr="00763C28">
              <w:rPr>
                <w:rFonts w:ascii="Arial" w:hAnsi="Arial" w:cs="Arial"/>
                <w:noProof/>
                <w:webHidden/>
              </w:rPr>
              <w:fldChar w:fldCharType="end"/>
            </w:r>
          </w:hyperlink>
        </w:p>
        <w:p w14:paraId="45D43EF5" w14:textId="33B32B07" w:rsidR="008D4693" w:rsidRPr="00763C28" w:rsidRDefault="00765CE2" w:rsidP="008D4693">
          <w:pPr>
            <w:pStyle w:val="TDC2"/>
            <w:rPr>
              <w:rFonts w:ascii="Arial" w:eastAsiaTheme="minorEastAsia" w:hAnsi="Arial" w:cs="Arial"/>
              <w:noProof/>
              <w:sz w:val="22"/>
              <w:szCs w:val="22"/>
              <w:lang w:val="es-MX" w:eastAsia="es-MX"/>
            </w:rPr>
          </w:pPr>
          <w:hyperlink w:anchor="_Toc61446191" w:history="1">
            <w:r w:rsidR="008D4693" w:rsidRPr="00763C28">
              <w:rPr>
                <w:rStyle w:val="Hipervnculo"/>
                <w:rFonts w:ascii="Arial" w:hAnsi="Arial" w:cs="Arial"/>
                <w:noProof/>
              </w:rPr>
              <w:t>1. Actuación colegiada</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_Toc61446191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3</w:t>
            </w:r>
            <w:r w:rsidR="008D4693" w:rsidRPr="00763C28">
              <w:rPr>
                <w:rFonts w:ascii="Arial" w:hAnsi="Arial" w:cs="Arial"/>
                <w:noProof/>
                <w:webHidden/>
              </w:rPr>
              <w:fldChar w:fldCharType="end"/>
            </w:r>
          </w:hyperlink>
        </w:p>
        <w:p w14:paraId="7A8024A0" w14:textId="715EE1CA" w:rsidR="008D4693" w:rsidRPr="00763C28" w:rsidRDefault="00765CE2" w:rsidP="008D4693">
          <w:pPr>
            <w:pStyle w:val="TDC1"/>
            <w:rPr>
              <w:rFonts w:ascii="Arial" w:eastAsiaTheme="minorEastAsia" w:hAnsi="Arial" w:cs="Arial"/>
              <w:noProof/>
              <w:sz w:val="22"/>
              <w:szCs w:val="22"/>
              <w:lang w:val="es-MX" w:eastAsia="es-MX"/>
            </w:rPr>
          </w:pPr>
          <w:hyperlink w:anchor="_Toc61446192" w:history="1">
            <w:r w:rsidR="008D4693" w:rsidRPr="00763C28">
              <w:rPr>
                <w:rStyle w:val="Hipervnculo"/>
                <w:rFonts w:ascii="Arial" w:hAnsi="Arial" w:cs="Arial"/>
                <w:noProof/>
              </w:rPr>
              <w:t>2. Determinación de competencia</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_Toc61446192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4</w:t>
            </w:r>
            <w:r w:rsidR="008D4693" w:rsidRPr="00763C28">
              <w:rPr>
                <w:rFonts w:ascii="Arial" w:hAnsi="Arial" w:cs="Arial"/>
                <w:noProof/>
                <w:webHidden/>
              </w:rPr>
              <w:fldChar w:fldCharType="end"/>
            </w:r>
          </w:hyperlink>
        </w:p>
        <w:p w14:paraId="210A1659" w14:textId="54088DFF" w:rsidR="008D4693" w:rsidRPr="00763C28" w:rsidRDefault="00765CE2" w:rsidP="008D4693">
          <w:pPr>
            <w:pStyle w:val="TDC2"/>
            <w:rPr>
              <w:rFonts w:ascii="Arial" w:eastAsiaTheme="minorEastAsia" w:hAnsi="Arial" w:cs="Arial"/>
              <w:noProof/>
              <w:sz w:val="22"/>
              <w:szCs w:val="22"/>
              <w:lang w:val="es-MX" w:eastAsia="es-MX"/>
            </w:rPr>
          </w:pPr>
          <w:hyperlink w:anchor="_Toc61446193" w:history="1">
            <w:r w:rsidR="008D4693" w:rsidRPr="00763C28">
              <w:rPr>
                <w:rStyle w:val="Hipervnculo"/>
                <w:rFonts w:ascii="Arial" w:hAnsi="Arial" w:cs="Arial"/>
                <w:noProof/>
              </w:rPr>
              <w:t>3. Consideraciones de la Sala Superior</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_Toc61446193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4</w:t>
            </w:r>
            <w:r w:rsidR="008D4693" w:rsidRPr="00763C28">
              <w:rPr>
                <w:rFonts w:ascii="Arial" w:hAnsi="Arial" w:cs="Arial"/>
                <w:noProof/>
                <w:webHidden/>
              </w:rPr>
              <w:fldChar w:fldCharType="end"/>
            </w:r>
          </w:hyperlink>
        </w:p>
        <w:p w14:paraId="1B081081" w14:textId="12651642" w:rsidR="008D4693" w:rsidRPr="00763C28" w:rsidRDefault="00765CE2" w:rsidP="008D4693">
          <w:pPr>
            <w:pStyle w:val="TDC1"/>
            <w:rPr>
              <w:rFonts w:ascii="Arial" w:eastAsiaTheme="minorEastAsia" w:hAnsi="Arial" w:cs="Arial"/>
              <w:noProof/>
              <w:sz w:val="22"/>
              <w:szCs w:val="22"/>
              <w:lang w:val="es-MX" w:eastAsia="es-MX"/>
            </w:rPr>
          </w:pPr>
          <w:hyperlink w:anchor="_Toc61446194" w:history="1">
            <w:r w:rsidR="008D4693" w:rsidRPr="00763C28">
              <w:rPr>
                <w:rStyle w:val="Hipervnculo"/>
                <w:rFonts w:ascii="Arial" w:hAnsi="Arial" w:cs="Arial"/>
                <w:noProof/>
                <w:lang w:val="es-MX"/>
              </w:rPr>
              <w:t>A C U E R D A</w:t>
            </w:r>
            <w:r w:rsidR="008D4693" w:rsidRPr="00763C28">
              <w:rPr>
                <w:rFonts w:ascii="Arial" w:hAnsi="Arial" w:cs="Arial"/>
                <w:noProof/>
                <w:webHidden/>
              </w:rPr>
              <w:tab/>
            </w:r>
            <w:r w:rsidR="008D4693" w:rsidRPr="00763C28">
              <w:rPr>
                <w:rFonts w:ascii="Arial" w:hAnsi="Arial" w:cs="Arial"/>
                <w:noProof/>
                <w:webHidden/>
              </w:rPr>
              <w:fldChar w:fldCharType="begin"/>
            </w:r>
            <w:r w:rsidR="008D4693" w:rsidRPr="00763C28">
              <w:rPr>
                <w:rFonts w:ascii="Arial" w:hAnsi="Arial" w:cs="Arial"/>
                <w:noProof/>
                <w:webHidden/>
              </w:rPr>
              <w:instrText xml:space="preserve"> PAGEREF _Toc61446194 \h </w:instrText>
            </w:r>
            <w:r w:rsidR="008D4693" w:rsidRPr="00763C28">
              <w:rPr>
                <w:rFonts w:ascii="Arial" w:hAnsi="Arial" w:cs="Arial"/>
                <w:noProof/>
                <w:webHidden/>
              </w:rPr>
            </w:r>
            <w:r w:rsidR="008D4693" w:rsidRPr="00763C28">
              <w:rPr>
                <w:rFonts w:ascii="Arial" w:hAnsi="Arial" w:cs="Arial"/>
                <w:noProof/>
                <w:webHidden/>
              </w:rPr>
              <w:fldChar w:fldCharType="separate"/>
            </w:r>
            <w:r w:rsidR="00763C28">
              <w:rPr>
                <w:rFonts w:ascii="Arial" w:hAnsi="Arial" w:cs="Arial"/>
                <w:noProof/>
                <w:webHidden/>
              </w:rPr>
              <w:t>10</w:t>
            </w:r>
            <w:r w:rsidR="008D4693" w:rsidRPr="00763C28">
              <w:rPr>
                <w:rFonts w:ascii="Arial" w:hAnsi="Arial" w:cs="Arial"/>
                <w:noProof/>
                <w:webHidden/>
              </w:rPr>
              <w:fldChar w:fldCharType="end"/>
            </w:r>
          </w:hyperlink>
        </w:p>
        <w:p w14:paraId="72E16E27" w14:textId="1F6DD2DF" w:rsidR="00385F24" w:rsidRPr="00667E9F" w:rsidRDefault="00385F24" w:rsidP="00385F24">
          <w:pPr>
            <w:rPr>
              <w:rFonts w:ascii="Arial" w:hAnsi="Arial" w:cs="Arial"/>
            </w:rPr>
          </w:pPr>
          <w:r w:rsidRPr="00886D33">
            <w:rPr>
              <w:rFonts w:ascii="Arial" w:hAnsi="Arial" w:cs="Arial"/>
              <w:sz w:val="22"/>
              <w:szCs w:val="22"/>
            </w:rPr>
            <w:fldChar w:fldCharType="end"/>
          </w:r>
        </w:p>
      </w:sdtContent>
    </w:sdt>
    <w:p w14:paraId="4D4BC262" w14:textId="7CFC6B9A" w:rsidR="00385F24" w:rsidRPr="00667E9F" w:rsidRDefault="00385F24" w:rsidP="00385F24">
      <w:pPr>
        <w:pStyle w:val="Cuerpo"/>
        <w:spacing w:before="240" w:after="240" w:line="360" w:lineRule="auto"/>
        <w:jc w:val="center"/>
        <w:rPr>
          <w:rFonts w:ascii="Arial Nova" w:hAnsi="Arial Nova" w:cs="Arial"/>
          <w:b/>
          <w:bCs/>
        </w:rPr>
      </w:pPr>
      <w:bookmarkStart w:id="2" w:name="_Toc47542413"/>
      <w:bookmarkStart w:id="3" w:name="_Toc47597063"/>
      <w:bookmarkStart w:id="4" w:name="_Toc47599507"/>
      <w:bookmarkStart w:id="5" w:name="_Toc48144127"/>
      <w:r w:rsidRPr="00763C28">
        <w:rPr>
          <w:rFonts w:ascii="Arial" w:hAnsi="Arial" w:cs="Arial"/>
          <w:b/>
          <w:bCs/>
          <w:sz w:val="22"/>
          <w:szCs w:val="22"/>
        </w:rPr>
        <w:t>GLOSARIO</w:t>
      </w:r>
      <w:bookmarkEnd w:id="2"/>
      <w:bookmarkEnd w:id="3"/>
      <w:bookmarkEnd w:id="4"/>
      <w:bookmarkEnd w:id="5"/>
    </w:p>
    <w:tbl>
      <w:tblPr>
        <w:tblStyle w:val="Tablaconcuadrcula4"/>
        <w:tblW w:w="7771" w:type="dxa"/>
        <w:tblInd w:w="0" w:type="dxa"/>
        <w:tblLook w:val="04A0" w:firstRow="1" w:lastRow="0" w:firstColumn="1" w:lastColumn="0" w:noHBand="0" w:noVBand="1"/>
      </w:tblPr>
      <w:tblGrid>
        <w:gridCol w:w="2830"/>
        <w:gridCol w:w="4941"/>
      </w:tblGrid>
      <w:tr w:rsidR="00385F24" w:rsidRPr="00667E9F" w14:paraId="7CC3C50D"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6E6CF8F3" w14:textId="77777777" w:rsidR="00385F24" w:rsidRPr="00667E9F" w:rsidRDefault="00385F24" w:rsidP="00590298">
            <w:pPr>
              <w:tabs>
                <w:tab w:val="left" w:pos="5529"/>
              </w:tabs>
              <w:jc w:val="center"/>
              <w:rPr>
                <w:rFonts w:ascii="Arial" w:hAnsi="Arial" w:cs="Arial"/>
                <w:sz w:val="20"/>
                <w:szCs w:val="20"/>
                <w:lang w:val="es-MX" w:eastAsia="es-MX"/>
              </w:rPr>
            </w:pPr>
            <w:bookmarkStart w:id="6" w:name="_Hlk59548747"/>
            <w:r w:rsidRPr="00667E9F">
              <w:rPr>
                <w:rFonts w:ascii="Arial" w:hAnsi="Arial" w:cs="Arial"/>
                <w:sz w:val="20"/>
                <w:szCs w:val="20"/>
                <w:lang w:val="es-MX" w:eastAsia="es-MX"/>
              </w:rPr>
              <w:t>Constitución General</w:t>
            </w:r>
          </w:p>
        </w:tc>
        <w:tc>
          <w:tcPr>
            <w:tcW w:w="4941" w:type="dxa"/>
            <w:tcBorders>
              <w:top w:val="single" w:sz="4" w:space="0" w:color="000000"/>
              <w:left w:val="single" w:sz="4" w:space="0" w:color="000000"/>
              <w:bottom w:val="single" w:sz="4" w:space="0" w:color="000000"/>
              <w:right w:val="single" w:sz="4" w:space="0" w:color="000000"/>
            </w:tcBorders>
            <w:vAlign w:val="center"/>
            <w:hideMark/>
          </w:tcPr>
          <w:p w14:paraId="659769D4"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Constitución Política de los Estados Unidos Mexicanos</w:t>
            </w:r>
          </w:p>
        </w:tc>
      </w:tr>
      <w:tr w:rsidR="00385F24" w:rsidRPr="00667E9F" w14:paraId="1D4EE9F1"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7D6B7828"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INE</w:t>
            </w:r>
          </w:p>
        </w:tc>
        <w:tc>
          <w:tcPr>
            <w:tcW w:w="4941" w:type="dxa"/>
            <w:tcBorders>
              <w:top w:val="single" w:sz="4" w:space="0" w:color="000000"/>
              <w:left w:val="single" w:sz="4" w:space="0" w:color="000000"/>
              <w:bottom w:val="single" w:sz="4" w:space="0" w:color="000000"/>
              <w:right w:val="single" w:sz="4" w:space="0" w:color="000000"/>
            </w:tcBorders>
            <w:vAlign w:val="center"/>
            <w:hideMark/>
          </w:tcPr>
          <w:p w14:paraId="1EEDA13A"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Instituto Nacional Electoral</w:t>
            </w:r>
          </w:p>
        </w:tc>
      </w:tr>
      <w:tr w:rsidR="00385F24" w:rsidRPr="00667E9F" w14:paraId="70B41A1E"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77717B0B"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lastRenderedPageBreak/>
              <w:t>Ley de Medios</w:t>
            </w:r>
          </w:p>
        </w:tc>
        <w:tc>
          <w:tcPr>
            <w:tcW w:w="4941" w:type="dxa"/>
            <w:tcBorders>
              <w:top w:val="single" w:sz="4" w:space="0" w:color="000000"/>
              <w:left w:val="single" w:sz="4" w:space="0" w:color="000000"/>
              <w:bottom w:val="single" w:sz="4" w:space="0" w:color="000000"/>
              <w:right w:val="single" w:sz="4" w:space="0" w:color="000000"/>
            </w:tcBorders>
            <w:vAlign w:val="center"/>
            <w:hideMark/>
          </w:tcPr>
          <w:p w14:paraId="578A538D"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Ley General del Sistema de Medios de Impugnación en Materia Electoral</w:t>
            </w:r>
          </w:p>
        </w:tc>
      </w:tr>
      <w:tr w:rsidR="00385F24" w:rsidRPr="00667E9F" w14:paraId="39E5306C"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485ADF31"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Ley Orgánica</w:t>
            </w:r>
          </w:p>
        </w:tc>
        <w:tc>
          <w:tcPr>
            <w:tcW w:w="4941" w:type="dxa"/>
            <w:tcBorders>
              <w:top w:val="single" w:sz="4" w:space="0" w:color="000000"/>
              <w:left w:val="single" w:sz="4" w:space="0" w:color="000000"/>
              <w:bottom w:val="single" w:sz="4" w:space="0" w:color="000000"/>
              <w:right w:val="single" w:sz="4" w:space="0" w:color="000000"/>
            </w:tcBorders>
            <w:vAlign w:val="center"/>
            <w:hideMark/>
          </w:tcPr>
          <w:p w14:paraId="61314306" w14:textId="77777777" w:rsidR="00385F24" w:rsidRPr="00667E9F" w:rsidRDefault="00385F24" w:rsidP="00590298">
            <w:pPr>
              <w:tabs>
                <w:tab w:val="left" w:pos="5529"/>
              </w:tabs>
              <w:jc w:val="center"/>
              <w:rPr>
                <w:rFonts w:ascii="Arial" w:hAnsi="Arial" w:cs="Arial"/>
                <w:sz w:val="20"/>
                <w:szCs w:val="20"/>
                <w:lang w:val="es-MX" w:eastAsia="es-MX"/>
              </w:rPr>
            </w:pPr>
            <w:r w:rsidRPr="00667E9F">
              <w:rPr>
                <w:rFonts w:ascii="Arial" w:hAnsi="Arial" w:cs="Arial"/>
                <w:sz w:val="20"/>
                <w:szCs w:val="20"/>
                <w:lang w:val="es-MX" w:eastAsia="es-MX"/>
              </w:rPr>
              <w:t>Ley Orgánica del Poder Judicial de la Federación</w:t>
            </w:r>
          </w:p>
        </w:tc>
      </w:tr>
      <w:tr w:rsidR="00385F24" w:rsidRPr="00667E9F" w14:paraId="63F9CC18"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tcPr>
          <w:p w14:paraId="32BC4EDF" w14:textId="77777777" w:rsidR="00385F24" w:rsidRPr="00667E9F" w:rsidRDefault="00385F24" w:rsidP="00590298">
            <w:pPr>
              <w:tabs>
                <w:tab w:val="left" w:pos="5529"/>
              </w:tabs>
              <w:jc w:val="center"/>
              <w:rPr>
                <w:rFonts w:ascii="Arial" w:hAnsi="Arial" w:cs="Arial"/>
                <w:sz w:val="20"/>
                <w:szCs w:val="20"/>
              </w:rPr>
            </w:pPr>
            <w:r w:rsidRPr="00667E9F">
              <w:rPr>
                <w:rFonts w:ascii="Arial" w:hAnsi="Arial" w:cs="Arial"/>
                <w:sz w:val="20"/>
                <w:szCs w:val="20"/>
              </w:rPr>
              <w:t>Instituto local</w:t>
            </w:r>
          </w:p>
        </w:tc>
        <w:tc>
          <w:tcPr>
            <w:tcW w:w="4941" w:type="dxa"/>
            <w:tcBorders>
              <w:top w:val="single" w:sz="4" w:space="0" w:color="000000"/>
              <w:left w:val="single" w:sz="4" w:space="0" w:color="000000"/>
              <w:bottom w:val="single" w:sz="4" w:space="0" w:color="000000"/>
              <w:right w:val="single" w:sz="4" w:space="0" w:color="000000"/>
            </w:tcBorders>
            <w:vAlign w:val="center"/>
          </w:tcPr>
          <w:p w14:paraId="7D2A89EA" w14:textId="77777777" w:rsidR="00385F24" w:rsidRPr="00667E9F" w:rsidRDefault="00385F24" w:rsidP="00590298">
            <w:pPr>
              <w:tabs>
                <w:tab w:val="left" w:pos="5529"/>
              </w:tabs>
              <w:jc w:val="center"/>
              <w:rPr>
                <w:rFonts w:ascii="Arial" w:hAnsi="Arial" w:cs="Arial"/>
                <w:sz w:val="20"/>
                <w:szCs w:val="20"/>
              </w:rPr>
            </w:pPr>
            <w:r w:rsidRPr="00667E9F">
              <w:rPr>
                <w:rFonts w:ascii="Arial" w:hAnsi="Arial" w:cs="Arial"/>
                <w:sz w:val="20"/>
                <w:szCs w:val="20"/>
              </w:rPr>
              <w:t>Instituto Estatal Electoral y de Participación Ciudadana del Estado de Sonora</w:t>
            </w:r>
          </w:p>
        </w:tc>
      </w:tr>
      <w:tr w:rsidR="00385F24" w:rsidRPr="00667E9F" w14:paraId="52AC4F48" w14:textId="77777777" w:rsidTr="00487CA7">
        <w:trPr>
          <w:trHeight w:val="113"/>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011798C1" w14:textId="77777777" w:rsidR="00385F24" w:rsidRPr="00667E9F" w:rsidRDefault="00385F24" w:rsidP="00590298">
            <w:pPr>
              <w:jc w:val="center"/>
              <w:rPr>
                <w:rFonts w:ascii="Arial" w:hAnsi="Arial" w:cs="Arial"/>
                <w:sz w:val="20"/>
                <w:szCs w:val="20"/>
                <w:lang w:val="es-MX" w:eastAsia="es-MX"/>
              </w:rPr>
            </w:pPr>
            <w:r w:rsidRPr="00667E9F">
              <w:rPr>
                <w:rFonts w:ascii="Arial" w:hAnsi="Arial" w:cs="Arial"/>
                <w:sz w:val="20"/>
                <w:szCs w:val="20"/>
                <w:lang w:val="es-MX" w:eastAsia="es-MX"/>
              </w:rPr>
              <w:t>Sala Superior</w:t>
            </w:r>
          </w:p>
        </w:tc>
        <w:tc>
          <w:tcPr>
            <w:tcW w:w="4941" w:type="dxa"/>
            <w:tcBorders>
              <w:top w:val="single" w:sz="4" w:space="0" w:color="000000"/>
              <w:left w:val="single" w:sz="4" w:space="0" w:color="000000"/>
              <w:bottom w:val="single" w:sz="4" w:space="0" w:color="000000"/>
              <w:right w:val="single" w:sz="4" w:space="0" w:color="000000"/>
            </w:tcBorders>
            <w:vAlign w:val="center"/>
            <w:hideMark/>
          </w:tcPr>
          <w:p w14:paraId="014BC409" w14:textId="77777777" w:rsidR="00385F24" w:rsidRPr="00667E9F" w:rsidRDefault="00385F24" w:rsidP="00590298">
            <w:pPr>
              <w:jc w:val="center"/>
              <w:rPr>
                <w:rFonts w:ascii="Arial" w:hAnsi="Arial" w:cs="Arial"/>
                <w:sz w:val="20"/>
                <w:szCs w:val="20"/>
                <w:lang w:val="es-MX" w:eastAsia="es-MX"/>
              </w:rPr>
            </w:pPr>
            <w:r w:rsidRPr="00667E9F">
              <w:rPr>
                <w:rFonts w:ascii="Arial" w:hAnsi="Arial" w:cs="Arial"/>
                <w:sz w:val="20"/>
                <w:szCs w:val="20"/>
                <w:lang w:val="es-MX" w:eastAsia="es-MX"/>
              </w:rPr>
              <w:t>Sala Superior del Tribunal Electoral del Poder Judicial de la Federación</w:t>
            </w:r>
          </w:p>
        </w:tc>
      </w:tr>
      <w:bookmarkEnd w:id="1"/>
      <w:bookmarkEnd w:id="6"/>
      <w:tr w:rsidR="00487CA7" w:rsidRPr="00667E9F" w14:paraId="487F6CD9" w14:textId="77777777" w:rsidTr="00487CA7">
        <w:trPr>
          <w:trHeight w:val="113"/>
        </w:trPr>
        <w:tc>
          <w:tcPr>
            <w:tcW w:w="2830" w:type="dxa"/>
            <w:hideMark/>
          </w:tcPr>
          <w:p w14:paraId="0E15757B" w14:textId="28009F5E" w:rsidR="00487CA7" w:rsidRPr="00667E9F" w:rsidRDefault="00487CA7" w:rsidP="006C4554">
            <w:pPr>
              <w:jc w:val="center"/>
              <w:rPr>
                <w:rFonts w:ascii="Arial" w:hAnsi="Arial" w:cs="Arial"/>
                <w:sz w:val="20"/>
                <w:szCs w:val="20"/>
                <w:lang w:val="es-MX" w:eastAsia="es-MX"/>
              </w:rPr>
            </w:pPr>
            <w:r>
              <w:rPr>
                <w:rFonts w:ascii="Arial" w:hAnsi="Arial" w:cs="Arial"/>
                <w:sz w:val="20"/>
                <w:szCs w:val="20"/>
                <w:lang w:val="es-MX" w:eastAsia="es-MX"/>
              </w:rPr>
              <w:t xml:space="preserve">Tribunal local </w:t>
            </w:r>
          </w:p>
        </w:tc>
        <w:tc>
          <w:tcPr>
            <w:tcW w:w="4941" w:type="dxa"/>
            <w:hideMark/>
          </w:tcPr>
          <w:p w14:paraId="6848B61D" w14:textId="1C19394D" w:rsidR="00487CA7" w:rsidRPr="00487CA7" w:rsidRDefault="00487CA7" w:rsidP="006C4554">
            <w:pPr>
              <w:jc w:val="center"/>
              <w:rPr>
                <w:rFonts w:ascii="Arial" w:hAnsi="Arial" w:cs="Arial"/>
                <w:sz w:val="20"/>
                <w:szCs w:val="20"/>
                <w:lang w:val="es-MX" w:eastAsia="es-MX"/>
              </w:rPr>
            </w:pPr>
            <w:r w:rsidRPr="00487CA7">
              <w:rPr>
                <w:rFonts w:ascii="Arial" w:hAnsi="Arial" w:cs="Arial"/>
                <w:color w:val="000000" w:themeColor="text1"/>
                <w:sz w:val="20"/>
                <w:szCs w:val="20"/>
              </w:rPr>
              <w:t>Tribunal Estatal Electoral de Guanajuato</w:t>
            </w:r>
          </w:p>
        </w:tc>
      </w:tr>
    </w:tbl>
    <w:p w14:paraId="184BFE55" w14:textId="1E649BA8" w:rsidR="00374C4F" w:rsidRPr="001814A9" w:rsidRDefault="00374C4F" w:rsidP="00374C4F">
      <w:pPr>
        <w:pStyle w:val="Ttulo1"/>
        <w:suppressLineNumbers/>
        <w:spacing w:after="240" w:line="360" w:lineRule="auto"/>
        <w:jc w:val="center"/>
        <w:rPr>
          <w:rFonts w:ascii="Arial Nova" w:hAnsi="Arial Nova" w:cs="Arial"/>
          <w:b/>
          <w:color w:val="000000" w:themeColor="text1"/>
          <w:sz w:val="24"/>
          <w:szCs w:val="24"/>
        </w:rPr>
      </w:pPr>
      <w:bookmarkStart w:id="7" w:name="_Toc61446189"/>
      <w:r w:rsidRPr="001814A9">
        <w:rPr>
          <w:rFonts w:ascii="Arial Nova" w:hAnsi="Arial Nova" w:cs="Arial"/>
          <w:b/>
          <w:color w:val="000000" w:themeColor="text1"/>
          <w:sz w:val="24"/>
          <w:szCs w:val="24"/>
        </w:rPr>
        <w:t>A N T E C E D E N T E S</w:t>
      </w:r>
      <w:bookmarkEnd w:id="7"/>
    </w:p>
    <w:p w14:paraId="30CF7C16" w14:textId="5BEB0BDE" w:rsidR="001C3986" w:rsidRPr="001814A9" w:rsidRDefault="001C3986"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color w:val="000000" w:themeColor="text1"/>
        </w:rPr>
        <w:t xml:space="preserve">De la narración de hechos que expone </w:t>
      </w:r>
      <w:r w:rsidR="00F7463D" w:rsidRPr="001814A9">
        <w:rPr>
          <w:rFonts w:ascii="Arial" w:hAnsi="Arial" w:cs="Arial"/>
          <w:color w:val="000000" w:themeColor="text1"/>
        </w:rPr>
        <w:t xml:space="preserve">la </w:t>
      </w:r>
      <w:r w:rsidRPr="001814A9">
        <w:rPr>
          <w:rFonts w:ascii="Arial" w:hAnsi="Arial" w:cs="Arial"/>
          <w:color w:val="000000" w:themeColor="text1"/>
        </w:rPr>
        <w:t xml:space="preserve">recurrente en su escrito de demanda, así como de las constancias </w:t>
      </w:r>
      <w:r w:rsidR="00F7463D" w:rsidRPr="001814A9">
        <w:rPr>
          <w:rFonts w:ascii="Arial" w:hAnsi="Arial" w:cs="Arial"/>
          <w:color w:val="000000" w:themeColor="text1"/>
        </w:rPr>
        <w:t>d</w:t>
      </w:r>
      <w:r w:rsidRPr="001814A9">
        <w:rPr>
          <w:rFonts w:ascii="Arial" w:hAnsi="Arial" w:cs="Arial"/>
          <w:color w:val="000000" w:themeColor="text1"/>
        </w:rPr>
        <w:t>el expediente, se advierte lo siguiente:</w:t>
      </w:r>
    </w:p>
    <w:p w14:paraId="1C94588F" w14:textId="4058ADE5"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1</w:t>
      </w:r>
      <w:r w:rsidRPr="001814A9">
        <w:rPr>
          <w:rFonts w:ascii="Arial" w:hAnsi="Arial" w:cs="Arial"/>
          <w:color w:val="000000" w:themeColor="text1"/>
        </w:rPr>
        <w:t xml:space="preserve">. </w:t>
      </w:r>
      <w:r w:rsidRPr="001814A9">
        <w:rPr>
          <w:rFonts w:ascii="Arial" w:hAnsi="Arial" w:cs="Arial"/>
          <w:b/>
          <w:bCs/>
          <w:color w:val="000000" w:themeColor="text1"/>
        </w:rPr>
        <w:t>Denuncia</w:t>
      </w:r>
      <w:r w:rsidRPr="001814A9">
        <w:rPr>
          <w:rFonts w:ascii="Arial" w:hAnsi="Arial" w:cs="Arial"/>
          <w:color w:val="000000" w:themeColor="text1"/>
        </w:rPr>
        <w:t>. El nueve de junio de dos mil veinte, la actora denunció a Román Cifuentes Negrete, presidente del Comité Directivo Estatal en Guanajuato del Partido Acción Nacional, y a</w:t>
      </w:r>
      <w:r w:rsidR="00886D33" w:rsidRPr="001814A9">
        <w:rPr>
          <w:rFonts w:ascii="Arial" w:hAnsi="Arial" w:cs="Arial"/>
          <w:color w:val="000000" w:themeColor="text1"/>
        </w:rPr>
        <w:t xml:space="preserve"> dicho partido político</w:t>
      </w:r>
      <w:r w:rsidRPr="001814A9">
        <w:rPr>
          <w:rFonts w:ascii="Arial" w:hAnsi="Arial" w:cs="Arial"/>
          <w:color w:val="000000" w:themeColor="text1"/>
        </w:rPr>
        <w:t xml:space="preserve">, ante el Instituto Estatal Electoral por supuestos hechos constitutivos de violencia política de género en contra de la actora. </w:t>
      </w:r>
    </w:p>
    <w:p w14:paraId="26A62794" w14:textId="77777777"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color w:val="000000" w:themeColor="text1"/>
        </w:rPr>
        <w:t>La denuncia se radicó bajo el número de expediente 13/2020-PES-CG y una vez sustanciado el procedimiento se remitió a la responsable.</w:t>
      </w:r>
    </w:p>
    <w:p w14:paraId="45021A2D" w14:textId="240A7FFC"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2</w:t>
      </w:r>
      <w:r w:rsidRPr="001814A9">
        <w:rPr>
          <w:rFonts w:ascii="Arial" w:hAnsi="Arial" w:cs="Arial"/>
          <w:color w:val="000000" w:themeColor="text1"/>
        </w:rPr>
        <w:t xml:space="preserve">. </w:t>
      </w:r>
      <w:r w:rsidRPr="001814A9">
        <w:rPr>
          <w:rFonts w:ascii="Arial" w:hAnsi="Arial" w:cs="Arial"/>
          <w:b/>
          <w:bCs/>
          <w:color w:val="000000" w:themeColor="text1"/>
        </w:rPr>
        <w:t>Procedimiento especial sancionador.</w:t>
      </w:r>
      <w:r w:rsidRPr="001814A9">
        <w:rPr>
          <w:rFonts w:ascii="Arial" w:hAnsi="Arial" w:cs="Arial"/>
          <w:color w:val="000000" w:themeColor="text1"/>
        </w:rPr>
        <w:t xml:space="preserve"> El cinco de octubre de dos mil veinte, el Tribunal </w:t>
      </w:r>
      <w:r w:rsidR="00487CA7">
        <w:rPr>
          <w:rFonts w:ascii="Arial" w:hAnsi="Arial" w:cs="Arial"/>
          <w:color w:val="000000" w:themeColor="text1"/>
        </w:rPr>
        <w:t>local</w:t>
      </w:r>
      <w:r w:rsidRPr="001814A9">
        <w:rPr>
          <w:rFonts w:ascii="Arial" w:hAnsi="Arial" w:cs="Arial"/>
          <w:color w:val="000000" w:themeColor="text1"/>
        </w:rPr>
        <w:t xml:space="preserve"> radicó el expediente referido en el párrafo anterior bajo el número TEEG-PES-04/2020.</w:t>
      </w:r>
    </w:p>
    <w:p w14:paraId="79EE5860" w14:textId="5F4A7916"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3. Acto impugnado</w:t>
      </w:r>
      <w:r w:rsidRPr="001814A9">
        <w:rPr>
          <w:rFonts w:ascii="Arial" w:hAnsi="Arial" w:cs="Arial"/>
          <w:color w:val="000000" w:themeColor="text1"/>
        </w:rPr>
        <w:t xml:space="preserve">. El catorce de diciembre, el Tribunal </w:t>
      </w:r>
      <w:r w:rsidR="00487CA7">
        <w:rPr>
          <w:rFonts w:ascii="Arial" w:hAnsi="Arial" w:cs="Arial"/>
          <w:color w:val="000000" w:themeColor="text1"/>
        </w:rPr>
        <w:t>local</w:t>
      </w:r>
      <w:r w:rsidRPr="001814A9">
        <w:rPr>
          <w:rFonts w:ascii="Arial" w:hAnsi="Arial" w:cs="Arial"/>
          <w:color w:val="000000" w:themeColor="text1"/>
        </w:rPr>
        <w:t xml:space="preserve"> emitió sentencia en el expediente referido en el sentido de declarar la inexistencia de las infracciones a los actos denunciados por la actora.</w:t>
      </w:r>
    </w:p>
    <w:p w14:paraId="5FCA2045" w14:textId="314BE59F"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4.</w:t>
      </w:r>
      <w:r w:rsidRPr="001814A9">
        <w:rPr>
          <w:rFonts w:ascii="Arial" w:hAnsi="Arial" w:cs="Arial"/>
          <w:color w:val="000000" w:themeColor="text1"/>
        </w:rPr>
        <w:t xml:space="preserve"> </w:t>
      </w:r>
      <w:r w:rsidRPr="001814A9">
        <w:rPr>
          <w:rFonts w:ascii="Arial" w:hAnsi="Arial" w:cs="Arial"/>
          <w:b/>
          <w:bCs/>
          <w:color w:val="000000" w:themeColor="text1"/>
        </w:rPr>
        <w:t>Instancia federal</w:t>
      </w:r>
      <w:r w:rsidRPr="001814A9">
        <w:rPr>
          <w:rFonts w:ascii="Arial" w:hAnsi="Arial" w:cs="Arial"/>
          <w:color w:val="000000" w:themeColor="text1"/>
        </w:rPr>
        <w:t xml:space="preserve">. Inconforme con lo anterior, la hoy actora interpuso recurso de impugnación ante el Tribunal </w:t>
      </w:r>
      <w:r w:rsidR="00487CA7">
        <w:rPr>
          <w:rFonts w:ascii="Arial" w:hAnsi="Arial" w:cs="Arial"/>
          <w:color w:val="000000" w:themeColor="text1"/>
        </w:rPr>
        <w:t>local</w:t>
      </w:r>
      <w:r w:rsidRPr="001814A9">
        <w:rPr>
          <w:rFonts w:ascii="Arial" w:hAnsi="Arial" w:cs="Arial"/>
          <w:color w:val="000000" w:themeColor="text1"/>
        </w:rPr>
        <w:t xml:space="preserve">. Mismo que fue remitido a la Sala Regional Monterrey. </w:t>
      </w:r>
    </w:p>
    <w:p w14:paraId="1193CF09" w14:textId="5E52D9A1" w:rsidR="00130300"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5</w:t>
      </w:r>
      <w:r w:rsidRPr="001814A9">
        <w:rPr>
          <w:rFonts w:ascii="Arial" w:hAnsi="Arial" w:cs="Arial"/>
          <w:color w:val="000000" w:themeColor="text1"/>
        </w:rPr>
        <w:t xml:space="preserve">. </w:t>
      </w:r>
      <w:r w:rsidRPr="001814A9">
        <w:rPr>
          <w:rFonts w:ascii="Arial" w:hAnsi="Arial" w:cs="Arial"/>
          <w:b/>
          <w:bCs/>
          <w:color w:val="000000" w:themeColor="text1"/>
        </w:rPr>
        <w:t>Consulta competencial</w:t>
      </w:r>
      <w:r w:rsidRPr="001814A9">
        <w:rPr>
          <w:rFonts w:ascii="Arial" w:hAnsi="Arial" w:cs="Arial"/>
          <w:color w:val="000000" w:themeColor="text1"/>
        </w:rPr>
        <w:t xml:space="preserve">. El veintiocho de diciembre de </w:t>
      </w:r>
      <w:r w:rsidR="0066455F" w:rsidRPr="001814A9">
        <w:rPr>
          <w:rFonts w:ascii="Arial" w:hAnsi="Arial" w:cs="Arial"/>
          <w:color w:val="000000" w:themeColor="text1"/>
        </w:rPr>
        <w:t>dos mil veinte</w:t>
      </w:r>
      <w:r w:rsidRPr="001814A9">
        <w:rPr>
          <w:rFonts w:ascii="Arial" w:hAnsi="Arial" w:cs="Arial"/>
          <w:color w:val="000000" w:themeColor="text1"/>
        </w:rPr>
        <w:t>, el magistrado presidente de la Sala Regional Monterrey plante</w:t>
      </w:r>
      <w:r w:rsidR="0066455F" w:rsidRPr="001814A9">
        <w:rPr>
          <w:rFonts w:ascii="Arial" w:hAnsi="Arial" w:cs="Arial"/>
          <w:color w:val="000000" w:themeColor="text1"/>
        </w:rPr>
        <w:t>ó</w:t>
      </w:r>
      <w:r w:rsidRPr="001814A9">
        <w:rPr>
          <w:rFonts w:ascii="Arial" w:hAnsi="Arial" w:cs="Arial"/>
          <w:color w:val="000000" w:themeColor="text1"/>
        </w:rPr>
        <w:t xml:space="preserve"> </w:t>
      </w:r>
      <w:r w:rsidR="0066455F" w:rsidRPr="001814A9">
        <w:rPr>
          <w:rFonts w:ascii="Arial" w:hAnsi="Arial" w:cs="Arial"/>
          <w:color w:val="000000" w:themeColor="text1"/>
        </w:rPr>
        <w:t xml:space="preserve">consulta competencial </w:t>
      </w:r>
      <w:r w:rsidRPr="001814A9">
        <w:rPr>
          <w:rFonts w:ascii="Arial" w:hAnsi="Arial" w:cs="Arial"/>
          <w:color w:val="000000" w:themeColor="text1"/>
        </w:rPr>
        <w:t xml:space="preserve">a esta Sala Superior para efecto de determinar que órgano jurisdiccional es competente para pronunciarse sobre la </w:t>
      </w:r>
      <w:r w:rsidR="00042B64" w:rsidRPr="001814A9">
        <w:rPr>
          <w:rFonts w:ascii="Arial" w:hAnsi="Arial" w:cs="Arial"/>
          <w:color w:val="000000" w:themeColor="text1"/>
        </w:rPr>
        <w:t>controversia</w:t>
      </w:r>
      <w:r w:rsidRPr="001814A9">
        <w:rPr>
          <w:rFonts w:ascii="Arial" w:hAnsi="Arial" w:cs="Arial"/>
          <w:color w:val="000000" w:themeColor="text1"/>
        </w:rPr>
        <w:t>.</w:t>
      </w:r>
    </w:p>
    <w:p w14:paraId="63333CF5" w14:textId="551C4201" w:rsidR="00580321" w:rsidRPr="001814A9" w:rsidRDefault="00580321"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lastRenderedPageBreak/>
        <w:t>6</w:t>
      </w:r>
      <w:r w:rsidRPr="001814A9">
        <w:rPr>
          <w:rFonts w:ascii="Arial" w:hAnsi="Arial" w:cs="Arial"/>
          <w:color w:val="000000" w:themeColor="text1"/>
        </w:rPr>
        <w:t xml:space="preserve">. </w:t>
      </w:r>
      <w:r w:rsidRPr="001814A9">
        <w:rPr>
          <w:rFonts w:ascii="Arial" w:hAnsi="Arial" w:cs="Arial"/>
          <w:b/>
          <w:bCs/>
          <w:color w:val="000000" w:themeColor="text1"/>
        </w:rPr>
        <w:t>Integración del expediente y turno</w:t>
      </w:r>
      <w:r w:rsidRPr="001814A9">
        <w:rPr>
          <w:rFonts w:ascii="Arial" w:hAnsi="Arial" w:cs="Arial"/>
          <w:color w:val="000000" w:themeColor="text1"/>
        </w:rPr>
        <w:t xml:space="preserve">. El </w:t>
      </w:r>
      <w:r w:rsidR="0066455F" w:rsidRPr="001814A9">
        <w:rPr>
          <w:rFonts w:ascii="Arial" w:hAnsi="Arial" w:cs="Arial"/>
          <w:color w:val="000000" w:themeColor="text1"/>
        </w:rPr>
        <w:t>treinta y uno</w:t>
      </w:r>
      <w:r w:rsidRPr="001814A9">
        <w:rPr>
          <w:rFonts w:ascii="Arial" w:hAnsi="Arial" w:cs="Arial"/>
          <w:color w:val="000000" w:themeColor="text1"/>
        </w:rPr>
        <w:t xml:space="preserve"> de diciembre, el Magistrado Presidente ordenó integrar el expediente </w:t>
      </w:r>
      <w:r w:rsidR="00042B64" w:rsidRPr="001814A9">
        <w:rPr>
          <w:rFonts w:ascii="Arial" w:hAnsi="Arial" w:cs="Arial"/>
          <w:color w:val="000000" w:themeColor="text1"/>
        </w:rPr>
        <w:t>SUP-JRC-38/2020</w:t>
      </w:r>
      <w:r w:rsidRPr="001814A9">
        <w:rPr>
          <w:rFonts w:ascii="Arial" w:hAnsi="Arial" w:cs="Arial"/>
          <w:color w:val="000000" w:themeColor="text1"/>
        </w:rPr>
        <w:t>, y turnarlo al Magistrado Felipe Alfredo Fuentes Barrera, para la elaboración del proyecto de resolución correspondiente.</w:t>
      </w:r>
    </w:p>
    <w:p w14:paraId="16D6E4D1" w14:textId="69DE5105" w:rsidR="00042B64" w:rsidRPr="001814A9" w:rsidRDefault="00042B64" w:rsidP="00042B64">
      <w:pPr>
        <w:pStyle w:val="Prrafodelista"/>
        <w:suppressLineNumbers/>
        <w:spacing w:before="240" w:after="240" w:line="360" w:lineRule="auto"/>
        <w:ind w:left="0"/>
        <w:contextualSpacing w:val="0"/>
        <w:jc w:val="both"/>
        <w:rPr>
          <w:rFonts w:ascii="Arial" w:hAnsi="Arial" w:cs="Arial"/>
          <w:color w:val="000000" w:themeColor="text1"/>
        </w:rPr>
      </w:pPr>
      <w:r w:rsidRPr="001814A9">
        <w:rPr>
          <w:rFonts w:ascii="Arial" w:hAnsi="Arial" w:cs="Arial"/>
          <w:b/>
          <w:bCs/>
          <w:color w:val="000000" w:themeColor="text1"/>
        </w:rPr>
        <w:t xml:space="preserve">7. Reencauzamiento a juicio ciudadano. </w:t>
      </w:r>
      <w:r w:rsidRPr="001814A9">
        <w:rPr>
          <w:rFonts w:ascii="Arial" w:hAnsi="Arial" w:cs="Arial"/>
          <w:color w:val="000000" w:themeColor="text1"/>
        </w:rPr>
        <w:t xml:space="preserve">En su oportunidad, </w:t>
      </w:r>
      <w:r w:rsidR="00B119A3" w:rsidRPr="001814A9">
        <w:rPr>
          <w:rFonts w:ascii="Arial" w:hAnsi="Arial" w:cs="Arial"/>
          <w:color w:val="000000" w:themeColor="text1"/>
        </w:rPr>
        <w:t xml:space="preserve">mediante acuerdo plenario, </w:t>
      </w:r>
      <w:r w:rsidRPr="001814A9">
        <w:rPr>
          <w:rFonts w:ascii="Arial" w:hAnsi="Arial" w:cs="Arial"/>
          <w:color w:val="000000" w:themeColor="text1"/>
        </w:rPr>
        <w:t xml:space="preserve">esta Sala Superior reencauzó el medio de impugnación a juicio ciudadano. </w:t>
      </w:r>
    </w:p>
    <w:p w14:paraId="352FEBAF" w14:textId="3724120E" w:rsidR="001C3986" w:rsidRPr="001814A9" w:rsidRDefault="00660978" w:rsidP="005A4FBF">
      <w:pPr>
        <w:pStyle w:val="Ttulo1"/>
        <w:suppressLineNumbers/>
        <w:spacing w:after="240" w:line="360" w:lineRule="auto"/>
        <w:jc w:val="center"/>
        <w:rPr>
          <w:rFonts w:ascii="Arial" w:hAnsi="Arial" w:cs="Arial"/>
          <w:b/>
          <w:color w:val="000000" w:themeColor="text1"/>
          <w:sz w:val="24"/>
          <w:szCs w:val="24"/>
        </w:rPr>
      </w:pPr>
      <w:bookmarkStart w:id="8" w:name="_Toc61446190"/>
      <w:bookmarkStart w:id="9" w:name="_Hlk59695868"/>
      <w:r w:rsidRPr="001814A9">
        <w:rPr>
          <w:rFonts w:ascii="Arial" w:hAnsi="Arial" w:cs="Arial"/>
          <w:b/>
          <w:color w:val="000000" w:themeColor="text1"/>
          <w:sz w:val="24"/>
          <w:szCs w:val="24"/>
        </w:rPr>
        <w:t>CONSID</w:t>
      </w:r>
      <w:r w:rsidR="005A4FBF" w:rsidRPr="001814A9">
        <w:rPr>
          <w:rFonts w:ascii="Arial" w:hAnsi="Arial" w:cs="Arial"/>
          <w:b/>
          <w:color w:val="000000" w:themeColor="text1"/>
          <w:sz w:val="24"/>
          <w:szCs w:val="24"/>
        </w:rPr>
        <w:t>ERACIONES Y FUNDAMENTOS JURÍDICOS</w:t>
      </w:r>
      <w:bookmarkEnd w:id="8"/>
    </w:p>
    <w:p w14:paraId="053F97C5" w14:textId="74639E56" w:rsidR="000F52CB" w:rsidRPr="001814A9" w:rsidRDefault="003F2BB0" w:rsidP="000F52CB">
      <w:pPr>
        <w:pStyle w:val="Prrafodelista"/>
        <w:spacing w:after="240" w:line="360" w:lineRule="auto"/>
        <w:ind w:left="0"/>
        <w:contextualSpacing w:val="0"/>
        <w:jc w:val="both"/>
        <w:outlineLvl w:val="1"/>
        <w:rPr>
          <w:rFonts w:ascii="Arial" w:hAnsi="Arial" w:cs="Arial"/>
          <w:bCs/>
        </w:rPr>
      </w:pPr>
      <w:bookmarkStart w:id="10" w:name="_Toc61446191"/>
      <w:bookmarkEnd w:id="9"/>
      <w:r w:rsidRPr="001814A9">
        <w:rPr>
          <w:rFonts w:ascii="Arial" w:hAnsi="Arial" w:cs="Arial"/>
          <w:b/>
        </w:rPr>
        <w:t>1</w:t>
      </w:r>
      <w:r w:rsidR="00752E47" w:rsidRPr="001814A9">
        <w:rPr>
          <w:rFonts w:ascii="Arial" w:hAnsi="Arial" w:cs="Arial"/>
          <w:b/>
        </w:rPr>
        <w:t>. Actuación colegiada</w:t>
      </w:r>
      <w:bookmarkEnd w:id="10"/>
    </w:p>
    <w:p w14:paraId="66EBAD9B" w14:textId="26898853" w:rsidR="00752E47" w:rsidRPr="001814A9" w:rsidRDefault="00752E47" w:rsidP="00752E47">
      <w:pPr>
        <w:pStyle w:val="Prrafodelista"/>
        <w:spacing w:after="240" w:line="360" w:lineRule="auto"/>
        <w:ind w:left="0"/>
        <w:contextualSpacing w:val="0"/>
        <w:jc w:val="both"/>
        <w:rPr>
          <w:rFonts w:ascii="Arial" w:hAnsi="Arial"/>
          <w:bCs/>
        </w:rPr>
      </w:pPr>
      <w:r w:rsidRPr="001814A9">
        <w:rPr>
          <w:rFonts w:ascii="Arial" w:hAnsi="Arial" w:cs="Arial"/>
          <w:bCs/>
        </w:rPr>
        <w:t xml:space="preserve">La materia sobre la que versa el presente acuerdo corresponde a la Sala Superior del Tribunal Electoral del Poder Judicial de la Federación, actuando en forma colegiada, </w:t>
      </w:r>
      <w:r w:rsidRPr="001814A9">
        <w:rPr>
          <w:rFonts w:ascii="Arial" w:hAnsi="Arial" w:cs="Arial"/>
          <w:bCs/>
          <w:lang w:val="es-ES_tradnl"/>
        </w:rPr>
        <w:t xml:space="preserve">en </w:t>
      </w:r>
      <w:r w:rsidRPr="001814A9">
        <w:rPr>
          <w:rFonts w:ascii="Arial" w:hAnsi="Arial" w:cs="Arial"/>
          <w:lang w:val="es-MX" w:eastAsia="es-MX"/>
        </w:rPr>
        <w:t>términos</w:t>
      </w:r>
      <w:r w:rsidRPr="001814A9">
        <w:rPr>
          <w:rFonts w:ascii="Arial" w:hAnsi="Arial" w:cs="Arial"/>
          <w:bCs/>
          <w:lang w:val="es-ES_tradnl"/>
        </w:rPr>
        <w:t xml:space="preserve"> de lo dispuesto en el artículo 10, fracción VI, del Reglamento Interno del propio Tribunal, así como en la Jurisprudencia </w:t>
      </w:r>
      <w:r w:rsidRPr="001814A9">
        <w:rPr>
          <w:rFonts w:ascii="Arial" w:hAnsi="Arial" w:cs="Arial"/>
          <w:bCs/>
        </w:rPr>
        <w:t>11/99, de rubro: “MEDIOS DE IMPUGNACIÓN. LAS RESOLUCIONES O ACTUACIONES QUE IMPLIQUEN UNA MODIFICACIÓN EN LA SUSTANCIACIÓN DEL PROCEDIMIENTO ORDINARIO, SON COMPETENCIA DE LA SALA SUPERIOR Y NO DEL MAGISTRADO INSTRUCTOR”</w:t>
      </w:r>
      <w:r w:rsidRPr="001814A9">
        <w:rPr>
          <w:rStyle w:val="Refdenotaalpie"/>
          <w:rFonts w:ascii="Arial" w:hAnsi="Arial" w:cs="Arial"/>
          <w:bCs/>
        </w:rPr>
        <w:footnoteReference w:id="1"/>
      </w:r>
      <w:r w:rsidRPr="001814A9">
        <w:rPr>
          <w:rFonts w:ascii="Arial" w:hAnsi="Arial" w:cs="Arial"/>
          <w:bCs/>
        </w:rPr>
        <w:t>.</w:t>
      </w:r>
    </w:p>
    <w:p w14:paraId="7A70081E" w14:textId="3B2886DB" w:rsidR="00752E47" w:rsidRPr="001814A9" w:rsidRDefault="00752E47" w:rsidP="000832BD">
      <w:pPr>
        <w:pStyle w:val="Prrafodelista"/>
        <w:spacing w:after="240" w:line="360" w:lineRule="auto"/>
        <w:ind w:left="0"/>
        <w:contextualSpacing w:val="0"/>
        <w:jc w:val="both"/>
        <w:rPr>
          <w:rStyle w:val="FontStyle20"/>
        </w:rPr>
      </w:pPr>
      <w:r w:rsidRPr="001814A9">
        <w:rPr>
          <w:rFonts w:ascii="Arial" w:hAnsi="Arial" w:cs="Arial"/>
        </w:rPr>
        <w:t xml:space="preserve">Lo anterior, porque en el caso la cuestión a dilucidar es la competencia para conocer la controversia planteada por </w:t>
      </w:r>
      <w:r w:rsidR="000832BD" w:rsidRPr="001814A9">
        <w:rPr>
          <w:rFonts w:ascii="Arial" w:hAnsi="Arial" w:cs="Arial"/>
        </w:rPr>
        <w:t>la</w:t>
      </w:r>
      <w:r w:rsidRPr="001814A9">
        <w:rPr>
          <w:rFonts w:ascii="Arial" w:hAnsi="Arial" w:cs="Arial"/>
        </w:rPr>
        <w:t xml:space="preserve"> actor</w:t>
      </w:r>
      <w:r w:rsidR="000832BD" w:rsidRPr="001814A9">
        <w:rPr>
          <w:rFonts w:ascii="Arial" w:hAnsi="Arial" w:cs="Arial"/>
        </w:rPr>
        <w:t>a</w:t>
      </w:r>
      <w:r w:rsidRPr="001814A9">
        <w:rPr>
          <w:rFonts w:ascii="Arial" w:hAnsi="Arial" w:cs="Arial"/>
        </w:rPr>
        <w:t xml:space="preserve">, </w:t>
      </w:r>
      <w:r w:rsidRPr="001814A9">
        <w:rPr>
          <w:rFonts w:ascii="Arial" w:hAnsi="Arial" w:cs="Arial"/>
          <w:bCs/>
        </w:rPr>
        <w:t xml:space="preserve">por lo tanto, la decisión que al efecto se tome no es una cuestión de mero trámite y se aparta de las facultades de quien funge como ponente para la instrucción habitual del asunto, al estar </w:t>
      </w:r>
      <w:r w:rsidRPr="001814A9">
        <w:rPr>
          <w:rFonts w:ascii="Arial" w:hAnsi="Arial" w:cs="Arial"/>
          <w:lang w:eastAsia="es-MX"/>
        </w:rPr>
        <w:t>implicada</w:t>
      </w:r>
      <w:r w:rsidRPr="001814A9">
        <w:rPr>
          <w:rFonts w:ascii="Arial" w:hAnsi="Arial" w:cs="Arial"/>
        </w:rPr>
        <w:t xml:space="preserve"> </w:t>
      </w:r>
      <w:r w:rsidRPr="001814A9">
        <w:rPr>
          <w:rFonts w:ascii="Arial" w:hAnsi="Arial" w:cs="Arial"/>
          <w:bCs/>
        </w:rPr>
        <w:t>una modificación en la sustanciación ordinaria del procedimiento</w:t>
      </w:r>
      <w:r w:rsidRPr="001814A9">
        <w:rPr>
          <w:rStyle w:val="FontStyle20"/>
          <w:lang w:val="es-ES_tradnl" w:eastAsia="es-ES_tradnl"/>
        </w:rPr>
        <w:t>.</w:t>
      </w:r>
    </w:p>
    <w:p w14:paraId="36F46DEC" w14:textId="3295E1A5" w:rsidR="00752E47" w:rsidRPr="001814A9" w:rsidRDefault="00752E47" w:rsidP="000832BD">
      <w:pPr>
        <w:pStyle w:val="Prrafodelista"/>
        <w:spacing w:after="240" w:line="360" w:lineRule="auto"/>
        <w:ind w:left="0"/>
        <w:contextualSpacing w:val="0"/>
        <w:jc w:val="both"/>
        <w:rPr>
          <w:rFonts w:ascii="Arial" w:hAnsi="Arial" w:cs="Arial"/>
          <w:lang w:eastAsia="es-MX"/>
        </w:rPr>
      </w:pPr>
      <w:r w:rsidRPr="001814A9">
        <w:rPr>
          <w:rFonts w:ascii="Arial" w:hAnsi="Arial" w:cs="Arial"/>
          <w:lang w:eastAsia="es-MX"/>
        </w:rPr>
        <w:t>En consecuencia, debe estarse a la regla general contenida en el citado criterio jurisprudencial y, por consiguiente, resolverse por el Pleno de esta Sala Superior.</w:t>
      </w:r>
    </w:p>
    <w:p w14:paraId="20412F02" w14:textId="60757C5F" w:rsidR="00042B64" w:rsidRPr="001814A9" w:rsidRDefault="00487CA7" w:rsidP="00B119A3">
      <w:pPr>
        <w:pStyle w:val="Prrafodelista"/>
        <w:spacing w:after="240" w:line="360" w:lineRule="auto"/>
        <w:ind w:left="0"/>
        <w:contextualSpacing w:val="0"/>
        <w:jc w:val="both"/>
        <w:outlineLvl w:val="0"/>
        <w:rPr>
          <w:rFonts w:ascii="Arial" w:hAnsi="Arial" w:cs="Arial"/>
          <w:bCs/>
        </w:rPr>
      </w:pPr>
      <w:bookmarkStart w:id="11" w:name="_Toc61446192"/>
      <w:r>
        <w:rPr>
          <w:rFonts w:ascii="Arial" w:hAnsi="Arial" w:cs="Arial"/>
          <w:b/>
        </w:rPr>
        <w:lastRenderedPageBreak/>
        <w:t>2</w:t>
      </w:r>
      <w:r w:rsidR="00752E47" w:rsidRPr="001814A9">
        <w:rPr>
          <w:rFonts w:ascii="Arial" w:hAnsi="Arial" w:cs="Arial"/>
          <w:b/>
        </w:rPr>
        <w:t>.</w:t>
      </w:r>
      <w:r w:rsidR="00752E47" w:rsidRPr="001814A9">
        <w:rPr>
          <w:rFonts w:ascii="Arial" w:hAnsi="Arial" w:cs="Arial"/>
          <w:bCs/>
        </w:rPr>
        <w:t xml:space="preserve"> </w:t>
      </w:r>
      <w:r w:rsidR="00752E47" w:rsidRPr="001814A9">
        <w:rPr>
          <w:rFonts w:ascii="Arial" w:hAnsi="Arial" w:cs="Arial"/>
          <w:b/>
        </w:rPr>
        <w:t>Determinación de competencia</w:t>
      </w:r>
      <w:bookmarkEnd w:id="11"/>
    </w:p>
    <w:p w14:paraId="5A29B67F" w14:textId="10D720F5" w:rsidR="00752E47" w:rsidRPr="001814A9" w:rsidRDefault="00752E47" w:rsidP="00B119A3">
      <w:pPr>
        <w:pStyle w:val="Prrafodelista"/>
        <w:spacing w:before="240" w:after="240" w:line="360" w:lineRule="auto"/>
        <w:ind w:left="0"/>
        <w:contextualSpacing w:val="0"/>
        <w:jc w:val="both"/>
        <w:rPr>
          <w:rFonts w:ascii="Arial" w:hAnsi="Arial" w:cs="Arial"/>
          <w:color w:val="000000" w:themeColor="text1"/>
          <w:lang w:val="es-MX"/>
        </w:rPr>
      </w:pPr>
      <w:r w:rsidRPr="001814A9">
        <w:rPr>
          <w:rFonts w:ascii="Arial" w:hAnsi="Arial" w:cs="Arial"/>
          <w:bCs/>
          <w:lang w:val="es-MX"/>
        </w:rPr>
        <w:t xml:space="preserve">Esta Sala Superior </w:t>
      </w:r>
      <w:r w:rsidRPr="001814A9">
        <w:rPr>
          <w:rFonts w:ascii="Arial" w:hAnsi="Arial" w:cs="Arial"/>
          <w:color w:val="000000" w:themeColor="text1"/>
          <w:lang w:val="es-MX"/>
        </w:rPr>
        <w:t xml:space="preserve">considera que la Sala Regional </w:t>
      </w:r>
      <w:r w:rsidR="000832BD" w:rsidRPr="001814A9">
        <w:rPr>
          <w:rFonts w:ascii="Arial" w:hAnsi="Arial" w:cs="Arial"/>
          <w:color w:val="000000" w:themeColor="text1"/>
          <w:lang w:val="es-MX"/>
        </w:rPr>
        <w:t>Monterrey</w:t>
      </w:r>
      <w:r w:rsidRPr="001814A9">
        <w:rPr>
          <w:rFonts w:ascii="Arial" w:hAnsi="Arial" w:cs="Arial"/>
          <w:color w:val="000000" w:themeColor="text1"/>
          <w:lang w:val="es-MX"/>
        </w:rPr>
        <w:t xml:space="preserve"> es el órgano jurisdiccional competente para conocer y resolver el juicio promovido por </w:t>
      </w:r>
      <w:r w:rsidR="00AA3D41" w:rsidRPr="001814A9">
        <w:rPr>
          <w:rFonts w:ascii="Arial" w:hAnsi="Arial" w:cs="Arial"/>
          <w:color w:val="000000" w:themeColor="text1"/>
          <w:lang w:val="es-MX"/>
        </w:rPr>
        <w:t>Antares Guadalupe Vázquez Alatorre</w:t>
      </w:r>
      <w:r w:rsidRPr="001814A9">
        <w:rPr>
          <w:rFonts w:ascii="Arial" w:hAnsi="Arial" w:cs="Arial"/>
          <w:color w:val="000000" w:themeColor="text1"/>
          <w:lang w:val="es-MX"/>
        </w:rPr>
        <w:t>.</w:t>
      </w:r>
    </w:p>
    <w:p w14:paraId="75FAA999" w14:textId="6DA03DA5" w:rsidR="009173B9" w:rsidRPr="001814A9" w:rsidRDefault="00752E47" w:rsidP="00B119A3">
      <w:pPr>
        <w:pStyle w:val="Prrafodelista"/>
        <w:spacing w:before="240" w:after="240" w:line="360" w:lineRule="auto"/>
        <w:ind w:left="0"/>
        <w:contextualSpacing w:val="0"/>
        <w:jc w:val="both"/>
        <w:rPr>
          <w:rFonts w:ascii="Arial" w:hAnsi="Arial" w:cs="Arial"/>
          <w:color w:val="000000" w:themeColor="text1"/>
          <w:lang w:val="es-MX"/>
        </w:rPr>
      </w:pPr>
      <w:r w:rsidRPr="001814A9">
        <w:rPr>
          <w:rFonts w:ascii="Arial" w:hAnsi="Arial" w:cs="Arial"/>
          <w:color w:val="000000" w:themeColor="text1"/>
          <w:lang w:val="es-MX"/>
        </w:rPr>
        <w:t xml:space="preserve">Lo anterior, </w:t>
      </w:r>
      <w:r w:rsidR="009173B9" w:rsidRPr="001814A9">
        <w:rPr>
          <w:rFonts w:ascii="Arial" w:hAnsi="Arial" w:cs="Arial"/>
          <w:color w:val="000000" w:themeColor="text1"/>
          <w:lang w:val="es-MX"/>
        </w:rPr>
        <w:t xml:space="preserve">ya que se controvierte una sentencia emitida por un </w:t>
      </w:r>
      <w:r w:rsidR="00487CA7">
        <w:rPr>
          <w:rFonts w:ascii="Arial" w:hAnsi="Arial" w:cs="Arial"/>
          <w:color w:val="000000" w:themeColor="text1"/>
          <w:lang w:val="es-MX"/>
        </w:rPr>
        <w:t>T</w:t>
      </w:r>
      <w:r w:rsidR="009173B9" w:rsidRPr="001814A9">
        <w:rPr>
          <w:rFonts w:ascii="Arial" w:hAnsi="Arial" w:cs="Arial"/>
          <w:color w:val="000000" w:themeColor="text1"/>
          <w:lang w:val="es-MX"/>
        </w:rPr>
        <w:t xml:space="preserve">ribunal local respecto de actos que no guardan vinculación con alguna elección materia de conocimiento de esta Sala Superior, ni con algún otro supuesto que justifique la competencia en favor de </w:t>
      </w:r>
      <w:r w:rsidR="00B119A3" w:rsidRPr="001814A9">
        <w:rPr>
          <w:rFonts w:ascii="Arial" w:hAnsi="Arial" w:cs="Arial"/>
          <w:color w:val="000000" w:themeColor="text1"/>
          <w:lang w:val="es-MX"/>
        </w:rPr>
        <w:t>este órgano jurisdiccional</w:t>
      </w:r>
      <w:r w:rsidR="009173B9" w:rsidRPr="001814A9">
        <w:rPr>
          <w:rFonts w:ascii="Arial" w:hAnsi="Arial" w:cs="Arial"/>
          <w:color w:val="000000" w:themeColor="text1"/>
          <w:lang w:val="es-MX"/>
        </w:rPr>
        <w:t>.</w:t>
      </w:r>
    </w:p>
    <w:p w14:paraId="25F09BB7" w14:textId="4361063D" w:rsidR="00E87A76" w:rsidRPr="001814A9" w:rsidRDefault="00621967" w:rsidP="00B119A3">
      <w:pPr>
        <w:pStyle w:val="Prrafodelista"/>
        <w:spacing w:before="240" w:after="240" w:line="360" w:lineRule="auto"/>
        <w:ind w:left="0"/>
        <w:contextualSpacing w:val="0"/>
        <w:jc w:val="both"/>
        <w:rPr>
          <w:rFonts w:ascii="Arial" w:hAnsi="Arial" w:cs="Arial"/>
          <w:bCs/>
        </w:rPr>
      </w:pPr>
      <w:r w:rsidRPr="001814A9">
        <w:rPr>
          <w:rFonts w:ascii="Arial" w:hAnsi="Arial" w:cs="Arial"/>
          <w:bCs/>
        </w:rPr>
        <w:t>Est</w:t>
      </w:r>
      <w:r w:rsidR="00C566FF">
        <w:rPr>
          <w:rFonts w:ascii="Arial" w:hAnsi="Arial" w:cs="Arial"/>
          <w:bCs/>
        </w:rPr>
        <w:t>a</w:t>
      </w:r>
      <w:r w:rsidR="00095362" w:rsidRPr="001814A9">
        <w:rPr>
          <w:rFonts w:ascii="Arial" w:hAnsi="Arial" w:cs="Arial"/>
          <w:bCs/>
        </w:rPr>
        <w:t xml:space="preserve"> decisión</w:t>
      </w:r>
      <w:r w:rsidR="009173B9" w:rsidRPr="001814A9">
        <w:rPr>
          <w:rFonts w:ascii="Arial" w:hAnsi="Arial" w:cs="Arial"/>
          <w:bCs/>
        </w:rPr>
        <w:t xml:space="preserve"> encuentra fundamento en lo establecido por los artículos 41, base VI, y 99, párrafo cuarto, fracción X, de la Constitución; 186 y 189, fracciones I, inciso d), y XIX, de la Ley Orgánica, así como 3, </w:t>
      </w:r>
      <w:r w:rsidR="0013122B" w:rsidRPr="001814A9">
        <w:rPr>
          <w:rFonts w:ascii="Arial" w:hAnsi="Arial" w:cs="Arial"/>
          <w:bCs/>
        </w:rPr>
        <w:t>79</w:t>
      </w:r>
      <w:r w:rsidR="009173B9" w:rsidRPr="001814A9">
        <w:rPr>
          <w:rFonts w:ascii="Arial" w:hAnsi="Arial" w:cs="Arial"/>
          <w:bCs/>
        </w:rPr>
        <w:t xml:space="preserve">, </w:t>
      </w:r>
      <w:r w:rsidR="0013122B" w:rsidRPr="001814A9">
        <w:rPr>
          <w:rFonts w:ascii="Arial" w:hAnsi="Arial" w:cs="Arial"/>
          <w:bCs/>
        </w:rPr>
        <w:t>80, 81 y 82</w:t>
      </w:r>
      <w:r w:rsidR="009173B9" w:rsidRPr="001814A9">
        <w:rPr>
          <w:rFonts w:ascii="Arial" w:hAnsi="Arial" w:cs="Arial"/>
          <w:bCs/>
        </w:rPr>
        <w:t xml:space="preserve"> de la Ley de Medios.</w:t>
      </w:r>
      <w:bookmarkStart w:id="12" w:name="_Hlk59695883"/>
    </w:p>
    <w:p w14:paraId="2F907011" w14:textId="1A9017AD" w:rsidR="00EC5981" w:rsidRPr="001814A9" w:rsidRDefault="00487CA7" w:rsidP="000F52CB">
      <w:pPr>
        <w:pStyle w:val="PRRAFOSENTENCIA"/>
        <w:suppressLineNumbers/>
        <w:spacing w:before="240" w:beforeAutospacing="0" w:after="240" w:afterAutospacing="0"/>
        <w:outlineLvl w:val="1"/>
        <w:rPr>
          <w:b/>
          <w:bCs/>
          <w:color w:val="000000" w:themeColor="text1"/>
          <w:sz w:val="24"/>
          <w:szCs w:val="24"/>
        </w:rPr>
      </w:pPr>
      <w:bookmarkStart w:id="13" w:name="_Toc61446193"/>
      <w:bookmarkEnd w:id="12"/>
      <w:r>
        <w:rPr>
          <w:b/>
          <w:bCs/>
          <w:color w:val="000000" w:themeColor="text1"/>
          <w:sz w:val="24"/>
          <w:szCs w:val="24"/>
        </w:rPr>
        <w:t>3</w:t>
      </w:r>
      <w:r w:rsidR="000F52CB" w:rsidRPr="001814A9">
        <w:rPr>
          <w:b/>
          <w:bCs/>
          <w:color w:val="000000" w:themeColor="text1"/>
          <w:sz w:val="24"/>
          <w:szCs w:val="24"/>
        </w:rPr>
        <w:t xml:space="preserve">. </w:t>
      </w:r>
      <w:r w:rsidR="00EC5981" w:rsidRPr="001814A9">
        <w:rPr>
          <w:b/>
          <w:bCs/>
          <w:color w:val="000000" w:themeColor="text1"/>
          <w:sz w:val="24"/>
          <w:szCs w:val="24"/>
        </w:rPr>
        <w:t>Consideraciones de la Sala Superior</w:t>
      </w:r>
      <w:bookmarkEnd w:id="13"/>
      <w:r w:rsidR="00EC5981" w:rsidRPr="001814A9">
        <w:rPr>
          <w:b/>
          <w:bCs/>
          <w:color w:val="000000" w:themeColor="text1"/>
          <w:sz w:val="24"/>
          <w:szCs w:val="24"/>
        </w:rPr>
        <w:t xml:space="preserve"> </w:t>
      </w:r>
    </w:p>
    <w:p w14:paraId="20570408" w14:textId="5006693B" w:rsidR="00EC5981" w:rsidRPr="001814A9" w:rsidRDefault="00257E3A" w:rsidP="007E5B3C">
      <w:pPr>
        <w:pStyle w:val="PRRAFOSENTENCIA"/>
        <w:suppressLineNumbers/>
        <w:spacing w:before="240" w:beforeAutospacing="0" w:after="240" w:afterAutospacing="0"/>
        <w:rPr>
          <w:b/>
          <w:bCs/>
          <w:color w:val="000000" w:themeColor="text1"/>
          <w:sz w:val="24"/>
          <w:szCs w:val="24"/>
        </w:rPr>
      </w:pPr>
      <w:r w:rsidRPr="001814A9">
        <w:rPr>
          <w:rFonts w:eastAsia="Calibri"/>
          <w:bCs/>
          <w:color w:val="000000" w:themeColor="text1"/>
          <w:sz w:val="24"/>
          <w:szCs w:val="24"/>
          <w:lang w:val="es-ES" w:eastAsia="en-US"/>
        </w:rPr>
        <w:t xml:space="preserve">Esta Sala Superior </w:t>
      </w:r>
      <w:r w:rsidR="00862B12" w:rsidRPr="001814A9">
        <w:rPr>
          <w:rFonts w:eastAsia="Calibri"/>
          <w:bCs/>
          <w:color w:val="000000" w:themeColor="text1"/>
          <w:sz w:val="24"/>
          <w:szCs w:val="24"/>
          <w:lang w:val="es-ES" w:eastAsia="en-US"/>
        </w:rPr>
        <w:t xml:space="preserve">considera que el hecho de que la denunciante sea una legisladora federal y que las conductas denunciadas se hayan realizado a través de redes sociales son insuficientes para que se actualice la competencia de la autoridad electoral nacional, en la medida en que los hechos denunciados no afectan un proceso electoral federal, así como tampoco más de una entidad federativa, distinta al Estado de </w:t>
      </w:r>
      <w:r w:rsidR="00766C8F" w:rsidRPr="001814A9">
        <w:rPr>
          <w:rFonts w:eastAsia="Calibri"/>
          <w:bCs/>
          <w:color w:val="000000" w:themeColor="text1"/>
          <w:sz w:val="24"/>
          <w:szCs w:val="24"/>
          <w:lang w:val="es-ES" w:eastAsia="en-US"/>
        </w:rPr>
        <w:t>Guanajuato</w:t>
      </w:r>
      <w:r w:rsidR="00862B12" w:rsidRPr="001814A9">
        <w:rPr>
          <w:rFonts w:eastAsia="Calibri"/>
          <w:bCs/>
          <w:color w:val="000000" w:themeColor="text1"/>
          <w:sz w:val="24"/>
          <w:szCs w:val="24"/>
          <w:lang w:val="es-ES" w:eastAsia="en-US"/>
        </w:rPr>
        <w:t xml:space="preserve">. </w:t>
      </w:r>
    </w:p>
    <w:p w14:paraId="3BE42AD7" w14:textId="64CC9FE4" w:rsidR="00033D87" w:rsidRDefault="00033D87" w:rsidP="007E5B3C">
      <w:pPr>
        <w:pStyle w:val="PRRAFOSENTENCIA"/>
        <w:suppressLineNumbers/>
        <w:spacing w:before="240" w:beforeAutospacing="0" w:after="240" w:afterAutospacing="0"/>
        <w:rPr>
          <w:rFonts w:eastAsia="Calibri"/>
          <w:bCs/>
          <w:color w:val="000000" w:themeColor="text1"/>
          <w:sz w:val="24"/>
          <w:szCs w:val="24"/>
          <w:lang w:val="es-ES" w:eastAsia="en-US"/>
        </w:rPr>
      </w:pPr>
      <w:r>
        <w:rPr>
          <w:rFonts w:eastAsia="Calibri"/>
          <w:bCs/>
          <w:color w:val="000000" w:themeColor="text1"/>
          <w:sz w:val="24"/>
          <w:szCs w:val="24"/>
          <w:lang w:val="es-ES" w:eastAsia="en-US"/>
        </w:rPr>
        <w:t xml:space="preserve">Lo anterior, considerando que además el acto impugnado es una sentencia del un tribunal electoral local, vinculada con </w:t>
      </w:r>
      <w:r w:rsidR="00AB02E1">
        <w:rPr>
          <w:rFonts w:eastAsia="Calibri"/>
          <w:bCs/>
          <w:color w:val="000000" w:themeColor="text1"/>
          <w:sz w:val="24"/>
          <w:szCs w:val="24"/>
          <w:lang w:val="es-ES" w:eastAsia="en-US"/>
        </w:rPr>
        <w:t xml:space="preserve">conductas posiblemente constitutivas de violencia política </w:t>
      </w:r>
      <w:proofErr w:type="gramStart"/>
      <w:r w:rsidR="00AB02E1">
        <w:rPr>
          <w:rFonts w:eastAsia="Calibri"/>
          <w:bCs/>
          <w:color w:val="000000" w:themeColor="text1"/>
          <w:sz w:val="24"/>
          <w:szCs w:val="24"/>
          <w:lang w:val="es-ES" w:eastAsia="en-US"/>
        </w:rPr>
        <w:t>en razón de</w:t>
      </w:r>
      <w:proofErr w:type="gramEnd"/>
      <w:r w:rsidR="00AB02E1">
        <w:rPr>
          <w:rFonts w:eastAsia="Calibri"/>
          <w:bCs/>
          <w:color w:val="000000" w:themeColor="text1"/>
          <w:sz w:val="24"/>
          <w:szCs w:val="24"/>
          <w:lang w:val="es-ES" w:eastAsia="en-US"/>
        </w:rPr>
        <w:t xml:space="preserve"> género</w:t>
      </w:r>
      <w:r w:rsidR="00212152">
        <w:rPr>
          <w:rFonts w:eastAsia="Calibri"/>
          <w:bCs/>
          <w:color w:val="000000" w:themeColor="text1"/>
          <w:sz w:val="24"/>
          <w:szCs w:val="24"/>
          <w:lang w:val="es-ES" w:eastAsia="en-US"/>
        </w:rPr>
        <w:t>.</w:t>
      </w:r>
    </w:p>
    <w:p w14:paraId="13261265" w14:textId="6880389D" w:rsidR="003B1DF8" w:rsidRPr="001814A9" w:rsidRDefault="00DB06B9" w:rsidP="007E5B3C">
      <w:pPr>
        <w:pStyle w:val="PRRAFOSENTENCIA"/>
        <w:suppressLineNumbers/>
        <w:spacing w:before="240" w:beforeAutospacing="0" w:after="240" w:afterAutospacing="0"/>
        <w:rPr>
          <w:color w:val="000000" w:themeColor="text1"/>
          <w:sz w:val="24"/>
          <w:szCs w:val="24"/>
        </w:rPr>
      </w:pPr>
      <w:r w:rsidRPr="001814A9">
        <w:rPr>
          <w:color w:val="000000" w:themeColor="text1"/>
          <w:sz w:val="24"/>
          <w:szCs w:val="24"/>
        </w:rPr>
        <w:t>Ello</w:t>
      </w:r>
      <w:r w:rsidR="0052380F" w:rsidRPr="001814A9">
        <w:rPr>
          <w:color w:val="000000" w:themeColor="text1"/>
          <w:sz w:val="24"/>
          <w:szCs w:val="24"/>
        </w:rPr>
        <w:t xml:space="preserve">, encuentra su fundamento </w:t>
      </w:r>
      <w:r w:rsidR="003B1DF8" w:rsidRPr="001814A9">
        <w:rPr>
          <w:color w:val="000000" w:themeColor="text1"/>
          <w:sz w:val="24"/>
          <w:szCs w:val="24"/>
        </w:rPr>
        <w:t xml:space="preserve">en diferentes criterios y precedentes de esta Sala Superior y en el marco legal nacional y local vigente en materia de violencia política contra las mujeres </w:t>
      </w:r>
      <w:proofErr w:type="gramStart"/>
      <w:r w:rsidR="003B1DF8" w:rsidRPr="001814A9">
        <w:rPr>
          <w:color w:val="000000" w:themeColor="text1"/>
          <w:sz w:val="24"/>
          <w:szCs w:val="24"/>
        </w:rPr>
        <w:t>en razón de</w:t>
      </w:r>
      <w:proofErr w:type="gramEnd"/>
      <w:r w:rsidR="003B1DF8" w:rsidRPr="001814A9">
        <w:rPr>
          <w:color w:val="000000" w:themeColor="text1"/>
          <w:sz w:val="24"/>
          <w:szCs w:val="24"/>
        </w:rPr>
        <w:t xml:space="preserve"> género. En particular, considerando que los hechos del caso no corresponden a la competencia de la autoridad nacional</w:t>
      </w:r>
      <w:r w:rsidR="00C072A2" w:rsidRPr="001814A9">
        <w:rPr>
          <w:color w:val="000000" w:themeColor="text1"/>
          <w:sz w:val="24"/>
          <w:szCs w:val="24"/>
        </w:rPr>
        <w:t>,</w:t>
      </w:r>
      <w:r w:rsidR="003B1DF8" w:rsidRPr="001814A9">
        <w:rPr>
          <w:color w:val="000000" w:themeColor="text1"/>
          <w:sz w:val="24"/>
          <w:szCs w:val="24"/>
        </w:rPr>
        <w:t xml:space="preserve"> pues no se vinculan con la posible afectación o incidencia en un proceso federal y tampoco se advierte que impacten en el ámbito de alguna entidad federativa distinta al Estado de </w:t>
      </w:r>
      <w:r w:rsidR="005E6BD4" w:rsidRPr="001814A9">
        <w:rPr>
          <w:color w:val="000000" w:themeColor="text1"/>
          <w:sz w:val="24"/>
          <w:szCs w:val="24"/>
        </w:rPr>
        <w:t>Guanajuato</w:t>
      </w:r>
      <w:r w:rsidR="003B1DF8" w:rsidRPr="001814A9">
        <w:rPr>
          <w:color w:val="000000" w:themeColor="text1"/>
          <w:sz w:val="24"/>
          <w:szCs w:val="24"/>
        </w:rPr>
        <w:t>.</w:t>
      </w:r>
    </w:p>
    <w:p w14:paraId="3CB76A08" w14:textId="4D47CF4E" w:rsidR="00EA63E0" w:rsidRPr="001814A9" w:rsidRDefault="00EA63E0" w:rsidP="006B02D4">
      <w:pPr>
        <w:pStyle w:val="PRRAFOSENTENCIA"/>
        <w:suppressLineNumbers/>
        <w:spacing w:before="240" w:beforeAutospacing="0" w:after="240" w:afterAutospacing="0"/>
        <w:rPr>
          <w:color w:val="000000" w:themeColor="text1"/>
          <w:sz w:val="24"/>
          <w:szCs w:val="24"/>
        </w:rPr>
      </w:pPr>
      <w:r w:rsidRPr="001814A9">
        <w:rPr>
          <w:color w:val="000000" w:themeColor="text1"/>
          <w:sz w:val="24"/>
          <w:szCs w:val="24"/>
        </w:rPr>
        <w:lastRenderedPageBreak/>
        <w:t xml:space="preserve">Al respecto, esta Sala Superior ha considerado que el elemento relevante para determinar la competencia de las autoridades federal y locales </w:t>
      </w:r>
      <w:r w:rsidRPr="001814A9">
        <w:rPr>
          <w:rFonts w:eastAsia="Calibri"/>
          <w:b/>
          <w:bCs/>
          <w:iCs/>
          <w:color w:val="000000" w:themeColor="text1"/>
          <w:sz w:val="24"/>
          <w:szCs w:val="24"/>
          <w:lang w:val="es-ES" w:eastAsia="en-US"/>
        </w:rPr>
        <w:t>es la contienda electoral en la que los hechos denunciados tienen un posible impacto.</w:t>
      </w:r>
      <w:r w:rsidRPr="001814A9">
        <w:rPr>
          <w:rFonts w:eastAsia="Calibri"/>
          <w:bCs/>
          <w:color w:val="000000" w:themeColor="text1"/>
          <w:sz w:val="24"/>
          <w:szCs w:val="24"/>
          <w:vertAlign w:val="superscript"/>
          <w:lang w:val="es-ES" w:eastAsia="en-US"/>
        </w:rPr>
        <w:footnoteReference w:id="2"/>
      </w:r>
    </w:p>
    <w:p w14:paraId="2E2F0985" w14:textId="77777777" w:rsidR="00D26775" w:rsidRPr="001814A9" w:rsidRDefault="005E033C" w:rsidP="006B02D4">
      <w:pPr>
        <w:pStyle w:val="PRRAFOSENTENCIA"/>
        <w:suppressLineNumbers/>
        <w:spacing w:before="240" w:beforeAutospacing="0" w:after="240" w:afterAutospacing="0"/>
        <w:rPr>
          <w:rFonts w:eastAsia="Calibri"/>
          <w:bCs/>
          <w:color w:val="000000" w:themeColor="text1"/>
          <w:sz w:val="24"/>
          <w:szCs w:val="24"/>
          <w:lang w:val="es-ES" w:eastAsia="en-US"/>
        </w:rPr>
      </w:pPr>
      <w:r w:rsidRPr="001814A9">
        <w:rPr>
          <w:rFonts w:eastAsia="Calibri"/>
          <w:iCs/>
          <w:color w:val="000000" w:themeColor="text1"/>
          <w:sz w:val="24"/>
          <w:szCs w:val="24"/>
          <w:lang w:val="es-ES" w:eastAsia="en-US"/>
        </w:rPr>
        <w:t xml:space="preserve">Lo anterior es congruente con el </w:t>
      </w:r>
      <w:r w:rsidR="00EA63E0" w:rsidRPr="001814A9">
        <w:rPr>
          <w:rFonts w:eastAsia="Calibri"/>
          <w:bCs/>
          <w:color w:val="000000" w:themeColor="text1"/>
          <w:sz w:val="24"/>
          <w:szCs w:val="24"/>
          <w:lang w:val="es-ES" w:eastAsia="en-US"/>
        </w:rPr>
        <w:t>régimen sancionador</w:t>
      </w:r>
      <w:r w:rsidRPr="001814A9">
        <w:rPr>
          <w:rFonts w:eastAsia="Calibri"/>
          <w:bCs/>
          <w:color w:val="000000" w:themeColor="text1"/>
          <w:sz w:val="24"/>
          <w:szCs w:val="24"/>
          <w:lang w:val="es-ES" w:eastAsia="en-US"/>
        </w:rPr>
        <w:t xml:space="preserve"> previsto en la </w:t>
      </w:r>
      <w:r w:rsidR="00EA63E0" w:rsidRPr="001814A9">
        <w:rPr>
          <w:rFonts w:eastAsia="Calibri"/>
          <w:bCs/>
          <w:color w:val="000000" w:themeColor="text1"/>
          <w:sz w:val="24"/>
          <w:szCs w:val="24"/>
          <w:lang w:val="es-ES" w:eastAsia="en-US"/>
        </w:rPr>
        <w:t>legislación</w:t>
      </w:r>
      <w:r w:rsidRPr="001814A9">
        <w:rPr>
          <w:rFonts w:eastAsia="Calibri"/>
          <w:bCs/>
          <w:color w:val="000000" w:themeColor="text1"/>
          <w:sz w:val="24"/>
          <w:szCs w:val="24"/>
          <w:lang w:val="es-ES" w:eastAsia="en-US"/>
        </w:rPr>
        <w:t xml:space="preserve">, la cual </w:t>
      </w:r>
      <w:r w:rsidR="00EA63E0" w:rsidRPr="001814A9">
        <w:rPr>
          <w:rFonts w:eastAsia="Calibri"/>
          <w:bCs/>
          <w:color w:val="000000" w:themeColor="text1"/>
          <w:sz w:val="24"/>
          <w:szCs w:val="24"/>
          <w:lang w:val="es-ES" w:eastAsia="en-US"/>
        </w:rPr>
        <w:t>otorga competencia para conocer de irregularidades e infracciones a la normativa electoral tanto al Instituto Nacional Electoral, como a los Organismos Públicos Locales Electorales, dependiendo del tipo de infracción y de las circunstancias de comisión de los hechos motivo de denuncia.</w:t>
      </w:r>
      <w:r w:rsidR="00EA63E0" w:rsidRPr="001814A9">
        <w:rPr>
          <w:rFonts w:eastAsia="Calibri"/>
          <w:bCs/>
          <w:color w:val="000000" w:themeColor="text1"/>
          <w:sz w:val="24"/>
          <w:szCs w:val="24"/>
          <w:vertAlign w:val="superscript"/>
          <w:lang w:val="es-ES" w:eastAsia="en-US"/>
        </w:rPr>
        <w:footnoteReference w:id="3"/>
      </w:r>
      <w:r w:rsidR="00EA63E0" w:rsidRPr="001814A9">
        <w:rPr>
          <w:rFonts w:eastAsia="Calibri"/>
          <w:bCs/>
          <w:color w:val="000000" w:themeColor="text1"/>
          <w:sz w:val="24"/>
          <w:szCs w:val="24"/>
          <w:lang w:val="es-ES" w:eastAsia="en-US"/>
        </w:rPr>
        <w:t xml:space="preserve"> </w:t>
      </w:r>
    </w:p>
    <w:p w14:paraId="362BAB10" w14:textId="6F8CC26D" w:rsidR="00D26775" w:rsidRPr="001814A9" w:rsidRDefault="00BE48B2" w:rsidP="006B02D4">
      <w:pPr>
        <w:pStyle w:val="PRRAFOSENTENCIA"/>
        <w:suppressLineNumbers/>
        <w:spacing w:before="240" w:beforeAutospacing="0" w:after="240" w:afterAutospacing="0"/>
        <w:rPr>
          <w:rFonts w:eastAsia="Calibri"/>
          <w:bCs/>
          <w:color w:val="000000" w:themeColor="text1"/>
          <w:sz w:val="24"/>
          <w:szCs w:val="24"/>
          <w:lang w:val="es-ES" w:eastAsia="en-US"/>
        </w:rPr>
      </w:pPr>
      <w:r w:rsidRPr="001814A9">
        <w:rPr>
          <w:rFonts w:eastAsia="Calibri"/>
          <w:bCs/>
          <w:color w:val="000000" w:themeColor="text1"/>
          <w:sz w:val="24"/>
          <w:szCs w:val="24"/>
          <w:lang w:val="es-ES" w:eastAsia="en-US"/>
        </w:rPr>
        <w:t>De tal modo,</w:t>
      </w:r>
      <w:r w:rsidR="00EA63E0" w:rsidRPr="001814A9">
        <w:rPr>
          <w:rFonts w:eastAsia="Calibri"/>
          <w:bCs/>
          <w:color w:val="000000" w:themeColor="text1"/>
          <w:sz w:val="24"/>
          <w:szCs w:val="24"/>
          <w:lang w:val="es-ES" w:eastAsia="en-US"/>
        </w:rPr>
        <w:t xml:space="preserve"> esta Sala Superior ha estimado que de la interpretación de los artículos 41, párrafo</w:t>
      </w:r>
      <w:r w:rsidRPr="001814A9">
        <w:rPr>
          <w:rFonts w:eastAsia="Calibri"/>
          <w:bCs/>
          <w:color w:val="000000" w:themeColor="text1"/>
          <w:sz w:val="24"/>
          <w:szCs w:val="24"/>
          <w:lang w:val="es-ES" w:eastAsia="en-US"/>
        </w:rPr>
        <w:t xml:space="preserve"> tercero</w:t>
      </w:r>
      <w:r w:rsidR="00EA63E0" w:rsidRPr="001814A9">
        <w:rPr>
          <w:rFonts w:eastAsia="Calibri"/>
          <w:bCs/>
          <w:color w:val="000000" w:themeColor="text1"/>
          <w:sz w:val="24"/>
          <w:szCs w:val="24"/>
          <w:lang w:val="es-ES" w:eastAsia="en-US"/>
        </w:rPr>
        <w:t>, base III, apartado D</w:t>
      </w:r>
      <w:r w:rsidR="00715FBC" w:rsidRPr="001814A9">
        <w:rPr>
          <w:rFonts w:eastAsia="Calibri"/>
          <w:bCs/>
          <w:color w:val="000000" w:themeColor="text1"/>
          <w:sz w:val="24"/>
          <w:szCs w:val="24"/>
          <w:lang w:val="es-ES" w:eastAsia="en-US"/>
        </w:rPr>
        <w:t>;</w:t>
      </w:r>
      <w:r w:rsidR="00EA63E0" w:rsidRPr="001814A9">
        <w:rPr>
          <w:rFonts w:eastAsia="Calibri"/>
          <w:bCs/>
          <w:color w:val="000000" w:themeColor="text1"/>
          <w:sz w:val="24"/>
          <w:szCs w:val="24"/>
          <w:lang w:val="es-ES" w:eastAsia="en-US"/>
        </w:rPr>
        <w:t xml:space="preserve"> y 116, fracción IV, inicio o)</w:t>
      </w:r>
      <w:r w:rsidR="00715FBC" w:rsidRPr="001814A9">
        <w:rPr>
          <w:rFonts w:eastAsia="Calibri"/>
          <w:bCs/>
          <w:color w:val="000000" w:themeColor="text1"/>
          <w:sz w:val="24"/>
          <w:szCs w:val="24"/>
          <w:lang w:val="es-ES" w:eastAsia="en-US"/>
        </w:rPr>
        <w:t xml:space="preserve"> </w:t>
      </w:r>
      <w:r w:rsidR="00EA63E0" w:rsidRPr="001814A9">
        <w:rPr>
          <w:rFonts w:eastAsia="Calibri"/>
          <w:bCs/>
          <w:color w:val="000000" w:themeColor="text1"/>
          <w:sz w:val="24"/>
          <w:szCs w:val="24"/>
          <w:lang w:val="es-ES" w:eastAsia="en-US"/>
        </w:rPr>
        <w:t xml:space="preserve">de la Constitución </w:t>
      </w:r>
      <w:r w:rsidRPr="001814A9">
        <w:rPr>
          <w:rFonts w:eastAsia="Calibri"/>
          <w:bCs/>
          <w:color w:val="000000" w:themeColor="text1"/>
          <w:sz w:val="24"/>
          <w:szCs w:val="24"/>
          <w:lang w:val="es-ES" w:eastAsia="en-US"/>
        </w:rPr>
        <w:t>General</w:t>
      </w:r>
      <w:r w:rsidR="00EA63E0" w:rsidRPr="001814A9">
        <w:rPr>
          <w:rFonts w:eastAsia="Calibri"/>
          <w:bCs/>
          <w:color w:val="000000" w:themeColor="text1"/>
          <w:sz w:val="24"/>
          <w:szCs w:val="24"/>
          <w:lang w:val="es-ES" w:eastAsia="en-US"/>
        </w:rPr>
        <w:t>, existe un sistema de distribución de competencias entre las autoridades electorales nacionales y las locales, en el que cada una conocerá, en principio, de las infracciones a la normativa relacionadas con los procesos electorales de su competencia y, además, con las particularidades del asunto denunciado acorde al tipo de infracción.</w:t>
      </w:r>
      <w:r w:rsidR="00EA63E0" w:rsidRPr="001814A9">
        <w:rPr>
          <w:rFonts w:eastAsia="Calibri"/>
          <w:bCs/>
          <w:color w:val="000000" w:themeColor="text1"/>
          <w:sz w:val="24"/>
          <w:szCs w:val="24"/>
          <w:vertAlign w:val="superscript"/>
          <w:lang w:val="es-ES" w:eastAsia="en-US"/>
        </w:rPr>
        <w:footnoteReference w:id="4"/>
      </w:r>
    </w:p>
    <w:p w14:paraId="32A8520E" w14:textId="3854E20A" w:rsidR="00D26775" w:rsidRPr="001814A9" w:rsidRDefault="00D26775" w:rsidP="006B02D4">
      <w:pPr>
        <w:pStyle w:val="PRRAFOSENTENCIA"/>
        <w:suppressLineNumbers/>
        <w:spacing w:before="240" w:beforeAutospacing="0" w:after="240" w:afterAutospacing="0"/>
        <w:rPr>
          <w:rFonts w:eastAsia="Calibri"/>
          <w:bCs/>
          <w:color w:val="000000" w:themeColor="text1"/>
          <w:sz w:val="24"/>
          <w:szCs w:val="24"/>
          <w:lang w:val="es-ES" w:eastAsia="en-US"/>
        </w:rPr>
      </w:pPr>
      <w:r w:rsidRPr="001814A9">
        <w:rPr>
          <w:rFonts w:eastAsia="Calibri"/>
          <w:bCs/>
          <w:iCs/>
          <w:color w:val="000000" w:themeColor="text1"/>
          <w:sz w:val="24"/>
          <w:szCs w:val="24"/>
          <w:lang w:val="es-ES" w:eastAsia="en-US"/>
        </w:rPr>
        <w:t>En ese sentido, esta Sala Superior ha definido que si las conductas denunciadas se encuentran reguladas en el ámbito local</w:t>
      </w:r>
      <w:r w:rsidR="00715FBC" w:rsidRPr="001814A9">
        <w:rPr>
          <w:rFonts w:eastAsia="Calibri"/>
          <w:bCs/>
          <w:iCs/>
          <w:color w:val="000000" w:themeColor="text1"/>
          <w:sz w:val="24"/>
          <w:szCs w:val="24"/>
          <w:lang w:val="es-ES" w:eastAsia="en-US"/>
        </w:rPr>
        <w:t>,</w:t>
      </w:r>
      <w:r w:rsidRPr="001814A9">
        <w:rPr>
          <w:rFonts w:eastAsia="Calibri"/>
          <w:bCs/>
          <w:iCs/>
          <w:color w:val="000000" w:themeColor="text1"/>
          <w:sz w:val="24"/>
          <w:szCs w:val="24"/>
          <w:lang w:val="es-ES" w:eastAsia="en-US"/>
        </w:rPr>
        <w:t xml:space="preserve"> si la infracción se limita a los comicios locales</w:t>
      </w:r>
      <w:r w:rsidR="00715FBC" w:rsidRPr="001814A9">
        <w:rPr>
          <w:rFonts w:eastAsia="Calibri"/>
          <w:bCs/>
          <w:iCs/>
          <w:color w:val="000000" w:themeColor="text1"/>
          <w:sz w:val="24"/>
          <w:szCs w:val="24"/>
          <w:lang w:val="es-ES" w:eastAsia="en-US"/>
        </w:rPr>
        <w:t>,</w:t>
      </w:r>
      <w:r w:rsidRPr="001814A9">
        <w:rPr>
          <w:rFonts w:eastAsia="Calibri"/>
          <w:bCs/>
          <w:iCs/>
          <w:color w:val="000000" w:themeColor="text1"/>
          <w:sz w:val="24"/>
          <w:szCs w:val="24"/>
          <w:lang w:val="es-ES" w:eastAsia="en-US"/>
        </w:rPr>
        <w:t xml:space="preserve"> </w:t>
      </w:r>
      <w:r w:rsidR="00715FBC" w:rsidRPr="001814A9">
        <w:rPr>
          <w:rFonts w:eastAsia="Calibri"/>
          <w:bCs/>
          <w:iCs/>
          <w:color w:val="000000" w:themeColor="text1"/>
          <w:sz w:val="24"/>
          <w:szCs w:val="24"/>
          <w:lang w:val="es-ES" w:eastAsia="en-US"/>
        </w:rPr>
        <w:t xml:space="preserve">si </w:t>
      </w:r>
      <w:r w:rsidRPr="001814A9">
        <w:rPr>
          <w:rFonts w:eastAsia="Calibri"/>
          <w:bCs/>
          <w:iCs/>
          <w:color w:val="000000" w:themeColor="text1"/>
          <w:sz w:val="24"/>
          <w:szCs w:val="24"/>
          <w:lang w:val="es-ES" w:eastAsia="en-US"/>
        </w:rPr>
        <w:t>sus efectos se acotan a una entidad federativa</w:t>
      </w:r>
      <w:r w:rsidR="00715FBC" w:rsidRPr="001814A9">
        <w:rPr>
          <w:rFonts w:eastAsia="Calibri"/>
          <w:bCs/>
          <w:iCs/>
          <w:color w:val="000000" w:themeColor="text1"/>
          <w:sz w:val="24"/>
          <w:szCs w:val="24"/>
          <w:lang w:val="es-ES" w:eastAsia="en-US"/>
        </w:rPr>
        <w:t>,</w:t>
      </w:r>
      <w:r w:rsidRPr="001814A9">
        <w:rPr>
          <w:rFonts w:eastAsia="Calibri"/>
          <w:bCs/>
          <w:iCs/>
          <w:color w:val="000000" w:themeColor="text1"/>
          <w:sz w:val="24"/>
          <w:szCs w:val="24"/>
          <w:lang w:val="es-ES" w:eastAsia="en-US"/>
        </w:rPr>
        <w:t xml:space="preserve"> </w:t>
      </w:r>
      <w:r w:rsidR="00715FBC" w:rsidRPr="001814A9">
        <w:rPr>
          <w:rFonts w:eastAsia="Calibri"/>
          <w:bCs/>
          <w:iCs/>
          <w:color w:val="000000" w:themeColor="text1"/>
          <w:sz w:val="24"/>
          <w:szCs w:val="24"/>
          <w:lang w:val="es-ES" w:eastAsia="en-US"/>
        </w:rPr>
        <w:t xml:space="preserve">si </w:t>
      </w:r>
      <w:r w:rsidRPr="001814A9">
        <w:rPr>
          <w:rFonts w:eastAsia="Calibri"/>
          <w:bCs/>
          <w:iCs/>
          <w:color w:val="000000" w:themeColor="text1"/>
          <w:sz w:val="24"/>
          <w:szCs w:val="24"/>
          <w:lang w:val="es-ES" w:eastAsia="en-US"/>
        </w:rPr>
        <w:t>no existe competencia exclusiva del Instituto Nacional Electoral y Sala Especializada y</w:t>
      </w:r>
      <w:r w:rsidR="00715FBC" w:rsidRPr="001814A9">
        <w:rPr>
          <w:rFonts w:eastAsia="Calibri"/>
          <w:bCs/>
          <w:iCs/>
          <w:color w:val="000000" w:themeColor="text1"/>
          <w:sz w:val="24"/>
          <w:szCs w:val="24"/>
          <w:lang w:val="es-ES" w:eastAsia="en-US"/>
        </w:rPr>
        <w:t xml:space="preserve"> si</w:t>
      </w:r>
      <w:r w:rsidRPr="001814A9">
        <w:rPr>
          <w:rFonts w:eastAsia="Calibri"/>
          <w:bCs/>
          <w:iCs/>
          <w:color w:val="000000" w:themeColor="text1"/>
          <w:sz w:val="24"/>
          <w:szCs w:val="24"/>
          <w:lang w:val="es-ES" w:eastAsia="en-US"/>
        </w:rPr>
        <w:t xml:space="preserve"> de la denuncia no se pueden advertir elementos que vinculen esos actos con efectos en dos o más entidades federativas o los comicios federales, la competencia se actualiza a favor de los Organismos Públicos Locales Electorales.</w:t>
      </w:r>
    </w:p>
    <w:p w14:paraId="7670E563" w14:textId="64D66D27" w:rsidR="000B6BD5" w:rsidRPr="001814A9" w:rsidRDefault="004D2AE5" w:rsidP="006B02D4">
      <w:pPr>
        <w:pStyle w:val="PRRAFOSENTENCIA"/>
        <w:suppressLineNumbers/>
        <w:spacing w:before="240" w:beforeAutospacing="0" w:after="240" w:afterAutospacing="0"/>
        <w:rPr>
          <w:rFonts w:eastAsia="Calibri"/>
          <w:bCs/>
          <w:iCs/>
          <w:color w:val="000000" w:themeColor="text1"/>
          <w:sz w:val="24"/>
          <w:szCs w:val="24"/>
          <w:lang w:val="es-ES" w:eastAsia="en-US"/>
        </w:rPr>
      </w:pPr>
      <w:r w:rsidRPr="001814A9">
        <w:rPr>
          <w:rFonts w:eastAsia="Calibri"/>
          <w:bCs/>
          <w:iCs/>
          <w:color w:val="000000" w:themeColor="text1"/>
          <w:sz w:val="24"/>
          <w:szCs w:val="24"/>
          <w:lang w:val="es-ES" w:eastAsia="en-US"/>
        </w:rPr>
        <w:t xml:space="preserve">Lo anterior, con independencia de si las conductas denunciadas se realizaron a través de redes sociales o internet, pues, como se destacó, </w:t>
      </w:r>
      <w:r w:rsidR="00D26775" w:rsidRPr="001814A9">
        <w:rPr>
          <w:rFonts w:eastAsia="Calibri"/>
          <w:bCs/>
          <w:iCs/>
          <w:color w:val="000000" w:themeColor="text1"/>
          <w:sz w:val="24"/>
          <w:szCs w:val="24"/>
          <w:lang w:val="es-ES" w:eastAsia="en-US"/>
        </w:rPr>
        <w:t xml:space="preserve">esta Sala </w:t>
      </w:r>
      <w:r w:rsidR="00D26775" w:rsidRPr="001814A9">
        <w:rPr>
          <w:rFonts w:eastAsia="Calibri"/>
          <w:bCs/>
          <w:iCs/>
          <w:color w:val="000000" w:themeColor="text1"/>
          <w:sz w:val="24"/>
          <w:szCs w:val="24"/>
          <w:lang w:val="es-ES" w:eastAsia="en-US"/>
        </w:rPr>
        <w:lastRenderedPageBreak/>
        <w:t xml:space="preserve">Superior ha sustentado que no constituyen elementos definitorios para determinar la referida competencia: </w:t>
      </w:r>
      <w:r w:rsidR="00D26775" w:rsidRPr="001814A9">
        <w:rPr>
          <w:rFonts w:eastAsia="Calibri"/>
          <w:b/>
          <w:bCs/>
          <w:iCs/>
          <w:color w:val="000000" w:themeColor="text1"/>
          <w:sz w:val="24"/>
          <w:szCs w:val="24"/>
          <w:lang w:val="es-ES" w:eastAsia="en-US"/>
        </w:rPr>
        <w:t>la calidad federal o local del servidor público denunciado</w:t>
      </w:r>
      <w:r w:rsidR="00F93199" w:rsidRPr="001814A9">
        <w:rPr>
          <w:rFonts w:eastAsia="Calibri"/>
          <w:b/>
          <w:bCs/>
          <w:iCs/>
          <w:color w:val="000000" w:themeColor="text1"/>
          <w:sz w:val="24"/>
          <w:szCs w:val="24"/>
          <w:lang w:val="es-ES" w:eastAsia="en-US"/>
        </w:rPr>
        <w:t>,</w:t>
      </w:r>
      <w:r w:rsidR="00D26775" w:rsidRPr="001814A9">
        <w:rPr>
          <w:rFonts w:eastAsia="Calibri"/>
          <w:b/>
          <w:bCs/>
          <w:iCs/>
          <w:color w:val="000000" w:themeColor="text1"/>
          <w:sz w:val="24"/>
          <w:szCs w:val="24"/>
          <w:lang w:val="es-ES" w:eastAsia="en-US"/>
        </w:rPr>
        <w:t xml:space="preserve"> ni la difusión de los actos denunciados a través de redes sociales, ya que lo relevante es la contienda electoral que se impacte</w:t>
      </w:r>
      <w:r w:rsidR="00D26775" w:rsidRPr="001814A9">
        <w:rPr>
          <w:rFonts w:eastAsia="Calibri"/>
          <w:bCs/>
          <w:iCs/>
          <w:color w:val="000000" w:themeColor="text1"/>
          <w:sz w:val="24"/>
          <w:szCs w:val="24"/>
          <w:lang w:val="es-ES" w:eastAsia="en-US"/>
        </w:rPr>
        <w:t>.</w:t>
      </w:r>
      <w:r w:rsidRPr="001814A9">
        <w:rPr>
          <w:rFonts w:eastAsia="Calibri"/>
          <w:bCs/>
          <w:iCs/>
          <w:color w:val="000000" w:themeColor="text1"/>
          <w:sz w:val="24"/>
          <w:szCs w:val="24"/>
          <w:lang w:val="es-ES" w:eastAsia="en-US"/>
        </w:rPr>
        <w:t xml:space="preserve"> Con independencia también de que la persona denunciante sea servidor o servidora pública o representante popular</w:t>
      </w:r>
      <w:r w:rsidR="00865ED4" w:rsidRPr="001814A9">
        <w:rPr>
          <w:rFonts w:eastAsia="Calibri"/>
          <w:bCs/>
          <w:iCs/>
          <w:color w:val="000000" w:themeColor="text1"/>
          <w:sz w:val="24"/>
          <w:szCs w:val="24"/>
          <w:lang w:val="es-ES" w:eastAsia="en-US"/>
        </w:rPr>
        <w:t xml:space="preserve"> federal</w:t>
      </w:r>
      <w:r w:rsidRPr="001814A9">
        <w:rPr>
          <w:rFonts w:eastAsia="Calibri"/>
          <w:bCs/>
          <w:iCs/>
          <w:color w:val="000000" w:themeColor="text1"/>
          <w:sz w:val="24"/>
          <w:szCs w:val="24"/>
          <w:lang w:val="es-ES" w:eastAsia="en-US"/>
        </w:rPr>
        <w:t>.</w:t>
      </w:r>
    </w:p>
    <w:p w14:paraId="4273F264" w14:textId="7BE206A1" w:rsidR="000B6BD5" w:rsidRPr="001814A9" w:rsidRDefault="00D26775" w:rsidP="006B02D4">
      <w:pPr>
        <w:pStyle w:val="PRRAFOSENTENCIA"/>
        <w:suppressLineNumbers/>
        <w:spacing w:before="240" w:beforeAutospacing="0" w:after="240" w:afterAutospacing="0"/>
        <w:rPr>
          <w:rFonts w:eastAsia="Calibri"/>
          <w:bCs/>
          <w:iCs/>
          <w:sz w:val="24"/>
          <w:szCs w:val="24"/>
          <w:lang w:val="es-ES" w:eastAsia="en-US"/>
        </w:rPr>
      </w:pPr>
      <w:r w:rsidRPr="001814A9">
        <w:rPr>
          <w:rFonts w:eastAsia="Calibri"/>
          <w:bCs/>
          <w:sz w:val="24"/>
          <w:szCs w:val="24"/>
          <w:lang w:val="es-ES" w:eastAsia="en-US"/>
        </w:rPr>
        <w:t xml:space="preserve">Así, cada órgano electoral administrativo y jurisdiccional, a través de </w:t>
      </w:r>
      <w:r w:rsidR="00865ED4" w:rsidRPr="001814A9">
        <w:rPr>
          <w:rFonts w:eastAsia="Calibri"/>
          <w:bCs/>
          <w:sz w:val="24"/>
          <w:szCs w:val="24"/>
          <w:lang w:val="es-ES" w:eastAsia="en-US"/>
        </w:rPr>
        <w:t>sus áreas</w:t>
      </w:r>
      <w:r w:rsidRPr="001814A9">
        <w:rPr>
          <w:rFonts w:eastAsia="Calibri"/>
          <w:bCs/>
          <w:sz w:val="24"/>
          <w:szCs w:val="24"/>
          <w:lang w:val="es-ES" w:eastAsia="en-US"/>
        </w:rPr>
        <w:t xml:space="preserve"> </w:t>
      </w:r>
      <w:r w:rsidR="00865ED4" w:rsidRPr="001814A9">
        <w:rPr>
          <w:rFonts w:eastAsia="Calibri"/>
          <w:bCs/>
          <w:sz w:val="24"/>
          <w:szCs w:val="24"/>
          <w:lang w:val="es-ES" w:eastAsia="en-US"/>
        </w:rPr>
        <w:t>respectivas</w:t>
      </w:r>
      <w:r w:rsidRPr="001814A9">
        <w:rPr>
          <w:rFonts w:eastAsia="Calibri"/>
          <w:bCs/>
          <w:sz w:val="24"/>
          <w:szCs w:val="24"/>
          <w:lang w:val="es-ES" w:eastAsia="en-US"/>
        </w:rPr>
        <w:t>, conocerán de las infracciones y, en su caso, sancionarán las conductas materia de la queja, en función de su vinculación con los procesos electorales de su competencia, pero atendiendo a las particularidades del asunto y al ámbito en el que impacten acorde al tipo de infracción que se denuncie.</w:t>
      </w:r>
      <w:r w:rsidRPr="001814A9">
        <w:rPr>
          <w:rFonts w:eastAsia="Calibri"/>
          <w:bCs/>
          <w:sz w:val="24"/>
          <w:szCs w:val="24"/>
          <w:vertAlign w:val="superscript"/>
          <w:lang w:val="es-ES" w:eastAsia="en-US"/>
        </w:rPr>
        <w:footnoteReference w:id="5"/>
      </w:r>
      <w:r w:rsidRPr="001814A9">
        <w:rPr>
          <w:rFonts w:eastAsia="Calibri"/>
          <w:bCs/>
          <w:sz w:val="24"/>
          <w:szCs w:val="24"/>
          <w:lang w:val="es-ES" w:eastAsia="en-US"/>
        </w:rPr>
        <w:t xml:space="preserve"> </w:t>
      </w:r>
    </w:p>
    <w:p w14:paraId="260DC1B0" w14:textId="7A59B155" w:rsidR="00493F2A" w:rsidRPr="00B80188" w:rsidRDefault="00D26775" w:rsidP="006B02D4">
      <w:pPr>
        <w:pStyle w:val="PRRAFOSENTENCIA"/>
        <w:suppressLineNumbers/>
        <w:spacing w:before="240" w:beforeAutospacing="0" w:after="240" w:afterAutospacing="0"/>
        <w:rPr>
          <w:rFonts w:eastAsia="Calibri"/>
          <w:bCs/>
          <w:iCs/>
          <w:sz w:val="24"/>
          <w:szCs w:val="24"/>
          <w:lang w:val="es-ES" w:eastAsia="en-US"/>
        </w:rPr>
      </w:pPr>
      <w:r w:rsidRPr="00B80188">
        <w:rPr>
          <w:rFonts w:eastAsia="Calibri"/>
          <w:bCs/>
          <w:color w:val="000000" w:themeColor="text1"/>
          <w:sz w:val="24"/>
          <w:szCs w:val="24"/>
          <w:lang w:val="es-ES" w:eastAsia="en-US"/>
        </w:rPr>
        <w:t xml:space="preserve">Por ello, </w:t>
      </w:r>
      <w:r w:rsidR="000B6BD5" w:rsidRPr="00B80188">
        <w:rPr>
          <w:rFonts w:eastAsia="Calibri"/>
          <w:bCs/>
          <w:color w:val="000000" w:themeColor="text1"/>
          <w:sz w:val="24"/>
          <w:szCs w:val="24"/>
          <w:lang w:val="es-ES" w:eastAsia="en-US"/>
        </w:rPr>
        <w:t xml:space="preserve">también se ha considerado </w:t>
      </w:r>
      <w:r w:rsidRPr="00B80188">
        <w:rPr>
          <w:rFonts w:eastAsia="Calibri"/>
          <w:bCs/>
          <w:color w:val="000000" w:themeColor="text1"/>
          <w:sz w:val="24"/>
          <w:szCs w:val="24"/>
          <w:lang w:val="es-ES" w:eastAsia="en-US"/>
        </w:rPr>
        <w:t>que la autoridad analice</w:t>
      </w:r>
      <w:r w:rsidR="00BC3A73" w:rsidRPr="00B80188">
        <w:rPr>
          <w:rFonts w:eastAsia="Calibri"/>
          <w:bCs/>
          <w:color w:val="000000" w:themeColor="text1"/>
          <w:sz w:val="24"/>
          <w:szCs w:val="24"/>
          <w:lang w:val="es-ES" w:eastAsia="en-US"/>
        </w:rPr>
        <w:t>,</w:t>
      </w:r>
      <w:r w:rsidRPr="00B80188">
        <w:rPr>
          <w:rFonts w:eastAsia="Calibri"/>
          <w:bCs/>
          <w:color w:val="000000" w:themeColor="text1"/>
          <w:sz w:val="24"/>
          <w:szCs w:val="24"/>
          <w:lang w:val="es-ES" w:eastAsia="en-US"/>
        </w:rPr>
        <w:t xml:space="preserve"> detenidamente, en cada caso, el asunto que se somete a su consideración, a fin de determinar cuáles conductas son de su competencia y cuáles no, así como si se podría configurar la figura procesal de la </w:t>
      </w:r>
      <w:r w:rsidRPr="0031053E">
        <w:rPr>
          <w:rFonts w:eastAsia="Calibri"/>
          <w:bCs/>
          <w:color w:val="000000" w:themeColor="text1"/>
          <w:sz w:val="24"/>
          <w:szCs w:val="24"/>
          <w:lang w:val="es-ES" w:eastAsia="en-US"/>
        </w:rPr>
        <w:t>continencia de la causa</w:t>
      </w:r>
      <w:r w:rsidRPr="00B80188">
        <w:rPr>
          <w:rFonts w:eastAsia="Calibri"/>
          <w:bCs/>
          <w:color w:val="000000" w:themeColor="text1"/>
          <w:sz w:val="24"/>
          <w:szCs w:val="24"/>
          <w:lang w:val="es-ES" w:eastAsia="en-US"/>
        </w:rPr>
        <w:t>.</w:t>
      </w:r>
    </w:p>
    <w:p w14:paraId="2E092A3C" w14:textId="77777777" w:rsidR="007D2088" w:rsidRPr="00B80188" w:rsidRDefault="000B6BD5" w:rsidP="00584128">
      <w:pPr>
        <w:pStyle w:val="PRRAFOSENTENCIA"/>
        <w:suppressLineNumbers/>
        <w:spacing w:before="240" w:beforeAutospacing="0" w:after="240" w:afterAutospacing="0"/>
        <w:rPr>
          <w:color w:val="000000"/>
          <w:sz w:val="24"/>
          <w:szCs w:val="24"/>
          <w:lang w:eastAsia="es-MX"/>
        </w:rPr>
      </w:pPr>
      <w:bookmarkStart w:id="14" w:name="_Hlk59708509"/>
      <w:r w:rsidRPr="00B80188">
        <w:rPr>
          <w:rFonts w:eastAsia="Calibri"/>
          <w:bCs/>
          <w:color w:val="000000" w:themeColor="text1"/>
          <w:sz w:val="24"/>
          <w:szCs w:val="24"/>
          <w:lang w:val="es-ES" w:eastAsia="en-US"/>
        </w:rPr>
        <w:t xml:space="preserve">Lo anterior, es congruente con la </w:t>
      </w:r>
      <w:r w:rsidR="0052380F" w:rsidRPr="00B80188">
        <w:rPr>
          <w:color w:val="000000" w:themeColor="text1"/>
          <w:sz w:val="24"/>
          <w:szCs w:val="24"/>
        </w:rPr>
        <w:t xml:space="preserve">jurisprudencia </w:t>
      </w:r>
      <w:r w:rsidR="0052380F" w:rsidRPr="00B80188">
        <w:rPr>
          <w:sz w:val="24"/>
          <w:szCs w:val="24"/>
          <w:lang w:eastAsia="es-MX"/>
        </w:rPr>
        <w:t>25/2015 con rubro</w:t>
      </w:r>
      <w:r w:rsidR="00584128" w:rsidRPr="00B80188">
        <w:rPr>
          <w:sz w:val="24"/>
          <w:szCs w:val="24"/>
          <w:lang w:eastAsia="es-MX"/>
        </w:rPr>
        <w:t xml:space="preserve"> “</w:t>
      </w:r>
      <w:r w:rsidR="0052380F" w:rsidRPr="00B80188">
        <w:rPr>
          <w:b/>
          <w:bCs/>
          <w:color w:val="000000"/>
          <w:sz w:val="24"/>
          <w:szCs w:val="24"/>
          <w:lang w:eastAsia="es-MX"/>
        </w:rPr>
        <w:t>COMPETENCIA. SISTEMA DE DISTRIBUCIÓN PARA CONOCER, SUSTANCIAR Y RESOLVER PROCEDIMIENTOS SANCIONADORES</w:t>
      </w:r>
      <w:r w:rsidR="00584128" w:rsidRPr="00B80188">
        <w:rPr>
          <w:b/>
          <w:bCs/>
          <w:color w:val="000000"/>
          <w:sz w:val="24"/>
          <w:szCs w:val="24"/>
          <w:lang w:eastAsia="es-MX"/>
        </w:rPr>
        <w:t xml:space="preserve">”, </w:t>
      </w:r>
      <w:r w:rsidR="00584128" w:rsidRPr="00B80188">
        <w:rPr>
          <w:color w:val="000000"/>
          <w:sz w:val="24"/>
          <w:szCs w:val="24"/>
          <w:lang w:eastAsia="es-MX"/>
        </w:rPr>
        <w:t xml:space="preserve">mediante la cual se establece que </w:t>
      </w:r>
      <w:r w:rsidR="0052380F" w:rsidRPr="00B80188">
        <w:rPr>
          <w:color w:val="000000"/>
          <w:sz w:val="24"/>
          <w:szCs w:val="24"/>
          <w:lang w:eastAsia="es-MX"/>
        </w:rPr>
        <w:t>el sistema de distribución de competencias para conocer, sustanciar y resolver los procedimientos sancionadores previstos en la</w:t>
      </w:r>
      <w:r w:rsidR="0052380F" w:rsidRPr="001814A9">
        <w:rPr>
          <w:color w:val="000000"/>
          <w:sz w:val="24"/>
          <w:szCs w:val="24"/>
          <w:lang w:eastAsia="es-MX"/>
        </w:rPr>
        <w:t xml:space="preserve"> </w:t>
      </w:r>
      <w:r w:rsidR="0052380F" w:rsidRPr="00B80188">
        <w:rPr>
          <w:color w:val="000000"/>
          <w:sz w:val="24"/>
          <w:szCs w:val="24"/>
          <w:lang w:eastAsia="es-MX"/>
        </w:rPr>
        <w:t xml:space="preserve">normativa electoral atiende, esencialmente, a la vinculación de la irregularidad denunciada con algún proceso comicial, ya sea local o federal, así como al ámbito territorial en que ocurra y tenga impacto la conducta ilegal. </w:t>
      </w:r>
    </w:p>
    <w:p w14:paraId="1A76C8DA" w14:textId="16312B58" w:rsidR="0052380F" w:rsidRPr="00B80188" w:rsidRDefault="0052380F" w:rsidP="00584128">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lastRenderedPageBreak/>
        <w:t>De esta manera, para establecer la competencia de las autoridades electorales locales para conocer de un procedimiento sancionador, debe analizarse si la irregularidad denunciada: i) se encuentra prevista como infracción en la normativa electoral local; ii) impacta solo en la elección local, de manera que no se encuentra relacionada con los comicios federales; iii) está acotada al territorio de una entidad federativa, y iv) no se trata de una conducta ilícita cuya denuncia corresponda conocer a la autoridad nacional electoral y a la Sala Especializada del Tribunal Electoral del Poder Judicial de la Federación.</w:t>
      </w:r>
    </w:p>
    <w:p w14:paraId="07A1D1A1" w14:textId="1D31AB08" w:rsidR="00DB06B9" w:rsidRPr="00B80188" w:rsidRDefault="00303661" w:rsidP="00584128">
      <w:pPr>
        <w:pStyle w:val="PRRAFOSENTENCIA"/>
        <w:suppressLineNumbers/>
        <w:spacing w:before="240" w:beforeAutospacing="0" w:after="240" w:afterAutospacing="0"/>
        <w:rPr>
          <w:color w:val="000000"/>
          <w:sz w:val="24"/>
          <w:szCs w:val="24"/>
          <w:lang w:eastAsia="es-MX"/>
        </w:rPr>
      </w:pPr>
      <w:bookmarkStart w:id="15" w:name="_Hlk60150546"/>
      <w:r w:rsidRPr="00B80188">
        <w:rPr>
          <w:color w:val="000000"/>
          <w:sz w:val="24"/>
          <w:szCs w:val="24"/>
          <w:lang w:eastAsia="es-MX"/>
        </w:rPr>
        <w:t xml:space="preserve">Ahora bien, en cuanto a la violencia política por razón de género, </w:t>
      </w:r>
      <w:r w:rsidR="00627F96" w:rsidRPr="00B80188">
        <w:rPr>
          <w:color w:val="000000"/>
          <w:sz w:val="24"/>
          <w:szCs w:val="24"/>
          <w:lang w:eastAsia="es-MX"/>
        </w:rPr>
        <w:t xml:space="preserve">la reforma publicada el trece de abril de dos mil veinte modificó diversas disposiciones legales para establecer </w:t>
      </w:r>
      <w:r w:rsidR="001C2A0E" w:rsidRPr="00B80188">
        <w:rPr>
          <w:color w:val="000000"/>
          <w:sz w:val="24"/>
          <w:szCs w:val="24"/>
          <w:lang w:eastAsia="es-MX"/>
        </w:rPr>
        <w:t xml:space="preserve">el tratamiento que las autoridades deben otorgar a </w:t>
      </w:r>
      <w:r w:rsidR="00627F96" w:rsidRPr="00B80188">
        <w:rPr>
          <w:color w:val="000000"/>
          <w:sz w:val="24"/>
          <w:szCs w:val="24"/>
          <w:lang w:eastAsia="es-MX"/>
        </w:rPr>
        <w:t>las denuncias sobre violencia política de género</w:t>
      </w:r>
      <w:r w:rsidR="001C2A0E" w:rsidRPr="00B80188">
        <w:rPr>
          <w:color w:val="000000"/>
          <w:sz w:val="24"/>
          <w:szCs w:val="24"/>
          <w:lang w:eastAsia="es-MX"/>
        </w:rPr>
        <w:t>.</w:t>
      </w:r>
    </w:p>
    <w:p w14:paraId="1324888F" w14:textId="775898D8" w:rsidR="000F3CBB" w:rsidRPr="00B80188" w:rsidRDefault="00627F96" w:rsidP="000F3CBB">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 xml:space="preserve">En específico, </w:t>
      </w:r>
      <w:r w:rsidR="000F3CBB" w:rsidRPr="00B80188">
        <w:rPr>
          <w:color w:val="000000"/>
          <w:sz w:val="24"/>
          <w:szCs w:val="24"/>
          <w:lang w:eastAsia="es-MX"/>
        </w:rPr>
        <w:t xml:space="preserve">el artículo 442, último párrafo de la Ley General dispone que las denuncias por violencia política </w:t>
      </w:r>
      <w:proofErr w:type="gramStart"/>
      <w:r w:rsidR="000F3CBB" w:rsidRPr="00B80188">
        <w:rPr>
          <w:color w:val="000000"/>
          <w:sz w:val="24"/>
          <w:szCs w:val="24"/>
          <w:lang w:eastAsia="es-MX"/>
        </w:rPr>
        <w:t>en razón de</w:t>
      </w:r>
      <w:proofErr w:type="gramEnd"/>
      <w:r w:rsidR="000F3CBB" w:rsidRPr="00B80188">
        <w:rPr>
          <w:color w:val="000000"/>
          <w:sz w:val="24"/>
          <w:szCs w:val="24"/>
          <w:lang w:eastAsia="es-MX"/>
        </w:rPr>
        <w:t xml:space="preserve"> género se sustanciarán a través del </w:t>
      </w:r>
      <w:r w:rsidR="001C2A0E" w:rsidRPr="00B80188">
        <w:rPr>
          <w:color w:val="000000"/>
          <w:sz w:val="24"/>
          <w:szCs w:val="24"/>
          <w:lang w:eastAsia="es-MX"/>
        </w:rPr>
        <w:t>procedimiento especial sancionador</w:t>
      </w:r>
      <w:r w:rsidR="000F3CBB" w:rsidRPr="00B80188">
        <w:rPr>
          <w:color w:val="000000"/>
          <w:sz w:val="24"/>
          <w:szCs w:val="24"/>
          <w:lang w:eastAsia="es-MX"/>
        </w:rPr>
        <w:t>.</w:t>
      </w:r>
    </w:p>
    <w:p w14:paraId="6BA42E2E" w14:textId="09826496" w:rsidR="00627F96" w:rsidRPr="00B80188" w:rsidRDefault="001C2A0E" w:rsidP="00584128">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 xml:space="preserve">Asimismo, </w:t>
      </w:r>
      <w:r w:rsidR="00627F96" w:rsidRPr="00B80188">
        <w:rPr>
          <w:color w:val="000000"/>
          <w:sz w:val="24"/>
          <w:szCs w:val="24"/>
          <w:lang w:eastAsia="es-MX"/>
        </w:rPr>
        <w:t xml:space="preserve">el artículo 440, párrafos 1 y 3 de </w:t>
      </w:r>
      <w:r w:rsidR="00487CA7" w:rsidRPr="00B80188">
        <w:rPr>
          <w:color w:val="000000"/>
          <w:sz w:val="24"/>
          <w:szCs w:val="24"/>
          <w:lang w:eastAsia="es-MX"/>
        </w:rPr>
        <w:t>dicha Ley</w:t>
      </w:r>
      <w:r w:rsidR="00627F96" w:rsidRPr="00B80188">
        <w:rPr>
          <w:color w:val="000000"/>
          <w:sz w:val="24"/>
          <w:szCs w:val="24"/>
          <w:lang w:eastAsia="es-MX"/>
        </w:rPr>
        <w:t xml:space="preserve"> establece </w:t>
      </w:r>
      <w:r w:rsidR="000F3CBB" w:rsidRPr="00B80188">
        <w:rPr>
          <w:color w:val="000000"/>
          <w:sz w:val="24"/>
          <w:szCs w:val="24"/>
          <w:lang w:eastAsia="es-MX"/>
        </w:rPr>
        <w:t>que l</w:t>
      </w:r>
      <w:r w:rsidR="00627F96" w:rsidRPr="00B80188">
        <w:rPr>
          <w:color w:val="000000"/>
          <w:sz w:val="24"/>
          <w:szCs w:val="24"/>
          <w:lang w:eastAsia="es-MX"/>
        </w:rPr>
        <w:t xml:space="preserve">as leyes electorales locales deberán considerar las reglas de los procedimientos sancionadores, tomando en cuenta </w:t>
      </w:r>
      <w:r w:rsidR="000F3CBB" w:rsidRPr="00B80188">
        <w:rPr>
          <w:color w:val="000000"/>
          <w:sz w:val="24"/>
          <w:szCs w:val="24"/>
          <w:lang w:eastAsia="es-MX"/>
        </w:rPr>
        <w:t>determinadas</w:t>
      </w:r>
      <w:r w:rsidR="00627F96" w:rsidRPr="00B80188">
        <w:rPr>
          <w:color w:val="000000"/>
          <w:sz w:val="24"/>
          <w:szCs w:val="24"/>
          <w:lang w:eastAsia="es-MX"/>
        </w:rPr>
        <w:t xml:space="preserve"> bases, así como que deberán regular el procedimiento especial sancionador para los casos de violencia política contra las mujeres </w:t>
      </w:r>
      <w:proofErr w:type="gramStart"/>
      <w:r w:rsidR="00627F96" w:rsidRPr="00B80188">
        <w:rPr>
          <w:color w:val="000000"/>
          <w:sz w:val="24"/>
          <w:szCs w:val="24"/>
          <w:lang w:eastAsia="es-MX"/>
        </w:rPr>
        <w:t>en razón de</w:t>
      </w:r>
      <w:proofErr w:type="gramEnd"/>
      <w:r w:rsidR="00627F96" w:rsidRPr="00B80188">
        <w:rPr>
          <w:color w:val="000000"/>
          <w:sz w:val="24"/>
          <w:szCs w:val="24"/>
          <w:lang w:eastAsia="es-MX"/>
        </w:rPr>
        <w:t xml:space="preserve"> género.</w:t>
      </w:r>
    </w:p>
    <w:p w14:paraId="005689CD" w14:textId="09B1E171" w:rsidR="00D22D3C" w:rsidRPr="00B80188" w:rsidRDefault="00D22D3C" w:rsidP="00D22D3C">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 xml:space="preserve">Del mismo modo, el artículo 474 Bis, párrafo 9 de la Ley General reconoce la competencia de los Organismos Públicos Locales Electorales en la sustanciación de los procedimientos vinculados con violencia política </w:t>
      </w:r>
      <w:proofErr w:type="gramStart"/>
      <w:r w:rsidRPr="00B80188">
        <w:rPr>
          <w:color w:val="000000"/>
          <w:sz w:val="24"/>
          <w:szCs w:val="24"/>
          <w:lang w:eastAsia="es-MX"/>
        </w:rPr>
        <w:t>en razón de</w:t>
      </w:r>
      <w:proofErr w:type="gramEnd"/>
      <w:r w:rsidRPr="00B80188">
        <w:rPr>
          <w:color w:val="000000"/>
          <w:sz w:val="24"/>
          <w:szCs w:val="24"/>
          <w:lang w:eastAsia="es-MX"/>
        </w:rPr>
        <w:t xml:space="preserve"> género, al establecer que las denuncias presentadas y los procedimientos iniciados de oficio por tales órganos, deberán ser sustanciados en lo conducente, de acuerdo lo establecido en dicho artículo.</w:t>
      </w:r>
    </w:p>
    <w:p w14:paraId="04EAFCB2" w14:textId="6A5978DD" w:rsidR="00DB06B9" w:rsidRPr="00B80188" w:rsidRDefault="00F433DD" w:rsidP="00DB06B9">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En el mismo sentido</w:t>
      </w:r>
      <w:r w:rsidR="000F3CBB" w:rsidRPr="00B80188">
        <w:rPr>
          <w:color w:val="000000"/>
          <w:sz w:val="24"/>
          <w:szCs w:val="24"/>
          <w:lang w:eastAsia="es-MX"/>
        </w:rPr>
        <w:t>, el artículo 48 Bis</w:t>
      </w:r>
      <w:r w:rsidRPr="00B80188">
        <w:rPr>
          <w:color w:val="000000"/>
          <w:sz w:val="24"/>
          <w:szCs w:val="24"/>
          <w:lang w:eastAsia="es-MX"/>
        </w:rPr>
        <w:t xml:space="preserve">, fracción III </w:t>
      </w:r>
      <w:r w:rsidR="000F3CBB" w:rsidRPr="00B80188">
        <w:rPr>
          <w:color w:val="000000"/>
          <w:sz w:val="24"/>
          <w:szCs w:val="24"/>
          <w:lang w:eastAsia="es-MX"/>
        </w:rPr>
        <w:t>de la L</w:t>
      </w:r>
      <w:r w:rsidR="00DB06B9" w:rsidRPr="00B80188">
        <w:rPr>
          <w:color w:val="000000"/>
          <w:sz w:val="24"/>
          <w:szCs w:val="24"/>
          <w:lang w:eastAsia="es-MX"/>
        </w:rPr>
        <w:t xml:space="preserve">ey General de Acceso de las Mujeres a una Vida Libre de Violencia </w:t>
      </w:r>
      <w:r w:rsidRPr="00B80188">
        <w:rPr>
          <w:color w:val="000000"/>
          <w:sz w:val="24"/>
          <w:szCs w:val="24"/>
          <w:lang w:eastAsia="es-MX"/>
        </w:rPr>
        <w:t xml:space="preserve">indica que corresponde </w:t>
      </w:r>
      <w:r w:rsidR="004B5FA2" w:rsidRPr="00B80188">
        <w:rPr>
          <w:color w:val="000000"/>
          <w:sz w:val="24"/>
          <w:szCs w:val="24"/>
          <w:lang w:eastAsia="es-MX"/>
        </w:rPr>
        <w:t>el</w:t>
      </w:r>
      <w:r w:rsidRPr="00B80188">
        <w:rPr>
          <w:color w:val="000000"/>
          <w:sz w:val="24"/>
          <w:szCs w:val="24"/>
          <w:lang w:eastAsia="es-MX"/>
        </w:rPr>
        <w:t xml:space="preserve"> Instituto Nacional Electoral y a los Organismos Públicos Locales Electorales, en el ámbito de sus competencias, </w:t>
      </w:r>
      <w:r w:rsidR="0069230D" w:rsidRPr="00B80188">
        <w:rPr>
          <w:color w:val="000000"/>
          <w:sz w:val="24"/>
          <w:szCs w:val="24"/>
          <w:lang w:eastAsia="es-MX"/>
        </w:rPr>
        <w:t>s</w:t>
      </w:r>
      <w:r w:rsidRPr="00B80188">
        <w:rPr>
          <w:color w:val="000000"/>
          <w:sz w:val="24"/>
          <w:szCs w:val="24"/>
          <w:lang w:eastAsia="es-MX"/>
        </w:rPr>
        <w:t xml:space="preserve">ancionar, de acuerdo con la normatividad </w:t>
      </w:r>
      <w:r w:rsidRPr="00B80188">
        <w:rPr>
          <w:color w:val="000000"/>
          <w:sz w:val="24"/>
          <w:szCs w:val="24"/>
          <w:lang w:eastAsia="es-MX"/>
        </w:rPr>
        <w:lastRenderedPageBreak/>
        <w:t xml:space="preserve">aplicable, las conductas que constituyan violencia política contra las mujeres </w:t>
      </w:r>
      <w:proofErr w:type="gramStart"/>
      <w:r w:rsidRPr="00B80188">
        <w:rPr>
          <w:color w:val="000000"/>
          <w:sz w:val="24"/>
          <w:szCs w:val="24"/>
          <w:lang w:eastAsia="es-MX"/>
        </w:rPr>
        <w:t>en razón de</w:t>
      </w:r>
      <w:proofErr w:type="gramEnd"/>
      <w:r w:rsidRPr="00B80188">
        <w:rPr>
          <w:color w:val="000000"/>
          <w:sz w:val="24"/>
          <w:szCs w:val="24"/>
          <w:lang w:eastAsia="es-MX"/>
        </w:rPr>
        <w:t xml:space="preserve"> género.</w:t>
      </w:r>
    </w:p>
    <w:p w14:paraId="09FF523D" w14:textId="02A8ABD1" w:rsidR="003827EE" w:rsidRPr="00B80188" w:rsidRDefault="004B5FA2" w:rsidP="006B02D4">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 xml:space="preserve">En suma, si bien la legislación no establece una distribución concreta de competencias entre el Instituto Nacional Electoral y a los Organismos Públicos Locales Electorales para conocer de denuncias vinculadas con violencia política de género, lo cierto es que los criterios emitidos por este </w:t>
      </w:r>
      <w:r w:rsidR="003827EE" w:rsidRPr="00B80188">
        <w:rPr>
          <w:color w:val="000000"/>
          <w:sz w:val="24"/>
          <w:szCs w:val="24"/>
          <w:lang w:eastAsia="es-MX"/>
        </w:rPr>
        <w:t>órgano jurisdiccional han perfilado una doctrina judicial consistente, en cuanto a los elementos que deben considerarse para definir la competencia de la autoridad</w:t>
      </w:r>
      <w:r w:rsidR="00054870" w:rsidRPr="00B80188">
        <w:rPr>
          <w:color w:val="000000"/>
          <w:sz w:val="24"/>
          <w:szCs w:val="24"/>
          <w:lang w:eastAsia="es-MX"/>
        </w:rPr>
        <w:t xml:space="preserve"> nacional o local</w:t>
      </w:r>
      <w:r w:rsidR="003827EE" w:rsidRPr="00B80188">
        <w:rPr>
          <w:color w:val="000000"/>
          <w:sz w:val="24"/>
          <w:szCs w:val="24"/>
          <w:lang w:eastAsia="es-MX"/>
        </w:rPr>
        <w:t xml:space="preserve"> que debe instruir el procedimiento especial sancionador respectivo. </w:t>
      </w:r>
    </w:p>
    <w:p w14:paraId="2B95F181" w14:textId="66E1E55D" w:rsidR="003827EE" w:rsidRPr="00B80188" w:rsidRDefault="003827EE" w:rsidP="006B02D4">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En efecto, los criterios de esta Sala Superior apuntan a que</w:t>
      </w:r>
      <w:r w:rsidR="00E866AB" w:rsidRPr="00B80188">
        <w:rPr>
          <w:color w:val="000000"/>
          <w:sz w:val="24"/>
          <w:szCs w:val="24"/>
          <w:lang w:eastAsia="es-MX"/>
        </w:rPr>
        <w:t xml:space="preserve"> un primer elemento, será el tipo de proceso electoral en que pudieran incidir o no las conducta</w:t>
      </w:r>
      <w:r w:rsidR="00054870" w:rsidRPr="00B80188">
        <w:rPr>
          <w:color w:val="000000"/>
          <w:sz w:val="24"/>
          <w:szCs w:val="24"/>
          <w:lang w:eastAsia="es-MX"/>
        </w:rPr>
        <w:t>s</w:t>
      </w:r>
      <w:r w:rsidR="00E866AB" w:rsidRPr="00B80188">
        <w:rPr>
          <w:color w:val="000000"/>
          <w:sz w:val="24"/>
          <w:szCs w:val="24"/>
          <w:lang w:eastAsia="es-MX"/>
        </w:rPr>
        <w:t xml:space="preserve"> denunciada</w:t>
      </w:r>
      <w:r w:rsidR="00054870" w:rsidRPr="00B80188">
        <w:rPr>
          <w:color w:val="000000"/>
          <w:sz w:val="24"/>
          <w:szCs w:val="24"/>
          <w:lang w:eastAsia="es-MX"/>
        </w:rPr>
        <w:t>s</w:t>
      </w:r>
      <w:r w:rsidR="00BA3442" w:rsidRPr="00B80188">
        <w:rPr>
          <w:color w:val="000000"/>
          <w:sz w:val="24"/>
          <w:szCs w:val="24"/>
          <w:lang w:eastAsia="es-MX"/>
        </w:rPr>
        <w:t>, es decir, si impacta en una elección federal y/o local</w:t>
      </w:r>
      <w:r w:rsidR="00E866AB" w:rsidRPr="00B80188">
        <w:rPr>
          <w:color w:val="000000"/>
          <w:sz w:val="24"/>
          <w:szCs w:val="24"/>
          <w:lang w:eastAsia="es-MX"/>
        </w:rPr>
        <w:t>, asimismo, tendrá que considerarse la demarcación territorial en la que</w:t>
      </w:r>
      <w:r w:rsidR="00054870" w:rsidRPr="00B80188">
        <w:rPr>
          <w:color w:val="000000"/>
          <w:sz w:val="24"/>
          <w:szCs w:val="24"/>
          <w:lang w:eastAsia="es-MX"/>
        </w:rPr>
        <w:t xml:space="preserve"> presuntamente</w:t>
      </w:r>
      <w:r w:rsidR="00E866AB" w:rsidRPr="00B80188">
        <w:rPr>
          <w:color w:val="000000"/>
          <w:sz w:val="24"/>
          <w:szCs w:val="24"/>
          <w:lang w:eastAsia="es-MX"/>
        </w:rPr>
        <w:t xml:space="preserve"> tienen sus efectos los hechos</w:t>
      </w:r>
      <w:r w:rsidR="00BA3442" w:rsidRPr="00B80188">
        <w:rPr>
          <w:color w:val="000000"/>
          <w:sz w:val="24"/>
          <w:szCs w:val="24"/>
          <w:lang w:eastAsia="es-MX"/>
        </w:rPr>
        <w:t>, esto es, si se ciñen al territorio de una entidad federativa o trascienden a otras; también debe atenderse a si se trata o no de infracciones que son competencia exclusiva de las autoridades nacionales.</w:t>
      </w:r>
    </w:p>
    <w:p w14:paraId="6677B05F" w14:textId="4AC22BD1" w:rsidR="00054870" w:rsidRPr="00B80188" w:rsidRDefault="00054870" w:rsidP="006B02D4">
      <w:pPr>
        <w:pStyle w:val="PRRAFOSENTENCIA"/>
        <w:suppressLineNumbers/>
        <w:spacing w:before="240" w:beforeAutospacing="0" w:after="240" w:afterAutospacing="0"/>
        <w:rPr>
          <w:color w:val="000000"/>
          <w:sz w:val="24"/>
          <w:szCs w:val="24"/>
          <w:lang w:eastAsia="es-MX"/>
        </w:rPr>
      </w:pPr>
      <w:r w:rsidRPr="00B80188">
        <w:rPr>
          <w:color w:val="000000"/>
          <w:sz w:val="24"/>
          <w:szCs w:val="24"/>
          <w:lang w:eastAsia="es-MX"/>
        </w:rPr>
        <w:t>E</w:t>
      </w:r>
      <w:r w:rsidR="00BA3442" w:rsidRPr="00B80188">
        <w:rPr>
          <w:color w:val="000000"/>
          <w:sz w:val="24"/>
          <w:szCs w:val="24"/>
          <w:lang w:eastAsia="es-MX"/>
        </w:rPr>
        <w:t>llo, e</w:t>
      </w:r>
      <w:r w:rsidRPr="00B80188">
        <w:rPr>
          <w:color w:val="000000"/>
          <w:sz w:val="24"/>
          <w:szCs w:val="24"/>
          <w:lang w:eastAsia="es-MX"/>
        </w:rPr>
        <w:t xml:space="preserve">n el entendido que el análisis de la competencia debe realizarse atendiendo a las particularidades del caso concreto, porque pueden surgir elementos adicionales que justifiquen el conocimiento de los hechos por parte de una u otra autoridad electoral.  </w:t>
      </w:r>
    </w:p>
    <w:bookmarkEnd w:id="14"/>
    <w:bookmarkEnd w:id="15"/>
    <w:p w14:paraId="117B01B7" w14:textId="61E1E4D1" w:rsidR="005307C5" w:rsidRPr="00B80188" w:rsidRDefault="000B6BD5" w:rsidP="006B02D4">
      <w:pPr>
        <w:pStyle w:val="PRRAFOSENTENCIA"/>
        <w:suppressLineNumbers/>
        <w:spacing w:before="240" w:beforeAutospacing="0" w:after="240" w:afterAutospacing="0"/>
        <w:rPr>
          <w:rFonts w:eastAsia="Calibri"/>
          <w:bCs/>
          <w:color w:val="000000" w:themeColor="text1"/>
          <w:sz w:val="24"/>
          <w:szCs w:val="24"/>
          <w:lang w:val="es-ES" w:eastAsia="en-US"/>
        </w:rPr>
      </w:pPr>
      <w:r w:rsidRPr="00B80188">
        <w:rPr>
          <w:rFonts w:eastAsia="Calibri"/>
          <w:bCs/>
          <w:color w:val="000000" w:themeColor="text1"/>
          <w:sz w:val="24"/>
          <w:szCs w:val="24"/>
          <w:lang w:val="es-ES" w:eastAsia="en-US"/>
        </w:rPr>
        <w:t xml:space="preserve">En </w:t>
      </w:r>
      <w:r w:rsidR="007311A8" w:rsidRPr="00B80188">
        <w:rPr>
          <w:rFonts w:eastAsia="Calibri"/>
          <w:bCs/>
          <w:color w:val="000000" w:themeColor="text1"/>
          <w:sz w:val="24"/>
          <w:szCs w:val="24"/>
          <w:lang w:val="es-ES" w:eastAsia="en-US"/>
        </w:rPr>
        <w:t xml:space="preserve">el </w:t>
      </w:r>
      <w:r w:rsidRPr="00B80188">
        <w:rPr>
          <w:rFonts w:eastAsia="Calibri"/>
          <w:bCs/>
          <w:color w:val="000000" w:themeColor="text1"/>
          <w:sz w:val="24"/>
          <w:szCs w:val="24"/>
          <w:lang w:val="es-ES" w:eastAsia="en-US"/>
        </w:rPr>
        <w:t>caso</w:t>
      </w:r>
      <w:r w:rsidR="005307C5" w:rsidRPr="00B80188">
        <w:rPr>
          <w:rFonts w:eastAsia="Calibri"/>
          <w:bCs/>
          <w:color w:val="000000" w:themeColor="text1"/>
          <w:sz w:val="24"/>
          <w:szCs w:val="24"/>
          <w:lang w:val="es-ES" w:eastAsia="en-US"/>
        </w:rPr>
        <w:t>,</w:t>
      </w:r>
      <w:r w:rsidR="00DA3AE6" w:rsidRPr="00B80188">
        <w:rPr>
          <w:rFonts w:eastAsia="Calibri"/>
          <w:bCs/>
          <w:color w:val="000000" w:themeColor="text1"/>
          <w:sz w:val="24"/>
          <w:szCs w:val="24"/>
          <w:lang w:val="es-ES" w:eastAsia="en-US"/>
        </w:rPr>
        <w:t xml:space="preserve"> </w:t>
      </w:r>
      <w:r w:rsidR="00690108" w:rsidRPr="00B80188">
        <w:rPr>
          <w:rFonts w:eastAsia="Calibri"/>
          <w:bCs/>
          <w:color w:val="000000" w:themeColor="text1"/>
          <w:sz w:val="24"/>
          <w:szCs w:val="24"/>
          <w:lang w:val="es-ES" w:eastAsia="en-US"/>
        </w:rPr>
        <w:t xml:space="preserve">del Acuerdo que plantea </w:t>
      </w:r>
      <w:r w:rsidR="00AB46B3" w:rsidRPr="00B80188">
        <w:rPr>
          <w:rFonts w:eastAsia="Calibri"/>
          <w:bCs/>
          <w:color w:val="000000" w:themeColor="text1"/>
          <w:sz w:val="24"/>
          <w:szCs w:val="24"/>
          <w:lang w:val="es-ES" w:eastAsia="en-US"/>
        </w:rPr>
        <w:t xml:space="preserve">la </w:t>
      </w:r>
      <w:r w:rsidR="00690108" w:rsidRPr="00B80188">
        <w:rPr>
          <w:rFonts w:eastAsia="Calibri"/>
          <w:bCs/>
          <w:color w:val="000000" w:themeColor="text1"/>
          <w:sz w:val="24"/>
          <w:szCs w:val="24"/>
          <w:lang w:val="es-ES" w:eastAsia="en-US"/>
        </w:rPr>
        <w:t>consulta competencial</w:t>
      </w:r>
      <w:r w:rsidR="005307C5" w:rsidRPr="00B80188">
        <w:rPr>
          <w:rFonts w:eastAsia="Calibri"/>
          <w:bCs/>
          <w:color w:val="000000" w:themeColor="text1"/>
          <w:sz w:val="24"/>
          <w:szCs w:val="24"/>
          <w:lang w:val="es-ES" w:eastAsia="en-US"/>
        </w:rPr>
        <w:t xml:space="preserve"> se advierten los siguientes elementos:</w:t>
      </w:r>
    </w:p>
    <w:p w14:paraId="1758FB64" w14:textId="379D49F0" w:rsidR="00FB4BBE" w:rsidRPr="00B80188" w:rsidRDefault="00FB4BBE" w:rsidP="00FB4BBE">
      <w:pPr>
        <w:pStyle w:val="PRRAFOSENTENCIA"/>
        <w:numPr>
          <w:ilvl w:val="0"/>
          <w:numId w:val="17"/>
        </w:numPr>
        <w:suppressLineNumbers/>
        <w:spacing w:before="240" w:beforeAutospacing="0" w:after="240" w:afterAutospacing="0"/>
        <w:rPr>
          <w:rFonts w:eastAsia="Calibri"/>
          <w:bCs/>
          <w:iCs/>
          <w:sz w:val="24"/>
          <w:szCs w:val="24"/>
          <w:lang w:val="es-ES" w:eastAsia="en-US"/>
        </w:rPr>
      </w:pPr>
      <w:r w:rsidRPr="00B80188">
        <w:rPr>
          <w:rFonts w:eastAsia="Calibri"/>
          <w:bCs/>
          <w:iCs/>
          <w:sz w:val="24"/>
          <w:szCs w:val="24"/>
          <w:lang w:val="es-ES" w:eastAsia="en-US"/>
        </w:rPr>
        <w:t>La actor</w:t>
      </w:r>
      <w:r w:rsidR="00B44ED4" w:rsidRPr="00B80188">
        <w:rPr>
          <w:rFonts w:eastAsia="Calibri"/>
          <w:bCs/>
          <w:iCs/>
          <w:sz w:val="24"/>
          <w:szCs w:val="24"/>
          <w:lang w:val="es-ES" w:eastAsia="en-US"/>
        </w:rPr>
        <w:t>a es Senadora de la República electa por el principio de representación proporcional</w:t>
      </w:r>
      <w:r w:rsidR="00494291" w:rsidRPr="00B80188">
        <w:rPr>
          <w:rFonts w:eastAsia="Calibri"/>
          <w:bCs/>
          <w:iCs/>
          <w:sz w:val="24"/>
          <w:szCs w:val="24"/>
          <w:lang w:val="es-ES" w:eastAsia="en-US"/>
        </w:rPr>
        <w:t xml:space="preserve"> y denunció al presidente del Comité Directivo Estatal del Partido Acción Nacional</w:t>
      </w:r>
      <w:r w:rsidR="00D14BAB" w:rsidRPr="00B80188">
        <w:rPr>
          <w:rFonts w:eastAsia="Calibri"/>
          <w:bCs/>
          <w:iCs/>
          <w:sz w:val="24"/>
          <w:szCs w:val="24"/>
          <w:lang w:val="es-ES" w:eastAsia="en-US"/>
        </w:rPr>
        <w:t xml:space="preserve"> </w:t>
      </w:r>
      <w:r w:rsidR="00CB208B" w:rsidRPr="00B80188">
        <w:rPr>
          <w:rFonts w:eastAsia="Calibri"/>
          <w:bCs/>
          <w:iCs/>
          <w:sz w:val="24"/>
          <w:szCs w:val="24"/>
          <w:lang w:val="es-ES" w:eastAsia="en-US"/>
        </w:rPr>
        <w:t xml:space="preserve">en el estado de Guanajuato </w:t>
      </w:r>
      <w:r w:rsidR="00D14BAB" w:rsidRPr="00B80188">
        <w:rPr>
          <w:rFonts w:eastAsia="Calibri"/>
          <w:bCs/>
          <w:iCs/>
          <w:sz w:val="24"/>
          <w:szCs w:val="24"/>
          <w:lang w:val="es-ES" w:eastAsia="en-US"/>
        </w:rPr>
        <w:t xml:space="preserve">-y a dicho partido- por hechos presuntamente constitutivos de violencia política </w:t>
      </w:r>
      <w:r w:rsidR="007E5F54" w:rsidRPr="00B80188">
        <w:rPr>
          <w:rFonts w:eastAsia="Calibri"/>
          <w:bCs/>
          <w:iCs/>
          <w:sz w:val="24"/>
          <w:szCs w:val="24"/>
          <w:lang w:val="es-ES" w:eastAsia="en-US"/>
        </w:rPr>
        <w:t>en su contra;</w:t>
      </w:r>
    </w:p>
    <w:p w14:paraId="2BCC3517" w14:textId="30A601F6" w:rsidR="00B44ED4" w:rsidRPr="00B80188" w:rsidRDefault="007E5F54" w:rsidP="00FB4BBE">
      <w:pPr>
        <w:pStyle w:val="PRRAFOSENTENCIA"/>
        <w:numPr>
          <w:ilvl w:val="0"/>
          <w:numId w:val="17"/>
        </w:numPr>
        <w:suppressLineNumbers/>
        <w:spacing w:before="240" w:beforeAutospacing="0" w:after="240" w:afterAutospacing="0"/>
        <w:rPr>
          <w:rFonts w:eastAsia="Calibri"/>
          <w:bCs/>
          <w:iCs/>
          <w:sz w:val="24"/>
          <w:szCs w:val="24"/>
          <w:lang w:val="es-ES" w:eastAsia="en-US"/>
        </w:rPr>
      </w:pPr>
      <w:r w:rsidRPr="00B80188">
        <w:rPr>
          <w:rFonts w:eastAsia="Calibri"/>
          <w:bCs/>
          <w:iCs/>
          <w:sz w:val="24"/>
          <w:szCs w:val="24"/>
          <w:lang w:val="es-ES" w:eastAsia="en-US"/>
        </w:rPr>
        <w:t>Los hechos denunciados consisten en diversas declaraciones públicas</w:t>
      </w:r>
      <w:r w:rsidR="00C32D3F" w:rsidRPr="00B80188">
        <w:rPr>
          <w:rFonts w:eastAsia="Calibri"/>
          <w:bCs/>
          <w:iCs/>
          <w:sz w:val="24"/>
          <w:szCs w:val="24"/>
          <w:lang w:val="es-ES" w:eastAsia="en-US"/>
        </w:rPr>
        <w:t xml:space="preserve"> difundidas a través del Periódico Correo y de la red social Twitter</w:t>
      </w:r>
      <w:r w:rsidR="00AA578A" w:rsidRPr="00B80188">
        <w:rPr>
          <w:rFonts w:eastAsia="Calibri"/>
          <w:bCs/>
          <w:iCs/>
          <w:sz w:val="24"/>
          <w:szCs w:val="24"/>
          <w:lang w:val="es-ES" w:eastAsia="en-US"/>
        </w:rPr>
        <w:t>.</w:t>
      </w:r>
    </w:p>
    <w:p w14:paraId="6D2B0065" w14:textId="3751787F" w:rsidR="00FB4BBE" w:rsidRPr="00B80188" w:rsidRDefault="007D2088" w:rsidP="00F242C6">
      <w:pPr>
        <w:pStyle w:val="PRRAFOSENTENCIA"/>
        <w:numPr>
          <w:ilvl w:val="0"/>
          <w:numId w:val="17"/>
        </w:numPr>
        <w:suppressLineNumbers/>
        <w:spacing w:before="240" w:beforeAutospacing="0" w:after="240" w:afterAutospacing="0"/>
        <w:rPr>
          <w:rFonts w:eastAsia="Calibri"/>
          <w:bCs/>
          <w:iCs/>
          <w:sz w:val="24"/>
          <w:szCs w:val="24"/>
          <w:lang w:val="es-ES" w:eastAsia="en-US"/>
        </w:rPr>
      </w:pPr>
      <w:r w:rsidRPr="00B80188">
        <w:rPr>
          <w:rFonts w:eastAsia="Calibri"/>
          <w:bCs/>
          <w:iCs/>
          <w:sz w:val="24"/>
          <w:szCs w:val="24"/>
          <w:lang w:val="es-ES" w:eastAsia="en-US"/>
        </w:rPr>
        <w:lastRenderedPageBreak/>
        <w:t xml:space="preserve">Se controvierte una sentencia de un </w:t>
      </w:r>
      <w:r w:rsidR="00487CA7" w:rsidRPr="00B80188">
        <w:rPr>
          <w:rFonts w:eastAsia="Calibri"/>
          <w:bCs/>
          <w:iCs/>
          <w:sz w:val="24"/>
          <w:szCs w:val="24"/>
          <w:lang w:val="es-ES" w:eastAsia="en-US"/>
        </w:rPr>
        <w:t>T</w:t>
      </w:r>
      <w:r w:rsidRPr="00B80188">
        <w:rPr>
          <w:rFonts w:eastAsia="Calibri"/>
          <w:bCs/>
          <w:iCs/>
          <w:sz w:val="24"/>
          <w:szCs w:val="24"/>
          <w:lang w:val="es-ES" w:eastAsia="en-US"/>
        </w:rPr>
        <w:t xml:space="preserve">ribunal </w:t>
      </w:r>
      <w:r w:rsidR="00487CA7" w:rsidRPr="00B80188">
        <w:rPr>
          <w:rFonts w:eastAsia="Calibri"/>
          <w:bCs/>
          <w:iCs/>
          <w:sz w:val="24"/>
          <w:szCs w:val="24"/>
          <w:lang w:val="es-ES" w:eastAsia="en-US"/>
        </w:rPr>
        <w:t>l</w:t>
      </w:r>
      <w:r w:rsidRPr="00B80188">
        <w:rPr>
          <w:rFonts w:eastAsia="Calibri"/>
          <w:bCs/>
          <w:iCs/>
          <w:sz w:val="24"/>
          <w:szCs w:val="24"/>
          <w:lang w:val="es-ES" w:eastAsia="en-US"/>
        </w:rPr>
        <w:t>ocal</w:t>
      </w:r>
    </w:p>
    <w:p w14:paraId="1E01C688" w14:textId="46CB2188" w:rsidR="00DA3AE6" w:rsidRPr="00B80188" w:rsidRDefault="00DA3AE6" w:rsidP="00F242C6">
      <w:pPr>
        <w:pStyle w:val="PRRAFOSENTENCIA"/>
        <w:suppressLineNumbers/>
        <w:spacing w:before="240" w:beforeAutospacing="0" w:after="240" w:afterAutospacing="0"/>
        <w:rPr>
          <w:rFonts w:eastAsia="Calibri"/>
          <w:bCs/>
          <w:color w:val="000000" w:themeColor="text1"/>
          <w:sz w:val="24"/>
          <w:szCs w:val="24"/>
          <w:lang w:val="es-ES" w:eastAsia="en-US"/>
        </w:rPr>
      </w:pPr>
      <w:r w:rsidRPr="00B80188">
        <w:rPr>
          <w:rFonts w:eastAsia="Calibri"/>
          <w:bCs/>
          <w:color w:val="000000" w:themeColor="text1"/>
          <w:sz w:val="24"/>
          <w:szCs w:val="24"/>
          <w:lang w:val="es-ES" w:eastAsia="en-US"/>
        </w:rPr>
        <w:t xml:space="preserve">Como se advierte de lo expuesto, los hechos no involucran una posible afectación a un proceso electoral federal, tampoco hechos que sean de la competencia exclusiva de la autoridad nacional, siendo que existen elementos que </w:t>
      </w:r>
      <w:r w:rsidR="00382065" w:rsidRPr="00B80188">
        <w:rPr>
          <w:rFonts w:eastAsia="Calibri"/>
          <w:bCs/>
          <w:color w:val="000000" w:themeColor="text1"/>
          <w:sz w:val="24"/>
          <w:szCs w:val="24"/>
          <w:lang w:val="es-ES" w:eastAsia="en-US"/>
        </w:rPr>
        <w:t>per</w:t>
      </w:r>
      <w:r w:rsidR="001155FD" w:rsidRPr="00B80188">
        <w:rPr>
          <w:rFonts w:eastAsia="Calibri"/>
          <w:bCs/>
          <w:color w:val="000000" w:themeColor="text1"/>
          <w:sz w:val="24"/>
          <w:szCs w:val="24"/>
          <w:lang w:val="es-ES" w:eastAsia="en-US"/>
        </w:rPr>
        <w:t>m</w:t>
      </w:r>
      <w:r w:rsidR="00382065" w:rsidRPr="00B80188">
        <w:rPr>
          <w:rFonts w:eastAsia="Calibri"/>
          <w:bCs/>
          <w:color w:val="000000" w:themeColor="text1"/>
          <w:sz w:val="24"/>
          <w:szCs w:val="24"/>
          <w:lang w:val="es-ES" w:eastAsia="en-US"/>
        </w:rPr>
        <w:t xml:space="preserve">iten suponer que, en principio, </w:t>
      </w:r>
      <w:r w:rsidRPr="00B80188">
        <w:rPr>
          <w:rFonts w:eastAsia="Calibri"/>
          <w:bCs/>
          <w:color w:val="000000" w:themeColor="text1"/>
          <w:sz w:val="24"/>
          <w:szCs w:val="24"/>
          <w:lang w:val="es-ES" w:eastAsia="en-US"/>
        </w:rPr>
        <w:t>los hechos se circunscriben al ámbito local</w:t>
      </w:r>
      <w:r w:rsidR="00EA6F84" w:rsidRPr="00B80188">
        <w:rPr>
          <w:rFonts w:eastAsia="Calibri"/>
          <w:bCs/>
          <w:color w:val="000000" w:themeColor="text1"/>
          <w:sz w:val="24"/>
          <w:szCs w:val="24"/>
          <w:lang w:val="es-ES" w:eastAsia="en-US"/>
        </w:rPr>
        <w:t>.</w:t>
      </w:r>
    </w:p>
    <w:p w14:paraId="79D23731" w14:textId="6A73F66C" w:rsidR="00EA6F84" w:rsidRPr="00B80188" w:rsidRDefault="00EA6F84" w:rsidP="00F242C6">
      <w:pPr>
        <w:pStyle w:val="PRRAFOSENTENCIA"/>
        <w:suppressLineNumbers/>
        <w:spacing w:before="240" w:beforeAutospacing="0" w:after="240" w:afterAutospacing="0"/>
        <w:rPr>
          <w:rFonts w:eastAsia="Calibri"/>
          <w:bCs/>
          <w:iCs/>
          <w:sz w:val="24"/>
          <w:szCs w:val="24"/>
          <w:lang w:val="es-ES" w:eastAsia="en-US"/>
        </w:rPr>
      </w:pPr>
      <w:r w:rsidRPr="00B80188">
        <w:rPr>
          <w:rFonts w:eastAsia="Calibri"/>
          <w:bCs/>
          <w:color w:val="000000" w:themeColor="text1"/>
          <w:sz w:val="24"/>
          <w:szCs w:val="24"/>
          <w:lang w:val="es-ES" w:eastAsia="en-US"/>
        </w:rPr>
        <w:t>El acto impugnado es una sentencia de un tribunal electoral local, cuya impugnación en principio correspondería conocer a la Sala Regional que ejerce jurisdicción sobre la entidad, y no a la Sala Superior.</w:t>
      </w:r>
    </w:p>
    <w:p w14:paraId="01DE400A" w14:textId="77DAABAB" w:rsidR="008434AD" w:rsidRPr="00B80188" w:rsidRDefault="00570EEC" w:rsidP="006B02D4">
      <w:pPr>
        <w:pStyle w:val="PRRAFOSENTENCIA"/>
        <w:suppressLineNumbers/>
        <w:spacing w:before="240" w:beforeAutospacing="0" w:after="240" w:afterAutospacing="0"/>
        <w:rPr>
          <w:rFonts w:eastAsia="Calibri"/>
          <w:bCs/>
          <w:color w:val="000000" w:themeColor="text1"/>
          <w:sz w:val="24"/>
          <w:szCs w:val="24"/>
          <w:lang w:val="es-ES" w:eastAsia="en-US"/>
        </w:rPr>
      </w:pPr>
      <w:r w:rsidRPr="00B80188">
        <w:rPr>
          <w:rFonts w:eastAsia="Calibri"/>
          <w:bCs/>
          <w:color w:val="000000" w:themeColor="text1"/>
          <w:sz w:val="24"/>
          <w:szCs w:val="24"/>
          <w:lang w:val="es-ES" w:eastAsia="en-US"/>
        </w:rPr>
        <w:t xml:space="preserve">Aunado a lo anterior, se advierte que </w:t>
      </w:r>
      <w:r w:rsidR="001E14D4" w:rsidRPr="00B80188">
        <w:rPr>
          <w:bCs/>
          <w:iCs/>
          <w:sz w:val="24"/>
          <w:szCs w:val="24"/>
        </w:rPr>
        <w:t>Ley General de Instituciones y Procedimientos Electorales</w:t>
      </w:r>
      <w:r w:rsidR="001E14D4" w:rsidRPr="00B80188">
        <w:rPr>
          <w:rFonts w:eastAsia="Calibri"/>
          <w:bCs/>
          <w:color w:val="000000" w:themeColor="text1"/>
          <w:sz w:val="24"/>
          <w:szCs w:val="24"/>
          <w:lang w:val="es-ES" w:eastAsia="en-US"/>
        </w:rPr>
        <w:t xml:space="preserve"> </w:t>
      </w:r>
      <w:r w:rsidR="0009083D" w:rsidRPr="00B80188">
        <w:rPr>
          <w:rFonts w:eastAsia="Calibri"/>
          <w:bCs/>
          <w:color w:val="000000" w:themeColor="text1"/>
          <w:sz w:val="24"/>
          <w:szCs w:val="24"/>
          <w:lang w:val="es-ES" w:eastAsia="en-US"/>
        </w:rPr>
        <w:t xml:space="preserve">establece en el artículo </w:t>
      </w:r>
      <w:r w:rsidR="00E06274" w:rsidRPr="00B80188">
        <w:rPr>
          <w:rFonts w:eastAsia="Calibri"/>
          <w:bCs/>
          <w:color w:val="000000" w:themeColor="text1"/>
          <w:sz w:val="24"/>
          <w:szCs w:val="24"/>
          <w:lang w:val="es-ES" w:eastAsia="en-US"/>
        </w:rPr>
        <w:t xml:space="preserve">442 </w:t>
      </w:r>
      <w:r w:rsidR="00E06274" w:rsidRPr="00B80188">
        <w:rPr>
          <w:bCs/>
          <w:iCs/>
          <w:sz w:val="24"/>
          <w:szCs w:val="24"/>
        </w:rPr>
        <w:t xml:space="preserve">que las quejas o denuncias por </w:t>
      </w:r>
      <w:r w:rsidR="00FB5B9C" w:rsidRPr="00B80188">
        <w:rPr>
          <w:rFonts w:eastAsia="Calibri"/>
          <w:bCs/>
          <w:color w:val="000000" w:themeColor="text1"/>
          <w:sz w:val="24"/>
          <w:szCs w:val="24"/>
          <w:lang w:val="es-ES" w:eastAsia="en-US"/>
        </w:rPr>
        <w:t xml:space="preserve">violencia política contra las mujeres </w:t>
      </w:r>
      <w:proofErr w:type="gramStart"/>
      <w:r w:rsidR="00FB5B9C" w:rsidRPr="00B80188">
        <w:rPr>
          <w:rFonts w:eastAsia="Calibri"/>
          <w:bCs/>
          <w:color w:val="000000" w:themeColor="text1"/>
          <w:sz w:val="24"/>
          <w:szCs w:val="24"/>
          <w:lang w:val="es-ES" w:eastAsia="en-US"/>
        </w:rPr>
        <w:t>en razón de</w:t>
      </w:r>
      <w:proofErr w:type="gramEnd"/>
      <w:r w:rsidR="00FB5B9C" w:rsidRPr="00B80188">
        <w:rPr>
          <w:rFonts w:eastAsia="Calibri"/>
          <w:bCs/>
          <w:color w:val="000000" w:themeColor="text1"/>
          <w:sz w:val="24"/>
          <w:szCs w:val="24"/>
          <w:lang w:val="es-ES" w:eastAsia="en-US"/>
        </w:rPr>
        <w:t xml:space="preserve"> género</w:t>
      </w:r>
      <w:r w:rsidR="00FB5B9C" w:rsidRPr="00B80188">
        <w:rPr>
          <w:bCs/>
          <w:iCs/>
          <w:sz w:val="24"/>
          <w:szCs w:val="24"/>
        </w:rPr>
        <w:t xml:space="preserve"> </w:t>
      </w:r>
      <w:r w:rsidR="00E06274" w:rsidRPr="00B80188">
        <w:rPr>
          <w:bCs/>
          <w:iCs/>
          <w:sz w:val="24"/>
          <w:szCs w:val="24"/>
        </w:rPr>
        <w:t>se sustanciarán a través del procedimiento especial sancionador</w:t>
      </w:r>
      <w:r w:rsidR="00657CFB" w:rsidRPr="00B80188">
        <w:rPr>
          <w:rFonts w:eastAsia="Calibri"/>
          <w:bCs/>
          <w:color w:val="000000" w:themeColor="text1"/>
          <w:sz w:val="24"/>
          <w:szCs w:val="24"/>
          <w:lang w:val="es-ES" w:eastAsia="en-US"/>
        </w:rPr>
        <w:t>.</w:t>
      </w:r>
    </w:p>
    <w:p w14:paraId="76EA2405" w14:textId="17FC8ADC" w:rsidR="00CB0202" w:rsidRPr="00B80188" w:rsidRDefault="00CB0202" w:rsidP="00CB0202">
      <w:pPr>
        <w:pStyle w:val="PRRAFOSENTENCIA"/>
        <w:suppressLineNumbers/>
        <w:spacing w:before="240" w:beforeAutospacing="0" w:after="240" w:afterAutospacing="0"/>
        <w:rPr>
          <w:b/>
          <w:bCs/>
          <w:sz w:val="24"/>
          <w:szCs w:val="24"/>
        </w:rPr>
      </w:pPr>
      <w:r w:rsidRPr="00B80188">
        <w:rPr>
          <w:rFonts w:eastAsia="Calibri"/>
          <w:color w:val="000000" w:themeColor="text1"/>
          <w:sz w:val="24"/>
          <w:szCs w:val="24"/>
          <w:lang w:eastAsia="en-US"/>
        </w:rPr>
        <w:t xml:space="preserve">Por otra parte, </w:t>
      </w:r>
      <w:r w:rsidR="0080481F" w:rsidRPr="00B80188">
        <w:rPr>
          <w:rFonts w:eastAsia="Calibri"/>
          <w:color w:val="000000" w:themeColor="text1"/>
          <w:sz w:val="24"/>
          <w:szCs w:val="24"/>
          <w:lang w:eastAsia="en-US"/>
        </w:rPr>
        <w:t>el</w:t>
      </w:r>
      <w:r w:rsidRPr="00B80188">
        <w:rPr>
          <w:rFonts w:eastAsia="Calibri"/>
          <w:color w:val="000000" w:themeColor="text1"/>
          <w:sz w:val="24"/>
          <w:szCs w:val="24"/>
          <w:lang w:eastAsia="en-US"/>
        </w:rPr>
        <w:t xml:space="preserve"> artículo </w:t>
      </w:r>
      <w:r w:rsidR="0080481F" w:rsidRPr="00B80188">
        <w:rPr>
          <w:rFonts w:eastAsia="Calibri"/>
          <w:color w:val="000000" w:themeColor="text1"/>
          <w:sz w:val="24"/>
          <w:szCs w:val="24"/>
          <w:lang w:eastAsia="en-US"/>
        </w:rPr>
        <w:t>80</w:t>
      </w:r>
      <w:r w:rsidR="00087BEC" w:rsidRPr="00B80188">
        <w:rPr>
          <w:rFonts w:eastAsia="Calibri"/>
          <w:color w:val="000000" w:themeColor="text1"/>
          <w:sz w:val="24"/>
          <w:szCs w:val="24"/>
          <w:lang w:eastAsia="en-US"/>
        </w:rPr>
        <w:t>,</w:t>
      </w:r>
      <w:r w:rsidR="0095181F" w:rsidRPr="00B80188">
        <w:rPr>
          <w:rFonts w:eastAsia="Calibri"/>
          <w:color w:val="000000" w:themeColor="text1"/>
          <w:sz w:val="24"/>
          <w:szCs w:val="24"/>
          <w:lang w:eastAsia="en-US"/>
        </w:rPr>
        <w:t xml:space="preserve"> </w:t>
      </w:r>
      <w:r w:rsidR="0080481F" w:rsidRPr="00B80188">
        <w:rPr>
          <w:rFonts w:eastAsia="Calibri"/>
          <w:color w:val="000000" w:themeColor="text1"/>
          <w:sz w:val="24"/>
          <w:szCs w:val="24"/>
          <w:lang w:eastAsia="en-US"/>
        </w:rPr>
        <w:t xml:space="preserve">párrafo 1 inciso h) </w:t>
      </w:r>
      <w:r w:rsidRPr="00B80188">
        <w:rPr>
          <w:rFonts w:eastAsia="Calibri"/>
          <w:color w:val="000000" w:themeColor="text1"/>
          <w:sz w:val="24"/>
          <w:szCs w:val="24"/>
          <w:lang w:eastAsia="en-US"/>
        </w:rPr>
        <w:t xml:space="preserve">establece que </w:t>
      </w:r>
      <w:r w:rsidR="00A74172" w:rsidRPr="00B80188">
        <w:rPr>
          <w:rFonts w:eastAsia="Calibri"/>
          <w:color w:val="000000" w:themeColor="text1"/>
          <w:sz w:val="24"/>
          <w:szCs w:val="24"/>
          <w:lang w:eastAsia="en-US"/>
        </w:rPr>
        <w:t xml:space="preserve">el </w:t>
      </w:r>
      <w:r w:rsidR="00087BEC" w:rsidRPr="00B80188">
        <w:rPr>
          <w:rFonts w:eastAsia="Calibri"/>
          <w:color w:val="000000" w:themeColor="text1"/>
          <w:sz w:val="24"/>
          <w:szCs w:val="24"/>
          <w:lang w:eastAsia="en-US"/>
        </w:rPr>
        <w:t>j</w:t>
      </w:r>
      <w:r w:rsidR="00A74172" w:rsidRPr="00B80188">
        <w:rPr>
          <w:rFonts w:eastAsia="Calibri"/>
          <w:color w:val="000000" w:themeColor="text1"/>
          <w:sz w:val="24"/>
          <w:szCs w:val="24"/>
          <w:lang w:eastAsia="en-US"/>
        </w:rPr>
        <w:t xml:space="preserve">uicio </w:t>
      </w:r>
      <w:r w:rsidR="00087BEC" w:rsidRPr="00B80188">
        <w:rPr>
          <w:rFonts w:eastAsia="Calibri"/>
          <w:color w:val="000000" w:themeColor="text1"/>
          <w:sz w:val="24"/>
          <w:szCs w:val="24"/>
          <w:lang w:eastAsia="en-US"/>
        </w:rPr>
        <w:t>p</w:t>
      </w:r>
      <w:r w:rsidR="00703758" w:rsidRPr="00B80188">
        <w:rPr>
          <w:rFonts w:eastAsia="Calibri"/>
          <w:color w:val="000000" w:themeColor="text1"/>
          <w:sz w:val="24"/>
          <w:szCs w:val="24"/>
          <w:lang w:eastAsia="en-US"/>
        </w:rPr>
        <w:t xml:space="preserve">ara </w:t>
      </w:r>
      <w:r w:rsidR="00087BEC" w:rsidRPr="00B80188">
        <w:rPr>
          <w:rFonts w:eastAsia="Calibri"/>
          <w:color w:val="000000" w:themeColor="text1"/>
          <w:sz w:val="24"/>
          <w:szCs w:val="24"/>
          <w:lang w:eastAsia="en-US"/>
        </w:rPr>
        <w:t>l</w:t>
      </w:r>
      <w:r w:rsidR="00703758" w:rsidRPr="00B80188">
        <w:rPr>
          <w:rFonts w:eastAsia="Calibri"/>
          <w:color w:val="000000" w:themeColor="text1"/>
          <w:sz w:val="24"/>
          <w:szCs w:val="24"/>
          <w:lang w:eastAsia="en-US"/>
        </w:rPr>
        <w:t xml:space="preserve">a </w:t>
      </w:r>
      <w:r w:rsidR="00087BEC" w:rsidRPr="00B80188">
        <w:rPr>
          <w:rFonts w:eastAsia="Calibri"/>
          <w:color w:val="000000" w:themeColor="text1"/>
          <w:sz w:val="24"/>
          <w:szCs w:val="24"/>
          <w:lang w:eastAsia="en-US"/>
        </w:rPr>
        <w:t>p</w:t>
      </w:r>
      <w:r w:rsidR="00703758" w:rsidRPr="00B80188">
        <w:rPr>
          <w:rFonts w:eastAsia="Calibri"/>
          <w:color w:val="000000" w:themeColor="text1"/>
          <w:sz w:val="24"/>
          <w:szCs w:val="24"/>
          <w:lang w:eastAsia="en-US"/>
        </w:rPr>
        <w:t xml:space="preserve">rotección de los </w:t>
      </w:r>
      <w:r w:rsidR="00087BEC" w:rsidRPr="00B80188">
        <w:rPr>
          <w:rFonts w:eastAsia="Calibri"/>
          <w:color w:val="000000" w:themeColor="text1"/>
          <w:sz w:val="24"/>
          <w:szCs w:val="24"/>
          <w:lang w:eastAsia="en-US"/>
        </w:rPr>
        <w:t>d</w:t>
      </w:r>
      <w:r w:rsidR="00703758" w:rsidRPr="00B80188">
        <w:rPr>
          <w:rFonts w:eastAsia="Calibri"/>
          <w:color w:val="000000" w:themeColor="text1"/>
          <w:sz w:val="24"/>
          <w:szCs w:val="24"/>
          <w:lang w:eastAsia="en-US"/>
        </w:rPr>
        <w:t xml:space="preserve">erechos </w:t>
      </w:r>
      <w:r w:rsidR="00087BEC" w:rsidRPr="00B80188">
        <w:rPr>
          <w:rFonts w:eastAsia="Calibri"/>
          <w:color w:val="000000" w:themeColor="text1"/>
          <w:sz w:val="24"/>
          <w:szCs w:val="24"/>
          <w:lang w:eastAsia="en-US"/>
        </w:rPr>
        <w:t>p</w:t>
      </w:r>
      <w:r w:rsidR="00703758" w:rsidRPr="00B80188">
        <w:rPr>
          <w:rFonts w:eastAsia="Calibri"/>
          <w:color w:val="000000" w:themeColor="text1"/>
          <w:sz w:val="24"/>
          <w:szCs w:val="24"/>
          <w:lang w:eastAsia="en-US"/>
        </w:rPr>
        <w:t>olítico-</w:t>
      </w:r>
      <w:r w:rsidR="00087BEC" w:rsidRPr="00B80188">
        <w:rPr>
          <w:rFonts w:eastAsia="Calibri"/>
          <w:color w:val="000000" w:themeColor="text1"/>
          <w:sz w:val="24"/>
          <w:szCs w:val="24"/>
          <w:lang w:eastAsia="en-US"/>
        </w:rPr>
        <w:t>e</w:t>
      </w:r>
      <w:r w:rsidR="00703758" w:rsidRPr="00B80188">
        <w:rPr>
          <w:rFonts w:eastAsia="Calibri"/>
          <w:color w:val="000000" w:themeColor="text1"/>
          <w:sz w:val="24"/>
          <w:szCs w:val="24"/>
          <w:lang w:eastAsia="en-US"/>
        </w:rPr>
        <w:t xml:space="preserve">lectorales del </w:t>
      </w:r>
      <w:r w:rsidR="00087BEC" w:rsidRPr="00B80188">
        <w:rPr>
          <w:rFonts w:eastAsia="Calibri"/>
          <w:color w:val="000000" w:themeColor="text1"/>
          <w:sz w:val="24"/>
          <w:szCs w:val="24"/>
          <w:lang w:eastAsia="en-US"/>
        </w:rPr>
        <w:t>c</w:t>
      </w:r>
      <w:r w:rsidR="00703758" w:rsidRPr="00B80188">
        <w:rPr>
          <w:rFonts w:eastAsia="Calibri"/>
          <w:color w:val="000000" w:themeColor="text1"/>
          <w:sz w:val="24"/>
          <w:szCs w:val="24"/>
          <w:lang w:eastAsia="en-US"/>
        </w:rPr>
        <w:t>iudadano</w:t>
      </w:r>
      <w:r w:rsidRPr="00B80188">
        <w:rPr>
          <w:rFonts w:eastAsia="Calibri"/>
          <w:color w:val="000000" w:themeColor="text1"/>
          <w:sz w:val="24"/>
          <w:szCs w:val="24"/>
          <w:lang w:eastAsia="en-US"/>
        </w:rPr>
        <w:t xml:space="preserve"> </w:t>
      </w:r>
      <w:r w:rsidR="005309F4" w:rsidRPr="00B80188">
        <w:rPr>
          <w:rFonts w:eastAsia="Calibri"/>
          <w:color w:val="000000" w:themeColor="text1"/>
          <w:sz w:val="24"/>
          <w:szCs w:val="24"/>
          <w:lang w:eastAsia="en-US"/>
        </w:rPr>
        <w:t>podrá ser promovido por la ciudadana o el ciudadano cuando considere que se actualiza</w:t>
      </w:r>
      <w:r w:rsidR="00DA3349" w:rsidRPr="00B80188">
        <w:rPr>
          <w:rFonts w:eastAsia="Calibri"/>
          <w:color w:val="000000" w:themeColor="text1"/>
          <w:sz w:val="24"/>
          <w:szCs w:val="24"/>
          <w:lang w:eastAsia="en-US"/>
        </w:rPr>
        <w:t xml:space="preserve"> algún supuesto de </w:t>
      </w:r>
      <w:r w:rsidRPr="00B80188">
        <w:rPr>
          <w:rFonts w:eastAsia="Calibri"/>
          <w:color w:val="000000" w:themeColor="text1"/>
          <w:sz w:val="24"/>
          <w:szCs w:val="24"/>
          <w:lang w:eastAsia="en-US"/>
        </w:rPr>
        <w:t xml:space="preserve">violencia política contra las mujeres en razón de género, se sustanciarán a través del procedimiento sancionador en </w:t>
      </w:r>
      <w:r w:rsidR="00087BEC" w:rsidRPr="00B80188">
        <w:rPr>
          <w:rFonts w:eastAsia="Calibri"/>
          <w:color w:val="000000" w:themeColor="text1"/>
          <w:sz w:val="24"/>
          <w:szCs w:val="24"/>
          <w:lang w:eastAsia="en-US"/>
        </w:rPr>
        <w:t xml:space="preserve">dicha </w:t>
      </w:r>
      <w:r w:rsidRPr="00B80188">
        <w:rPr>
          <w:rFonts w:eastAsia="Calibri"/>
          <w:color w:val="000000" w:themeColor="text1"/>
          <w:sz w:val="24"/>
          <w:szCs w:val="24"/>
          <w:lang w:eastAsia="en-US"/>
        </w:rPr>
        <w:t>materia</w:t>
      </w:r>
      <w:r w:rsidR="0095181F" w:rsidRPr="00B80188">
        <w:rPr>
          <w:rFonts w:eastAsia="Calibri"/>
          <w:color w:val="000000" w:themeColor="text1"/>
          <w:sz w:val="24"/>
          <w:szCs w:val="24"/>
          <w:lang w:eastAsia="en-US"/>
        </w:rPr>
        <w:t xml:space="preserve">, </w:t>
      </w:r>
      <w:r w:rsidR="00DA3349" w:rsidRPr="00B80188">
        <w:rPr>
          <w:rFonts w:eastAsia="Calibri"/>
          <w:color w:val="000000" w:themeColor="text1"/>
          <w:sz w:val="24"/>
          <w:szCs w:val="24"/>
          <w:lang w:eastAsia="en-US"/>
        </w:rPr>
        <w:t>en los términos estableci</w:t>
      </w:r>
      <w:r w:rsidR="00710FA1" w:rsidRPr="00B80188">
        <w:rPr>
          <w:rFonts w:eastAsia="Calibri"/>
          <w:color w:val="000000" w:themeColor="text1"/>
          <w:sz w:val="24"/>
          <w:szCs w:val="24"/>
          <w:lang w:eastAsia="en-US"/>
        </w:rPr>
        <w:t>d</w:t>
      </w:r>
      <w:r w:rsidR="00DA3349" w:rsidRPr="00B80188">
        <w:rPr>
          <w:rFonts w:eastAsia="Calibri"/>
          <w:color w:val="000000" w:themeColor="text1"/>
          <w:sz w:val="24"/>
          <w:szCs w:val="24"/>
          <w:lang w:eastAsia="en-US"/>
        </w:rPr>
        <w:t xml:space="preserve">os </w:t>
      </w:r>
      <w:r w:rsidR="00710FA1" w:rsidRPr="00B80188">
        <w:rPr>
          <w:rFonts w:eastAsia="Calibri"/>
          <w:color w:val="000000" w:themeColor="text1"/>
          <w:sz w:val="24"/>
          <w:szCs w:val="24"/>
          <w:lang w:eastAsia="en-US"/>
        </w:rPr>
        <w:t>en la Ley General de Acceso de las Mujeres a una Vida Libre de Violencia y en la Ley General de Instituciones y Procedimientos Electorales</w:t>
      </w:r>
      <w:r w:rsidR="0095181F" w:rsidRPr="00B80188">
        <w:rPr>
          <w:rFonts w:eastAsia="Calibri"/>
          <w:color w:val="000000" w:themeColor="text1"/>
          <w:sz w:val="24"/>
          <w:szCs w:val="24"/>
          <w:lang w:eastAsia="en-US"/>
        </w:rPr>
        <w:t xml:space="preserve">. </w:t>
      </w:r>
    </w:p>
    <w:p w14:paraId="51032B4C" w14:textId="02C34B40" w:rsidR="00382065" w:rsidRPr="00B80188" w:rsidRDefault="00382065" w:rsidP="007E5B3C">
      <w:pPr>
        <w:pStyle w:val="PRRAFOSENTENCIA"/>
        <w:suppressLineNumbers/>
        <w:spacing w:before="240" w:beforeAutospacing="0" w:after="240" w:afterAutospacing="0"/>
        <w:rPr>
          <w:rFonts w:eastAsia="Calibri"/>
          <w:bCs/>
          <w:color w:val="000000" w:themeColor="text1"/>
          <w:sz w:val="24"/>
          <w:szCs w:val="24"/>
          <w:lang w:val="es-ES" w:eastAsia="en-US"/>
        </w:rPr>
      </w:pPr>
      <w:r w:rsidRPr="00B80188">
        <w:rPr>
          <w:rFonts w:eastAsia="Calibri"/>
          <w:bCs/>
          <w:color w:val="000000" w:themeColor="text1"/>
          <w:sz w:val="24"/>
          <w:szCs w:val="24"/>
          <w:lang w:eastAsia="en-US"/>
        </w:rPr>
        <w:t>De esta forma</w:t>
      </w:r>
      <w:r w:rsidR="00C524B1" w:rsidRPr="00B80188">
        <w:rPr>
          <w:rFonts w:eastAsia="Calibri"/>
          <w:bCs/>
          <w:color w:val="000000" w:themeColor="text1"/>
          <w:sz w:val="24"/>
          <w:szCs w:val="24"/>
          <w:lang w:eastAsia="en-US"/>
        </w:rPr>
        <w:t>,</w:t>
      </w:r>
      <w:r w:rsidR="005307C5" w:rsidRPr="00B80188">
        <w:rPr>
          <w:rFonts w:eastAsia="Calibri"/>
          <w:bCs/>
          <w:iCs/>
          <w:color w:val="000000" w:themeColor="text1"/>
          <w:sz w:val="24"/>
          <w:szCs w:val="24"/>
          <w:lang w:val="es-ES" w:eastAsia="en-US"/>
        </w:rPr>
        <w:t xml:space="preserve"> si no hay elementos para determinar que la infracción vaya más allá de los comicios locales, sus efectos se acotan a una entidad federativa,</w:t>
      </w:r>
      <w:r w:rsidR="007D2088" w:rsidRPr="00B80188">
        <w:rPr>
          <w:rFonts w:eastAsia="Calibri"/>
          <w:bCs/>
          <w:iCs/>
          <w:color w:val="000000" w:themeColor="text1"/>
          <w:sz w:val="24"/>
          <w:szCs w:val="24"/>
          <w:lang w:val="es-ES" w:eastAsia="en-US"/>
        </w:rPr>
        <w:t xml:space="preserve"> se trata de una sentencia de un </w:t>
      </w:r>
      <w:r w:rsidR="00487CA7" w:rsidRPr="00B80188">
        <w:rPr>
          <w:rFonts w:eastAsia="Calibri"/>
          <w:bCs/>
          <w:iCs/>
          <w:color w:val="000000" w:themeColor="text1"/>
          <w:sz w:val="24"/>
          <w:szCs w:val="24"/>
          <w:lang w:val="es-ES" w:eastAsia="en-US"/>
        </w:rPr>
        <w:t>T</w:t>
      </w:r>
      <w:r w:rsidR="007D2088" w:rsidRPr="00B80188">
        <w:rPr>
          <w:rFonts w:eastAsia="Calibri"/>
          <w:bCs/>
          <w:iCs/>
          <w:color w:val="000000" w:themeColor="text1"/>
          <w:sz w:val="24"/>
          <w:szCs w:val="24"/>
          <w:lang w:val="es-ES" w:eastAsia="en-US"/>
        </w:rPr>
        <w:t>ribunal local,</w:t>
      </w:r>
      <w:r w:rsidR="005307C5" w:rsidRPr="00B80188">
        <w:rPr>
          <w:rFonts w:eastAsia="Calibri"/>
          <w:bCs/>
          <w:iCs/>
          <w:color w:val="000000" w:themeColor="text1"/>
          <w:sz w:val="24"/>
          <w:szCs w:val="24"/>
          <w:lang w:val="es-ES" w:eastAsia="en-US"/>
        </w:rPr>
        <w:t xml:space="preserve"> no existe competencia exclusiva del I</w:t>
      </w:r>
      <w:r w:rsidR="00FF0F2F" w:rsidRPr="00B80188">
        <w:rPr>
          <w:rFonts w:eastAsia="Calibri"/>
          <w:bCs/>
          <w:iCs/>
          <w:color w:val="000000" w:themeColor="text1"/>
          <w:sz w:val="24"/>
          <w:szCs w:val="24"/>
          <w:lang w:val="es-ES" w:eastAsia="en-US"/>
        </w:rPr>
        <w:t>nstituto Nacional Electoral y</w:t>
      </w:r>
      <w:r w:rsidR="005307C5" w:rsidRPr="00B80188">
        <w:rPr>
          <w:rFonts w:eastAsia="Calibri"/>
          <w:bCs/>
          <w:iCs/>
          <w:color w:val="000000" w:themeColor="text1"/>
          <w:sz w:val="24"/>
          <w:szCs w:val="24"/>
          <w:lang w:val="es-ES" w:eastAsia="en-US"/>
        </w:rPr>
        <w:t xml:space="preserve"> Sala Especializada</w:t>
      </w:r>
      <w:r w:rsidR="00FF0F2F" w:rsidRPr="00B80188">
        <w:rPr>
          <w:rFonts w:eastAsia="Calibri"/>
          <w:bCs/>
          <w:iCs/>
          <w:color w:val="000000" w:themeColor="text1"/>
          <w:sz w:val="24"/>
          <w:szCs w:val="24"/>
          <w:lang w:val="es-ES" w:eastAsia="en-US"/>
        </w:rPr>
        <w:t>,</w:t>
      </w:r>
      <w:r w:rsidR="005307C5" w:rsidRPr="00B80188">
        <w:rPr>
          <w:rFonts w:eastAsia="Calibri"/>
          <w:bCs/>
          <w:iCs/>
          <w:color w:val="000000" w:themeColor="text1"/>
          <w:sz w:val="24"/>
          <w:szCs w:val="24"/>
          <w:lang w:val="es-ES" w:eastAsia="en-US"/>
        </w:rPr>
        <w:t xml:space="preserve"> </w:t>
      </w:r>
      <w:r w:rsidR="00FF0F2F" w:rsidRPr="00B80188">
        <w:rPr>
          <w:rFonts w:eastAsia="Calibri"/>
          <w:bCs/>
          <w:iCs/>
          <w:color w:val="000000" w:themeColor="text1"/>
          <w:sz w:val="24"/>
          <w:szCs w:val="24"/>
          <w:lang w:val="es-ES" w:eastAsia="en-US"/>
        </w:rPr>
        <w:t>además</w:t>
      </w:r>
      <w:r w:rsidR="005307C5" w:rsidRPr="00B80188">
        <w:rPr>
          <w:rFonts w:eastAsia="Calibri"/>
          <w:bCs/>
          <w:iCs/>
          <w:color w:val="000000" w:themeColor="text1"/>
          <w:sz w:val="24"/>
          <w:szCs w:val="24"/>
          <w:lang w:val="es-ES" w:eastAsia="en-US"/>
        </w:rPr>
        <w:t xml:space="preserve"> de </w:t>
      </w:r>
      <w:r w:rsidR="00865ED4" w:rsidRPr="00B80188">
        <w:rPr>
          <w:rFonts w:eastAsia="Calibri"/>
          <w:bCs/>
          <w:iCs/>
          <w:color w:val="000000" w:themeColor="text1"/>
          <w:sz w:val="24"/>
          <w:szCs w:val="24"/>
          <w:lang w:val="es-ES" w:eastAsia="en-US"/>
        </w:rPr>
        <w:t xml:space="preserve">que en </w:t>
      </w:r>
      <w:r w:rsidR="005307C5" w:rsidRPr="00B80188">
        <w:rPr>
          <w:rFonts w:eastAsia="Calibri"/>
          <w:bCs/>
          <w:iCs/>
          <w:color w:val="000000" w:themeColor="text1"/>
          <w:sz w:val="24"/>
          <w:szCs w:val="24"/>
          <w:lang w:val="es-ES" w:eastAsia="en-US"/>
        </w:rPr>
        <w:t xml:space="preserve">la denuncia no se pueden advertir elementos que vinculen esos actos con efectos en dos o más entidades federativas o </w:t>
      </w:r>
      <w:r w:rsidR="00865ED4" w:rsidRPr="00B80188">
        <w:rPr>
          <w:rFonts w:eastAsia="Calibri"/>
          <w:bCs/>
          <w:iCs/>
          <w:color w:val="000000" w:themeColor="text1"/>
          <w:sz w:val="24"/>
          <w:szCs w:val="24"/>
          <w:lang w:val="es-ES" w:eastAsia="en-US"/>
        </w:rPr>
        <w:t xml:space="preserve">con </w:t>
      </w:r>
      <w:r w:rsidR="005307C5" w:rsidRPr="00B80188">
        <w:rPr>
          <w:rFonts w:eastAsia="Calibri"/>
          <w:bCs/>
          <w:iCs/>
          <w:color w:val="000000" w:themeColor="text1"/>
          <w:sz w:val="24"/>
          <w:szCs w:val="24"/>
          <w:lang w:val="es-ES" w:eastAsia="en-US"/>
        </w:rPr>
        <w:t xml:space="preserve">los comicios federales, la competencia se actualiza a favor del </w:t>
      </w:r>
      <w:r w:rsidR="0060785E" w:rsidRPr="00B80188">
        <w:rPr>
          <w:rFonts w:eastAsia="Calibri"/>
          <w:bCs/>
          <w:iCs/>
          <w:color w:val="000000" w:themeColor="text1"/>
          <w:sz w:val="24"/>
          <w:szCs w:val="24"/>
          <w:lang w:val="es-ES" w:eastAsia="en-US"/>
        </w:rPr>
        <w:t xml:space="preserve">Instituto </w:t>
      </w:r>
      <w:r w:rsidR="00087BEC" w:rsidRPr="00B80188">
        <w:rPr>
          <w:rFonts w:eastAsia="Calibri"/>
          <w:bCs/>
          <w:iCs/>
          <w:color w:val="000000" w:themeColor="text1"/>
          <w:sz w:val="24"/>
          <w:szCs w:val="24"/>
          <w:lang w:val="es-ES" w:eastAsia="en-US"/>
        </w:rPr>
        <w:t>l</w:t>
      </w:r>
      <w:r w:rsidR="0060785E" w:rsidRPr="00B80188">
        <w:rPr>
          <w:rFonts w:eastAsia="Calibri"/>
          <w:bCs/>
          <w:iCs/>
          <w:color w:val="000000" w:themeColor="text1"/>
          <w:sz w:val="24"/>
          <w:szCs w:val="24"/>
          <w:lang w:val="es-ES" w:eastAsia="en-US"/>
        </w:rPr>
        <w:t>ocal</w:t>
      </w:r>
      <w:r w:rsidR="005307C5" w:rsidRPr="00B80188">
        <w:rPr>
          <w:rFonts w:eastAsia="Calibri"/>
          <w:bCs/>
          <w:iCs/>
          <w:color w:val="000000" w:themeColor="text1"/>
          <w:sz w:val="24"/>
          <w:szCs w:val="24"/>
          <w:lang w:val="es-ES" w:eastAsia="en-US"/>
        </w:rPr>
        <w:t xml:space="preserve">, razón por la cual </w:t>
      </w:r>
      <w:r w:rsidRPr="00B80188">
        <w:rPr>
          <w:rFonts w:eastAsia="Calibri"/>
          <w:bCs/>
          <w:iCs/>
          <w:color w:val="000000" w:themeColor="text1"/>
          <w:sz w:val="24"/>
          <w:szCs w:val="24"/>
          <w:lang w:val="es-ES" w:eastAsia="en-US"/>
        </w:rPr>
        <w:t xml:space="preserve">se considera </w:t>
      </w:r>
      <w:r w:rsidR="00752AEE" w:rsidRPr="00B80188">
        <w:rPr>
          <w:rFonts w:eastAsia="Calibri"/>
          <w:bCs/>
          <w:iCs/>
          <w:color w:val="000000" w:themeColor="text1"/>
          <w:sz w:val="24"/>
          <w:szCs w:val="24"/>
          <w:lang w:val="es-ES" w:eastAsia="en-US"/>
        </w:rPr>
        <w:t>debe conocer la Sala Regional</w:t>
      </w:r>
      <w:r w:rsidR="005307C5" w:rsidRPr="00B80188">
        <w:rPr>
          <w:rFonts w:eastAsia="Calibri"/>
          <w:bCs/>
          <w:iCs/>
          <w:color w:val="000000" w:themeColor="text1"/>
          <w:sz w:val="24"/>
          <w:szCs w:val="24"/>
          <w:lang w:val="es-ES" w:eastAsia="en-US"/>
        </w:rPr>
        <w:t>.</w:t>
      </w:r>
    </w:p>
    <w:p w14:paraId="28E009A9" w14:textId="0967069E" w:rsidR="00382065" w:rsidRPr="00B80188" w:rsidRDefault="00382065" w:rsidP="007E5B3C">
      <w:pPr>
        <w:pStyle w:val="PRRAFOSENTENCIA"/>
        <w:suppressLineNumbers/>
        <w:spacing w:before="240" w:beforeAutospacing="0" w:after="240" w:afterAutospacing="0"/>
        <w:rPr>
          <w:rFonts w:eastAsia="Calibri"/>
          <w:b/>
          <w:bCs/>
          <w:iCs/>
          <w:color w:val="000000" w:themeColor="text1"/>
          <w:sz w:val="24"/>
          <w:szCs w:val="24"/>
          <w:lang w:val="es-ES" w:eastAsia="en-US"/>
        </w:rPr>
      </w:pPr>
      <w:r w:rsidRPr="00B80188">
        <w:rPr>
          <w:rFonts w:eastAsia="Calibri"/>
          <w:bCs/>
          <w:iCs/>
          <w:color w:val="000000" w:themeColor="text1"/>
          <w:sz w:val="24"/>
          <w:szCs w:val="24"/>
          <w:lang w:val="es-ES" w:eastAsia="en-US"/>
        </w:rPr>
        <w:lastRenderedPageBreak/>
        <w:t xml:space="preserve">No obsta a lo anterior, el hecho de que la </w:t>
      </w:r>
      <w:r w:rsidR="00A66174" w:rsidRPr="00B80188">
        <w:rPr>
          <w:rFonts w:eastAsia="Calibri"/>
          <w:bCs/>
          <w:iCs/>
          <w:color w:val="000000" w:themeColor="text1"/>
          <w:sz w:val="24"/>
          <w:szCs w:val="24"/>
          <w:lang w:val="es-ES" w:eastAsia="en-US"/>
        </w:rPr>
        <w:t>actora sea</w:t>
      </w:r>
      <w:r w:rsidRPr="00B80188">
        <w:rPr>
          <w:sz w:val="24"/>
          <w:szCs w:val="24"/>
        </w:rPr>
        <w:t xml:space="preserve"> una legisladora federal, pues como ya se precisó, en principio, </w:t>
      </w:r>
      <w:r w:rsidR="00EB0F0A" w:rsidRPr="00B80188">
        <w:rPr>
          <w:sz w:val="24"/>
          <w:szCs w:val="24"/>
        </w:rPr>
        <w:t xml:space="preserve">los </w:t>
      </w:r>
      <w:r w:rsidRPr="00B80188">
        <w:rPr>
          <w:sz w:val="24"/>
          <w:szCs w:val="24"/>
        </w:rPr>
        <w:t>elemento</w:t>
      </w:r>
      <w:r w:rsidR="00EB0F0A" w:rsidRPr="00B80188">
        <w:rPr>
          <w:sz w:val="24"/>
          <w:szCs w:val="24"/>
        </w:rPr>
        <w:t>s</w:t>
      </w:r>
      <w:r w:rsidRPr="00B80188">
        <w:rPr>
          <w:sz w:val="24"/>
          <w:szCs w:val="24"/>
        </w:rPr>
        <w:t xml:space="preserve"> que orientan la competencia </w:t>
      </w:r>
      <w:r w:rsidR="00EB0F0A" w:rsidRPr="00B80188">
        <w:rPr>
          <w:sz w:val="24"/>
          <w:szCs w:val="24"/>
        </w:rPr>
        <w:t xml:space="preserve">de la autoridad </w:t>
      </w:r>
      <w:r w:rsidR="002606E5" w:rsidRPr="00B80188">
        <w:rPr>
          <w:sz w:val="24"/>
          <w:szCs w:val="24"/>
        </w:rPr>
        <w:t>están vinculados con el ámbito local.</w:t>
      </w:r>
      <w:r w:rsidR="00EB0F0A" w:rsidRPr="00B80188">
        <w:rPr>
          <w:rFonts w:eastAsia="Calibri"/>
          <w:b/>
          <w:bCs/>
          <w:iCs/>
          <w:color w:val="000000" w:themeColor="text1"/>
          <w:sz w:val="24"/>
          <w:szCs w:val="24"/>
          <w:lang w:val="es-ES" w:eastAsia="en-US"/>
        </w:rPr>
        <w:t xml:space="preserve"> </w:t>
      </w:r>
    </w:p>
    <w:p w14:paraId="0A78040F" w14:textId="531BBA22" w:rsidR="006202CE" w:rsidRPr="00B80188" w:rsidRDefault="00EB0F0A" w:rsidP="00121115">
      <w:pPr>
        <w:pStyle w:val="PRRAFOSENTENCIA"/>
        <w:suppressLineNumbers/>
        <w:spacing w:before="240" w:beforeAutospacing="0" w:after="240" w:afterAutospacing="0"/>
        <w:rPr>
          <w:rFonts w:eastAsia="Calibri"/>
          <w:bCs/>
          <w:color w:val="000000" w:themeColor="text1"/>
          <w:sz w:val="24"/>
          <w:szCs w:val="24"/>
          <w:lang w:val="es-ES" w:eastAsia="en-US"/>
        </w:rPr>
      </w:pPr>
      <w:r w:rsidRPr="00B80188">
        <w:rPr>
          <w:rFonts w:eastAsia="Calibri"/>
          <w:iCs/>
          <w:color w:val="000000" w:themeColor="text1"/>
          <w:sz w:val="24"/>
          <w:szCs w:val="24"/>
          <w:lang w:val="es-ES" w:eastAsia="en-US"/>
        </w:rPr>
        <w:t xml:space="preserve">En el caso, </w:t>
      </w:r>
      <w:r w:rsidR="00553DA7" w:rsidRPr="00B80188">
        <w:rPr>
          <w:rFonts w:eastAsia="Calibri"/>
          <w:iCs/>
          <w:color w:val="000000" w:themeColor="text1"/>
          <w:sz w:val="24"/>
          <w:szCs w:val="24"/>
          <w:lang w:val="es-ES" w:eastAsia="en-US"/>
        </w:rPr>
        <w:t xml:space="preserve">al </w:t>
      </w:r>
      <w:r w:rsidRPr="00B80188">
        <w:rPr>
          <w:rFonts w:eastAsia="Calibri"/>
          <w:iCs/>
          <w:color w:val="000000" w:themeColor="text1"/>
          <w:sz w:val="24"/>
          <w:szCs w:val="24"/>
          <w:lang w:val="es-ES" w:eastAsia="en-US"/>
        </w:rPr>
        <w:t xml:space="preserve">acotarse las conductas al territorio de una sola entidad federativa, </w:t>
      </w:r>
      <w:r w:rsidR="00B9437E" w:rsidRPr="00B80188">
        <w:rPr>
          <w:rFonts w:eastAsia="Calibri"/>
          <w:iCs/>
          <w:color w:val="000000" w:themeColor="text1"/>
          <w:sz w:val="24"/>
          <w:szCs w:val="24"/>
          <w:lang w:val="es-ES" w:eastAsia="en-US"/>
        </w:rPr>
        <w:t xml:space="preserve">y tratarse de una determinación de un tribunal local, </w:t>
      </w:r>
      <w:r w:rsidR="00553DA7" w:rsidRPr="00B80188">
        <w:rPr>
          <w:rFonts w:eastAsia="Calibri"/>
          <w:iCs/>
          <w:color w:val="000000" w:themeColor="text1"/>
          <w:sz w:val="24"/>
          <w:szCs w:val="24"/>
          <w:lang w:val="es-ES" w:eastAsia="en-US"/>
        </w:rPr>
        <w:t xml:space="preserve">se concluye que la competencia es de la autoridad estatal, con independencia del cargo federal que ostenta la denunciante y que </w:t>
      </w:r>
      <w:r w:rsidR="00F41D41" w:rsidRPr="00B80188">
        <w:rPr>
          <w:rFonts w:eastAsia="Calibri"/>
          <w:iCs/>
          <w:color w:val="000000" w:themeColor="text1"/>
          <w:sz w:val="24"/>
          <w:szCs w:val="24"/>
          <w:lang w:val="es-ES" w:eastAsia="en-US"/>
        </w:rPr>
        <w:t>uno</w:t>
      </w:r>
      <w:r w:rsidR="00553DA7" w:rsidRPr="00B80188">
        <w:rPr>
          <w:rFonts w:eastAsia="Calibri"/>
          <w:iCs/>
          <w:color w:val="000000" w:themeColor="text1"/>
          <w:sz w:val="24"/>
          <w:szCs w:val="24"/>
          <w:lang w:val="es-ES" w:eastAsia="en-US"/>
        </w:rPr>
        <w:t xml:space="preserve"> de los medios comisorios haya sido a través de redes sociales o internet, pues tales circunstancias, en sí mismas, no son suficientes para modificar el criterio que ha quedado expuesto</w:t>
      </w:r>
      <w:r w:rsidR="00865ED4" w:rsidRPr="00B80188">
        <w:rPr>
          <w:rFonts w:eastAsia="Calibri"/>
          <w:iCs/>
          <w:color w:val="000000" w:themeColor="text1"/>
          <w:sz w:val="24"/>
          <w:szCs w:val="24"/>
          <w:lang w:val="es-ES" w:eastAsia="en-US"/>
        </w:rPr>
        <w:t>; pues de lo contrario se llegaría al extremo que toda conducta realizada a través de Internet o redes sociales sería de la competencia federal, lo que desvirtuaría el sistema de competencias en un sistema federal</w:t>
      </w:r>
      <w:r w:rsidR="00553DA7" w:rsidRPr="00B80188">
        <w:rPr>
          <w:rFonts w:eastAsia="Calibri"/>
          <w:iCs/>
          <w:color w:val="000000" w:themeColor="text1"/>
          <w:sz w:val="24"/>
          <w:szCs w:val="24"/>
          <w:lang w:val="es-ES" w:eastAsia="en-US"/>
        </w:rPr>
        <w:t xml:space="preserve">. </w:t>
      </w:r>
    </w:p>
    <w:p w14:paraId="69FC4BF9" w14:textId="4F5F21AB" w:rsidR="00382065" w:rsidRPr="00B80188" w:rsidRDefault="006202CE" w:rsidP="00121115">
      <w:pPr>
        <w:pStyle w:val="PRRAFOSENTENCIA"/>
        <w:suppressLineNumbers/>
        <w:spacing w:before="240" w:beforeAutospacing="0" w:after="240" w:afterAutospacing="0"/>
        <w:rPr>
          <w:b/>
          <w:color w:val="000000" w:themeColor="text1"/>
          <w:sz w:val="24"/>
          <w:szCs w:val="24"/>
        </w:rPr>
      </w:pPr>
      <w:r w:rsidRPr="00B80188">
        <w:rPr>
          <w:rFonts w:eastAsia="Calibri"/>
          <w:bCs/>
          <w:color w:val="000000" w:themeColor="text1"/>
          <w:sz w:val="24"/>
          <w:szCs w:val="24"/>
          <w:lang w:val="es-ES" w:eastAsia="en-US"/>
        </w:rPr>
        <w:t xml:space="preserve">Por lo expuesto, </w:t>
      </w:r>
      <w:bookmarkStart w:id="16" w:name="_Hlk59709612"/>
      <w:bookmarkStart w:id="17" w:name="_Toc39692922"/>
      <w:r w:rsidR="00B045D3" w:rsidRPr="00B80188">
        <w:rPr>
          <w:rFonts w:eastAsia="Calibri"/>
          <w:bCs/>
          <w:color w:val="000000" w:themeColor="text1"/>
          <w:sz w:val="24"/>
          <w:szCs w:val="24"/>
          <w:lang w:val="es-ES" w:eastAsia="en-US"/>
        </w:rPr>
        <w:t>esta Sala Superior</w:t>
      </w:r>
      <w:bookmarkEnd w:id="16"/>
    </w:p>
    <w:p w14:paraId="452DFF13" w14:textId="415C5174" w:rsidR="001C3986" w:rsidRPr="00B80188" w:rsidRDefault="00EB75AB" w:rsidP="00121115">
      <w:pPr>
        <w:pStyle w:val="Ttulo1"/>
        <w:suppressLineNumbers/>
        <w:spacing w:after="240" w:line="360" w:lineRule="auto"/>
        <w:jc w:val="center"/>
        <w:rPr>
          <w:rFonts w:ascii="Arial" w:hAnsi="Arial" w:cs="Arial"/>
          <w:b/>
          <w:color w:val="000000" w:themeColor="text1"/>
          <w:sz w:val="24"/>
          <w:szCs w:val="24"/>
          <w:lang w:val="es-MX"/>
        </w:rPr>
      </w:pPr>
      <w:bookmarkStart w:id="18" w:name="_Toc61446194"/>
      <w:bookmarkEnd w:id="17"/>
      <w:r w:rsidRPr="00B80188">
        <w:rPr>
          <w:rFonts w:ascii="Arial" w:hAnsi="Arial" w:cs="Arial"/>
          <w:b/>
          <w:color w:val="000000" w:themeColor="text1"/>
          <w:sz w:val="24"/>
          <w:szCs w:val="24"/>
          <w:lang w:val="es-MX"/>
        </w:rPr>
        <w:t>A C U E R D A</w:t>
      </w:r>
      <w:bookmarkEnd w:id="18"/>
    </w:p>
    <w:p w14:paraId="0EE19321" w14:textId="082372EB" w:rsidR="00EB75AB" w:rsidRPr="00B80188" w:rsidRDefault="00EB75AB" w:rsidP="00EB75AB">
      <w:pPr>
        <w:suppressLineNumbers/>
        <w:spacing w:before="240" w:after="240" w:line="360" w:lineRule="auto"/>
        <w:jc w:val="both"/>
        <w:rPr>
          <w:rFonts w:ascii="Arial" w:hAnsi="Arial" w:cs="Arial"/>
          <w:color w:val="000000" w:themeColor="text1"/>
          <w:lang w:val="es-MX"/>
        </w:rPr>
      </w:pPr>
      <w:r w:rsidRPr="00B80188">
        <w:rPr>
          <w:rFonts w:ascii="Arial" w:hAnsi="Arial" w:cs="Arial"/>
          <w:b/>
          <w:bCs/>
          <w:color w:val="000000" w:themeColor="text1"/>
          <w:lang w:val="es-MX"/>
        </w:rPr>
        <w:t xml:space="preserve">PRIMERO. </w:t>
      </w:r>
      <w:r w:rsidRPr="00B80188">
        <w:rPr>
          <w:rFonts w:ascii="Arial" w:hAnsi="Arial" w:cs="Arial"/>
          <w:color w:val="000000" w:themeColor="text1"/>
          <w:lang w:val="es-MX"/>
        </w:rPr>
        <w:t>La Sala Regional del Tribunal Electoral del Poder Judicial de la Federación, correspondiente a la Segunda Circunscripción, con sede en la Ciudad de Monterrey, Nuevo León, es el órgano competente para conocer y resolver de la demanda que dio origen al presente expediente.</w:t>
      </w:r>
    </w:p>
    <w:p w14:paraId="063BA3C0" w14:textId="7ED608F0" w:rsidR="00EB75AB" w:rsidRPr="00B80188" w:rsidRDefault="00EB75AB" w:rsidP="00EB75AB">
      <w:pPr>
        <w:suppressLineNumbers/>
        <w:spacing w:before="240" w:after="240" w:line="360" w:lineRule="auto"/>
        <w:jc w:val="both"/>
        <w:rPr>
          <w:rFonts w:ascii="Arial" w:hAnsi="Arial" w:cs="Arial"/>
          <w:b/>
          <w:bCs/>
          <w:color w:val="000000" w:themeColor="text1"/>
          <w:lang w:val="es-MX"/>
        </w:rPr>
      </w:pPr>
      <w:r w:rsidRPr="00B80188">
        <w:rPr>
          <w:rFonts w:ascii="Arial" w:hAnsi="Arial" w:cs="Arial"/>
          <w:b/>
          <w:bCs/>
          <w:color w:val="000000" w:themeColor="text1"/>
          <w:lang w:val="es-MX"/>
        </w:rPr>
        <w:t xml:space="preserve">SEGUNDO. </w:t>
      </w:r>
      <w:r w:rsidRPr="00B80188">
        <w:rPr>
          <w:rFonts w:ascii="Arial" w:hAnsi="Arial" w:cs="Arial"/>
          <w:color w:val="000000" w:themeColor="text1"/>
          <w:lang w:val="es-MX"/>
        </w:rPr>
        <w:t>Remítase la demanda y sus anexos a la Sala Regional del Tribunal Electoral del Poder Judicial de la Federación correspondiente a la Segunda Circunscripción, con sede en la ciudad de Monterrey, Nuevo León.</w:t>
      </w:r>
    </w:p>
    <w:p w14:paraId="40030EF9" w14:textId="279B2733" w:rsidR="001C3986" w:rsidRPr="00B80188" w:rsidRDefault="001C3986" w:rsidP="00121115">
      <w:pPr>
        <w:suppressLineNumbers/>
        <w:spacing w:before="240" w:after="240" w:line="360" w:lineRule="auto"/>
        <w:jc w:val="both"/>
        <w:rPr>
          <w:rFonts w:ascii="Arial" w:hAnsi="Arial" w:cs="Arial"/>
          <w:color w:val="000000" w:themeColor="text1"/>
        </w:rPr>
      </w:pPr>
      <w:r w:rsidRPr="00B80188">
        <w:rPr>
          <w:rFonts w:ascii="Arial" w:hAnsi="Arial" w:cs="Arial"/>
          <w:b/>
          <w:bCs/>
          <w:color w:val="000000" w:themeColor="text1"/>
          <w:lang w:val="es-MX"/>
        </w:rPr>
        <w:t xml:space="preserve">NOTIFÍQUESE </w:t>
      </w:r>
      <w:r w:rsidRPr="00B80188">
        <w:rPr>
          <w:rFonts w:ascii="Arial" w:hAnsi="Arial" w:cs="Arial"/>
          <w:bCs/>
          <w:color w:val="000000" w:themeColor="text1"/>
        </w:rPr>
        <w:t>en términos de ley</w:t>
      </w:r>
      <w:r w:rsidRPr="00B80188">
        <w:rPr>
          <w:rFonts w:ascii="Arial" w:hAnsi="Arial" w:cs="Arial"/>
          <w:color w:val="000000" w:themeColor="text1"/>
        </w:rPr>
        <w:t>.</w:t>
      </w:r>
    </w:p>
    <w:p w14:paraId="50623235" w14:textId="77777777" w:rsidR="001C3986" w:rsidRPr="00B80188" w:rsidRDefault="001C3986" w:rsidP="00121115">
      <w:pPr>
        <w:suppressLineNumbers/>
        <w:spacing w:before="240" w:after="240" w:line="360" w:lineRule="auto"/>
        <w:jc w:val="both"/>
        <w:rPr>
          <w:rFonts w:ascii="Arial" w:hAnsi="Arial" w:cs="Arial"/>
          <w:bCs/>
          <w:color w:val="000000" w:themeColor="text1"/>
          <w:lang w:val="es-MX"/>
        </w:rPr>
      </w:pPr>
      <w:r w:rsidRPr="00B80188">
        <w:rPr>
          <w:rFonts w:ascii="Arial" w:hAnsi="Arial" w:cs="Arial"/>
          <w:bCs/>
          <w:color w:val="000000" w:themeColor="text1"/>
          <w:lang w:val="es-MX"/>
        </w:rPr>
        <w:t>En su oportunidad, devuélvanse las constancias que correspondan y, acto seguido, archívese el expediente como asunto total y definitivamente concluido.</w:t>
      </w:r>
    </w:p>
    <w:p w14:paraId="605D7E03" w14:textId="52D69110" w:rsidR="00751B12" w:rsidRPr="00667E9F" w:rsidRDefault="001C3986" w:rsidP="00121115">
      <w:pPr>
        <w:suppressLineNumbers/>
        <w:spacing w:before="240" w:after="240" w:line="360" w:lineRule="auto"/>
        <w:jc w:val="both"/>
        <w:rPr>
          <w:rFonts w:ascii="Arial" w:hAnsi="Arial" w:cs="Arial"/>
          <w:color w:val="000000" w:themeColor="text1"/>
          <w:lang w:val="es-MX"/>
        </w:rPr>
      </w:pPr>
      <w:r w:rsidRPr="00667E9F">
        <w:rPr>
          <w:rFonts w:ascii="Arial" w:hAnsi="Arial" w:cs="Arial"/>
          <w:color w:val="000000" w:themeColor="text1"/>
          <w:lang w:val="es-MX"/>
        </w:rPr>
        <w:t xml:space="preserve">Así lo </w:t>
      </w:r>
      <w:r w:rsidR="003F0201">
        <w:rPr>
          <w:rFonts w:ascii="Arial" w:hAnsi="Arial" w:cs="Arial"/>
          <w:color w:val="000000" w:themeColor="text1"/>
          <w:lang w:val="es-MX"/>
        </w:rPr>
        <w:t>acordaron</w:t>
      </w:r>
      <w:r w:rsidRPr="00667E9F">
        <w:rPr>
          <w:rFonts w:ascii="Arial" w:hAnsi="Arial" w:cs="Arial"/>
          <w:color w:val="000000" w:themeColor="text1"/>
          <w:lang w:val="es-MX"/>
        </w:rPr>
        <w:t xml:space="preserve">, por </w:t>
      </w:r>
      <w:r w:rsidR="00243C41">
        <w:rPr>
          <w:rFonts w:ascii="Arial" w:hAnsi="Arial" w:cs="Arial"/>
          <w:b/>
          <w:bCs/>
          <w:color w:val="000000" w:themeColor="text1"/>
          <w:lang w:val="es-MX"/>
        </w:rPr>
        <w:t>unanimidad</w:t>
      </w:r>
      <w:r w:rsidR="000B6BD5" w:rsidRPr="00667E9F">
        <w:rPr>
          <w:rFonts w:ascii="Arial" w:hAnsi="Arial" w:cs="Arial"/>
          <w:color w:val="000000" w:themeColor="text1"/>
          <w:lang w:val="es-MX"/>
        </w:rPr>
        <w:t xml:space="preserve"> </w:t>
      </w:r>
      <w:r w:rsidR="00D77D1E" w:rsidRPr="00667E9F">
        <w:rPr>
          <w:rFonts w:ascii="Arial" w:hAnsi="Arial" w:cs="Arial"/>
          <w:color w:val="000000" w:themeColor="text1"/>
          <w:lang w:val="es-MX"/>
        </w:rPr>
        <w:t>de</w:t>
      </w:r>
      <w:r w:rsidR="00D77D1E" w:rsidRPr="00667E9F">
        <w:rPr>
          <w:rFonts w:ascii="Arial" w:hAnsi="Arial" w:cs="Arial"/>
          <w:b/>
          <w:color w:val="000000" w:themeColor="text1"/>
          <w:lang w:val="es-MX"/>
        </w:rPr>
        <w:t xml:space="preserve"> </w:t>
      </w:r>
      <w:r w:rsidRPr="00667E9F">
        <w:rPr>
          <w:rFonts w:ascii="Arial" w:hAnsi="Arial" w:cs="Arial"/>
          <w:color w:val="000000" w:themeColor="text1"/>
          <w:lang w:val="es-MX"/>
        </w:rPr>
        <w:t>votos, los Magistrados que integran la Sala Superior del Tribunal Electoral del Poder Judicial de la Federación</w:t>
      </w:r>
      <w:r w:rsidR="00243C41">
        <w:rPr>
          <w:rFonts w:ascii="Arial" w:hAnsi="Arial" w:cs="Arial"/>
          <w:color w:val="000000" w:themeColor="text1"/>
          <w:lang w:val="es-MX"/>
        </w:rPr>
        <w:t xml:space="preserve">, </w:t>
      </w:r>
      <w:r w:rsidR="00243C41">
        <w:rPr>
          <w:rFonts w:ascii="Arial" w:hAnsi="Arial" w:cs="Arial"/>
          <w:color w:val="000000"/>
        </w:rPr>
        <w:t>con la ausencia de</w:t>
      </w:r>
      <w:r w:rsidR="0031053E">
        <w:rPr>
          <w:rFonts w:ascii="Arial" w:hAnsi="Arial" w:cs="Arial"/>
          <w:color w:val="000000"/>
        </w:rPr>
        <w:t xml:space="preserve"> </w:t>
      </w:r>
      <w:r w:rsidR="00243C41">
        <w:rPr>
          <w:rFonts w:ascii="Arial" w:hAnsi="Arial" w:cs="Arial"/>
          <w:color w:val="000000"/>
        </w:rPr>
        <w:t>la</w:t>
      </w:r>
      <w:r w:rsidR="0031053E">
        <w:rPr>
          <w:rFonts w:ascii="Arial" w:hAnsi="Arial" w:cs="Arial"/>
          <w:color w:val="000000"/>
        </w:rPr>
        <w:t>s</w:t>
      </w:r>
      <w:r w:rsidR="00243C41">
        <w:rPr>
          <w:rFonts w:ascii="Arial" w:hAnsi="Arial" w:cs="Arial"/>
          <w:color w:val="000000"/>
        </w:rPr>
        <w:t xml:space="preserve"> </w:t>
      </w:r>
      <w:r w:rsidR="0031053E">
        <w:rPr>
          <w:rFonts w:ascii="Arial" w:hAnsi="Arial" w:cs="Arial"/>
          <w:color w:val="000000"/>
        </w:rPr>
        <w:t>M</w:t>
      </w:r>
      <w:r w:rsidR="00243C41">
        <w:rPr>
          <w:rFonts w:ascii="Arial" w:hAnsi="Arial" w:cs="Arial"/>
          <w:color w:val="000000"/>
        </w:rPr>
        <w:t>agistrada</w:t>
      </w:r>
      <w:r w:rsidR="0031053E">
        <w:rPr>
          <w:rFonts w:ascii="Arial" w:hAnsi="Arial" w:cs="Arial"/>
          <w:color w:val="000000"/>
        </w:rPr>
        <w:t>s</w:t>
      </w:r>
      <w:r w:rsidR="00243C41">
        <w:rPr>
          <w:rFonts w:ascii="Arial" w:hAnsi="Arial" w:cs="Arial"/>
          <w:color w:val="000000"/>
        </w:rPr>
        <w:t xml:space="preserve"> </w:t>
      </w:r>
      <w:r w:rsidR="0031053E">
        <w:rPr>
          <w:rFonts w:ascii="Arial" w:hAnsi="Arial" w:cs="Arial"/>
          <w:color w:val="000000"/>
        </w:rPr>
        <w:t xml:space="preserve">Janine M. Otálora </w:t>
      </w:r>
      <w:proofErr w:type="spellStart"/>
      <w:r w:rsidR="0031053E">
        <w:rPr>
          <w:rFonts w:ascii="Arial" w:hAnsi="Arial" w:cs="Arial"/>
          <w:color w:val="000000"/>
        </w:rPr>
        <w:t>Malassis</w:t>
      </w:r>
      <w:proofErr w:type="spellEnd"/>
      <w:r w:rsidR="0031053E">
        <w:rPr>
          <w:rFonts w:ascii="Arial" w:hAnsi="Arial" w:cs="Arial"/>
          <w:color w:val="000000"/>
        </w:rPr>
        <w:t xml:space="preserve"> y </w:t>
      </w:r>
      <w:r w:rsidR="00243C41">
        <w:rPr>
          <w:rFonts w:ascii="Arial" w:hAnsi="Arial" w:cs="Arial"/>
          <w:color w:val="000000"/>
        </w:rPr>
        <w:t xml:space="preserve">Mónica Aralí Soto </w:t>
      </w:r>
      <w:r w:rsidR="00765CE2">
        <w:rPr>
          <w:rFonts w:ascii="Arial" w:hAnsi="Arial" w:cs="Arial"/>
          <w:color w:val="000000"/>
        </w:rPr>
        <w:t>Fregoso,</w:t>
      </w:r>
      <w:r w:rsidR="0031053E">
        <w:rPr>
          <w:rFonts w:ascii="Arial" w:hAnsi="Arial" w:cs="Arial"/>
          <w:color w:val="000000"/>
        </w:rPr>
        <w:t xml:space="preserve"> así como del Magistrado </w:t>
      </w:r>
      <w:r w:rsidR="00AA31B1">
        <w:rPr>
          <w:rFonts w:ascii="Arial" w:hAnsi="Arial" w:cs="Arial"/>
          <w:color w:val="000000"/>
        </w:rPr>
        <w:t>Indalfer Infante Gonz</w:t>
      </w:r>
      <w:r w:rsidR="00765CE2">
        <w:rPr>
          <w:rFonts w:ascii="Arial" w:hAnsi="Arial" w:cs="Arial"/>
          <w:color w:val="000000"/>
        </w:rPr>
        <w:t>a</w:t>
      </w:r>
      <w:r w:rsidR="00AA31B1">
        <w:rPr>
          <w:rFonts w:ascii="Arial" w:hAnsi="Arial" w:cs="Arial"/>
          <w:color w:val="000000"/>
        </w:rPr>
        <w:t>le</w:t>
      </w:r>
      <w:r w:rsidR="00765CE2">
        <w:rPr>
          <w:rFonts w:ascii="Arial" w:hAnsi="Arial" w:cs="Arial"/>
          <w:color w:val="000000"/>
        </w:rPr>
        <w:t>s</w:t>
      </w:r>
      <w:bookmarkStart w:id="19" w:name="_GoBack"/>
      <w:bookmarkEnd w:id="19"/>
      <w:r w:rsidR="00243C41">
        <w:rPr>
          <w:rFonts w:ascii="Arial" w:hAnsi="Arial" w:cs="Arial"/>
          <w:color w:val="000000"/>
        </w:rPr>
        <w:t xml:space="preserve">. </w:t>
      </w:r>
      <w:r w:rsidRPr="00667E9F">
        <w:rPr>
          <w:rFonts w:ascii="Arial" w:hAnsi="Arial" w:cs="Arial"/>
          <w:color w:val="000000" w:themeColor="text1"/>
          <w:lang w:val="es-MX"/>
        </w:rPr>
        <w:t xml:space="preserve">El Secretario </w:t>
      </w:r>
      <w:r w:rsidRPr="00667E9F">
        <w:rPr>
          <w:rFonts w:ascii="Arial" w:hAnsi="Arial" w:cs="Arial"/>
          <w:color w:val="000000" w:themeColor="text1"/>
          <w:lang w:val="es-MX"/>
        </w:rPr>
        <w:lastRenderedPageBreak/>
        <w:t xml:space="preserve">General de Acuerdos </w:t>
      </w:r>
      <w:r w:rsidR="006952E1" w:rsidRPr="00667E9F">
        <w:rPr>
          <w:rFonts w:ascii="Arial" w:hAnsi="Arial" w:cs="Arial"/>
          <w:color w:val="000000" w:themeColor="text1"/>
          <w:lang w:val="es-MX"/>
        </w:rPr>
        <w:t xml:space="preserve">autoriza y </w:t>
      </w:r>
      <w:r w:rsidRPr="00667E9F">
        <w:rPr>
          <w:rFonts w:ascii="Arial" w:hAnsi="Arial" w:cs="Arial"/>
          <w:color w:val="000000" w:themeColor="text1"/>
          <w:lang w:val="es-MX"/>
        </w:rPr>
        <w:t>da fe</w:t>
      </w:r>
      <w:r w:rsidR="00D77D1E" w:rsidRPr="00667E9F">
        <w:rPr>
          <w:rFonts w:ascii="Arial" w:hAnsi="Arial" w:cs="Arial"/>
          <w:color w:val="000000" w:themeColor="text1"/>
          <w:lang w:val="es-MX"/>
        </w:rPr>
        <w:t xml:space="preserve"> que </w:t>
      </w:r>
      <w:r w:rsidR="003F0201">
        <w:rPr>
          <w:rFonts w:ascii="Arial" w:hAnsi="Arial" w:cs="Arial"/>
          <w:color w:val="000000" w:themeColor="text1"/>
          <w:lang w:val="es-MX"/>
        </w:rPr>
        <w:t xml:space="preserve">el presente acuerdo </w:t>
      </w:r>
      <w:r w:rsidR="00D77D1E" w:rsidRPr="00667E9F">
        <w:rPr>
          <w:rFonts w:ascii="Arial" w:hAnsi="Arial" w:cs="Arial"/>
          <w:color w:val="000000" w:themeColor="text1"/>
          <w:lang w:val="es-MX"/>
        </w:rPr>
        <w:t>se firma de manera electrónica</w:t>
      </w:r>
      <w:r w:rsidR="00751B12" w:rsidRPr="00667E9F">
        <w:rPr>
          <w:rFonts w:ascii="Arial" w:hAnsi="Arial" w:cs="Arial"/>
          <w:color w:val="000000" w:themeColor="text1"/>
          <w:lang w:val="es-MX"/>
        </w:rPr>
        <w:t>.</w:t>
      </w:r>
    </w:p>
    <w:p w14:paraId="756F6119" w14:textId="0420AF8C" w:rsidR="00FE1D56" w:rsidRPr="00AA31B1" w:rsidRDefault="00FE1D56" w:rsidP="00121115">
      <w:pPr>
        <w:suppressLineNumbers/>
        <w:spacing w:before="240" w:after="240" w:line="360" w:lineRule="auto"/>
        <w:jc w:val="both"/>
        <w:rPr>
          <w:rFonts w:ascii="Arial" w:hAnsi="Arial" w:cs="Arial"/>
          <w:color w:val="000000" w:themeColor="text1"/>
          <w:lang w:val="es-MX"/>
        </w:rPr>
      </w:pPr>
      <w:r w:rsidRPr="00AA31B1">
        <w:rPr>
          <w:rFonts w:ascii="Arial" w:hAnsi="Arial" w:cs="Arial"/>
          <w:color w:val="000000" w:themeColor="text1"/>
          <w:lang w:val="es-MX"/>
        </w:rPr>
        <w:t xml:space="preserve">Este documento es </w:t>
      </w:r>
      <w:r w:rsidRPr="00AA31B1">
        <w:rPr>
          <w:rFonts w:ascii="Arial" w:hAnsi="Arial" w:cs="Arial"/>
          <w:bCs/>
          <w:color w:val="000000" w:themeColor="text1"/>
          <w:lang w:val="es-MX"/>
        </w:rPr>
        <w:t>autorizado mediante</w:t>
      </w:r>
      <w:r w:rsidRPr="00AA31B1">
        <w:rPr>
          <w:rFonts w:ascii="Arial" w:hAnsi="Arial" w:cs="Arial"/>
          <w:color w:val="000000" w:themeColor="text1"/>
          <w:lang w:val="es-MX"/>
        </w:rPr>
        <w:t xml:space="preserv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4FB4AFF" w14:textId="13181398" w:rsidR="00243C41" w:rsidRPr="00427418" w:rsidRDefault="00243C41" w:rsidP="00121115">
      <w:pPr>
        <w:suppressLineNumbers/>
        <w:spacing w:before="240" w:after="240" w:line="360" w:lineRule="auto"/>
        <w:jc w:val="both"/>
        <w:rPr>
          <w:rFonts w:ascii="Arial" w:hAnsi="Arial" w:cs="Arial"/>
          <w:color w:val="000000" w:themeColor="text1"/>
          <w:sz w:val="22"/>
          <w:szCs w:val="22"/>
          <w:lang w:val="es-MX"/>
        </w:rPr>
      </w:pPr>
    </w:p>
    <w:sectPr w:rsidR="00243C41" w:rsidRPr="00427418" w:rsidSect="00886D33">
      <w:headerReference w:type="even" r:id="rId11"/>
      <w:headerReference w:type="default" r:id="rId12"/>
      <w:footerReference w:type="even" r:id="rId13"/>
      <w:footerReference w:type="default" r:id="rId14"/>
      <w:headerReference w:type="first" r:id="rId15"/>
      <w:pgSz w:w="12242" w:h="18722" w:code="14"/>
      <w:pgMar w:top="3119" w:right="1134" w:bottom="1134" w:left="2835" w:header="226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9884" w14:textId="77777777" w:rsidR="00474449" w:rsidRDefault="00474449" w:rsidP="001C3986">
      <w:r>
        <w:separator/>
      </w:r>
    </w:p>
  </w:endnote>
  <w:endnote w:type="continuationSeparator" w:id="0">
    <w:p w14:paraId="31C85E61" w14:textId="77777777" w:rsidR="00474449" w:rsidRDefault="00474449" w:rsidP="001C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FFD0" w14:textId="77777777" w:rsidR="00EA63E0" w:rsidRDefault="00EA63E0" w:rsidP="00A74E27">
    <w:pPr>
      <w:pStyle w:val="Piedepgina"/>
      <w:jc w:val="center"/>
      <w:rPr>
        <w:rFonts w:ascii="Arial" w:hAnsi="Arial" w:cs="Arial"/>
        <w:sz w:val="26"/>
        <w:szCs w:val="26"/>
      </w:rPr>
    </w:pPr>
  </w:p>
  <w:p w14:paraId="20BE8B68" w14:textId="77777777" w:rsidR="00EA63E0" w:rsidRPr="002C5578" w:rsidRDefault="00EA63E0" w:rsidP="00A74E27">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sidRPr="00135549">
      <w:rPr>
        <w:rFonts w:ascii="Arial" w:hAnsi="Arial" w:cs="Arial"/>
        <w:sz w:val="26"/>
        <w:szCs w:val="26"/>
      </w:rPr>
      <w:t>2</w:t>
    </w:r>
    <w:r w:rsidRPr="00135549">
      <w:rPr>
        <w:rFonts w:ascii="Arial" w:hAnsi="Arial" w:cs="Arial"/>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BD0F" w14:textId="77777777" w:rsidR="00EA63E0" w:rsidRDefault="00EA63E0">
    <w:pPr>
      <w:pStyle w:val="Piedepgina"/>
      <w:jc w:val="center"/>
      <w:rPr>
        <w:rFonts w:ascii="Arial" w:hAnsi="Arial" w:cs="Arial"/>
        <w:sz w:val="26"/>
        <w:szCs w:val="26"/>
      </w:rPr>
    </w:pPr>
  </w:p>
  <w:p w14:paraId="11FEBF25" w14:textId="77777777" w:rsidR="00EA63E0" w:rsidRPr="00135549" w:rsidRDefault="00EA63E0">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sidRPr="00135549">
      <w:rPr>
        <w:rFonts w:ascii="Arial" w:hAnsi="Arial" w:cs="Arial"/>
        <w:sz w:val="26"/>
        <w:szCs w:val="26"/>
      </w:rPr>
      <w:t>2</w:t>
    </w:r>
    <w:r w:rsidRPr="00135549">
      <w:rPr>
        <w:rFonts w:ascii="Arial" w:hAnsi="Arial" w:cs="Arial"/>
        <w:sz w:val="26"/>
        <w:szCs w:val="26"/>
      </w:rPr>
      <w:fldChar w:fldCharType="end"/>
    </w:r>
  </w:p>
  <w:p w14:paraId="74F7A7FC" w14:textId="77777777" w:rsidR="00EA63E0" w:rsidRPr="00135549" w:rsidRDefault="00EA63E0" w:rsidP="00A74E27">
    <w:pPr>
      <w:pStyle w:val="Piedepgina"/>
      <w:shd w:val="clear" w:color="auto" w:fill="FFFFFF"/>
      <w:tabs>
        <w:tab w:val="clear" w:pos="432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AC92" w14:textId="77777777" w:rsidR="00474449" w:rsidRDefault="00474449" w:rsidP="001C3986">
      <w:r>
        <w:separator/>
      </w:r>
    </w:p>
  </w:footnote>
  <w:footnote w:type="continuationSeparator" w:id="0">
    <w:p w14:paraId="792212C5" w14:textId="77777777" w:rsidR="00474449" w:rsidRDefault="00474449" w:rsidP="001C3986">
      <w:r>
        <w:continuationSeparator/>
      </w:r>
    </w:p>
  </w:footnote>
  <w:footnote w:id="1">
    <w:p w14:paraId="149AE558" w14:textId="77777777" w:rsidR="00752E47" w:rsidRPr="00886D33" w:rsidRDefault="00752E47" w:rsidP="00886D33">
      <w:pPr>
        <w:pStyle w:val="Textonotapie"/>
        <w:jc w:val="both"/>
        <w:rPr>
          <w:rFonts w:ascii="Arial" w:hAnsi="Arial" w:cs="Arial"/>
          <w:sz w:val="18"/>
          <w:szCs w:val="18"/>
          <w:lang w:val="es-MX"/>
        </w:rPr>
      </w:pPr>
      <w:r w:rsidRPr="00886D33">
        <w:rPr>
          <w:rStyle w:val="Refdenotaalpie"/>
          <w:rFonts w:ascii="Arial" w:hAnsi="Arial" w:cs="Arial"/>
          <w:sz w:val="18"/>
          <w:szCs w:val="18"/>
        </w:rPr>
        <w:footnoteRef/>
      </w:r>
      <w:r w:rsidRPr="00886D33">
        <w:rPr>
          <w:rFonts w:ascii="Arial" w:hAnsi="Arial" w:cs="Arial"/>
          <w:sz w:val="18"/>
          <w:szCs w:val="18"/>
        </w:rPr>
        <w:t xml:space="preserve"> </w:t>
      </w:r>
      <w:r w:rsidRPr="00886D33">
        <w:rPr>
          <w:rFonts w:ascii="Arial" w:hAnsi="Arial" w:cs="Arial"/>
          <w:sz w:val="18"/>
          <w:szCs w:val="18"/>
          <w:shd w:val="clear" w:color="auto" w:fill="FFFFFF"/>
        </w:rPr>
        <w:t>Consultable en Justicia Electoral. Revista del Tribunal Electoral del Poder Judicial de la Federación, Suplemento 3, Año 2000, páginas 17 y 18.</w:t>
      </w:r>
    </w:p>
  </w:footnote>
  <w:footnote w:id="2">
    <w:p w14:paraId="18A5A512" w14:textId="1329EED5" w:rsidR="00EA63E0" w:rsidRPr="00886D33" w:rsidRDefault="00EA63E0" w:rsidP="00886D33">
      <w:pPr>
        <w:pStyle w:val="Textonotapie"/>
        <w:jc w:val="both"/>
        <w:rPr>
          <w:rFonts w:ascii="Arial" w:hAnsi="Arial" w:cs="Arial"/>
          <w:sz w:val="18"/>
          <w:szCs w:val="18"/>
        </w:rPr>
      </w:pPr>
      <w:r w:rsidRPr="00886D33">
        <w:rPr>
          <w:rStyle w:val="Refdenotaalpie"/>
          <w:rFonts w:ascii="Arial" w:hAnsi="Arial" w:cs="Arial"/>
          <w:sz w:val="18"/>
          <w:szCs w:val="18"/>
        </w:rPr>
        <w:footnoteRef/>
      </w:r>
      <w:r w:rsidRPr="00886D33">
        <w:rPr>
          <w:rFonts w:ascii="Arial" w:hAnsi="Arial" w:cs="Arial"/>
          <w:sz w:val="18"/>
          <w:szCs w:val="18"/>
        </w:rPr>
        <w:t xml:space="preserve"> Criterio sustentado</w:t>
      </w:r>
      <w:r w:rsidR="005E033C" w:rsidRPr="00886D33">
        <w:rPr>
          <w:rFonts w:ascii="Arial" w:hAnsi="Arial" w:cs="Arial"/>
          <w:sz w:val="18"/>
          <w:szCs w:val="18"/>
        </w:rPr>
        <w:t>, entre otros,</w:t>
      </w:r>
      <w:r w:rsidRPr="00886D33">
        <w:rPr>
          <w:rFonts w:ascii="Arial" w:hAnsi="Arial" w:cs="Arial"/>
          <w:sz w:val="18"/>
          <w:szCs w:val="18"/>
        </w:rPr>
        <w:t xml:space="preserve"> en el asunto general SUP-AG-61/2020 y </w:t>
      </w:r>
      <w:r w:rsidR="005E033C" w:rsidRPr="00886D33">
        <w:rPr>
          <w:rFonts w:ascii="Arial" w:hAnsi="Arial" w:cs="Arial"/>
          <w:sz w:val="18"/>
          <w:szCs w:val="18"/>
        </w:rPr>
        <w:t xml:space="preserve">los </w:t>
      </w:r>
      <w:r w:rsidRPr="00886D33">
        <w:rPr>
          <w:rFonts w:ascii="Arial" w:hAnsi="Arial" w:cs="Arial"/>
          <w:sz w:val="18"/>
          <w:szCs w:val="18"/>
        </w:rPr>
        <w:t>recurso</w:t>
      </w:r>
      <w:r w:rsidR="005E033C" w:rsidRPr="00886D33">
        <w:rPr>
          <w:rFonts w:ascii="Arial" w:hAnsi="Arial" w:cs="Arial"/>
          <w:sz w:val="18"/>
          <w:szCs w:val="18"/>
        </w:rPr>
        <w:t>s</w:t>
      </w:r>
      <w:r w:rsidRPr="00886D33">
        <w:rPr>
          <w:rFonts w:ascii="Arial" w:hAnsi="Arial" w:cs="Arial"/>
          <w:sz w:val="18"/>
          <w:szCs w:val="18"/>
        </w:rPr>
        <w:t xml:space="preserve"> de revisión del procedimiento especial sancionador SUP-REP-82/2020 y acumulados</w:t>
      </w:r>
      <w:r w:rsidR="005E033C" w:rsidRPr="00886D33">
        <w:rPr>
          <w:rFonts w:ascii="Arial" w:hAnsi="Arial" w:cs="Arial"/>
          <w:sz w:val="18"/>
          <w:szCs w:val="18"/>
        </w:rPr>
        <w:t>, y SUP-REP-99/2020.</w:t>
      </w:r>
    </w:p>
  </w:footnote>
  <w:footnote w:id="3">
    <w:p w14:paraId="530793FC" w14:textId="18B580B9" w:rsidR="00EA63E0" w:rsidRPr="00886D33" w:rsidRDefault="00EA63E0" w:rsidP="00886D33">
      <w:pPr>
        <w:pStyle w:val="Textonotapie"/>
        <w:jc w:val="both"/>
        <w:rPr>
          <w:rFonts w:ascii="Arial" w:hAnsi="Arial" w:cs="Arial"/>
          <w:sz w:val="18"/>
          <w:szCs w:val="18"/>
          <w:lang w:val="es-MX"/>
        </w:rPr>
      </w:pPr>
      <w:r w:rsidRPr="00886D33">
        <w:rPr>
          <w:rStyle w:val="Refdenotaalpie"/>
          <w:rFonts w:ascii="Arial" w:hAnsi="Arial" w:cs="Arial"/>
          <w:sz w:val="18"/>
          <w:szCs w:val="18"/>
        </w:rPr>
        <w:footnoteRef/>
      </w:r>
      <w:r w:rsidRPr="00886D33">
        <w:rPr>
          <w:rFonts w:ascii="Arial" w:hAnsi="Arial" w:cs="Arial"/>
          <w:sz w:val="18"/>
          <w:szCs w:val="18"/>
        </w:rPr>
        <w:t xml:space="preserve"> Véa</w:t>
      </w:r>
      <w:r w:rsidR="005E033C" w:rsidRPr="00886D33">
        <w:rPr>
          <w:rFonts w:ascii="Arial" w:hAnsi="Arial" w:cs="Arial"/>
          <w:sz w:val="18"/>
          <w:szCs w:val="18"/>
        </w:rPr>
        <w:t>n</w:t>
      </w:r>
      <w:r w:rsidRPr="00886D33">
        <w:rPr>
          <w:rFonts w:ascii="Arial" w:hAnsi="Arial" w:cs="Arial"/>
          <w:sz w:val="18"/>
          <w:szCs w:val="18"/>
        </w:rPr>
        <w:t xml:space="preserve">se </w:t>
      </w:r>
      <w:r w:rsidR="005E033C" w:rsidRPr="00886D33">
        <w:rPr>
          <w:rFonts w:ascii="Arial" w:hAnsi="Arial" w:cs="Arial"/>
          <w:sz w:val="18"/>
          <w:szCs w:val="18"/>
        </w:rPr>
        <w:t xml:space="preserve">también </w:t>
      </w:r>
      <w:r w:rsidRPr="00886D33">
        <w:rPr>
          <w:rFonts w:ascii="Arial" w:hAnsi="Arial" w:cs="Arial"/>
          <w:sz w:val="18"/>
          <w:szCs w:val="18"/>
        </w:rPr>
        <w:t>las sentencias dictadas en los expedientes SUP-REP-8/2017, SUP-REP-15/2017, SUP-REP-142/2017 y SUP-REP-174/2017.</w:t>
      </w:r>
    </w:p>
  </w:footnote>
  <w:footnote w:id="4">
    <w:p w14:paraId="64C50881" w14:textId="77777777" w:rsidR="00EA63E0" w:rsidRPr="00886D33" w:rsidRDefault="00EA63E0" w:rsidP="00886D33">
      <w:pPr>
        <w:pStyle w:val="Textonotapie"/>
        <w:jc w:val="both"/>
        <w:rPr>
          <w:rFonts w:ascii="Arial" w:hAnsi="Arial" w:cs="Arial"/>
          <w:sz w:val="18"/>
          <w:szCs w:val="18"/>
          <w:lang w:val="es-MX"/>
        </w:rPr>
      </w:pPr>
      <w:r w:rsidRPr="00886D33">
        <w:rPr>
          <w:rStyle w:val="Refdenotaalpie"/>
          <w:rFonts w:ascii="Arial" w:hAnsi="Arial" w:cs="Arial"/>
          <w:sz w:val="18"/>
          <w:szCs w:val="18"/>
        </w:rPr>
        <w:footnoteRef/>
      </w:r>
      <w:r w:rsidRPr="00886D33">
        <w:rPr>
          <w:rFonts w:ascii="Arial" w:hAnsi="Arial" w:cs="Arial"/>
          <w:sz w:val="18"/>
          <w:szCs w:val="18"/>
        </w:rPr>
        <w:t xml:space="preserve"> </w:t>
      </w:r>
      <w:r w:rsidRPr="00886D33">
        <w:rPr>
          <w:rFonts w:ascii="Arial" w:hAnsi="Arial" w:cs="Arial"/>
          <w:sz w:val="18"/>
          <w:szCs w:val="18"/>
          <w:lang w:val="es-MX"/>
        </w:rPr>
        <w:t>Véase la sentencia dictada en el expediente SUP-REP-160/2019.</w:t>
      </w:r>
    </w:p>
  </w:footnote>
  <w:footnote w:id="5">
    <w:p w14:paraId="1F5D7750" w14:textId="7E21632F" w:rsidR="00D26775" w:rsidRPr="00886D33" w:rsidRDefault="00D26775" w:rsidP="00886D33">
      <w:pPr>
        <w:pStyle w:val="Textonotapie"/>
        <w:jc w:val="both"/>
        <w:rPr>
          <w:rFonts w:ascii="Arial" w:hAnsi="Arial" w:cs="Arial"/>
          <w:sz w:val="18"/>
          <w:szCs w:val="18"/>
          <w:lang w:val="es-MX"/>
        </w:rPr>
      </w:pPr>
      <w:r w:rsidRPr="00886D33">
        <w:rPr>
          <w:rStyle w:val="Refdenotaalpie"/>
          <w:rFonts w:ascii="Arial" w:hAnsi="Arial" w:cs="Arial"/>
          <w:sz w:val="18"/>
          <w:szCs w:val="18"/>
        </w:rPr>
        <w:footnoteRef/>
      </w:r>
      <w:r w:rsidRPr="00886D33">
        <w:rPr>
          <w:rFonts w:ascii="Arial" w:hAnsi="Arial" w:cs="Arial"/>
          <w:sz w:val="18"/>
          <w:szCs w:val="18"/>
        </w:rPr>
        <w:t xml:space="preserve"> Por ello, cuando se denuncian ciertas conductas vinculadas con la difusión de propaganda en radio o televisión, o cuando dichas conductas pudieran actualizar distintas competencias de las autoridades electorales (nacional y local), pero que no se pueden escindir, en esos casos, la autoridad competente será la autoridad nacional, y no la local, para no dividir la continencia de la causa, y evitar resoluciones contradictorias. </w:t>
      </w:r>
      <w:r w:rsidR="00493F2A" w:rsidRPr="00886D33">
        <w:rPr>
          <w:rFonts w:ascii="Arial" w:hAnsi="Arial" w:cs="Arial"/>
          <w:sz w:val="18"/>
          <w:szCs w:val="18"/>
        </w:rPr>
        <w:t xml:space="preserve">En este sentido, </w:t>
      </w:r>
      <w:r w:rsidRPr="00886D33">
        <w:rPr>
          <w:rFonts w:ascii="Arial" w:hAnsi="Arial" w:cs="Arial"/>
          <w:sz w:val="18"/>
          <w:szCs w:val="18"/>
        </w:rPr>
        <w:t xml:space="preserve">véanse las jurisprudencias 13/2010 </w:t>
      </w:r>
      <w:r w:rsidRPr="00886D33">
        <w:rPr>
          <w:rFonts w:ascii="Arial" w:hAnsi="Arial" w:cs="Arial"/>
          <w:i/>
          <w:iCs/>
          <w:sz w:val="18"/>
          <w:szCs w:val="18"/>
        </w:rPr>
        <w:t>COMPETENCIA. CORRESPONDE A LA SALA SUPERIOR CONOCER DEL JUICIO DE REVISIÓN CONSTITUCIONAL ELECTORAL CUANDO LA MATERIA DE IMPUGNACIÓN SEA INESCINDIBLE</w:t>
      </w:r>
      <w:r w:rsidRPr="00886D33">
        <w:rPr>
          <w:rFonts w:ascii="Arial" w:hAnsi="Arial" w:cs="Arial"/>
          <w:sz w:val="18"/>
          <w:szCs w:val="18"/>
        </w:rPr>
        <w:t xml:space="preserve">; 25/2010 </w:t>
      </w:r>
      <w:r w:rsidRPr="00886D33">
        <w:rPr>
          <w:rFonts w:ascii="Arial" w:hAnsi="Arial" w:cs="Arial"/>
          <w:i/>
          <w:iCs/>
          <w:sz w:val="18"/>
          <w:szCs w:val="18"/>
        </w:rPr>
        <w:t>PROPAGANDA ELECTORAL EN RADIO Y TELEVISIÓN. COMPETENCIA DE LAS AUTORIDADES ELECTORALES PARA CONOCER DE LOS PROCEDIMIENTOS SANCIONADORES RESPECTIVOS</w:t>
      </w:r>
      <w:r w:rsidR="00493F2A" w:rsidRPr="00886D33">
        <w:rPr>
          <w:rFonts w:ascii="Arial" w:hAnsi="Arial" w:cs="Arial"/>
          <w:sz w:val="18"/>
          <w:szCs w:val="18"/>
        </w:rPr>
        <w:t xml:space="preserve"> </w:t>
      </w:r>
      <w:r w:rsidRPr="00886D33">
        <w:rPr>
          <w:rFonts w:ascii="Arial" w:hAnsi="Arial" w:cs="Arial"/>
          <w:sz w:val="18"/>
          <w:szCs w:val="18"/>
        </w:rPr>
        <w:t xml:space="preserve">y 12/2011 </w:t>
      </w:r>
      <w:r w:rsidRPr="00886D33">
        <w:rPr>
          <w:rFonts w:ascii="Arial" w:hAnsi="Arial" w:cs="Arial"/>
          <w:i/>
          <w:iCs/>
          <w:sz w:val="18"/>
          <w:szCs w:val="18"/>
        </w:rPr>
        <w:t>COMPETENCIA. EN MATERIA DE ASIGNACIÓN DE TIEMPOS EN RADIO Y TELEVISIÓN EN EL ÁMBITO LOCAL CORRESPONDE A LA SALA SUPERIOR DEL TRIBUNAL ELECTORAL DEL PODER JUDICIAL DE LA FEDERACIÓN</w:t>
      </w:r>
      <w:r w:rsidRPr="00886D3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32BA" w14:textId="1BA61C33" w:rsidR="00EA63E0" w:rsidRDefault="00EA63E0" w:rsidP="00767B19">
    <w:pPr>
      <w:pStyle w:val="Encabezado"/>
      <w:jc w:val="right"/>
      <w:rPr>
        <w:rFonts w:ascii="Arial" w:hAnsi="Arial" w:cs="Arial"/>
        <w:b/>
        <w:bCs/>
        <w:sz w:val="26"/>
        <w:szCs w:val="26"/>
        <w:lang w:val="es-MX"/>
      </w:rPr>
    </w:pPr>
    <w:r w:rsidRPr="000932AE">
      <w:rPr>
        <w:rFonts w:ascii="Arial" w:hAnsi="Arial" w:cs="Arial"/>
        <w:b/>
        <w:bCs/>
        <w:sz w:val="26"/>
        <w:szCs w:val="26"/>
        <w:lang w:val="es-MX"/>
      </w:rPr>
      <w:t>SUP-</w:t>
    </w:r>
    <w:r w:rsidR="00C702B1">
      <w:rPr>
        <w:rFonts w:ascii="Arial" w:hAnsi="Arial" w:cs="Arial"/>
        <w:b/>
        <w:bCs/>
        <w:sz w:val="26"/>
        <w:szCs w:val="26"/>
        <w:lang w:val="es-MX"/>
      </w:rPr>
      <w:t>JDC</w:t>
    </w:r>
    <w:r w:rsidRPr="000932AE">
      <w:rPr>
        <w:rFonts w:ascii="Arial" w:hAnsi="Arial" w:cs="Arial"/>
        <w:b/>
        <w:bCs/>
        <w:sz w:val="26"/>
        <w:szCs w:val="26"/>
        <w:lang w:val="es-MX"/>
      </w:rPr>
      <w:t>-</w:t>
    </w:r>
    <w:r w:rsidR="00071D17">
      <w:rPr>
        <w:rFonts w:ascii="Arial" w:hAnsi="Arial" w:cs="Arial"/>
        <w:b/>
        <w:bCs/>
        <w:sz w:val="26"/>
        <w:szCs w:val="26"/>
        <w:lang w:val="es-MX"/>
      </w:rPr>
      <w:t>57</w:t>
    </w:r>
    <w:r w:rsidRPr="000932AE">
      <w:rPr>
        <w:rFonts w:ascii="Arial" w:hAnsi="Arial" w:cs="Arial"/>
        <w:b/>
        <w:bCs/>
        <w:sz w:val="26"/>
        <w:szCs w:val="26"/>
        <w:lang w:val="es-MX"/>
      </w:rPr>
      <w:t>/202</w:t>
    </w:r>
    <w:r w:rsidR="00C702B1">
      <w:rPr>
        <w:rFonts w:ascii="Arial" w:hAnsi="Arial" w:cs="Arial"/>
        <w:b/>
        <w:bCs/>
        <w:sz w:val="26"/>
        <w:szCs w:val="26"/>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C484" w14:textId="5224FB90" w:rsidR="00EA63E0" w:rsidRPr="00C5636E" w:rsidRDefault="00EA63E0" w:rsidP="00A74E27">
    <w:pPr>
      <w:pStyle w:val="Encabezado"/>
      <w:jc w:val="right"/>
      <w:rPr>
        <w:rFonts w:ascii="Arial" w:hAnsi="Arial" w:cs="Arial"/>
        <w:b/>
        <w:bCs/>
        <w:sz w:val="26"/>
        <w:szCs w:val="26"/>
        <w:lang w:val="es-MX"/>
      </w:rPr>
    </w:pPr>
    <w:r>
      <w:rPr>
        <w:rFonts w:ascii="Arial" w:hAnsi="Arial" w:cs="Arial"/>
        <w:b/>
        <w:bCs/>
        <w:noProof/>
        <w:sz w:val="26"/>
        <w:szCs w:val="26"/>
        <w:lang w:val="es-MX"/>
      </w:rPr>
      <w:drawing>
        <wp:anchor distT="0" distB="0" distL="114300" distR="114300" simplePos="0" relativeHeight="251659264" behindDoc="0" locked="0" layoutInCell="1" allowOverlap="1" wp14:anchorId="25E6EB31" wp14:editId="4A582111">
          <wp:simplePos x="0" y="0"/>
          <wp:positionH relativeFrom="column">
            <wp:posOffset>-1311275</wp:posOffset>
          </wp:positionH>
          <wp:positionV relativeFrom="paragraph">
            <wp:posOffset>-973455</wp:posOffset>
          </wp:positionV>
          <wp:extent cx="1377950" cy="1192530"/>
          <wp:effectExtent l="0" t="0" r="0" b="7620"/>
          <wp:wrapNone/>
          <wp:docPr id="17" name="Imagen 17"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FCF">
      <w:rPr>
        <w:rFonts w:ascii="Arial" w:hAnsi="Arial" w:cs="Arial"/>
        <w:b/>
        <w:bCs/>
        <w:sz w:val="26"/>
        <w:szCs w:val="26"/>
        <w:lang w:val="es-MX"/>
      </w:rPr>
      <w:t>SUP-</w:t>
    </w:r>
    <w:r w:rsidR="007C6719">
      <w:rPr>
        <w:rFonts w:ascii="Arial" w:hAnsi="Arial" w:cs="Arial"/>
        <w:b/>
        <w:bCs/>
        <w:sz w:val="26"/>
        <w:szCs w:val="26"/>
        <w:lang w:val="es-MX"/>
      </w:rPr>
      <w:t>JDC</w:t>
    </w:r>
    <w:r w:rsidRPr="00067FCF">
      <w:rPr>
        <w:rFonts w:ascii="Arial" w:hAnsi="Arial" w:cs="Arial"/>
        <w:b/>
        <w:bCs/>
        <w:sz w:val="26"/>
        <w:szCs w:val="26"/>
        <w:lang w:val="es-MX"/>
      </w:rPr>
      <w:t>-</w:t>
    </w:r>
    <w:r w:rsidR="00071D17">
      <w:rPr>
        <w:rFonts w:ascii="Arial" w:hAnsi="Arial" w:cs="Arial"/>
        <w:b/>
        <w:bCs/>
        <w:sz w:val="26"/>
        <w:szCs w:val="26"/>
        <w:lang w:val="es-MX"/>
      </w:rPr>
      <w:t>57</w:t>
    </w:r>
    <w:r w:rsidRPr="00067FCF">
      <w:rPr>
        <w:rFonts w:ascii="Arial" w:hAnsi="Arial" w:cs="Arial"/>
        <w:b/>
        <w:bCs/>
        <w:sz w:val="26"/>
        <w:szCs w:val="26"/>
        <w:lang w:val="es-MX"/>
      </w:rPr>
      <w:t>/202</w:t>
    </w:r>
    <w:r w:rsidR="000B7975">
      <w:rPr>
        <w:rFonts w:ascii="Arial" w:hAnsi="Arial" w:cs="Arial"/>
        <w:b/>
        <w:bCs/>
        <w:sz w:val="26"/>
        <w:szCs w:val="26"/>
        <w:lang w:val="es-MX"/>
      </w:rPr>
      <w:t>1</w:t>
    </w:r>
  </w:p>
  <w:p w14:paraId="5303E740" w14:textId="77777777" w:rsidR="00EA63E0" w:rsidRDefault="00EA63E0" w:rsidP="00A74E27">
    <w:pPr>
      <w:ind w:left="2832"/>
      <w:jc w:val="right"/>
      <w:rPr>
        <w:rFonts w:ascii="Arial" w:hAnsi="Arial" w:cs="Arial"/>
        <w:b/>
        <w:color w:val="000000"/>
        <w:sz w:val="26"/>
        <w:szCs w:val="26"/>
      </w:rPr>
    </w:pPr>
  </w:p>
  <w:p w14:paraId="57CB6049" w14:textId="77777777" w:rsidR="00EA63E0" w:rsidRPr="00784CE3" w:rsidRDefault="00EA63E0" w:rsidP="00A74E27">
    <w:pPr>
      <w:ind w:left="2832"/>
      <w:jc w:val="right"/>
      <w:rPr>
        <w:rFonts w:ascii="Arial" w:hAnsi="Arial" w:cs="Arial"/>
        <w:b/>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AE9B" w14:textId="36CB2CB5" w:rsidR="00EA63E0" w:rsidRDefault="00EA63E0">
    <w:pPr>
      <w:pStyle w:val="Encabezado"/>
    </w:pPr>
    <w:r>
      <w:rPr>
        <w:noProof/>
      </w:rPr>
      <w:drawing>
        <wp:anchor distT="0" distB="0" distL="114300" distR="114300" simplePos="0" relativeHeight="251658240" behindDoc="0" locked="0" layoutInCell="1" allowOverlap="1" wp14:anchorId="7E140B5C" wp14:editId="6204CF4B">
          <wp:simplePos x="0" y="0"/>
          <wp:positionH relativeFrom="leftMargin">
            <wp:posOffset>241300</wp:posOffset>
          </wp:positionH>
          <wp:positionV relativeFrom="paragraph">
            <wp:posOffset>-1106805</wp:posOffset>
          </wp:positionV>
          <wp:extent cx="1377950" cy="1192530"/>
          <wp:effectExtent l="0" t="0" r="0" b="7620"/>
          <wp:wrapNone/>
          <wp:docPr id="18" name="Imagen 18"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E2BB7"/>
    <w:multiLevelType w:val="hybridMultilevel"/>
    <w:tmpl w:val="E64C799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1E134EB"/>
    <w:multiLevelType w:val="hybridMultilevel"/>
    <w:tmpl w:val="41861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0661A"/>
    <w:multiLevelType w:val="hybridMultilevel"/>
    <w:tmpl w:val="720C9F6C"/>
    <w:lvl w:ilvl="0" w:tplc="AAAC1F24">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07AE1"/>
    <w:multiLevelType w:val="hybridMultilevel"/>
    <w:tmpl w:val="BF6C01D6"/>
    <w:lvl w:ilvl="0" w:tplc="DCE49BA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B355099"/>
    <w:multiLevelType w:val="hybridMultilevel"/>
    <w:tmpl w:val="70FC0AB4"/>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BE81A4A"/>
    <w:multiLevelType w:val="hybridMultilevel"/>
    <w:tmpl w:val="65AE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145AA5"/>
    <w:multiLevelType w:val="hybridMultilevel"/>
    <w:tmpl w:val="4126B4EE"/>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B145CD"/>
    <w:multiLevelType w:val="hybridMultilevel"/>
    <w:tmpl w:val="1472C16C"/>
    <w:lvl w:ilvl="0" w:tplc="080A0001">
      <w:start w:val="1"/>
      <w:numFmt w:val="bullet"/>
      <w:lvlText w:val=""/>
      <w:lvlJc w:val="left"/>
      <w:pPr>
        <w:ind w:left="720" w:hanging="360"/>
      </w:pPr>
      <w:rPr>
        <w:rFonts w:ascii="Symbol" w:hAnsi="Symbol" w:hint="default"/>
        <w:b w:val="0"/>
        <w:i w:val="0"/>
        <w:sz w:val="20"/>
        <w:lang w:val="es-ES"/>
      </w:rPr>
    </w:lvl>
    <w:lvl w:ilvl="1" w:tplc="AAAC1F24">
      <w:numFmt w:val="bullet"/>
      <w:lvlText w:val="-"/>
      <w:lvlJc w:val="left"/>
      <w:pPr>
        <w:ind w:left="1440" w:hanging="360"/>
      </w:pPr>
      <w:rPr>
        <w:rFonts w:ascii="Arial" w:eastAsia="Calibri" w:hAnsi="Arial" w:cs="Arial" w:hint="default"/>
        <w:b/>
      </w:rPr>
    </w:lvl>
    <w:lvl w:ilvl="2" w:tplc="8FA64B1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F06976"/>
    <w:multiLevelType w:val="hybridMultilevel"/>
    <w:tmpl w:val="B1E2B03A"/>
    <w:lvl w:ilvl="0" w:tplc="2158A652">
      <w:start w:val="1"/>
      <w:numFmt w:val="decimal"/>
      <w:lvlText w:val="%1."/>
      <w:lvlJc w:val="left"/>
      <w:pPr>
        <w:ind w:left="720" w:hanging="360"/>
      </w:pPr>
      <w:rPr>
        <w:b w:val="0"/>
        <w:i w:val="0"/>
        <w:sz w:val="20"/>
        <w:lang w:val="es-MX"/>
      </w:rPr>
    </w:lvl>
    <w:lvl w:ilvl="1" w:tplc="AAAC1F24">
      <w:numFmt w:val="bullet"/>
      <w:lvlText w:val="-"/>
      <w:lvlJc w:val="left"/>
      <w:pPr>
        <w:ind w:left="1440" w:hanging="360"/>
      </w:pPr>
      <w:rPr>
        <w:rFonts w:ascii="Arial" w:eastAsia="Calibri" w:hAnsi="Arial" w:cs="Arial" w:hint="default"/>
        <w:b/>
      </w:rPr>
    </w:lvl>
    <w:lvl w:ilvl="2" w:tplc="8FA64B1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B82F94"/>
    <w:multiLevelType w:val="hybridMultilevel"/>
    <w:tmpl w:val="EAE04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55525"/>
    <w:multiLevelType w:val="hybridMultilevel"/>
    <w:tmpl w:val="4AF4F0B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A864B9"/>
    <w:multiLevelType w:val="hybridMultilevel"/>
    <w:tmpl w:val="CC80D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33591B"/>
    <w:multiLevelType w:val="hybridMultilevel"/>
    <w:tmpl w:val="BF689EEC"/>
    <w:lvl w:ilvl="0" w:tplc="5EA4309C">
      <w:start w:val="1"/>
      <w:numFmt w:val="decimal"/>
      <w:lvlText w:val="%1."/>
      <w:lvlJc w:val="left"/>
      <w:pPr>
        <w:ind w:left="360" w:hanging="360"/>
      </w:pPr>
      <w:rPr>
        <w:rFonts w:ascii="Arial" w:hAnsi="Arial" w:cs="Arial" w:hint="default"/>
        <w:b w:val="0"/>
        <w:bCs w:val="0"/>
        <w:i w:val="0"/>
        <w:sz w:val="18"/>
        <w:szCs w:val="18"/>
      </w:rPr>
    </w:lvl>
    <w:lvl w:ilvl="1" w:tplc="37D2DCC0">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C555B"/>
    <w:multiLevelType w:val="hybridMultilevel"/>
    <w:tmpl w:val="75C22042"/>
    <w:lvl w:ilvl="0" w:tplc="F32C77B2">
      <w:start w:val="1"/>
      <w:numFmt w:val="decimal"/>
      <w:lvlText w:val="%1."/>
      <w:lvlJc w:val="left"/>
      <w:pPr>
        <w:ind w:left="720" w:hanging="360"/>
      </w:pPr>
      <w:rPr>
        <w:b w:val="0"/>
        <w:i w:val="0"/>
        <w:sz w:val="20"/>
        <w:lang w:val="es-ES"/>
      </w:rPr>
    </w:lvl>
    <w:lvl w:ilvl="1" w:tplc="AAAC1F24">
      <w:numFmt w:val="bullet"/>
      <w:lvlText w:val="-"/>
      <w:lvlJc w:val="left"/>
      <w:pPr>
        <w:ind w:left="1440" w:hanging="360"/>
      </w:pPr>
      <w:rPr>
        <w:rFonts w:ascii="Arial" w:eastAsia="Calibri" w:hAnsi="Arial" w:cs="Arial" w:hint="default"/>
        <w:b/>
      </w:rPr>
    </w:lvl>
    <w:lvl w:ilvl="2" w:tplc="8FA64B1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AF4013"/>
    <w:multiLevelType w:val="hybridMultilevel"/>
    <w:tmpl w:val="88F4A34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31D0223"/>
    <w:multiLevelType w:val="hybridMultilevel"/>
    <w:tmpl w:val="4FD06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BE5E72"/>
    <w:multiLevelType w:val="hybridMultilevel"/>
    <w:tmpl w:val="826E58B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6E1A9F"/>
    <w:multiLevelType w:val="hybridMultilevel"/>
    <w:tmpl w:val="6C3A4A48"/>
    <w:lvl w:ilvl="0" w:tplc="0220F0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1"/>
  </w:num>
  <w:num w:numId="3">
    <w:abstractNumId w:val="15"/>
  </w:num>
  <w:num w:numId="4">
    <w:abstractNumId w:val="1"/>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6"/>
  </w:num>
  <w:num w:numId="10">
    <w:abstractNumId w:val="0"/>
  </w:num>
  <w:num w:numId="11">
    <w:abstractNumId w:val="8"/>
  </w:num>
  <w:num w:numId="12">
    <w:abstractNumId w:val="2"/>
  </w:num>
  <w:num w:numId="13">
    <w:abstractNumId w:val="14"/>
  </w:num>
  <w:num w:numId="14">
    <w:abstractNumId w:val="13"/>
  </w:num>
  <w:num w:numId="15">
    <w:abstractNumId w:val="4"/>
  </w:num>
  <w:num w:numId="16">
    <w:abstractNumId w:val="7"/>
  </w:num>
  <w:num w:numId="17">
    <w:abstractNumId w:val="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86"/>
    <w:rsid w:val="00000D48"/>
    <w:rsid w:val="000058C3"/>
    <w:rsid w:val="00033D87"/>
    <w:rsid w:val="00033E6C"/>
    <w:rsid w:val="000369C4"/>
    <w:rsid w:val="000429D7"/>
    <w:rsid w:val="00042B64"/>
    <w:rsid w:val="00053824"/>
    <w:rsid w:val="00054870"/>
    <w:rsid w:val="00055392"/>
    <w:rsid w:val="00057A7D"/>
    <w:rsid w:val="000660F8"/>
    <w:rsid w:val="000712DE"/>
    <w:rsid w:val="00071D17"/>
    <w:rsid w:val="0007550D"/>
    <w:rsid w:val="000832BD"/>
    <w:rsid w:val="00087BEC"/>
    <w:rsid w:val="0009083D"/>
    <w:rsid w:val="00094803"/>
    <w:rsid w:val="00095362"/>
    <w:rsid w:val="000965C2"/>
    <w:rsid w:val="000A25F4"/>
    <w:rsid w:val="000A68F9"/>
    <w:rsid w:val="000A7B8C"/>
    <w:rsid w:val="000B6BD5"/>
    <w:rsid w:val="000B6C0C"/>
    <w:rsid w:val="000B7975"/>
    <w:rsid w:val="000C6F3D"/>
    <w:rsid w:val="000D029E"/>
    <w:rsid w:val="000D1244"/>
    <w:rsid w:val="000D30A0"/>
    <w:rsid w:val="000E3047"/>
    <w:rsid w:val="000E447C"/>
    <w:rsid w:val="000F3CBB"/>
    <w:rsid w:val="000F52CB"/>
    <w:rsid w:val="00107E4B"/>
    <w:rsid w:val="00110AC0"/>
    <w:rsid w:val="001126DB"/>
    <w:rsid w:val="00113981"/>
    <w:rsid w:val="001148F6"/>
    <w:rsid w:val="0011519E"/>
    <w:rsid w:val="001155FD"/>
    <w:rsid w:val="0012045B"/>
    <w:rsid w:val="00121115"/>
    <w:rsid w:val="00130300"/>
    <w:rsid w:val="001311F7"/>
    <w:rsid w:val="0013122B"/>
    <w:rsid w:val="00132F58"/>
    <w:rsid w:val="00137F10"/>
    <w:rsid w:val="00140996"/>
    <w:rsid w:val="001542D8"/>
    <w:rsid w:val="00162AEA"/>
    <w:rsid w:val="001661C8"/>
    <w:rsid w:val="00170832"/>
    <w:rsid w:val="00171927"/>
    <w:rsid w:val="00173A2C"/>
    <w:rsid w:val="00176A1E"/>
    <w:rsid w:val="001814A9"/>
    <w:rsid w:val="00190C8C"/>
    <w:rsid w:val="00193ABA"/>
    <w:rsid w:val="00194EE6"/>
    <w:rsid w:val="0019500C"/>
    <w:rsid w:val="00196790"/>
    <w:rsid w:val="001A2341"/>
    <w:rsid w:val="001A37E9"/>
    <w:rsid w:val="001A7AA5"/>
    <w:rsid w:val="001B5085"/>
    <w:rsid w:val="001C13CC"/>
    <w:rsid w:val="001C1E5E"/>
    <w:rsid w:val="001C2A0E"/>
    <w:rsid w:val="001C3986"/>
    <w:rsid w:val="001C6D48"/>
    <w:rsid w:val="001D1567"/>
    <w:rsid w:val="001D51BF"/>
    <w:rsid w:val="001E14D4"/>
    <w:rsid w:val="001E31B6"/>
    <w:rsid w:val="001E3DFE"/>
    <w:rsid w:val="001F32EB"/>
    <w:rsid w:val="001F46BF"/>
    <w:rsid w:val="001F4914"/>
    <w:rsid w:val="001F63C9"/>
    <w:rsid w:val="001F766E"/>
    <w:rsid w:val="00212152"/>
    <w:rsid w:val="00215FA7"/>
    <w:rsid w:val="00243C41"/>
    <w:rsid w:val="00245D54"/>
    <w:rsid w:val="00256B4C"/>
    <w:rsid w:val="00257E3A"/>
    <w:rsid w:val="002606E5"/>
    <w:rsid w:val="00280985"/>
    <w:rsid w:val="00283585"/>
    <w:rsid w:val="00291DE6"/>
    <w:rsid w:val="0029542D"/>
    <w:rsid w:val="00297479"/>
    <w:rsid w:val="002A2E3C"/>
    <w:rsid w:val="002A35A1"/>
    <w:rsid w:val="002B11B6"/>
    <w:rsid w:val="002B3108"/>
    <w:rsid w:val="002C251A"/>
    <w:rsid w:val="002D48A1"/>
    <w:rsid w:val="002E020E"/>
    <w:rsid w:val="002E2BAB"/>
    <w:rsid w:val="002E3BB5"/>
    <w:rsid w:val="002E59D2"/>
    <w:rsid w:val="002E7D88"/>
    <w:rsid w:val="00301221"/>
    <w:rsid w:val="00303661"/>
    <w:rsid w:val="0031053E"/>
    <w:rsid w:val="003109AE"/>
    <w:rsid w:val="00312C4F"/>
    <w:rsid w:val="00316A82"/>
    <w:rsid w:val="00320190"/>
    <w:rsid w:val="00322A01"/>
    <w:rsid w:val="003377BC"/>
    <w:rsid w:val="00341DC0"/>
    <w:rsid w:val="0034372A"/>
    <w:rsid w:val="00344D91"/>
    <w:rsid w:val="00347C76"/>
    <w:rsid w:val="00365C14"/>
    <w:rsid w:val="00374C4F"/>
    <w:rsid w:val="00376CC1"/>
    <w:rsid w:val="00382065"/>
    <w:rsid w:val="003827EE"/>
    <w:rsid w:val="00385F24"/>
    <w:rsid w:val="00392E82"/>
    <w:rsid w:val="00396DFE"/>
    <w:rsid w:val="003A1CD1"/>
    <w:rsid w:val="003B0A5E"/>
    <w:rsid w:val="003B1DF8"/>
    <w:rsid w:val="003B6E43"/>
    <w:rsid w:val="003E58CE"/>
    <w:rsid w:val="003F0201"/>
    <w:rsid w:val="003F2BB0"/>
    <w:rsid w:val="003F72D2"/>
    <w:rsid w:val="00401A00"/>
    <w:rsid w:val="004251AF"/>
    <w:rsid w:val="00427418"/>
    <w:rsid w:val="00430E72"/>
    <w:rsid w:val="0043219D"/>
    <w:rsid w:val="0044361E"/>
    <w:rsid w:val="00444E92"/>
    <w:rsid w:val="0046140D"/>
    <w:rsid w:val="00465DE4"/>
    <w:rsid w:val="00474449"/>
    <w:rsid w:val="0048488E"/>
    <w:rsid w:val="00487CA7"/>
    <w:rsid w:val="00487F50"/>
    <w:rsid w:val="00493A9B"/>
    <w:rsid w:val="00493F2A"/>
    <w:rsid w:val="00494291"/>
    <w:rsid w:val="004A41F9"/>
    <w:rsid w:val="004A65B5"/>
    <w:rsid w:val="004B0091"/>
    <w:rsid w:val="004B2FF2"/>
    <w:rsid w:val="004B5FA2"/>
    <w:rsid w:val="004C0F33"/>
    <w:rsid w:val="004C3DDD"/>
    <w:rsid w:val="004D2AE5"/>
    <w:rsid w:val="004D5C9D"/>
    <w:rsid w:val="004F5DB4"/>
    <w:rsid w:val="004F7869"/>
    <w:rsid w:val="005065FC"/>
    <w:rsid w:val="00507BDC"/>
    <w:rsid w:val="00515478"/>
    <w:rsid w:val="00517386"/>
    <w:rsid w:val="005209C2"/>
    <w:rsid w:val="0052380F"/>
    <w:rsid w:val="005307C5"/>
    <w:rsid w:val="005309F4"/>
    <w:rsid w:val="00531549"/>
    <w:rsid w:val="00531B39"/>
    <w:rsid w:val="00532633"/>
    <w:rsid w:val="005327AE"/>
    <w:rsid w:val="00534004"/>
    <w:rsid w:val="00545000"/>
    <w:rsid w:val="00553DA7"/>
    <w:rsid w:val="00570EEC"/>
    <w:rsid w:val="005721FF"/>
    <w:rsid w:val="00574FE4"/>
    <w:rsid w:val="00577B87"/>
    <w:rsid w:val="00577E87"/>
    <w:rsid w:val="00580321"/>
    <w:rsid w:val="00584128"/>
    <w:rsid w:val="0058551C"/>
    <w:rsid w:val="00592E99"/>
    <w:rsid w:val="0059466A"/>
    <w:rsid w:val="005A323A"/>
    <w:rsid w:val="005A4FBF"/>
    <w:rsid w:val="005A60C7"/>
    <w:rsid w:val="005C0892"/>
    <w:rsid w:val="005C56CB"/>
    <w:rsid w:val="005D5463"/>
    <w:rsid w:val="005E033C"/>
    <w:rsid w:val="005E4891"/>
    <w:rsid w:val="005E6BD4"/>
    <w:rsid w:val="005F371A"/>
    <w:rsid w:val="00603B83"/>
    <w:rsid w:val="0060785E"/>
    <w:rsid w:val="0061023E"/>
    <w:rsid w:val="006202CE"/>
    <w:rsid w:val="00620429"/>
    <w:rsid w:val="00621967"/>
    <w:rsid w:val="006249EA"/>
    <w:rsid w:val="00627F96"/>
    <w:rsid w:val="00656E4C"/>
    <w:rsid w:val="00657CFB"/>
    <w:rsid w:val="00660978"/>
    <w:rsid w:val="0066455F"/>
    <w:rsid w:val="00665E99"/>
    <w:rsid w:val="00667E9F"/>
    <w:rsid w:val="00673838"/>
    <w:rsid w:val="00690108"/>
    <w:rsid w:val="0069230D"/>
    <w:rsid w:val="00692C03"/>
    <w:rsid w:val="006952E1"/>
    <w:rsid w:val="006A08AE"/>
    <w:rsid w:val="006A144E"/>
    <w:rsid w:val="006B02D4"/>
    <w:rsid w:val="006B7357"/>
    <w:rsid w:val="006C047D"/>
    <w:rsid w:val="006C345D"/>
    <w:rsid w:val="006C5E88"/>
    <w:rsid w:val="006C63AD"/>
    <w:rsid w:val="006C6F61"/>
    <w:rsid w:val="006D694C"/>
    <w:rsid w:val="006E0BC0"/>
    <w:rsid w:val="006F175F"/>
    <w:rsid w:val="00700EEE"/>
    <w:rsid w:val="00703758"/>
    <w:rsid w:val="00710FA1"/>
    <w:rsid w:val="007111A6"/>
    <w:rsid w:val="00715EFC"/>
    <w:rsid w:val="00715FBC"/>
    <w:rsid w:val="00722A37"/>
    <w:rsid w:val="007311A8"/>
    <w:rsid w:val="00731A06"/>
    <w:rsid w:val="00740D20"/>
    <w:rsid w:val="0074107E"/>
    <w:rsid w:val="00744242"/>
    <w:rsid w:val="00750144"/>
    <w:rsid w:val="0075129C"/>
    <w:rsid w:val="00751B12"/>
    <w:rsid w:val="00752AEE"/>
    <w:rsid w:val="00752E47"/>
    <w:rsid w:val="00753682"/>
    <w:rsid w:val="00754AA5"/>
    <w:rsid w:val="00762DBD"/>
    <w:rsid w:val="00763C28"/>
    <w:rsid w:val="00765CE2"/>
    <w:rsid w:val="00766C8F"/>
    <w:rsid w:val="00767B19"/>
    <w:rsid w:val="00775294"/>
    <w:rsid w:val="007766BC"/>
    <w:rsid w:val="00782F1C"/>
    <w:rsid w:val="00792EAB"/>
    <w:rsid w:val="007A11C0"/>
    <w:rsid w:val="007A53A1"/>
    <w:rsid w:val="007A5EBD"/>
    <w:rsid w:val="007B09C6"/>
    <w:rsid w:val="007C249C"/>
    <w:rsid w:val="007C610C"/>
    <w:rsid w:val="007C6719"/>
    <w:rsid w:val="007D2088"/>
    <w:rsid w:val="007D5ECC"/>
    <w:rsid w:val="007D7C3F"/>
    <w:rsid w:val="007E4D50"/>
    <w:rsid w:val="007E5B3C"/>
    <w:rsid w:val="007E5F54"/>
    <w:rsid w:val="007F54BF"/>
    <w:rsid w:val="00800F52"/>
    <w:rsid w:val="0080481F"/>
    <w:rsid w:val="008132F0"/>
    <w:rsid w:val="00822D30"/>
    <w:rsid w:val="00835BE3"/>
    <w:rsid w:val="00835D8E"/>
    <w:rsid w:val="008434AD"/>
    <w:rsid w:val="00851FC1"/>
    <w:rsid w:val="00862B12"/>
    <w:rsid w:val="00865A60"/>
    <w:rsid w:val="00865ED4"/>
    <w:rsid w:val="00874646"/>
    <w:rsid w:val="00884116"/>
    <w:rsid w:val="00886D33"/>
    <w:rsid w:val="008929E0"/>
    <w:rsid w:val="008961D5"/>
    <w:rsid w:val="008974C2"/>
    <w:rsid w:val="008B5DC6"/>
    <w:rsid w:val="008C3615"/>
    <w:rsid w:val="008D4693"/>
    <w:rsid w:val="008F02A5"/>
    <w:rsid w:val="008F7A43"/>
    <w:rsid w:val="00902FDA"/>
    <w:rsid w:val="00906593"/>
    <w:rsid w:val="00907B51"/>
    <w:rsid w:val="009101C6"/>
    <w:rsid w:val="00912050"/>
    <w:rsid w:val="009120AD"/>
    <w:rsid w:val="0091277B"/>
    <w:rsid w:val="009173B9"/>
    <w:rsid w:val="009226E6"/>
    <w:rsid w:val="00925007"/>
    <w:rsid w:val="00951076"/>
    <w:rsid w:val="0095181F"/>
    <w:rsid w:val="0096046A"/>
    <w:rsid w:val="009767CB"/>
    <w:rsid w:val="00980792"/>
    <w:rsid w:val="009A0B4E"/>
    <w:rsid w:val="009B4B6C"/>
    <w:rsid w:val="009B6E92"/>
    <w:rsid w:val="009D33AD"/>
    <w:rsid w:val="009E05F0"/>
    <w:rsid w:val="009E5323"/>
    <w:rsid w:val="009F35D4"/>
    <w:rsid w:val="00A001C7"/>
    <w:rsid w:val="00A02617"/>
    <w:rsid w:val="00A05163"/>
    <w:rsid w:val="00A0669B"/>
    <w:rsid w:val="00A15065"/>
    <w:rsid w:val="00A20C43"/>
    <w:rsid w:val="00A24733"/>
    <w:rsid w:val="00A26D8B"/>
    <w:rsid w:val="00A31DCB"/>
    <w:rsid w:val="00A40B1C"/>
    <w:rsid w:val="00A41052"/>
    <w:rsid w:val="00A4142A"/>
    <w:rsid w:val="00A41E69"/>
    <w:rsid w:val="00A50457"/>
    <w:rsid w:val="00A53889"/>
    <w:rsid w:val="00A64FD1"/>
    <w:rsid w:val="00A66174"/>
    <w:rsid w:val="00A711D7"/>
    <w:rsid w:val="00A74172"/>
    <w:rsid w:val="00A74E27"/>
    <w:rsid w:val="00A81040"/>
    <w:rsid w:val="00A9081C"/>
    <w:rsid w:val="00A91906"/>
    <w:rsid w:val="00AA31B1"/>
    <w:rsid w:val="00AA3D41"/>
    <w:rsid w:val="00AA578A"/>
    <w:rsid w:val="00AB02E1"/>
    <w:rsid w:val="00AB46B3"/>
    <w:rsid w:val="00AB62BA"/>
    <w:rsid w:val="00AC407F"/>
    <w:rsid w:val="00AE50DD"/>
    <w:rsid w:val="00AE5B8C"/>
    <w:rsid w:val="00AE72B0"/>
    <w:rsid w:val="00AF0A5C"/>
    <w:rsid w:val="00AF3C4F"/>
    <w:rsid w:val="00B0443E"/>
    <w:rsid w:val="00B045D3"/>
    <w:rsid w:val="00B119A3"/>
    <w:rsid w:val="00B160AD"/>
    <w:rsid w:val="00B2616B"/>
    <w:rsid w:val="00B33BD0"/>
    <w:rsid w:val="00B40E35"/>
    <w:rsid w:val="00B44ED4"/>
    <w:rsid w:val="00B47043"/>
    <w:rsid w:val="00B52912"/>
    <w:rsid w:val="00B54DD2"/>
    <w:rsid w:val="00B57C35"/>
    <w:rsid w:val="00B63AEE"/>
    <w:rsid w:val="00B80188"/>
    <w:rsid w:val="00B80200"/>
    <w:rsid w:val="00B84ECF"/>
    <w:rsid w:val="00B9437E"/>
    <w:rsid w:val="00B958C7"/>
    <w:rsid w:val="00BA3442"/>
    <w:rsid w:val="00BB3267"/>
    <w:rsid w:val="00BB7876"/>
    <w:rsid w:val="00BC29E9"/>
    <w:rsid w:val="00BC3A73"/>
    <w:rsid w:val="00BD2492"/>
    <w:rsid w:val="00BE1573"/>
    <w:rsid w:val="00BE48B2"/>
    <w:rsid w:val="00BF7575"/>
    <w:rsid w:val="00C01549"/>
    <w:rsid w:val="00C04B5F"/>
    <w:rsid w:val="00C072A2"/>
    <w:rsid w:val="00C10E5C"/>
    <w:rsid w:val="00C15E11"/>
    <w:rsid w:val="00C17D19"/>
    <w:rsid w:val="00C222B2"/>
    <w:rsid w:val="00C25E5B"/>
    <w:rsid w:val="00C32D3F"/>
    <w:rsid w:val="00C42C24"/>
    <w:rsid w:val="00C450CB"/>
    <w:rsid w:val="00C47998"/>
    <w:rsid w:val="00C524B1"/>
    <w:rsid w:val="00C53913"/>
    <w:rsid w:val="00C566FF"/>
    <w:rsid w:val="00C56D18"/>
    <w:rsid w:val="00C57309"/>
    <w:rsid w:val="00C653F9"/>
    <w:rsid w:val="00C702B1"/>
    <w:rsid w:val="00C76611"/>
    <w:rsid w:val="00C80477"/>
    <w:rsid w:val="00C85CEB"/>
    <w:rsid w:val="00C86A39"/>
    <w:rsid w:val="00C8744D"/>
    <w:rsid w:val="00C92D6C"/>
    <w:rsid w:val="00C96E42"/>
    <w:rsid w:val="00CA68CE"/>
    <w:rsid w:val="00CA7DE0"/>
    <w:rsid w:val="00CB0202"/>
    <w:rsid w:val="00CB208B"/>
    <w:rsid w:val="00CC2D24"/>
    <w:rsid w:val="00CC397F"/>
    <w:rsid w:val="00CC428C"/>
    <w:rsid w:val="00CF283C"/>
    <w:rsid w:val="00CF3D1F"/>
    <w:rsid w:val="00CF3E5B"/>
    <w:rsid w:val="00D01A67"/>
    <w:rsid w:val="00D029D8"/>
    <w:rsid w:val="00D14BAB"/>
    <w:rsid w:val="00D15137"/>
    <w:rsid w:val="00D1733E"/>
    <w:rsid w:val="00D2010D"/>
    <w:rsid w:val="00D22BE8"/>
    <w:rsid w:val="00D22D3C"/>
    <w:rsid w:val="00D26775"/>
    <w:rsid w:val="00D27F97"/>
    <w:rsid w:val="00D3189F"/>
    <w:rsid w:val="00D427CC"/>
    <w:rsid w:val="00D522C6"/>
    <w:rsid w:val="00D52478"/>
    <w:rsid w:val="00D537BA"/>
    <w:rsid w:val="00D5790A"/>
    <w:rsid w:val="00D71D14"/>
    <w:rsid w:val="00D73797"/>
    <w:rsid w:val="00D77D1E"/>
    <w:rsid w:val="00D96240"/>
    <w:rsid w:val="00DA1EDB"/>
    <w:rsid w:val="00DA3349"/>
    <w:rsid w:val="00DA3AE6"/>
    <w:rsid w:val="00DA779E"/>
    <w:rsid w:val="00DB06B9"/>
    <w:rsid w:val="00DD722B"/>
    <w:rsid w:val="00DF0BA3"/>
    <w:rsid w:val="00DF4A56"/>
    <w:rsid w:val="00E00845"/>
    <w:rsid w:val="00E016EF"/>
    <w:rsid w:val="00E06274"/>
    <w:rsid w:val="00E074EC"/>
    <w:rsid w:val="00E078DE"/>
    <w:rsid w:val="00E265C2"/>
    <w:rsid w:val="00E401B5"/>
    <w:rsid w:val="00E42B09"/>
    <w:rsid w:val="00E5329B"/>
    <w:rsid w:val="00E54CBC"/>
    <w:rsid w:val="00E56F07"/>
    <w:rsid w:val="00E81F5D"/>
    <w:rsid w:val="00E839C4"/>
    <w:rsid w:val="00E846F2"/>
    <w:rsid w:val="00E866AB"/>
    <w:rsid w:val="00E87A76"/>
    <w:rsid w:val="00E90642"/>
    <w:rsid w:val="00E91C95"/>
    <w:rsid w:val="00E975EA"/>
    <w:rsid w:val="00EA63E0"/>
    <w:rsid w:val="00EA6BFC"/>
    <w:rsid w:val="00EA6F84"/>
    <w:rsid w:val="00EB0F0A"/>
    <w:rsid w:val="00EB54F2"/>
    <w:rsid w:val="00EB65E5"/>
    <w:rsid w:val="00EB75AB"/>
    <w:rsid w:val="00EC5981"/>
    <w:rsid w:val="00EC7E38"/>
    <w:rsid w:val="00ED11B0"/>
    <w:rsid w:val="00EE4987"/>
    <w:rsid w:val="00EF767E"/>
    <w:rsid w:val="00F145CE"/>
    <w:rsid w:val="00F242C6"/>
    <w:rsid w:val="00F252B3"/>
    <w:rsid w:val="00F3258D"/>
    <w:rsid w:val="00F41D41"/>
    <w:rsid w:val="00F433DD"/>
    <w:rsid w:val="00F4591F"/>
    <w:rsid w:val="00F475BA"/>
    <w:rsid w:val="00F530E2"/>
    <w:rsid w:val="00F61209"/>
    <w:rsid w:val="00F73CFE"/>
    <w:rsid w:val="00F7463D"/>
    <w:rsid w:val="00F75D1C"/>
    <w:rsid w:val="00F813B4"/>
    <w:rsid w:val="00F87A1A"/>
    <w:rsid w:val="00F93199"/>
    <w:rsid w:val="00FA6E4D"/>
    <w:rsid w:val="00FB2F3F"/>
    <w:rsid w:val="00FB4935"/>
    <w:rsid w:val="00FB4BBE"/>
    <w:rsid w:val="00FB5B9C"/>
    <w:rsid w:val="00FC1CCE"/>
    <w:rsid w:val="00FC27E2"/>
    <w:rsid w:val="00FC445E"/>
    <w:rsid w:val="00FC5585"/>
    <w:rsid w:val="00FE1D56"/>
    <w:rsid w:val="00FF0F2F"/>
    <w:rsid w:val="00FF5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17DFC"/>
  <w15:chartTrackingRefBased/>
  <w15:docId w15:val="{A050CDD6-08B7-4D3D-B459-78BB4530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C39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C39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C3986"/>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3986"/>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1C3986"/>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1C3986"/>
    <w:rPr>
      <w:rFonts w:asciiTheme="majorHAnsi" w:eastAsiaTheme="majorEastAsia" w:hAnsiTheme="majorHAnsi" w:cstheme="majorBidi"/>
      <w:color w:val="1F3763" w:themeColor="accent1" w:themeShade="7F"/>
      <w:sz w:val="24"/>
      <w:szCs w:val="24"/>
      <w:lang w:val="es-ES" w:eastAsia="es-ES"/>
    </w:rPr>
  </w:style>
  <w:style w:type="paragraph" w:styleId="Piedepgina">
    <w:name w:val="footer"/>
    <w:basedOn w:val="Normal"/>
    <w:link w:val="PiedepginaCar"/>
    <w:uiPriority w:val="99"/>
    <w:rsid w:val="001C3986"/>
    <w:pPr>
      <w:tabs>
        <w:tab w:val="center" w:pos="4320"/>
        <w:tab w:val="right" w:pos="8640"/>
      </w:tabs>
    </w:pPr>
  </w:style>
  <w:style w:type="character" w:customStyle="1" w:styleId="PiedepginaCar">
    <w:name w:val="Pie de página Car"/>
    <w:basedOn w:val="Fuentedeprrafopredeter"/>
    <w:link w:val="Piedepgina"/>
    <w:uiPriority w:val="99"/>
    <w:rsid w:val="001C398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1C3986"/>
    <w:pPr>
      <w:tabs>
        <w:tab w:val="center" w:pos="4320"/>
        <w:tab w:val="right" w:pos="8640"/>
      </w:tabs>
    </w:pPr>
  </w:style>
  <w:style w:type="character" w:customStyle="1" w:styleId="EncabezadoCar">
    <w:name w:val="Encabezado Car"/>
    <w:basedOn w:val="Fuentedeprrafopredeter"/>
    <w:link w:val="Encabezado"/>
    <w:uiPriority w:val="99"/>
    <w:rsid w:val="001C3986"/>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qFormat/>
    <w:rsid w:val="001C398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1C3986"/>
    <w:rPr>
      <w:rFonts w:ascii="Times New Roman" w:eastAsia="Times New Roman" w:hAnsi="Times New Roman" w:cs="Times New Roman"/>
      <w:sz w:val="20"/>
      <w:szCs w:val="20"/>
      <w:lang w:val="es-ES" w:eastAsia="es-ES"/>
    </w:rPr>
  </w:style>
  <w:style w:type="character" w:styleId="Refdenotaalpie">
    <w:name w:val="footnote reference"/>
    <w:aliases w:val="4_G,16 Point,Superscript 6 Point,Texto nota al pie,Footnote Reference Char3,Footnote Reference Char1 Char,Ref. de nota al pie 2,Footnote Reference,Footnotes refss,Texto de nota al pie,Appel note de bas de page,Footnote number,BVI fnr"/>
    <w:link w:val="4GChar"/>
    <w:qFormat/>
    <w:rsid w:val="001C3986"/>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1C3986"/>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C3986"/>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C3986"/>
    <w:pPr>
      <w:spacing w:after="160" w:line="259" w:lineRule="auto"/>
      <w:jc w:val="both"/>
    </w:pPr>
    <w:rPr>
      <w:rFonts w:asciiTheme="minorHAnsi" w:eastAsiaTheme="minorHAnsi" w:hAnsiTheme="minorHAnsi" w:cstheme="minorBidi"/>
      <w:sz w:val="22"/>
      <w:szCs w:val="22"/>
      <w:vertAlign w:val="superscript"/>
      <w:lang w:val="es-MX" w:eastAsia="en-US"/>
    </w:rPr>
  </w:style>
  <w:style w:type="character" w:styleId="Hipervnculo">
    <w:name w:val="Hyperlink"/>
    <w:uiPriority w:val="99"/>
    <w:rsid w:val="001C3986"/>
    <w:rPr>
      <w:color w:val="0563C1"/>
      <w:u w:val="single"/>
    </w:rPr>
  </w:style>
  <w:style w:type="character" w:styleId="Textoennegrita">
    <w:name w:val="Strong"/>
    <w:uiPriority w:val="22"/>
    <w:qFormat/>
    <w:rsid w:val="001C3986"/>
    <w:rPr>
      <w:b/>
      <w:bCs/>
    </w:rPr>
  </w:style>
  <w:style w:type="paragraph" w:customStyle="1" w:styleId="PRRAFOSENTENCIA">
    <w:name w:val="PÁRRAFO SENTENCIA"/>
    <w:basedOn w:val="Normal"/>
    <w:link w:val="PRRAFOSENTENCIACar"/>
    <w:qFormat/>
    <w:rsid w:val="001C3986"/>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1C3986"/>
    <w:rPr>
      <w:rFonts w:ascii="Arial" w:eastAsia="Times New Roman" w:hAnsi="Arial" w:cs="Arial"/>
      <w:sz w:val="28"/>
      <w:szCs w:val="26"/>
      <w:lang w:eastAsia="es-ES"/>
    </w:rPr>
  </w:style>
  <w:style w:type="paragraph" w:styleId="Prrafodelista">
    <w:name w:val="List Paragraph"/>
    <w:aliases w:val="CNBV Parrafo1,Párrafo de lista1,Parrafo 1,Lista multicolor - Énfasis 11,Lista vistosa - Énfasis 11,Cita texto,List Paragraph-Thesis,Cuadrícula media 1 - Énfasis 21,Footnote,List Paragraph2,List Paragraph1,Colorful List - Accent 11"/>
    <w:basedOn w:val="Normal"/>
    <w:link w:val="PrrafodelistaCar"/>
    <w:uiPriority w:val="34"/>
    <w:qFormat/>
    <w:rsid w:val="001C3986"/>
    <w:pPr>
      <w:ind w:left="720"/>
      <w:contextualSpacing/>
    </w:pPr>
  </w:style>
  <w:style w:type="paragraph" w:customStyle="1" w:styleId="case-description">
    <w:name w:val="case-description"/>
    <w:basedOn w:val="Normal"/>
    <w:rsid w:val="001C3986"/>
    <w:pPr>
      <w:spacing w:before="100" w:beforeAutospacing="1" w:after="100" w:afterAutospacing="1"/>
    </w:pPr>
    <w:rPr>
      <w:lang w:val="es-MX" w:eastAsia="es-MX"/>
    </w:rPr>
  </w:style>
  <w:style w:type="character" w:customStyle="1" w:styleId="PrrafodelistaCar">
    <w:name w:val="Párrafo de lista Car"/>
    <w:aliases w:val="CNBV Parrafo1 Car,Párrafo de lista1 Car,Parrafo 1 Car,Lista multicolor - Énfasis 11 Car,Lista vistosa - Énfasis 11 Car,Cita texto Car,List Paragraph-Thesis Car,Cuadrícula media 1 - Énfasis 21 Car,Footnote Car,List Paragraph2 Car"/>
    <w:link w:val="Prrafodelista"/>
    <w:uiPriority w:val="34"/>
    <w:qFormat/>
    <w:locked/>
    <w:rsid w:val="001C39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C3986"/>
    <w:pPr>
      <w:spacing w:line="360" w:lineRule="auto"/>
      <w:jc w:val="both"/>
    </w:pPr>
    <w:rPr>
      <w:rFonts w:ascii="Univers" w:hAnsi="Univers"/>
      <w:sz w:val="28"/>
      <w:lang w:val="es-MX"/>
    </w:rPr>
  </w:style>
  <w:style w:type="character" w:customStyle="1" w:styleId="TextoindependienteCar">
    <w:name w:val="Texto independiente Car"/>
    <w:basedOn w:val="Fuentedeprrafopredeter"/>
    <w:link w:val="Textoindependiente"/>
    <w:rsid w:val="001C3986"/>
    <w:rPr>
      <w:rFonts w:ascii="Univers" w:eastAsia="Times New Roman" w:hAnsi="Univers" w:cs="Times New Roman"/>
      <w:sz w:val="28"/>
      <w:szCs w:val="24"/>
      <w:lang w:eastAsia="es-ES"/>
    </w:rPr>
  </w:style>
  <w:style w:type="paragraph" w:customStyle="1" w:styleId="PARRAFOSENTENCIA">
    <w:name w:val="PARRAFO SENTENCIA"/>
    <w:basedOn w:val="Normal"/>
    <w:link w:val="PARRAFOSENTENCIACar"/>
    <w:qFormat/>
    <w:rsid w:val="001C3986"/>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1C3986"/>
    <w:rPr>
      <w:rFonts w:ascii="Arial" w:eastAsia="Times New Roman" w:hAnsi="Arial" w:cs="Arial"/>
      <w:sz w:val="28"/>
      <w:szCs w:val="27"/>
      <w:lang w:val="es-ES" w:eastAsia="es-ES"/>
    </w:rPr>
  </w:style>
  <w:style w:type="character" w:customStyle="1" w:styleId="CORTE4FONDOCar">
    <w:name w:val="CORTE4 FONDO Car"/>
    <w:link w:val="CORTE4FONDO"/>
    <w:locked/>
    <w:rsid w:val="001C3986"/>
    <w:rPr>
      <w:rFonts w:ascii="Arial" w:hAnsi="Arial" w:cs="Arial"/>
      <w:sz w:val="30"/>
      <w:szCs w:val="30"/>
      <w:lang w:val="es-ES_tradnl"/>
    </w:rPr>
  </w:style>
  <w:style w:type="paragraph" w:customStyle="1" w:styleId="CORTE4FONDO">
    <w:name w:val="CORTE4 FONDO"/>
    <w:basedOn w:val="Normal"/>
    <w:link w:val="CORTE4FONDOCar"/>
    <w:qFormat/>
    <w:rsid w:val="001C3986"/>
    <w:pPr>
      <w:spacing w:line="360" w:lineRule="auto"/>
      <w:ind w:firstLine="709"/>
      <w:jc w:val="both"/>
    </w:pPr>
    <w:rPr>
      <w:rFonts w:ascii="Arial" w:eastAsiaTheme="minorHAnsi" w:hAnsi="Arial" w:cs="Arial"/>
      <w:sz w:val="30"/>
      <w:szCs w:val="30"/>
      <w:lang w:val="es-ES_tradnl" w:eastAsia="en-US"/>
    </w:rPr>
  </w:style>
  <w:style w:type="paragraph" w:customStyle="1" w:styleId="Estilo">
    <w:name w:val="Estilo"/>
    <w:basedOn w:val="Sinespaciado"/>
    <w:link w:val="EstiloCar"/>
    <w:qFormat/>
    <w:rsid w:val="001C398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C3986"/>
    <w:rPr>
      <w:rFonts w:ascii="Arial" w:hAnsi="Arial"/>
      <w:sz w:val="24"/>
    </w:rPr>
  </w:style>
  <w:style w:type="paragraph" w:styleId="Sinespaciado">
    <w:name w:val="No Spacing"/>
    <w:uiPriority w:val="1"/>
    <w:qFormat/>
    <w:rsid w:val="001C3986"/>
    <w:pPr>
      <w:spacing w:after="0" w:line="240" w:lineRule="auto"/>
    </w:pPr>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1C3986"/>
  </w:style>
  <w:style w:type="paragraph" w:customStyle="1" w:styleId="proemio">
    <w:name w:val="proemio"/>
    <w:basedOn w:val="Normal"/>
    <w:rsid w:val="001C3986"/>
    <w:pPr>
      <w:jc w:val="both"/>
    </w:pPr>
    <w:rPr>
      <w:b/>
      <w:sz w:val="28"/>
    </w:rPr>
  </w:style>
  <w:style w:type="paragraph" w:styleId="TtuloTDC">
    <w:name w:val="TOC Heading"/>
    <w:basedOn w:val="Ttulo1"/>
    <w:next w:val="Normal"/>
    <w:uiPriority w:val="39"/>
    <w:unhideWhenUsed/>
    <w:qFormat/>
    <w:rsid w:val="001C3986"/>
    <w:pPr>
      <w:spacing w:line="259" w:lineRule="auto"/>
      <w:outlineLvl w:val="9"/>
    </w:pPr>
    <w:rPr>
      <w:lang w:val="es-MX" w:eastAsia="es-MX"/>
    </w:rPr>
  </w:style>
  <w:style w:type="paragraph" w:styleId="TDC1">
    <w:name w:val="toc 1"/>
    <w:basedOn w:val="Normal"/>
    <w:next w:val="Normal"/>
    <w:autoRedefine/>
    <w:uiPriority w:val="39"/>
    <w:unhideWhenUsed/>
    <w:rsid w:val="008D4693"/>
    <w:pPr>
      <w:tabs>
        <w:tab w:val="right" w:leader="dot" w:pos="8080"/>
      </w:tabs>
      <w:spacing w:after="100"/>
      <w:ind w:left="1560" w:hanging="1560"/>
    </w:pPr>
  </w:style>
  <w:style w:type="paragraph" w:styleId="TDC2">
    <w:name w:val="toc 2"/>
    <w:basedOn w:val="Normal"/>
    <w:next w:val="Normal"/>
    <w:autoRedefine/>
    <w:uiPriority w:val="39"/>
    <w:unhideWhenUsed/>
    <w:rsid w:val="008D4693"/>
    <w:pPr>
      <w:tabs>
        <w:tab w:val="right" w:leader="dot" w:pos="8080"/>
      </w:tabs>
      <w:spacing w:after="100"/>
      <w:ind w:left="1134" w:hanging="1134"/>
    </w:pPr>
  </w:style>
  <w:style w:type="paragraph" w:styleId="TDC3">
    <w:name w:val="toc 3"/>
    <w:basedOn w:val="Normal"/>
    <w:next w:val="Normal"/>
    <w:autoRedefine/>
    <w:uiPriority w:val="39"/>
    <w:unhideWhenUsed/>
    <w:rsid w:val="001C3986"/>
    <w:pPr>
      <w:spacing w:after="100"/>
      <w:ind w:left="480"/>
    </w:pPr>
  </w:style>
  <w:style w:type="table" w:styleId="Tablaconcuadrcula">
    <w:name w:val="Table Grid"/>
    <w:basedOn w:val="Tablanormal"/>
    <w:uiPriority w:val="39"/>
    <w:rsid w:val="0048488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D77D1E"/>
    <w:pPr>
      <w:numPr>
        <w:numId w:val="10"/>
      </w:numPr>
      <w:spacing w:before="320" w:after="320" w:line="360" w:lineRule="auto"/>
      <w:contextualSpacing/>
      <w:jc w:val="both"/>
    </w:pPr>
    <w:rPr>
      <w:rFonts w:ascii="Arial" w:hAnsi="Arial"/>
      <w:sz w:val="28"/>
      <w:szCs w:val="28"/>
      <w:lang w:val="es-MX"/>
    </w:rPr>
  </w:style>
  <w:style w:type="paragraph" w:customStyle="1" w:styleId="Cuerpo">
    <w:name w:val="Cuerpo"/>
    <w:qFormat/>
    <w:rsid w:val="00385F24"/>
    <w:pPr>
      <w:spacing w:after="0" w:line="240" w:lineRule="auto"/>
    </w:pPr>
    <w:rPr>
      <w:rFonts w:ascii="Times New Roman" w:eastAsia="Arial Unicode MS" w:hAnsi="Arial Unicode MS" w:cs="Arial Unicode MS"/>
      <w:color w:val="000000"/>
      <w:sz w:val="24"/>
      <w:szCs w:val="24"/>
      <w:u w:color="000000"/>
      <w:lang w:eastAsia="es-MX"/>
    </w:rPr>
  </w:style>
  <w:style w:type="table" w:customStyle="1" w:styleId="Tablaconcuadrcula4">
    <w:name w:val="Tabla con cuadrícula4"/>
    <w:basedOn w:val="Tablanormal"/>
    <w:uiPriority w:val="39"/>
    <w:rsid w:val="00385F24"/>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752E47"/>
    <w:rPr>
      <w:rFonts w:ascii="Arial" w:hAnsi="Arial" w:cs="Arial"/>
      <w:sz w:val="24"/>
      <w:szCs w:val="24"/>
    </w:rPr>
  </w:style>
  <w:style w:type="paragraph" w:styleId="Textodeglobo">
    <w:name w:val="Balloon Text"/>
    <w:basedOn w:val="Normal"/>
    <w:link w:val="TextodegloboCar"/>
    <w:uiPriority w:val="99"/>
    <w:semiHidden/>
    <w:unhideWhenUsed/>
    <w:rsid w:val="00243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C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521">
      <w:bodyDiv w:val="1"/>
      <w:marLeft w:val="0"/>
      <w:marRight w:val="0"/>
      <w:marTop w:val="0"/>
      <w:marBottom w:val="0"/>
      <w:divBdr>
        <w:top w:val="none" w:sz="0" w:space="0" w:color="auto"/>
        <w:left w:val="none" w:sz="0" w:space="0" w:color="auto"/>
        <w:bottom w:val="none" w:sz="0" w:space="0" w:color="auto"/>
        <w:right w:val="none" w:sz="0" w:space="0" w:color="auto"/>
      </w:divBdr>
    </w:div>
    <w:div w:id="132259109">
      <w:bodyDiv w:val="1"/>
      <w:marLeft w:val="0"/>
      <w:marRight w:val="0"/>
      <w:marTop w:val="0"/>
      <w:marBottom w:val="0"/>
      <w:divBdr>
        <w:top w:val="none" w:sz="0" w:space="0" w:color="auto"/>
        <w:left w:val="none" w:sz="0" w:space="0" w:color="auto"/>
        <w:bottom w:val="none" w:sz="0" w:space="0" w:color="auto"/>
        <w:right w:val="none" w:sz="0" w:space="0" w:color="auto"/>
      </w:divBdr>
    </w:div>
    <w:div w:id="182329911">
      <w:bodyDiv w:val="1"/>
      <w:marLeft w:val="0"/>
      <w:marRight w:val="0"/>
      <w:marTop w:val="0"/>
      <w:marBottom w:val="0"/>
      <w:divBdr>
        <w:top w:val="none" w:sz="0" w:space="0" w:color="auto"/>
        <w:left w:val="none" w:sz="0" w:space="0" w:color="auto"/>
        <w:bottom w:val="none" w:sz="0" w:space="0" w:color="auto"/>
        <w:right w:val="none" w:sz="0" w:space="0" w:color="auto"/>
      </w:divBdr>
    </w:div>
    <w:div w:id="278151524">
      <w:bodyDiv w:val="1"/>
      <w:marLeft w:val="0"/>
      <w:marRight w:val="0"/>
      <w:marTop w:val="0"/>
      <w:marBottom w:val="0"/>
      <w:divBdr>
        <w:top w:val="none" w:sz="0" w:space="0" w:color="auto"/>
        <w:left w:val="none" w:sz="0" w:space="0" w:color="auto"/>
        <w:bottom w:val="none" w:sz="0" w:space="0" w:color="auto"/>
        <w:right w:val="none" w:sz="0" w:space="0" w:color="auto"/>
      </w:divBdr>
    </w:div>
    <w:div w:id="283122837">
      <w:bodyDiv w:val="1"/>
      <w:marLeft w:val="0"/>
      <w:marRight w:val="0"/>
      <w:marTop w:val="0"/>
      <w:marBottom w:val="0"/>
      <w:divBdr>
        <w:top w:val="none" w:sz="0" w:space="0" w:color="auto"/>
        <w:left w:val="none" w:sz="0" w:space="0" w:color="auto"/>
        <w:bottom w:val="none" w:sz="0" w:space="0" w:color="auto"/>
        <w:right w:val="none" w:sz="0" w:space="0" w:color="auto"/>
      </w:divBdr>
    </w:div>
    <w:div w:id="385568865">
      <w:bodyDiv w:val="1"/>
      <w:marLeft w:val="0"/>
      <w:marRight w:val="0"/>
      <w:marTop w:val="0"/>
      <w:marBottom w:val="0"/>
      <w:divBdr>
        <w:top w:val="none" w:sz="0" w:space="0" w:color="auto"/>
        <w:left w:val="none" w:sz="0" w:space="0" w:color="auto"/>
        <w:bottom w:val="none" w:sz="0" w:space="0" w:color="auto"/>
        <w:right w:val="none" w:sz="0" w:space="0" w:color="auto"/>
      </w:divBdr>
    </w:div>
    <w:div w:id="571240736">
      <w:bodyDiv w:val="1"/>
      <w:marLeft w:val="0"/>
      <w:marRight w:val="0"/>
      <w:marTop w:val="0"/>
      <w:marBottom w:val="0"/>
      <w:divBdr>
        <w:top w:val="none" w:sz="0" w:space="0" w:color="auto"/>
        <w:left w:val="none" w:sz="0" w:space="0" w:color="auto"/>
        <w:bottom w:val="none" w:sz="0" w:space="0" w:color="auto"/>
        <w:right w:val="none" w:sz="0" w:space="0" w:color="auto"/>
      </w:divBdr>
    </w:div>
    <w:div w:id="745540143">
      <w:bodyDiv w:val="1"/>
      <w:marLeft w:val="0"/>
      <w:marRight w:val="0"/>
      <w:marTop w:val="0"/>
      <w:marBottom w:val="0"/>
      <w:divBdr>
        <w:top w:val="none" w:sz="0" w:space="0" w:color="auto"/>
        <w:left w:val="none" w:sz="0" w:space="0" w:color="auto"/>
        <w:bottom w:val="none" w:sz="0" w:space="0" w:color="auto"/>
        <w:right w:val="none" w:sz="0" w:space="0" w:color="auto"/>
      </w:divBdr>
    </w:div>
    <w:div w:id="847671176">
      <w:bodyDiv w:val="1"/>
      <w:marLeft w:val="0"/>
      <w:marRight w:val="0"/>
      <w:marTop w:val="0"/>
      <w:marBottom w:val="0"/>
      <w:divBdr>
        <w:top w:val="none" w:sz="0" w:space="0" w:color="auto"/>
        <w:left w:val="none" w:sz="0" w:space="0" w:color="auto"/>
        <w:bottom w:val="none" w:sz="0" w:space="0" w:color="auto"/>
        <w:right w:val="none" w:sz="0" w:space="0" w:color="auto"/>
      </w:divBdr>
    </w:div>
    <w:div w:id="892082916">
      <w:bodyDiv w:val="1"/>
      <w:marLeft w:val="0"/>
      <w:marRight w:val="0"/>
      <w:marTop w:val="0"/>
      <w:marBottom w:val="0"/>
      <w:divBdr>
        <w:top w:val="none" w:sz="0" w:space="0" w:color="auto"/>
        <w:left w:val="none" w:sz="0" w:space="0" w:color="auto"/>
        <w:bottom w:val="none" w:sz="0" w:space="0" w:color="auto"/>
        <w:right w:val="none" w:sz="0" w:space="0" w:color="auto"/>
      </w:divBdr>
    </w:div>
    <w:div w:id="902718771">
      <w:bodyDiv w:val="1"/>
      <w:marLeft w:val="0"/>
      <w:marRight w:val="0"/>
      <w:marTop w:val="0"/>
      <w:marBottom w:val="0"/>
      <w:divBdr>
        <w:top w:val="none" w:sz="0" w:space="0" w:color="auto"/>
        <w:left w:val="none" w:sz="0" w:space="0" w:color="auto"/>
        <w:bottom w:val="none" w:sz="0" w:space="0" w:color="auto"/>
        <w:right w:val="none" w:sz="0" w:space="0" w:color="auto"/>
      </w:divBdr>
    </w:div>
    <w:div w:id="985742080">
      <w:bodyDiv w:val="1"/>
      <w:marLeft w:val="0"/>
      <w:marRight w:val="0"/>
      <w:marTop w:val="0"/>
      <w:marBottom w:val="0"/>
      <w:divBdr>
        <w:top w:val="none" w:sz="0" w:space="0" w:color="auto"/>
        <w:left w:val="none" w:sz="0" w:space="0" w:color="auto"/>
        <w:bottom w:val="none" w:sz="0" w:space="0" w:color="auto"/>
        <w:right w:val="none" w:sz="0" w:space="0" w:color="auto"/>
      </w:divBdr>
    </w:div>
    <w:div w:id="989863232">
      <w:bodyDiv w:val="1"/>
      <w:marLeft w:val="0"/>
      <w:marRight w:val="0"/>
      <w:marTop w:val="0"/>
      <w:marBottom w:val="0"/>
      <w:divBdr>
        <w:top w:val="none" w:sz="0" w:space="0" w:color="auto"/>
        <w:left w:val="none" w:sz="0" w:space="0" w:color="auto"/>
        <w:bottom w:val="none" w:sz="0" w:space="0" w:color="auto"/>
        <w:right w:val="none" w:sz="0" w:space="0" w:color="auto"/>
      </w:divBdr>
    </w:div>
    <w:div w:id="1034382902">
      <w:bodyDiv w:val="1"/>
      <w:marLeft w:val="0"/>
      <w:marRight w:val="0"/>
      <w:marTop w:val="0"/>
      <w:marBottom w:val="0"/>
      <w:divBdr>
        <w:top w:val="none" w:sz="0" w:space="0" w:color="auto"/>
        <w:left w:val="none" w:sz="0" w:space="0" w:color="auto"/>
        <w:bottom w:val="none" w:sz="0" w:space="0" w:color="auto"/>
        <w:right w:val="none" w:sz="0" w:space="0" w:color="auto"/>
      </w:divBdr>
    </w:div>
    <w:div w:id="1442143309">
      <w:bodyDiv w:val="1"/>
      <w:marLeft w:val="0"/>
      <w:marRight w:val="0"/>
      <w:marTop w:val="0"/>
      <w:marBottom w:val="0"/>
      <w:divBdr>
        <w:top w:val="none" w:sz="0" w:space="0" w:color="auto"/>
        <w:left w:val="none" w:sz="0" w:space="0" w:color="auto"/>
        <w:bottom w:val="none" w:sz="0" w:space="0" w:color="auto"/>
        <w:right w:val="none" w:sz="0" w:space="0" w:color="auto"/>
      </w:divBdr>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636250086">
      <w:bodyDiv w:val="1"/>
      <w:marLeft w:val="0"/>
      <w:marRight w:val="0"/>
      <w:marTop w:val="0"/>
      <w:marBottom w:val="0"/>
      <w:divBdr>
        <w:top w:val="none" w:sz="0" w:space="0" w:color="auto"/>
        <w:left w:val="none" w:sz="0" w:space="0" w:color="auto"/>
        <w:bottom w:val="none" w:sz="0" w:space="0" w:color="auto"/>
        <w:right w:val="none" w:sz="0" w:space="0" w:color="auto"/>
      </w:divBdr>
    </w:div>
    <w:div w:id="1720664715">
      <w:bodyDiv w:val="1"/>
      <w:marLeft w:val="0"/>
      <w:marRight w:val="0"/>
      <w:marTop w:val="0"/>
      <w:marBottom w:val="0"/>
      <w:divBdr>
        <w:top w:val="none" w:sz="0" w:space="0" w:color="auto"/>
        <w:left w:val="none" w:sz="0" w:space="0" w:color="auto"/>
        <w:bottom w:val="none" w:sz="0" w:space="0" w:color="auto"/>
        <w:right w:val="none" w:sz="0" w:space="0" w:color="auto"/>
      </w:divBdr>
    </w:div>
    <w:div w:id="2016883050">
      <w:bodyDiv w:val="1"/>
      <w:marLeft w:val="0"/>
      <w:marRight w:val="0"/>
      <w:marTop w:val="0"/>
      <w:marBottom w:val="0"/>
      <w:divBdr>
        <w:top w:val="none" w:sz="0" w:space="0" w:color="auto"/>
        <w:left w:val="none" w:sz="0" w:space="0" w:color="auto"/>
        <w:bottom w:val="none" w:sz="0" w:space="0" w:color="auto"/>
        <w:right w:val="none" w:sz="0" w:space="0" w:color="auto"/>
      </w:divBdr>
    </w:div>
    <w:div w:id="2065062487">
      <w:bodyDiv w:val="1"/>
      <w:marLeft w:val="0"/>
      <w:marRight w:val="0"/>
      <w:marTop w:val="0"/>
      <w:marBottom w:val="0"/>
      <w:divBdr>
        <w:top w:val="none" w:sz="0" w:space="0" w:color="auto"/>
        <w:left w:val="none" w:sz="0" w:space="0" w:color="auto"/>
        <w:bottom w:val="none" w:sz="0" w:space="0" w:color="auto"/>
        <w:right w:val="none" w:sz="0" w:space="0" w:color="auto"/>
      </w:divBdr>
    </w:div>
    <w:div w:id="21346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DF39C373906443B9CF48BAFF8C737B" ma:contentTypeVersion="6" ma:contentTypeDescription="Crear nuevo documento." ma:contentTypeScope="" ma:versionID="109a7972ed80816d657057f3a6664365">
  <xsd:schema xmlns:xsd="http://www.w3.org/2001/XMLSchema" xmlns:xs="http://www.w3.org/2001/XMLSchema" xmlns:p="http://schemas.microsoft.com/office/2006/metadata/properties" xmlns:ns3="5df7b161-deae-4679-84a7-7ff2ada704d6" targetNamespace="http://schemas.microsoft.com/office/2006/metadata/properties" ma:root="true" ma:fieldsID="d345ce89c7b751cba689f62eeeddc597" ns3:_="">
    <xsd:import namespace="5df7b161-deae-4679-84a7-7ff2ada704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b161-deae-4679-84a7-7ff2ada7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52E1-6F3A-470F-AF2C-C510F22BE3C3}">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5df7b161-deae-4679-84a7-7ff2ada704d6"/>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131EB317-C0B0-4C69-97DB-C312B252C970}">
  <ds:schemaRefs>
    <ds:schemaRef ds:uri="http://schemas.microsoft.com/sharepoint/v3/contenttype/forms"/>
  </ds:schemaRefs>
</ds:datastoreItem>
</file>

<file path=customXml/itemProps3.xml><?xml version="1.0" encoding="utf-8"?>
<ds:datastoreItem xmlns:ds="http://schemas.openxmlformats.org/officeDocument/2006/customXml" ds:itemID="{1FC565EE-00DE-4236-BAB7-F1FBA8E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b161-deae-4679-84a7-7ff2ada70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7007E-8A1A-4CF8-954D-518D39E9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16092</Characters>
  <Application>Microsoft Office Word</Application>
  <DocSecurity>4</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Jeronimo Navarrete Garcia</dc:creator>
  <cp:keywords/>
  <dc:description/>
  <cp:lastModifiedBy>Gabriela Yazmin Alamilla Ortíz</cp:lastModifiedBy>
  <cp:revision>2</cp:revision>
  <cp:lastPrinted>2021-01-13T22:32:00Z</cp:lastPrinted>
  <dcterms:created xsi:type="dcterms:W3CDTF">2021-01-14T00:26:00Z</dcterms:created>
  <dcterms:modified xsi:type="dcterms:W3CDTF">2021-01-14T00:26:00Z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0x01010066DF39C373906443B9CF48BAFF8C737B</vt:lpwstr>
  </property>
</Properties>
</file>