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32C1B" w14:textId="77777777" w:rsidR="00243172" w:rsidRPr="006667E1" w:rsidRDefault="00243172" w:rsidP="006667E1">
      <w:pPr>
        <w:spacing w:after="120"/>
        <w:ind w:left="4253"/>
        <w:jc w:val="both"/>
        <w:rPr>
          <w:b/>
          <w:sz w:val="22"/>
          <w:szCs w:val="22"/>
        </w:rPr>
      </w:pPr>
      <w:bookmarkStart w:id="0" w:name="_GoBack"/>
      <w:bookmarkEnd w:id="0"/>
      <w:r w:rsidRPr="006667E1">
        <w:rPr>
          <w:b/>
          <w:sz w:val="22"/>
          <w:szCs w:val="22"/>
        </w:rPr>
        <w:t>JUICIO</w:t>
      </w:r>
      <w:r w:rsidR="002C4184" w:rsidRPr="006667E1">
        <w:rPr>
          <w:b/>
          <w:sz w:val="22"/>
          <w:szCs w:val="22"/>
        </w:rPr>
        <w:t xml:space="preserve"> PARA LA PROTECCIÓN DE LOS DERECHOS POLÍTICO-ELECTORALES DEL CIUDADANO</w:t>
      </w:r>
    </w:p>
    <w:p w14:paraId="549FBD88" w14:textId="77777777" w:rsidR="00243172" w:rsidRPr="006667E1" w:rsidRDefault="00243172" w:rsidP="006667E1">
      <w:pPr>
        <w:spacing w:after="120"/>
        <w:ind w:left="4253"/>
        <w:jc w:val="both"/>
        <w:rPr>
          <w:sz w:val="22"/>
          <w:szCs w:val="22"/>
        </w:rPr>
      </w:pPr>
      <w:r w:rsidRPr="006667E1">
        <w:rPr>
          <w:b/>
          <w:sz w:val="22"/>
          <w:szCs w:val="22"/>
        </w:rPr>
        <w:t>EXPEDIENTE:</w:t>
      </w:r>
      <w:r w:rsidRPr="006667E1">
        <w:rPr>
          <w:sz w:val="22"/>
          <w:szCs w:val="22"/>
        </w:rPr>
        <w:t xml:space="preserve"> SM-J</w:t>
      </w:r>
      <w:r w:rsidR="002C4184" w:rsidRPr="006667E1">
        <w:rPr>
          <w:sz w:val="22"/>
          <w:szCs w:val="22"/>
        </w:rPr>
        <w:t>DC</w:t>
      </w:r>
      <w:r w:rsidRPr="006667E1">
        <w:rPr>
          <w:sz w:val="22"/>
          <w:szCs w:val="22"/>
        </w:rPr>
        <w:t>-</w:t>
      </w:r>
      <w:r w:rsidR="00B34884" w:rsidRPr="006667E1">
        <w:rPr>
          <w:sz w:val="22"/>
          <w:szCs w:val="22"/>
        </w:rPr>
        <w:t>1</w:t>
      </w:r>
      <w:r w:rsidR="00987C7E" w:rsidRPr="006667E1">
        <w:rPr>
          <w:sz w:val="22"/>
          <w:szCs w:val="22"/>
        </w:rPr>
        <w:t>78</w:t>
      </w:r>
      <w:r w:rsidRPr="006667E1">
        <w:rPr>
          <w:sz w:val="22"/>
          <w:szCs w:val="22"/>
        </w:rPr>
        <w:t>/202</w:t>
      </w:r>
      <w:r w:rsidR="008C6B73" w:rsidRPr="006667E1">
        <w:rPr>
          <w:sz w:val="22"/>
          <w:szCs w:val="22"/>
        </w:rPr>
        <w:t>1</w:t>
      </w:r>
      <w:r w:rsidRPr="006667E1">
        <w:rPr>
          <w:sz w:val="22"/>
          <w:szCs w:val="22"/>
        </w:rPr>
        <w:t xml:space="preserve"> </w:t>
      </w:r>
    </w:p>
    <w:p w14:paraId="0F36ED51" w14:textId="77777777" w:rsidR="00243172" w:rsidRPr="006667E1" w:rsidRDefault="00243172" w:rsidP="006667E1">
      <w:pPr>
        <w:spacing w:after="120"/>
        <w:ind w:left="4253"/>
        <w:jc w:val="both"/>
        <w:rPr>
          <w:sz w:val="22"/>
          <w:szCs w:val="22"/>
        </w:rPr>
      </w:pPr>
      <w:r w:rsidRPr="006667E1">
        <w:rPr>
          <w:b/>
          <w:sz w:val="22"/>
          <w:szCs w:val="22"/>
        </w:rPr>
        <w:t>IMPUGNANTE</w:t>
      </w:r>
      <w:r w:rsidR="00B34884" w:rsidRPr="006667E1">
        <w:rPr>
          <w:b/>
          <w:sz w:val="22"/>
          <w:szCs w:val="22"/>
        </w:rPr>
        <w:t>S</w:t>
      </w:r>
      <w:r w:rsidRPr="006667E1">
        <w:rPr>
          <w:b/>
          <w:sz w:val="22"/>
          <w:szCs w:val="22"/>
        </w:rPr>
        <w:t xml:space="preserve">: </w:t>
      </w:r>
      <w:r w:rsidR="00987C7E" w:rsidRPr="006667E1">
        <w:rPr>
          <w:sz w:val="22"/>
          <w:szCs w:val="22"/>
        </w:rPr>
        <w:t>ERIKA LIZBETH COBIÁN VELÁZQUEZ Y OTRA</w:t>
      </w:r>
    </w:p>
    <w:p w14:paraId="493AF260" w14:textId="77777777" w:rsidR="00243172" w:rsidRPr="006667E1" w:rsidRDefault="00243172" w:rsidP="006667E1">
      <w:pPr>
        <w:spacing w:after="120"/>
        <w:ind w:left="4253"/>
        <w:jc w:val="both"/>
        <w:rPr>
          <w:bCs/>
          <w:sz w:val="22"/>
          <w:szCs w:val="22"/>
        </w:rPr>
      </w:pPr>
      <w:r w:rsidRPr="006667E1">
        <w:rPr>
          <w:b/>
          <w:bCs/>
          <w:sz w:val="22"/>
          <w:szCs w:val="22"/>
        </w:rPr>
        <w:t>RESPONSABLE:</w:t>
      </w:r>
      <w:r w:rsidR="00B34884" w:rsidRPr="006667E1">
        <w:rPr>
          <w:bCs/>
          <w:sz w:val="22"/>
          <w:szCs w:val="22"/>
        </w:rPr>
        <w:t xml:space="preserve"> TRIBUNAL E</w:t>
      </w:r>
      <w:r w:rsidR="00987C7E" w:rsidRPr="006667E1">
        <w:rPr>
          <w:bCs/>
          <w:sz w:val="22"/>
          <w:szCs w:val="22"/>
        </w:rPr>
        <w:t>STATAL ELECTORAL DE GUANAJUATO</w:t>
      </w:r>
    </w:p>
    <w:p w14:paraId="75711E52" w14:textId="77777777" w:rsidR="00243172" w:rsidRPr="006667E1" w:rsidRDefault="00243172" w:rsidP="006667E1">
      <w:pPr>
        <w:spacing w:after="120"/>
        <w:ind w:left="4253"/>
        <w:jc w:val="both"/>
        <w:rPr>
          <w:sz w:val="22"/>
          <w:szCs w:val="22"/>
        </w:rPr>
      </w:pPr>
      <w:r w:rsidRPr="006667E1">
        <w:rPr>
          <w:b/>
          <w:sz w:val="22"/>
          <w:szCs w:val="22"/>
        </w:rPr>
        <w:t>MAGISTRADO PONENTE:</w:t>
      </w:r>
      <w:r w:rsidRPr="006667E1">
        <w:rPr>
          <w:sz w:val="22"/>
          <w:szCs w:val="22"/>
        </w:rPr>
        <w:t xml:space="preserve"> ERNESTO CAMACHO OCHOA</w:t>
      </w:r>
    </w:p>
    <w:p w14:paraId="0FA51AA4" w14:textId="34AFBFDC" w:rsidR="00780372" w:rsidRPr="006667E1" w:rsidRDefault="00243172" w:rsidP="006667E1">
      <w:pPr>
        <w:pStyle w:val="Normalsentencia"/>
        <w:spacing w:before="0" w:line="276" w:lineRule="auto"/>
        <w:ind w:left="4253" w:firstLine="0"/>
        <w:rPr>
          <w:bCs/>
          <w:sz w:val="22"/>
        </w:rPr>
      </w:pPr>
      <w:r w:rsidRPr="006667E1">
        <w:rPr>
          <w:b/>
          <w:sz w:val="22"/>
        </w:rPr>
        <w:t>SECRETARI</w:t>
      </w:r>
      <w:r w:rsidR="00825FE1" w:rsidRPr="006667E1">
        <w:rPr>
          <w:b/>
          <w:sz w:val="22"/>
        </w:rPr>
        <w:t>O</w:t>
      </w:r>
      <w:r w:rsidRPr="006667E1">
        <w:rPr>
          <w:b/>
          <w:sz w:val="22"/>
        </w:rPr>
        <w:t>:</w:t>
      </w:r>
      <w:r w:rsidR="00825FE1" w:rsidRPr="006667E1">
        <w:rPr>
          <w:bCs/>
          <w:sz w:val="22"/>
        </w:rPr>
        <w:t xml:space="preserve"> </w:t>
      </w:r>
      <w:r w:rsidR="00A60F43" w:rsidRPr="006667E1">
        <w:rPr>
          <w:bCs/>
          <w:sz w:val="22"/>
        </w:rPr>
        <w:t>RUBÉN ARTURO MARROQUÍN MITRE</w:t>
      </w:r>
      <w:r w:rsidR="00E67191" w:rsidRPr="006667E1">
        <w:rPr>
          <w:bCs/>
          <w:sz w:val="22"/>
        </w:rPr>
        <w:t xml:space="preserve"> Y ANA CECILIA LOBATO TAPIA</w:t>
      </w:r>
    </w:p>
    <w:p w14:paraId="4BFBB9F4" w14:textId="77777777" w:rsidR="006D750E" w:rsidRPr="006667E1" w:rsidRDefault="006D750E" w:rsidP="00F03884">
      <w:pPr>
        <w:pStyle w:val="Normalsentencia"/>
        <w:spacing w:before="0" w:after="0" w:line="240" w:lineRule="auto"/>
        <w:ind w:left="4253" w:firstLine="0"/>
        <w:rPr>
          <w:sz w:val="22"/>
        </w:rPr>
      </w:pPr>
    </w:p>
    <w:p w14:paraId="13199E35" w14:textId="77777777" w:rsidR="00B236A8" w:rsidRPr="006667E1" w:rsidRDefault="00B236A8" w:rsidP="00F03884">
      <w:pPr>
        <w:pStyle w:val="Normalsentencia"/>
        <w:spacing w:before="0" w:after="0" w:line="240" w:lineRule="auto"/>
        <w:ind w:left="4253" w:firstLine="0"/>
        <w:rPr>
          <w:sz w:val="22"/>
        </w:rPr>
      </w:pPr>
    </w:p>
    <w:p w14:paraId="58D7258E" w14:textId="63375827" w:rsidR="00243172" w:rsidRPr="006667E1" w:rsidRDefault="00243172" w:rsidP="00F03884">
      <w:pPr>
        <w:pStyle w:val="Normalsentencia"/>
        <w:spacing w:before="0" w:after="0"/>
        <w:ind w:firstLine="0"/>
        <w:rPr>
          <w:sz w:val="24"/>
          <w:szCs w:val="24"/>
        </w:rPr>
      </w:pPr>
      <w:r w:rsidRPr="006667E1">
        <w:rPr>
          <w:sz w:val="24"/>
          <w:szCs w:val="24"/>
        </w:rPr>
        <w:t xml:space="preserve">Monterrey, Nuevo León, a </w:t>
      </w:r>
      <w:r w:rsidR="00E67191" w:rsidRPr="006667E1">
        <w:rPr>
          <w:sz w:val="22"/>
        </w:rPr>
        <w:t>7</w:t>
      </w:r>
      <w:r w:rsidR="008C6B73" w:rsidRPr="006667E1">
        <w:rPr>
          <w:sz w:val="22"/>
        </w:rPr>
        <w:t xml:space="preserve"> </w:t>
      </w:r>
      <w:r w:rsidRPr="006667E1">
        <w:rPr>
          <w:sz w:val="24"/>
          <w:szCs w:val="24"/>
        </w:rPr>
        <w:t xml:space="preserve">de </w:t>
      </w:r>
      <w:r w:rsidR="00364F68" w:rsidRPr="006667E1">
        <w:rPr>
          <w:sz w:val="24"/>
          <w:szCs w:val="24"/>
        </w:rPr>
        <w:t xml:space="preserve">abril </w:t>
      </w:r>
      <w:r w:rsidRPr="006667E1">
        <w:rPr>
          <w:sz w:val="24"/>
          <w:szCs w:val="24"/>
        </w:rPr>
        <w:t>de 202</w:t>
      </w:r>
      <w:r w:rsidR="008C6B73" w:rsidRPr="006667E1">
        <w:rPr>
          <w:sz w:val="24"/>
          <w:szCs w:val="24"/>
        </w:rPr>
        <w:t>1</w:t>
      </w:r>
      <w:r w:rsidRPr="006667E1">
        <w:rPr>
          <w:sz w:val="24"/>
          <w:szCs w:val="24"/>
        </w:rPr>
        <w:t>.</w:t>
      </w:r>
    </w:p>
    <w:p w14:paraId="50C88B4E" w14:textId="77777777" w:rsidR="00243172" w:rsidRPr="006667E1" w:rsidRDefault="00243172" w:rsidP="00F03884">
      <w:pPr>
        <w:pStyle w:val="Normalsentencia"/>
        <w:spacing w:before="0" w:after="0" w:line="240" w:lineRule="auto"/>
        <w:ind w:firstLine="0"/>
        <w:rPr>
          <w:b/>
          <w:sz w:val="24"/>
          <w:szCs w:val="24"/>
        </w:rPr>
      </w:pPr>
    </w:p>
    <w:p w14:paraId="38951D8E" w14:textId="2A4BED8E" w:rsidR="00A60F43" w:rsidRPr="006667E1" w:rsidRDefault="00243172" w:rsidP="00F03884">
      <w:pPr>
        <w:spacing w:after="0" w:line="360" w:lineRule="auto"/>
        <w:contextualSpacing/>
        <w:jc w:val="both"/>
      </w:pPr>
      <w:r w:rsidRPr="006667E1">
        <w:rPr>
          <w:b/>
        </w:rPr>
        <w:t>Sentencia</w:t>
      </w:r>
      <w:r w:rsidRPr="006667E1">
        <w:t xml:space="preserve"> de la Sala Monterrey que</w:t>
      </w:r>
      <w:r w:rsidRPr="006667E1">
        <w:rPr>
          <w:b/>
        </w:rPr>
        <w:t xml:space="preserve"> </w:t>
      </w:r>
      <w:r w:rsidR="00A05924" w:rsidRPr="006667E1">
        <w:rPr>
          <w:b/>
        </w:rPr>
        <w:t>confir</w:t>
      </w:r>
      <w:r w:rsidR="00534AAF" w:rsidRPr="006667E1">
        <w:rPr>
          <w:b/>
        </w:rPr>
        <w:t>ma</w:t>
      </w:r>
      <w:r w:rsidR="00A05924" w:rsidRPr="006667E1">
        <w:rPr>
          <w:b/>
        </w:rPr>
        <w:t xml:space="preserve"> </w:t>
      </w:r>
      <w:r w:rsidR="00F33B51" w:rsidRPr="006667E1">
        <w:t xml:space="preserve">la </w:t>
      </w:r>
      <w:r w:rsidR="00D6029F" w:rsidRPr="006667E1">
        <w:t xml:space="preserve">resolución del </w:t>
      </w:r>
      <w:r w:rsidR="00F33B51" w:rsidRPr="006667E1">
        <w:t xml:space="preserve">Tribunal </w:t>
      </w:r>
      <w:r w:rsidR="00D6029F" w:rsidRPr="006667E1">
        <w:t xml:space="preserve">Estatal Electoral de Guanajuato en la </w:t>
      </w:r>
      <w:r w:rsidR="00F33B51" w:rsidRPr="006667E1">
        <w:t xml:space="preserve">que </w:t>
      </w:r>
      <w:r w:rsidR="00F33B51" w:rsidRPr="006667E1">
        <w:rPr>
          <w:b/>
        </w:rPr>
        <w:t>desechó</w:t>
      </w:r>
      <w:r w:rsidR="00D6029F" w:rsidRPr="006667E1">
        <w:rPr>
          <w:bCs/>
        </w:rPr>
        <w:t>,</w:t>
      </w:r>
      <w:r w:rsidR="00D6029F" w:rsidRPr="006667E1">
        <w:rPr>
          <w:b/>
        </w:rPr>
        <w:t xml:space="preserve"> </w:t>
      </w:r>
      <w:r w:rsidR="00D6029F" w:rsidRPr="006667E1">
        <w:t>por falta de firma autógrafa,</w:t>
      </w:r>
      <w:r w:rsidR="00F33B51" w:rsidRPr="006667E1">
        <w:rPr>
          <w:b/>
        </w:rPr>
        <w:t xml:space="preserve"> </w:t>
      </w:r>
      <w:r w:rsidR="00F33B51" w:rsidRPr="006667E1">
        <w:t xml:space="preserve">la demanda contra el acuerdo del Instituto Local </w:t>
      </w:r>
      <w:r w:rsidR="00A60F43" w:rsidRPr="006667E1">
        <w:t>que</w:t>
      </w:r>
      <w:r w:rsidR="00E67191" w:rsidRPr="006667E1">
        <w:t xml:space="preserve"> </w:t>
      </w:r>
      <w:r w:rsidR="00A60F43" w:rsidRPr="006667E1">
        <w:t>determinó</w:t>
      </w:r>
      <w:r w:rsidR="00D6029F" w:rsidRPr="006667E1">
        <w:t xml:space="preserve"> que no obtuvo</w:t>
      </w:r>
      <w:r w:rsidR="00F33B51" w:rsidRPr="006667E1">
        <w:t xml:space="preserve"> </w:t>
      </w:r>
      <w:r w:rsidR="00D6029F" w:rsidRPr="006667E1">
        <w:t xml:space="preserve">el </w:t>
      </w:r>
      <w:r w:rsidR="00F33B51" w:rsidRPr="006667E1">
        <w:t xml:space="preserve">apoyo ciudadano necesario para contender como diputada local independiente al distrito XXI en Guanajuato, </w:t>
      </w:r>
      <w:r w:rsidR="00F33B51" w:rsidRPr="006667E1">
        <w:rPr>
          <w:b/>
        </w:rPr>
        <w:t>porque esta Sala considera</w:t>
      </w:r>
      <w:r w:rsidR="00F33B51" w:rsidRPr="006667E1">
        <w:t xml:space="preserve"> que </w:t>
      </w:r>
      <w:r w:rsidR="00A60F43" w:rsidRPr="006667E1">
        <w:t>en autos consta que</w:t>
      </w:r>
      <w:r w:rsidR="00D836C8" w:rsidRPr="006667E1">
        <w:t xml:space="preserve"> la</w:t>
      </w:r>
      <w:r w:rsidR="00A60F43" w:rsidRPr="006667E1">
        <w:t xml:space="preserve"> actuaria del Tribunal de Guanajuato asentó que la demanda no contenía la firma autógrafa de las impugnantes y estas sólo presentan una copia simple del acuse (no el original).</w:t>
      </w:r>
    </w:p>
    <w:p w14:paraId="4B9BB1D8" w14:textId="77777777" w:rsidR="00A60F43" w:rsidRPr="006667E1" w:rsidRDefault="00A60F43" w:rsidP="00F03884">
      <w:pPr>
        <w:spacing w:after="0" w:line="360" w:lineRule="auto"/>
        <w:contextualSpacing/>
        <w:jc w:val="both"/>
      </w:pPr>
    </w:p>
    <w:sdt>
      <w:sdtPr>
        <w:rPr>
          <w:rFonts w:ascii="Arial" w:eastAsia="Calibri" w:hAnsi="Arial" w:cs="Arial"/>
          <w:b/>
          <w:bCs/>
          <w:caps/>
          <w:color w:val="auto"/>
          <w:kern w:val="32"/>
          <w:sz w:val="18"/>
          <w:szCs w:val="18"/>
          <w:lang w:val="es-ES" w:eastAsia="en-US"/>
        </w:rPr>
        <w:id w:val="572401020"/>
        <w:docPartObj>
          <w:docPartGallery w:val="Table of Contents"/>
          <w:docPartUnique/>
        </w:docPartObj>
      </w:sdtPr>
      <w:sdtEndPr>
        <w:rPr>
          <w:rFonts w:eastAsiaTheme="majorEastAsia" w:cstheme="majorBidi"/>
        </w:rPr>
      </w:sdtEndPr>
      <w:sdtContent>
        <w:p w14:paraId="2F027C78" w14:textId="77777777" w:rsidR="00243172" w:rsidRPr="006667E1" w:rsidRDefault="00243172" w:rsidP="00F03884">
          <w:pPr>
            <w:pStyle w:val="TtuloTDC"/>
            <w:shd w:val="clear" w:color="auto" w:fill="FFFFFF" w:themeFill="background1"/>
            <w:spacing w:before="0" w:line="240" w:lineRule="auto"/>
            <w:jc w:val="center"/>
            <w:rPr>
              <w:rFonts w:ascii="Arial" w:hAnsi="Arial" w:cs="Arial"/>
              <w:b/>
              <w:sz w:val="18"/>
              <w:szCs w:val="18"/>
            </w:rPr>
          </w:pPr>
          <w:r w:rsidRPr="006667E1">
            <w:rPr>
              <w:rFonts w:ascii="Arial" w:hAnsi="Arial" w:cs="Arial"/>
              <w:b/>
              <w:color w:val="000000" w:themeColor="text1"/>
              <w:sz w:val="18"/>
              <w:szCs w:val="18"/>
              <w:lang w:val="es-ES"/>
            </w:rPr>
            <w:t>Índice</w:t>
          </w:r>
        </w:p>
        <w:p w14:paraId="0D6DC8A3" w14:textId="77777777" w:rsidR="00EA69AA" w:rsidRPr="006667E1" w:rsidRDefault="00EA69AA" w:rsidP="00F03884">
          <w:pPr>
            <w:pStyle w:val="TDC1"/>
            <w:spacing w:line="240" w:lineRule="auto"/>
            <w:rPr>
              <w:rFonts w:asciiTheme="minorHAnsi" w:eastAsiaTheme="minorEastAsia" w:hAnsiTheme="minorHAnsi" w:cstheme="minorBidi"/>
              <w:noProof/>
              <w:sz w:val="18"/>
              <w:szCs w:val="18"/>
              <w:lang w:val="es-MX" w:eastAsia="es-MX"/>
            </w:rPr>
          </w:pPr>
          <w:r w:rsidRPr="006667E1">
            <w:rPr>
              <w:rFonts w:eastAsia="Times New Roman"/>
              <w:bCs/>
              <w:sz w:val="18"/>
              <w:szCs w:val="18"/>
              <w:lang w:val="es-MX" w:eastAsia="es-ES"/>
            </w:rPr>
            <w:fldChar w:fldCharType="begin"/>
          </w:r>
          <w:r w:rsidRPr="006667E1">
            <w:rPr>
              <w:rFonts w:eastAsia="Times New Roman"/>
              <w:bCs/>
              <w:sz w:val="18"/>
              <w:szCs w:val="18"/>
              <w:lang w:val="es-MX" w:eastAsia="es-ES"/>
            </w:rPr>
            <w:instrText xml:space="preserve"> TOC \o "1-2" \h \z \u </w:instrText>
          </w:r>
          <w:r w:rsidRPr="006667E1">
            <w:rPr>
              <w:rFonts w:eastAsia="Times New Roman"/>
              <w:bCs/>
              <w:sz w:val="18"/>
              <w:szCs w:val="18"/>
              <w:lang w:val="es-MX" w:eastAsia="es-ES"/>
            </w:rPr>
            <w:fldChar w:fldCharType="separate"/>
          </w:r>
          <w:hyperlink w:anchor="_Toc67606994" w:history="1">
            <w:r w:rsidRPr="006667E1">
              <w:rPr>
                <w:rStyle w:val="Hipervnculo"/>
                <w:b/>
                <w:noProof/>
                <w:sz w:val="18"/>
                <w:szCs w:val="18"/>
              </w:rPr>
              <w:t>Glosario</w:t>
            </w:r>
            <w:r w:rsidRPr="006667E1">
              <w:rPr>
                <w:noProof/>
                <w:webHidden/>
                <w:sz w:val="18"/>
                <w:szCs w:val="18"/>
              </w:rPr>
              <w:tab/>
            </w:r>
            <w:r w:rsidRPr="006667E1">
              <w:rPr>
                <w:noProof/>
                <w:webHidden/>
                <w:sz w:val="18"/>
                <w:szCs w:val="18"/>
              </w:rPr>
              <w:fldChar w:fldCharType="begin"/>
            </w:r>
            <w:r w:rsidRPr="006667E1">
              <w:rPr>
                <w:noProof/>
                <w:webHidden/>
                <w:sz w:val="18"/>
                <w:szCs w:val="18"/>
              </w:rPr>
              <w:instrText xml:space="preserve"> PAGEREF _Toc67606994 \h </w:instrText>
            </w:r>
            <w:r w:rsidRPr="006667E1">
              <w:rPr>
                <w:noProof/>
                <w:webHidden/>
                <w:sz w:val="18"/>
                <w:szCs w:val="18"/>
              </w:rPr>
            </w:r>
            <w:r w:rsidRPr="006667E1">
              <w:rPr>
                <w:noProof/>
                <w:webHidden/>
                <w:sz w:val="18"/>
                <w:szCs w:val="18"/>
              </w:rPr>
              <w:fldChar w:fldCharType="separate"/>
            </w:r>
            <w:r w:rsidR="00B236A8" w:rsidRPr="006667E1">
              <w:rPr>
                <w:noProof/>
                <w:webHidden/>
                <w:sz w:val="18"/>
                <w:szCs w:val="18"/>
              </w:rPr>
              <w:t>1</w:t>
            </w:r>
            <w:r w:rsidRPr="006667E1">
              <w:rPr>
                <w:noProof/>
                <w:webHidden/>
                <w:sz w:val="18"/>
                <w:szCs w:val="18"/>
              </w:rPr>
              <w:fldChar w:fldCharType="end"/>
            </w:r>
          </w:hyperlink>
        </w:p>
        <w:p w14:paraId="47B6BBCE" w14:textId="77777777" w:rsidR="00EA69AA" w:rsidRPr="006667E1" w:rsidRDefault="001A6FA6" w:rsidP="00F03884">
          <w:pPr>
            <w:pStyle w:val="TDC1"/>
            <w:spacing w:line="240" w:lineRule="auto"/>
            <w:rPr>
              <w:rFonts w:asciiTheme="minorHAnsi" w:eastAsiaTheme="minorEastAsia" w:hAnsiTheme="minorHAnsi" w:cstheme="minorBidi"/>
              <w:noProof/>
              <w:sz w:val="18"/>
              <w:szCs w:val="18"/>
              <w:lang w:val="es-MX" w:eastAsia="es-MX"/>
            </w:rPr>
          </w:pPr>
          <w:hyperlink w:anchor="_Toc67606995" w:history="1">
            <w:r w:rsidR="00EA69AA" w:rsidRPr="006667E1">
              <w:rPr>
                <w:rStyle w:val="Hipervnculo"/>
                <w:rFonts w:eastAsia="Times New Roman"/>
                <w:b/>
                <w:noProof/>
                <w:sz w:val="18"/>
                <w:szCs w:val="18"/>
              </w:rPr>
              <w:t>Competencia</w:t>
            </w:r>
            <w:r w:rsidR="00475DC8" w:rsidRPr="006667E1">
              <w:rPr>
                <w:rStyle w:val="Hipervnculo"/>
                <w:rFonts w:eastAsia="Times New Roman"/>
                <w:b/>
                <w:noProof/>
                <w:sz w:val="18"/>
                <w:szCs w:val="18"/>
              </w:rPr>
              <w:t xml:space="preserve"> </w:t>
            </w:r>
            <w:r w:rsidR="00EA69AA" w:rsidRPr="006667E1">
              <w:rPr>
                <w:rStyle w:val="Hipervnculo"/>
                <w:rFonts w:eastAsia="Times New Roman"/>
                <w:b/>
                <w:noProof/>
                <w:sz w:val="18"/>
                <w:szCs w:val="18"/>
              </w:rPr>
              <w:t>y procedencia</w:t>
            </w:r>
            <w:r w:rsidR="00EA69AA" w:rsidRPr="006667E1">
              <w:rPr>
                <w:noProof/>
                <w:webHidden/>
                <w:sz w:val="18"/>
                <w:szCs w:val="18"/>
              </w:rPr>
              <w:tab/>
            </w:r>
            <w:r w:rsidR="00EA69AA" w:rsidRPr="006667E1">
              <w:rPr>
                <w:noProof/>
                <w:webHidden/>
                <w:sz w:val="18"/>
                <w:szCs w:val="18"/>
              </w:rPr>
              <w:fldChar w:fldCharType="begin"/>
            </w:r>
            <w:r w:rsidR="00EA69AA" w:rsidRPr="006667E1">
              <w:rPr>
                <w:noProof/>
                <w:webHidden/>
                <w:sz w:val="18"/>
                <w:szCs w:val="18"/>
              </w:rPr>
              <w:instrText xml:space="preserve"> PAGEREF _Toc67606995 \h </w:instrText>
            </w:r>
            <w:r w:rsidR="00EA69AA" w:rsidRPr="006667E1">
              <w:rPr>
                <w:noProof/>
                <w:webHidden/>
                <w:sz w:val="18"/>
                <w:szCs w:val="18"/>
              </w:rPr>
            </w:r>
            <w:r w:rsidR="00EA69AA" w:rsidRPr="006667E1">
              <w:rPr>
                <w:noProof/>
                <w:webHidden/>
                <w:sz w:val="18"/>
                <w:szCs w:val="18"/>
              </w:rPr>
              <w:fldChar w:fldCharType="separate"/>
            </w:r>
            <w:r w:rsidR="00B236A8" w:rsidRPr="006667E1">
              <w:rPr>
                <w:noProof/>
                <w:webHidden/>
                <w:sz w:val="18"/>
                <w:szCs w:val="18"/>
              </w:rPr>
              <w:t>1</w:t>
            </w:r>
            <w:r w:rsidR="00EA69AA" w:rsidRPr="006667E1">
              <w:rPr>
                <w:noProof/>
                <w:webHidden/>
                <w:sz w:val="18"/>
                <w:szCs w:val="18"/>
              </w:rPr>
              <w:fldChar w:fldCharType="end"/>
            </w:r>
          </w:hyperlink>
        </w:p>
        <w:p w14:paraId="484F9637" w14:textId="77777777" w:rsidR="00EA69AA" w:rsidRPr="006667E1" w:rsidRDefault="001A6FA6" w:rsidP="00F03884">
          <w:pPr>
            <w:pStyle w:val="TDC1"/>
            <w:spacing w:line="240" w:lineRule="auto"/>
            <w:rPr>
              <w:rFonts w:asciiTheme="minorHAnsi" w:eastAsiaTheme="minorEastAsia" w:hAnsiTheme="minorHAnsi" w:cstheme="minorBidi"/>
              <w:noProof/>
              <w:sz w:val="18"/>
              <w:szCs w:val="18"/>
              <w:lang w:val="es-MX" w:eastAsia="es-MX"/>
            </w:rPr>
          </w:pPr>
          <w:hyperlink w:anchor="_Toc67606996" w:history="1">
            <w:r w:rsidR="00EA69AA" w:rsidRPr="006667E1">
              <w:rPr>
                <w:rStyle w:val="Hipervnculo"/>
                <w:rFonts w:eastAsia="Times New Roman"/>
                <w:b/>
                <w:noProof/>
                <w:sz w:val="18"/>
                <w:szCs w:val="18"/>
              </w:rPr>
              <w:t>Antecedentes</w:t>
            </w:r>
            <w:r w:rsidR="00EA69AA" w:rsidRPr="006667E1">
              <w:rPr>
                <w:noProof/>
                <w:webHidden/>
                <w:sz w:val="18"/>
                <w:szCs w:val="18"/>
              </w:rPr>
              <w:tab/>
            </w:r>
            <w:r w:rsidR="00EA69AA" w:rsidRPr="006667E1">
              <w:rPr>
                <w:noProof/>
                <w:webHidden/>
                <w:sz w:val="18"/>
                <w:szCs w:val="18"/>
              </w:rPr>
              <w:fldChar w:fldCharType="begin"/>
            </w:r>
            <w:r w:rsidR="00EA69AA" w:rsidRPr="006667E1">
              <w:rPr>
                <w:noProof/>
                <w:webHidden/>
                <w:sz w:val="18"/>
                <w:szCs w:val="18"/>
              </w:rPr>
              <w:instrText xml:space="preserve"> PAGEREF _Toc67606996 \h </w:instrText>
            </w:r>
            <w:r w:rsidR="00EA69AA" w:rsidRPr="006667E1">
              <w:rPr>
                <w:noProof/>
                <w:webHidden/>
                <w:sz w:val="18"/>
                <w:szCs w:val="18"/>
              </w:rPr>
            </w:r>
            <w:r w:rsidR="00EA69AA" w:rsidRPr="006667E1">
              <w:rPr>
                <w:noProof/>
                <w:webHidden/>
                <w:sz w:val="18"/>
                <w:szCs w:val="18"/>
              </w:rPr>
              <w:fldChar w:fldCharType="separate"/>
            </w:r>
            <w:r w:rsidR="00B236A8" w:rsidRPr="006667E1">
              <w:rPr>
                <w:noProof/>
                <w:webHidden/>
                <w:sz w:val="18"/>
                <w:szCs w:val="18"/>
              </w:rPr>
              <w:t>2</w:t>
            </w:r>
            <w:r w:rsidR="00EA69AA" w:rsidRPr="006667E1">
              <w:rPr>
                <w:noProof/>
                <w:webHidden/>
                <w:sz w:val="18"/>
                <w:szCs w:val="18"/>
              </w:rPr>
              <w:fldChar w:fldCharType="end"/>
            </w:r>
          </w:hyperlink>
        </w:p>
        <w:p w14:paraId="3042A7A7" w14:textId="77777777" w:rsidR="00EA69AA" w:rsidRPr="006667E1" w:rsidRDefault="001A6FA6" w:rsidP="00F03884">
          <w:pPr>
            <w:pStyle w:val="TDC1"/>
            <w:spacing w:line="240" w:lineRule="auto"/>
            <w:rPr>
              <w:rFonts w:asciiTheme="minorHAnsi" w:eastAsiaTheme="minorEastAsia" w:hAnsiTheme="minorHAnsi" w:cstheme="minorBidi"/>
              <w:noProof/>
              <w:sz w:val="18"/>
              <w:szCs w:val="18"/>
              <w:lang w:val="es-MX" w:eastAsia="es-MX"/>
            </w:rPr>
          </w:pPr>
          <w:hyperlink w:anchor="_Toc67606997" w:history="1">
            <w:r w:rsidR="00EA69AA" w:rsidRPr="006667E1">
              <w:rPr>
                <w:rStyle w:val="Hipervnculo"/>
                <w:rFonts w:eastAsia="Times New Roman"/>
                <w:b/>
                <w:noProof/>
                <w:sz w:val="18"/>
                <w:szCs w:val="18"/>
              </w:rPr>
              <w:t>Estudio de fondo</w:t>
            </w:r>
            <w:r w:rsidR="00EA69AA" w:rsidRPr="006667E1">
              <w:rPr>
                <w:noProof/>
                <w:webHidden/>
                <w:sz w:val="18"/>
                <w:szCs w:val="18"/>
              </w:rPr>
              <w:tab/>
            </w:r>
            <w:r w:rsidR="00EA69AA" w:rsidRPr="006667E1">
              <w:rPr>
                <w:noProof/>
                <w:webHidden/>
                <w:sz w:val="18"/>
                <w:szCs w:val="18"/>
              </w:rPr>
              <w:fldChar w:fldCharType="begin"/>
            </w:r>
            <w:r w:rsidR="00EA69AA" w:rsidRPr="006667E1">
              <w:rPr>
                <w:noProof/>
                <w:webHidden/>
                <w:sz w:val="18"/>
                <w:szCs w:val="18"/>
              </w:rPr>
              <w:instrText xml:space="preserve"> PAGEREF _Toc67606997 \h </w:instrText>
            </w:r>
            <w:r w:rsidR="00EA69AA" w:rsidRPr="006667E1">
              <w:rPr>
                <w:noProof/>
                <w:webHidden/>
                <w:sz w:val="18"/>
                <w:szCs w:val="18"/>
              </w:rPr>
            </w:r>
            <w:r w:rsidR="00EA69AA" w:rsidRPr="006667E1">
              <w:rPr>
                <w:noProof/>
                <w:webHidden/>
                <w:sz w:val="18"/>
                <w:szCs w:val="18"/>
              </w:rPr>
              <w:fldChar w:fldCharType="separate"/>
            </w:r>
            <w:r w:rsidR="00B236A8" w:rsidRPr="006667E1">
              <w:rPr>
                <w:noProof/>
                <w:webHidden/>
                <w:sz w:val="18"/>
                <w:szCs w:val="18"/>
              </w:rPr>
              <w:t>2</w:t>
            </w:r>
            <w:r w:rsidR="00EA69AA" w:rsidRPr="006667E1">
              <w:rPr>
                <w:noProof/>
                <w:webHidden/>
                <w:sz w:val="18"/>
                <w:szCs w:val="18"/>
              </w:rPr>
              <w:fldChar w:fldCharType="end"/>
            </w:r>
          </w:hyperlink>
        </w:p>
        <w:p w14:paraId="08268C2F" w14:textId="77777777" w:rsidR="00EA69AA" w:rsidRPr="006667E1" w:rsidRDefault="001A6FA6" w:rsidP="00F03884">
          <w:pPr>
            <w:pStyle w:val="TDC2"/>
            <w:rPr>
              <w:rFonts w:asciiTheme="minorHAnsi" w:eastAsiaTheme="minorEastAsia" w:hAnsiTheme="minorHAnsi" w:cstheme="minorBidi"/>
              <w:b w:val="0"/>
              <w:bCs w:val="0"/>
              <w:u w:val="none"/>
              <w:lang w:val="es-MX" w:eastAsia="es-MX"/>
            </w:rPr>
          </w:pPr>
          <w:hyperlink w:anchor="_Toc67606998" w:history="1">
            <w:r w:rsidR="00EA69AA" w:rsidRPr="006667E1">
              <w:rPr>
                <w:rStyle w:val="Hipervnculo"/>
              </w:rPr>
              <w:t>Apartado preliminar.</w:t>
            </w:r>
            <w:r w:rsidR="00EA69AA" w:rsidRPr="006667E1">
              <w:rPr>
                <w:rStyle w:val="Hipervnculo"/>
                <w:b w:val="0"/>
                <w:u w:val="none"/>
              </w:rPr>
              <w:t xml:space="preserve"> Definición de la materia de controversia</w:t>
            </w:r>
            <w:r w:rsidR="00EA69AA" w:rsidRPr="006667E1">
              <w:rPr>
                <w:b w:val="0"/>
                <w:webHidden/>
                <w:u w:val="none"/>
              </w:rPr>
              <w:tab/>
            </w:r>
            <w:r w:rsidR="00EA69AA" w:rsidRPr="006667E1">
              <w:rPr>
                <w:b w:val="0"/>
                <w:webHidden/>
                <w:u w:val="none"/>
              </w:rPr>
              <w:fldChar w:fldCharType="begin"/>
            </w:r>
            <w:r w:rsidR="00EA69AA" w:rsidRPr="006667E1">
              <w:rPr>
                <w:b w:val="0"/>
                <w:webHidden/>
                <w:u w:val="none"/>
              </w:rPr>
              <w:instrText xml:space="preserve"> PAGEREF _Toc67606998 \h </w:instrText>
            </w:r>
            <w:r w:rsidR="00EA69AA" w:rsidRPr="006667E1">
              <w:rPr>
                <w:b w:val="0"/>
                <w:webHidden/>
                <w:u w:val="none"/>
              </w:rPr>
            </w:r>
            <w:r w:rsidR="00EA69AA" w:rsidRPr="006667E1">
              <w:rPr>
                <w:b w:val="0"/>
                <w:webHidden/>
                <w:u w:val="none"/>
              </w:rPr>
              <w:fldChar w:fldCharType="separate"/>
            </w:r>
            <w:r w:rsidR="00B236A8" w:rsidRPr="006667E1">
              <w:rPr>
                <w:b w:val="0"/>
                <w:webHidden/>
                <w:u w:val="none"/>
              </w:rPr>
              <w:t>2</w:t>
            </w:r>
            <w:r w:rsidR="00EA69AA" w:rsidRPr="006667E1">
              <w:rPr>
                <w:b w:val="0"/>
                <w:webHidden/>
                <w:u w:val="none"/>
              </w:rPr>
              <w:fldChar w:fldCharType="end"/>
            </w:r>
          </w:hyperlink>
        </w:p>
        <w:p w14:paraId="49DCAABC" w14:textId="77777777" w:rsidR="00EA69AA" w:rsidRPr="006667E1" w:rsidRDefault="001A6FA6" w:rsidP="00F03884">
          <w:pPr>
            <w:pStyle w:val="TDC2"/>
            <w:rPr>
              <w:rFonts w:asciiTheme="minorHAnsi" w:eastAsiaTheme="minorEastAsia" w:hAnsiTheme="minorHAnsi" w:cstheme="minorBidi"/>
              <w:b w:val="0"/>
              <w:bCs w:val="0"/>
              <w:u w:val="none"/>
              <w:lang w:val="es-MX" w:eastAsia="es-MX"/>
            </w:rPr>
          </w:pPr>
          <w:hyperlink w:anchor="_Toc67606999" w:history="1">
            <w:r w:rsidR="00EA69AA" w:rsidRPr="006667E1">
              <w:rPr>
                <w:rStyle w:val="Hipervnculo"/>
              </w:rPr>
              <w:t>Apartado I.</w:t>
            </w:r>
            <w:r w:rsidR="00EA69AA" w:rsidRPr="006667E1">
              <w:rPr>
                <w:rStyle w:val="Hipervnculo"/>
                <w:b w:val="0"/>
                <w:u w:val="none"/>
              </w:rPr>
              <w:t xml:space="preserve"> Decisión general</w:t>
            </w:r>
            <w:r w:rsidR="00EA69AA" w:rsidRPr="006667E1">
              <w:rPr>
                <w:b w:val="0"/>
                <w:webHidden/>
                <w:u w:val="none"/>
              </w:rPr>
              <w:tab/>
            </w:r>
            <w:r w:rsidR="00EA69AA" w:rsidRPr="006667E1">
              <w:rPr>
                <w:b w:val="0"/>
                <w:webHidden/>
                <w:u w:val="none"/>
              </w:rPr>
              <w:fldChar w:fldCharType="begin"/>
            </w:r>
            <w:r w:rsidR="00EA69AA" w:rsidRPr="006667E1">
              <w:rPr>
                <w:b w:val="0"/>
                <w:webHidden/>
                <w:u w:val="none"/>
              </w:rPr>
              <w:instrText xml:space="preserve"> PAGEREF _Toc67606999 \h </w:instrText>
            </w:r>
            <w:r w:rsidR="00EA69AA" w:rsidRPr="006667E1">
              <w:rPr>
                <w:b w:val="0"/>
                <w:webHidden/>
                <w:u w:val="none"/>
              </w:rPr>
            </w:r>
            <w:r w:rsidR="00EA69AA" w:rsidRPr="006667E1">
              <w:rPr>
                <w:b w:val="0"/>
                <w:webHidden/>
                <w:u w:val="none"/>
              </w:rPr>
              <w:fldChar w:fldCharType="separate"/>
            </w:r>
            <w:r w:rsidR="00B236A8" w:rsidRPr="006667E1">
              <w:rPr>
                <w:b w:val="0"/>
                <w:webHidden/>
                <w:u w:val="none"/>
              </w:rPr>
              <w:t>3</w:t>
            </w:r>
            <w:r w:rsidR="00EA69AA" w:rsidRPr="006667E1">
              <w:rPr>
                <w:b w:val="0"/>
                <w:webHidden/>
                <w:u w:val="none"/>
              </w:rPr>
              <w:fldChar w:fldCharType="end"/>
            </w:r>
          </w:hyperlink>
        </w:p>
        <w:p w14:paraId="318EC8F6" w14:textId="77777777" w:rsidR="00EA69AA" w:rsidRPr="006667E1" w:rsidRDefault="001A6FA6" w:rsidP="00F03884">
          <w:pPr>
            <w:pStyle w:val="TDC2"/>
            <w:rPr>
              <w:rFonts w:asciiTheme="minorHAnsi" w:eastAsiaTheme="minorEastAsia" w:hAnsiTheme="minorHAnsi" w:cstheme="minorBidi"/>
              <w:b w:val="0"/>
              <w:bCs w:val="0"/>
              <w:u w:val="none"/>
              <w:lang w:val="es-MX" w:eastAsia="es-MX"/>
            </w:rPr>
          </w:pPr>
          <w:hyperlink w:anchor="_Toc67607000" w:history="1">
            <w:r w:rsidR="00EA69AA" w:rsidRPr="006667E1">
              <w:rPr>
                <w:rStyle w:val="Hipervnculo"/>
              </w:rPr>
              <w:t xml:space="preserve">Apartado II. </w:t>
            </w:r>
            <w:r w:rsidR="00EA69AA" w:rsidRPr="006667E1">
              <w:rPr>
                <w:rStyle w:val="Hipervnculo"/>
                <w:b w:val="0"/>
                <w:u w:val="none"/>
              </w:rPr>
              <w:t>Desarrollo o justificación de la decisión</w:t>
            </w:r>
            <w:r w:rsidR="00EA69AA" w:rsidRPr="006667E1">
              <w:rPr>
                <w:b w:val="0"/>
                <w:webHidden/>
                <w:u w:val="none"/>
              </w:rPr>
              <w:tab/>
            </w:r>
            <w:r w:rsidR="00EA69AA" w:rsidRPr="006667E1">
              <w:rPr>
                <w:b w:val="0"/>
                <w:webHidden/>
                <w:u w:val="none"/>
              </w:rPr>
              <w:fldChar w:fldCharType="begin"/>
            </w:r>
            <w:r w:rsidR="00EA69AA" w:rsidRPr="006667E1">
              <w:rPr>
                <w:b w:val="0"/>
                <w:webHidden/>
                <w:u w:val="none"/>
              </w:rPr>
              <w:instrText xml:space="preserve"> PAGEREF _Toc67607000 \h </w:instrText>
            </w:r>
            <w:r w:rsidR="00EA69AA" w:rsidRPr="006667E1">
              <w:rPr>
                <w:b w:val="0"/>
                <w:webHidden/>
                <w:u w:val="none"/>
              </w:rPr>
            </w:r>
            <w:r w:rsidR="00EA69AA" w:rsidRPr="006667E1">
              <w:rPr>
                <w:b w:val="0"/>
                <w:webHidden/>
                <w:u w:val="none"/>
              </w:rPr>
              <w:fldChar w:fldCharType="separate"/>
            </w:r>
            <w:r w:rsidR="00B236A8" w:rsidRPr="006667E1">
              <w:rPr>
                <w:b w:val="0"/>
                <w:webHidden/>
                <w:u w:val="none"/>
              </w:rPr>
              <w:t>3</w:t>
            </w:r>
            <w:r w:rsidR="00EA69AA" w:rsidRPr="006667E1">
              <w:rPr>
                <w:b w:val="0"/>
                <w:webHidden/>
                <w:u w:val="none"/>
              </w:rPr>
              <w:fldChar w:fldCharType="end"/>
            </w:r>
          </w:hyperlink>
        </w:p>
        <w:p w14:paraId="4DC056F7" w14:textId="77777777" w:rsidR="00EA69AA" w:rsidRPr="006667E1" w:rsidRDefault="001A6FA6" w:rsidP="00F03884">
          <w:pPr>
            <w:pStyle w:val="TDC1"/>
            <w:spacing w:line="240" w:lineRule="auto"/>
            <w:rPr>
              <w:rFonts w:asciiTheme="minorHAnsi" w:eastAsiaTheme="minorEastAsia" w:hAnsiTheme="minorHAnsi" w:cstheme="minorBidi"/>
              <w:noProof/>
              <w:sz w:val="18"/>
              <w:szCs w:val="18"/>
              <w:lang w:val="es-MX" w:eastAsia="es-MX"/>
            </w:rPr>
          </w:pPr>
          <w:hyperlink w:anchor="_Toc67607001" w:history="1">
            <w:r w:rsidR="00EA69AA" w:rsidRPr="006667E1">
              <w:rPr>
                <w:rStyle w:val="Hipervnculo"/>
                <w:b/>
                <w:noProof/>
                <w:sz w:val="18"/>
                <w:szCs w:val="18"/>
              </w:rPr>
              <w:t>Resuelve</w:t>
            </w:r>
            <w:r w:rsidR="00EA69AA" w:rsidRPr="006667E1">
              <w:rPr>
                <w:noProof/>
                <w:webHidden/>
                <w:sz w:val="18"/>
                <w:szCs w:val="18"/>
              </w:rPr>
              <w:tab/>
            </w:r>
            <w:r w:rsidR="00EA69AA" w:rsidRPr="006667E1">
              <w:rPr>
                <w:noProof/>
                <w:webHidden/>
                <w:sz w:val="18"/>
                <w:szCs w:val="18"/>
              </w:rPr>
              <w:fldChar w:fldCharType="begin"/>
            </w:r>
            <w:r w:rsidR="00EA69AA" w:rsidRPr="006667E1">
              <w:rPr>
                <w:noProof/>
                <w:webHidden/>
                <w:sz w:val="18"/>
                <w:szCs w:val="18"/>
              </w:rPr>
              <w:instrText xml:space="preserve"> PAGEREF _Toc67607001 \h </w:instrText>
            </w:r>
            <w:r w:rsidR="00EA69AA" w:rsidRPr="006667E1">
              <w:rPr>
                <w:noProof/>
                <w:webHidden/>
                <w:sz w:val="18"/>
                <w:szCs w:val="18"/>
              </w:rPr>
            </w:r>
            <w:r w:rsidR="00EA69AA" w:rsidRPr="006667E1">
              <w:rPr>
                <w:noProof/>
                <w:webHidden/>
                <w:sz w:val="18"/>
                <w:szCs w:val="18"/>
              </w:rPr>
              <w:fldChar w:fldCharType="separate"/>
            </w:r>
            <w:r w:rsidR="00B236A8" w:rsidRPr="006667E1">
              <w:rPr>
                <w:noProof/>
                <w:webHidden/>
                <w:sz w:val="18"/>
                <w:szCs w:val="18"/>
              </w:rPr>
              <w:t>8</w:t>
            </w:r>
            <w:r w:rsidR="00EA69AA" w:rsidRPr="006667E1">
              <w:rPr>
                <w:noProof/>
                <w:webHidden/>
                <w:sz w:val="18"/>
                <w:szCs w:val="18"/>
              </w:rPr>
              <w:fldChar w:fldCharType="end"/>
            </w:r>
          </w:hyperlink>
        </w:p>
        <w:p w14:paraId="66D51426" w14:textId="77777777" w:rsidR="00243172" w:rsidRPr="006667E1" w:rsidRDefault="00EA69AA" w:rsidP="00F03884">
          <w:pPr>
            <w:pStyle w:val="Ttulo1"/>
            <w:shd w:val="clear" w:color="auto" w:fill="FFFFFF" w:themeFill="background1"/>
            <w:tabs>
              <w:tab w:val="right" w:leader="dot" w:pos="8505"/>
            </w:tabs>
            <w:spacing w:before="0" w:beforeAutospacing="0" w:after="0" w:afterAutospacing="0" w:line="240" w:lineRule="auto"/>
            <w:rPr>
              <w:bCs w:val="0"/>
              <w:sz w:val="18"/>
              <w:szCs w:val="18"/>
              <w:lang w:val="es-ES"/>
            </w:rPr>
          </w:pPr>
          <w:r w:rsidRPr="006667E1">
            <w:rPr>
              <w:rFonts w:eastAsia="Times New Roman" w:cs="Arial"/>
              <w:b w:val="0"/>
              <w:bCs w:val="0"/>
              <w:kern w:val="0"/>
              <w:sz w:val="18"/>
              <w:szCs w:val="18"/>
              <w:lang w:val="es-MX" w:eastAsia="es-ES"/>
            </w:rPr>
            <w:fldChar w:fldCharType="end"/>
          </w:r>
        </w:p>
      </w:sdtContent>
    </w:sdt>
    <w:bookmarkStart w:id="1" w:name="_Toc19640897" w:displacedByCustomXml="prev"/>
    <w:p w14:paraId="1772EE84" w14:textId="77777777" w:rsidR="00243172" w:rsidRPr="006667E1" w:rsidRDefault="00243172" w:rsidP="00F03884">
      <w:pPr>
        <w:pStyle w:val="Ttulo1"/>
        <w:spacing w:before="0" w:beforeAutospacing="0" w:after="0" w:afterAutospacing="0"/>
        <w:jc w:val="center"/>
        <w:rPr>
          <w:rFonts w:eastAsia="Times New Roman" w:cs="Arial"/>
          <w:caps w:val="0"/>
          <w:sz w:val="18"/>
          <w:szCs w:val="18"/>
          <w:lang w:eastAsia="es-ES"/>
        </w:rPr>
      </w:pPr>
    </w:p>
    <w:p w14:paraId="2F350955" w14:textId="77777777" w:rsidR="00243172" w:rsidRPr="006667E1" w:rsidRDefault="00243172" w:rsidP="00F03884">
      <w:pPr>
        <w:pStyle w:val="Ttulo1"/>
        <w:spacing w:before="0" w:beforeAutospacing="0" w:after="0" w:afterAutospacing="0"/>
        <w:jc w:val="center"/>
        <w:rPr>
          <w:rFonts w:eastAsiaTheme="minorHAnsi" w:cs="Arial"/>
          <w:bCs w:val="0"/>
          <w:caps w:val="0"/>
          <w:kern w:val="0"/>
          <w:sz w:val="18"/>
          <w:szCs w:val="18"/>
        </w:rPr>
      </w:pPr>
      <w:bookmarkStart w:id="2" w:name="_Toc67595957"/>
      <w:bookmarkStart w:id="3" w:name="_Toc67597701"/>
      <w:bookmarkStart w:id="4" w:name="_Toc67602875"/>
      <w:bookmarkStart w:id="5" w:name="_Toc67603699"/>
      <w:bookmarkStart w:id="6" w:name="_Toc67606994"/>
      <w:r w:rsidRPr="006667E1">
        <w:rPr>
          <w:rFonts w:eastAsiaTheme="minorHAnsi" w:cs="Arial"/>
          <w:bCs w:val="0"/>
          <w:caps w:val="0"/>
          <w:kern w:val="0"/>
          <w:sz w:val="18"/>
          <w:szCs w:val="18"/>
        </w:rPr>
        <w:t>Glosario</w:t>
      </w:r>
      <w:bookmarkEnd w:id="1"/>
      <w:bookmarkEnd w:id="2"/>
      <w:bookmarkEnd w:id="3"/>
      <w:bookmarkEnd w:id="4"/>
      <w:bookmarkEnd w:id="5"/>
      <w:bookmarkEnd w:id="6"/>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6480"/>
      </w:tblGrid>
      <w:tr w:rsidR="00243172" w:rsidRPr="006667E1" w14:paraId="6095D36E" w14:textId="77777777" w:rsidTr="00AC0C20">
        <w:trPr>
          <w:trHeight w:val="253"/>
        </w:trPr>
        <w:tc>
          <w:tcPr>
            <w:tcW w:w="2167" w:type="dxa"/>
          </w:tcPr>
          <w:p w14:paraId="20B3D161" w14:textId="77777777" w:rsidR="00243172" w:rsidRPr="006667E1" w:rsidRDefault="000236DA" w:rsidP="00F03884">
            <w:pPr>
              <w:spacing w:after="0" w:line="240" w:lineRule="auto"/>
              <w:ind w:right="-23"/>
              <w:rPr>
                <w:b/>
                <w:sz w:val="18"/>
                <w:szCs w:val="18"/>
              </w:rPr>
            </w:pPr>
            <w:r w:rsidRPr="006667E1">
              <w:rPr>
                <w:b/>
                <w:sz w:val="18"/>
                <w:szCs w:val="18"/>
              </w:rPr>
              <w:t>I</w:t>
            </w:r>
            <w:r w:rsidR="00A54E3B" w:rsidRPr="006667E1">
              <w:rPr>
                <w:b/>
                <w:sz w:val="18"/>
                <w:szCs w:val="18"/>
              </w:rPr>
              <w:t>mpugnante</w:t>
            </w:r>
            <w:r w:rsidR="00DF4DA6" w:rsidRPr="006667E1">
              <w:rPr>
                <w:b/>
                <w:sz w:val="18"/>
                <w:szCs w:val="18"/>
              </w:rPr>
              <w:t>s</w:t>
            </w:r>
            <w:r w:rsidR="00870563" w:rsidRPr="006667E1">
              <w:rPr>
                <w:b/>
                <w:sz w:val="18"/>
                <w:szCs w:val="18"/>
              </w:rPr>
              <w:t>:</w:t>
            </w:r>
          </w:p>
        </w:tc>
        <w:tc>
          <w:tcPr>
            <w:tcW w:w="6480" w:type="dxa"/>
          </w:tcPr>
          <w:p w14:paraId="2D74455D" w14:textId="77777777" w:rsidR="00243172" w:rsidRPr="006667E1" w:rsidRDefault="00364F68" w:rsidP="00F03884">
            <w:pPr>
              <w:pStyle w:val="Default"/>
              <w:jc w:val="both"/>
              <w:rPr>
                <w:sz w:val="18"/>
                <w:szCs w:val="18"/>
              </w:rPr>
            </w:pPr>
            <w:r w:rsidRPr="006667E1">
              <w:rPr>
                <w:sz w:val="18"/>
                <w:szCs w:val="18"/>
              </w:rPr>
              <w:t>Erika Lizbeth Cobián Velázquez y Elsa Rosario Ibarra García.</w:t>
            </w:r>
          </w:p>
        </w:tc>
      </w:tr>
      <w:tr w:rsidR="00AC0C20" w:rsidRPr="006667E1" w14:paraId="41296D56" w14:textId="77777777" w:rsidTr="00AC0C20">
        <w:trPr>
          <w:trHeight w:val="253"/>
        </w:trPr>
        <w:tc>
          <w:tcPr>
            <w:tcW w:w="2167" w:type="dxa"/>
          </w:tcPr>
          <w:p w14:paraId="6EDD0A36" w14:textId="77777777" w:rsidR="00AC0C20" w:rsidRPr="006667E1" w:rsidRDefault="00AC0C20" w:rsidP="00F03884">
            <w:pPr>
              <w:spacing w:after="0" w:line="240" w:lineRule="auto"/>
              <w:ind w:right="-23"/>
              <w:rPr>
                <w:b/>
                <w:sz w:val="18"/>
                <w:szCs w:val="18"/>
              </w:rPr>
            </w:pPr>
            <w:r w:rsidRPr="006667E1">
              <w:rPr>
                <w:b/>
                <w:sz w:val="18"/>
                <w:szCs w:val="18"/>
              </w:rPr>
              <w:t>Instituto Local:</w:t>
            </w:r>
          </w:p>
        </w:tc>
        <w:tc>
          <w:tcPr>
            <w:tcW w:w="6480" w:type="dxa"/>
          </w:tcPr>
          <w:p w14:paraId="30DD9EFF" w14:textId="77777777" w:rsidR="00AC0C20" w:rsidRPr="006667E1" w:rsidRDefault="00AC0C20" w:rsidP="00F03884">
            <w:pPr>
              <w:pStyle w:val="Default"/>
              <w:jc w:val="both"/>
              <w:rPr>
                <w:sz w:val="18"/>
                <w:szCs w:val="18"/>
              </w:rPr>
            </w:pPr>
            <w:r w:rsidRPr="006667E1">
              <w:rPr>
                <w:sz w:val="18"/>
                <w:szCs w:val="18"/>
              </w:rPr>
              <w:t>Instituto Electoral del Estado de Guanajuato.</w:t>
            </w:r>
          </w:p>
        </w:tc>
      </w:tr>
      <w:tr w:rsidR="002B58EE" w:rsidRPr="006667E1" w14:paraId="4CBBA352" w14:textId="77777777" w:rsidTr="00AC0C20">
        <w:trPr>
          <w:trHeight w:val="253"/>
        </w:trPr>
        <w:tc>
          <w:tcPr>
            <w:tcW w:w="2167" w:type="dxa"/>
          </w:tcPr>
          <w:p w14:paraId="6D5447C4" w14:textId="77777777" w:rsidR="002B58EE" w:rsidRPr="006667E1" w:rsidRDefault="002B58EE" w:rsidP="00F03884">
            <w:pPr>
              <w:spacing w:after="0" w:line="240" w:lineRule="auto"/>
              <w:ind w:right="-23"/>
              <w:rPr>
                <w:b/>
                <w:bCs/>
                <w:sz w:val="18"/>
                <w:szCs w:val="18"/>
              </w:rPr>
            </w:pPr>
            <w:r w:rsidRPr="006667E1">
              <w:rPr>
                <w:b/>
                <w:bCs/>
                <w:sz w:val="18"/>
                <w:szCs w:val="18"/>
              </w:rPr>
              <w:t xml:space="preserve">Ley </w:t>
            </w:r>
            <w:r w:rsidR="00364F68" w:rsidRPr="006667E1">
              <w:rPr>
                <w:b/>
                <w:bCs/>
                <w:sz w:val="18"/>
                <w:szCs w:val="18"/>
              </w:rPr>
              <w:t>de Instituciones Local</w:t>
            </w:r>
            <w:r w:rsidR="00C22091" w:rsidRPr="006667E1">
              <w:rPr>
                <w:b/>
                <w:bCs/>
                <w:sz w:val="18"/>
                <w:szCs w:val="18"/>
              </w:rPr>
              <w:t>:</w:t>
            </w:r>
          </w:p>
        </w:tc>
        <w:tc>
          <w:tcPr>
            <w:tcW w:w="6480" w:type="dxa"/>
          </w:tcPr>
          <w:p w14:paraId="55522E00" w14:textId="77777777" w:rsidR="002B58EE" w:rsidRPr="006667E1" w:rsidRDefault="00364F68" w:rsidP="00F03884">
            <w:pPr>
              <w:pStyle w:val="Default"/>
              <w:jc w:val="both"/>
              <w:rPr>
                <w:sz w:val="18"/>
                <w:szCs w:val="18"/>
              </w:rPr>
            </w:pPr>
            <w:r w:rsidRPr="006667E1">
              <w:rPr>
                <w:sz w:val="18"/>
                <w:szCs w:val="18"/>
              </w:rPr>
              <w:t>Ley de Instituciones y Procedimientos Electorales para el Estado de Guanajuato</w:t>
            </w:r>
            <w:r w:rsidR="00ED4652" w:rsidRPr="006667E1">
              <w:rPr>
                <w:sz w:val="18"/>
                <w:szCs w:val="18"/>
              </w:rPr>
              <w:t>.</w:t>
            </w:r>
          </w:p>
        </w:tc>
      </w:tr>
      <w:tr w:rsidR="00870563" w:rsidRPr="006667E1" w14:paraId="59ED7784" w14:textId="77777777" w:rsidTr="00AC0C20">
        <w:trPr>
          <w:trHeight w:val="253"/>
        </w:trPr>
        <w:tc>
          <w:tcPr>
            <w:tcW w:w="2167" w:type="dxa"/>
          </w:tcPr>
          <w:p w14:paraId="55755B27" w14:textId="77777777" w:rsidR="00870563" w:rsidRPr="006667E1" w:rsidRDefault="00730583" w:rsidP="00F03884">
            <w:pPr>
              <w:spacing w:after="0" w:line="240" w:lineRule="auto"/>
              <w:ind w:right="-23"/>
              <w:rPr>
                <w:b/>
                <w:sz w:val="18"/>
                <w:szCs w:val="18"/>
              </w:rPr>
            </w:pPr>
            <w:r w:rsidRPr="006667E1">
              <w:rPr>
                <w:b/>
                <w:sz w:val="18"/>
                <w:szCs w:val="18"/>
              </w:rPr>
              <w:t>Reglamento Interno del Tribunal Local:</w:t>
            </w:r>
          </w:p>
        </w:tc>
        <w:tc>
          <w:tcPr>
            <w:tcW w:w="6480" w:type="dxa"/>
          </w:tcPr>
          <w:p w14:paraId="1236C342" w14:textId="77777777" w:rsidR="00870563" w:rsidRPr="006667E1" w:rsidRDefault="00730583" w:rsidP="00F03884">
            <w:pPr>
              <w:pStyle w:val="Default"/>
              <w:jc w:val="both"/>
              <w:rPr>
                <w:sz w:val="18"/>
                <w:szCs w:val="18"/>
              </w:rPr>
            </w:pPr>
            <w:r w:rsidRPr="006667E1">
              <w:rPr>
                <w:sz w:val="18"/>
                <w:szCs w:val="18"/>
              </w:rPr>
              <w:t xml:space="preserve">Reglamento Interior Del Tribunal Estatal Electoral </w:t>
            </w:r>
            <w:r w:rsidR="000236DA" w:rsidRPr="006667E1">
              <w:rPr>
                <w:sz w:val="18"/>
                <w:szCs w:val="18"/>
              </w:rPr>
              <w:t>d</w:t>
            </w:r>
            <w:r w:rsidRPr="006667E1">
              <w:rPr>
                <w:sz w:val="18"/>
                <w:szCs w:val="18"/>
              </w:rPr>
              <w:t>e Guanajuato.</w:t>
            </w:r>
          </w:p>
        </w:tc>
      </w:tr>
      <w:tr w:rsidR="007534CE" w:rsidRPr="006667E1" w14:paraId="1EC8EC67" w14:textId="77777777" w:rsidTr="00AC0C20">
        <w:trPr>
          <w:trHeight w:val="253"/>
        </w:trPr>
        <w:tc>
          <w:tcPr>
            <w:tcW w:w="2167" w:type="dxa"/>
          </w:tcPr>
          <w:p w14:paraId="060EFA2B" w14:textId="77777777" w:rsidR="007534CE" w:rsidRPr="006667E1" w:rsidRDefault="007534CE" w:rsidP="00F03884">
            <w:pPr>
              <w:spacing w:after="0" w:line="240" w:lineRule="auto"/>
              <w:ind w:right="-23"/>
              <w:rPr>
                <w:b/>
                <w:sz w:val="18"/>
                <w:szCs w:val="18"/>
              </w:rPr>
            </w:pPr>
            <w:r w:rsidRPr="006667E1">
              <w:rPr>
                <w:b/>
                <w:sz w:val="18"/>
                <w:szCs w:val="18"/>
              </w:rPr>
              <w:t xml:space="preserve">Tribunal Local/ Tribunal de </w:t>
            </w:r>
            <w:r w:rsidR="00364F68" w:rsidRPr="006667E1">
              <w:rPr>
                <w:b/>
                <w:sz w:val="18"/>
                <w:szCs w:val="18"/>
              </w:rPr>
              <w:t>Guanajuato</w:t>
            </w:r>
            <w:r w:rsidR="00670E38" w:rsidRPr="006667E1">
              <w:rPr>
                <w:b/>
                <w:sz w:val="18"/>
                <w:szCs w:val="18"/>
              </w:rPr>
              <w:t>:</w:t>
            </w:r>
          </w:p>
        </w:tc>
        <w:tc>
          <w:tcPr>
            <w:tcW w:w="6480" w:type="dxa"/>
          </w:tcPr>
          <w:p w14:paraId="079FF6BA" w14:textId="77777777" w:rsidR="007534CE" w:rsidRPr="006667E1" w:rsidRDefault="007534CE" w:rsidP="00F03884">
            <w:pPr>
              <w:pStyle w:val="Default"/>
              <w:jc w:val="both"/>
              <w:rPr>
                <w:sz w:val="18"/>
                <w:szCs w:val="18"/>
              </w:rPr>
            </w:pPr>
            <w:r w:rsidRPr="006667E1">
              <w:rPr>
                <w:bCs/>
                <w:sz w:val="18"/>
                <w:szCs w:val="18"/>
              </w:rPr>
              <w:t>Tribunal E</w:t>
            </w:r>
            <w:r w:rsidR="00364F68" w:rsidRPr="006667E1">
              <w:rPr>
                <w:bCs/>
                <w:sz w:val="18"/>
                <w:szCs w:val="18"/>
              </w:rPr>
              <w:t>statal Electoral de Guanajuato.</w:t>
            </w:r>
          </w:p>
        </w:tc>
      </w:tr>
    </w:tbl>
    <w:p w14:paraId="1D21F30D" w14:textId="77777777" w:rsidR="00BD5C64" w:rsidRPr="006667E1" w:rsidRDefault="00BD5C64" w:rsidP="00F03884">
      <w:pPr>
        <w:spacing w:after="0" w:line="240" w:lineRule="auto"/>
      </w:pPr>
    </w:p>
    <w:p w14:paraId="3A760613" w14:textId="77777777" w:rsidR="00243172" w:rsidRPr="006667E1" w:rsidRDefault="00243172" w:rsidP="00F03884">
      <w:pPr>
        <w:pStyle w:val="Ttulo1"/>
        <w:spacing w:before="0" w:beforeAutospacing="0" w:after="0" w:afterAutospacing="0"/>
        <w:jc w:val="center"/>
        <w:rPr>
          <w:rFonts w:eastAsia="BatangChe" w:cs="Arial"/>
          <w:szCs w:val="24"/>
        </w:rPr>
      </w:pPr>
      <w:bookmarkStart w:id="7" w:name="_Toc45621481"/>
      <w:bookmarkStart w:id="8" w:name="_Toc67595958"/>
      <w:bookmarkStart w:id="9" w:name="_Toc67597702"/>
      <w:bookmarkStart w:id="10" w:name="_Toc67602876"/>
      <w:bookmarkStart w:id="11" w:name="_Toc67603700"/>
      <w:bookmarkStart w:id="12" w:name="_Toc67606995"/>
      <w:r w:rsidRPr="006667E1">
        <w:rPr>
          <w:rFonts w:eastAsia="Times New Roman" w:cs="Arial"/>
          <w:caps w:val="0"/>
          <w:szCs w:val="24"/>
        </w:rPr>
        <w:t>Competenci</w:t>
      </w:r>
      <w:bookmarkEnd w:id="7"/>
      <w:r w:rsidRPr="006667E1">
        <w:rPr>
          <w:rFonts w:eastAsia="Times New Roman" w:cs="Arial"/>
          <w:caps w:val="0"/>
          <w:szCs w:val="24"/>
        </w:rPr>
        <w:t>a</w:t>
      </w:r>
      <w:r w:rsidR="00475DC8" w:rsidRPr="006667E1">
        <w:rPr>
          <w:rFonts w:eastAsia="Times New Roman" w:cs="Arial"/>
          <w:caps w:val="0"/>
          <w:szCs w:val="24"/>
        </w:rPr>
        <w:t xml:space="preserve"> </w:t>
      </w:r>
      <w:r w:rsidRPr="006667E1">
        <w:rPr>
          <w:rFonts w:eastAsia="Times New Roman" w:cs="Arial"/>
          <w:caps w:val="0"/>
          <w:szCs w:val="24"/>
        </w:rPr>
        <w:t>y procedencia</w:t>
      </w:r>
      <w:bookmarkEnd w:id="8"/>
      <w:bookmarkEnd w:id="9"/>
      <w:bookmarkEnd w:id="10"/>
      <w:bookmarkEnd w:id="11"/>
      <w:bookmarkEnd w:id="12"/>
    </w:p>
    <w:p w14:paraId="5CD3E443" w14:textId="77777777" w:rsidR="00243172" w:rsidRPr="006667E1" w:rsidRDefault="00243172" w:rsidP="00F03884">
      <w:pPr>
        <w:spacing w:after="0" w:line="240" w:lineRule="auto"/>
        <w:jc w:val="center"/>
        <w:rPr>
          <w:rFonts w:eastAsia="BatangChe"/>
          <w:b/>
        </w:rPr>
      </w:pPr>
    </w:p>
    <w:p w14:paraId="47E8C49E" w14:textId="77777777" w:rsidR="00243172" w:rsidRPr="006667E1" w:rsidRDefault="00243172" w:rsidP="00F03884">
      <w:pPr>
        <w:spacing w:after="0" w:line="360" w:lineRule="auto"/>
        <w:jc w:val="both"/>
      </w:pPr>
      <w:r w:rsidRPr="006667E1">
        <w:rPr>
          <w:b/>
        </w:rPr>
        <w:t>1. Competencia.</w:t>
      </w:r>
      <w:r w:rsidRPr="006667E1">
        <w:t xml:space="preserve"> Esta Sala </w:t>
      </w:r>
      <w:r w:rsidR="001328B3" w:rsidRPr="006667E1">
        <w:t>Monterrey</w:t>
      </w:r>
      <w:r w:rsidRPr="006667E1">
        <w:t xml:space="preserve"> es competente para </w:t>
      </w:r>
      <w:r w:rsidR="00612A14" w:rsidRPr="006667E1">
        <w:t>conocer</w:t>
      </w:r>
      <w:r w:rsidRPr="006667E1">
        <w:t xml:space="preserve"> </w:t>
      </w:r>
      <w:r w:rsidR="00187A13" w:rsidRPr="006667E1">
        <w:t xml:space="preserve">el </w:t>
      </w:r>
      <w:r w:rsidRPr="006667E1">
        <w:t xml:space="preserve">presente juicio </w:t>
      </w:r>
      <w:r w:rsidR="002C4184" w:rsidRPr="006667E1">
        <w:t xml:space="preserve">ciudadano </w:t>
      </w:r>
      <w:r w:rsidRPr="006667E1">
        <w:t>promovido</w:t>
      </w:r>
      <w:r w:rsidR="002C4184" w:rsidRPr="006667E1">
        <w:t xml:space="preserve"> </w:t>
      </w:r>
      <w:r w:rsidRPr="006667E1">
        <w:t>contra</w:t>
      </w:r>
      <w:r w:rsidR="002C4184" w:rsidRPr="006667E1">
        <w:t xml:space="preserve"> </w:t>
      </w:r>
      <w:r w:rsidR="00AB46D4" w:rsidRPr="006667E1">
        <w:t>una</w:t>
      </w:r>
      <w:r w:rsidR="002C4184" w:rsidRPr="006667E1">
        <w:t xml:space="preserve"> resolución </w:t>
      </w:r>
      <w:r w:rsidR="00FF40AC" w:rsidRPr="006667E1">
        <w:t xml:space="preserve">emitida por el Tribunal de </w:t>
      </w:r>
      <w:r w:rsidR="00FF40AC" w:rsidRPr="006667E1">
        <w:lastRenderedPageBreak/>
        <w:t xml:space="preserve">Guanajuato en la </w:t>
      </w:r>
      <w:r w:rsidR="002C4184" w:rsidRPr="006667E1">
        <w:t xml:space="preserve">que </w:t>
      </w:r>
      <w:r w:rsidR="002E439E" w:rsidRPr="006667E1">
        <w:rPr>
          <w:b/>
        </w:rPr>
        <w:t>desechó</w:t>
      </w:r>
      <w:r w:rsidR="002E439E" w:rsidRPr="006667E1">
        <w:t xml:space="preserve"> </w:t>
      </w:r>
      <w:r w:rsidR="00AB46D4" w:rsidRPr="006667E1">
        <w:t>la</w:t>
      </w:r>
      <w:r w:rsidR="002E439E" w:rsidRPr="006667E1">
        <w:t xml:space="preserve"> </w:t>
      </w:r>
      <w:r w:rsidR="00832159" w:rsidRPr="006667E1">
        <w:t xml:space="preserve">demanda </w:t>
      </w:r>
      <w:r w:rsidR="00AB46D4" w:rsidRPr="006667E1">
        <w:t xml:space="preserve">de juicio </w:t>
      </w:r>
      <w:r w:rsidR="00187A13" w:rsidRPr="006667E1">
        <w:t>local</w:t>
      </w:r>
      <w:r w:rsidR="00AB46D4" w:rsidRPr="006667E1">
        <w:t xml:space="preserve"> por </w:t>
      </w:r>
      <w:r w:rsidR="00187A13" w:rsidRPr="006667E1">
        <w:t>carecer de firma autógrafa</w:t>
      </w:r>
      <w:r w:rsidR="00AB46D4" w:rsidRPr="006667E1">
        <w:t>,</w:t>
      </w:r>
      <w:r w:rsidRPr="006667E1">
        <w:t xml:space="preserve"> entidad federativa ubicada en la Segunda Circunscripción Electoral Plurinominal en la que esta Sala ejerce jurisdicción</w:t>
      </w:r>
      <w:r w:rsidRPr="006667E1">
        <w:rPr>
          <w:rStyle w:val="Refdenotaalpie"/>
        </w:rPr>
        <w:footnoteReference w:id="2"/>
      </w:r>
      <w:r w:rsidRPr="006667E1">
        <w:t>.</w:t>
      </w:r>
    </w:p>
    <w:p w14:paraId="47CBB8EA" w14:textId="77777777" w:rsidR="008634B1" w:rsidRPr="006667E1" w:rsidRDefault="008634B1" w:rsidP="00F03884">
      <w:pPr>
        <w:spacing w:after="0" w:line="360" w:lineRule="auto"/>
        <w:jc w:val="both"/>
      </w:pPr>
    </w:p>
    <w:p w14:paraId="6D81C8D7" w14:textId="77777777" w:rsidR="00243172" w:rsidRPr="006667E1" w:rsidRDefault="008634B1" w:rsidP="00F03884">
      <w:pPr>
        <w:shd w:val="clear" w:color="auto" w:fill="FFFFFF" w:themeFill="background1"/>
        <w:spacing w:after="0" w:line="360" w:lineRule="auto"/>
        <w:contextualSpacing/>
        <w:jc w:val="both"/>
        <w:rPr>
          <w:b/>
          <w:bCs/>
        </w:rPr>
      </w:pPr>
      <w:r w:rsidRPr="006667E1">
        <w:rPr>
          <w:b/>
          <w:bCs/>
        </w:rPr>
        <w:t>2.</w:t>
      </w:r>
      <w:r w:rsidR="00187A13" w:rsidRPr="006667E1">
        <w:rPr>
          <w:b/>
          <w:bCs/>
        </w:rPr>
        <w:t xml:space="preserve"> </w:t>
      </w:r>
      <w:r w:rsidR="003D6849" w:rsidRPr="006667E1">
        <w:rPr>
          <w:b/>
          <w:bCs/>
        </w:rPr>
        <w:t>Requisitos de procedencia</w:t>
      </w:r>
      <w:r w:rsidR="00243172" w:rsidRPr="006667E1">
        <w:rPr>
          <w:b/>
          <w:bCs/>
        </w:rPr>
        <w:t xml:space="preserve">. </w:t>
      </w:r>
      <w:r w:rsidR="00243172" w:rsidRPr="006667E1">
        <w:t>Esta Sala Monterrey los tiene satisfechos en los términos del acuerdo de admisión</w:t>
      </w:r>
      <w:r w:rsidR="00243172" w:rsidRPr="006667E1">
        <w:rPr>
          <w:rStyle w:val="Refdenotaalpie"/>
          <w:bCs/>
        </w:rPr>
        <w:footnoteReference w:id="3"/>
      </w:r>
      <w:r w:rsidR="00243172" w:rsidRPr="006667E1">
        <w:rPr>
          <w:bCs/>
        </w:rPr>
        <w:t>.</w:t>
      </w:r>
    </w:p>
    <w:p w14:paraId="2702C629" w14:textId="77777777" w:rsidR="00F47CAB" w:rsidRPr="006667E1" w:rsidRDefault="00F47CAB" w:rsidP="00F03884">
      <w:pPr>
        <w:shd w:val="clear" w:color="auto" w:fill="FFFFFF" w:themeFill="background1"/>
        <w:spacing w:after="0" w:line="240" w:lineRule="auto"/>
        <w:contextualSpacing/>
        <w:jc w:val="both"/>
        <w:rPr>
          <w:bCs/>
        </w:rPr>
      </w:pPr>
    </w:p>
    <w:p w14:paraId="3078D5A8" w14:textId="77777777" w:rsidR="00A60F43" w:rsidRPr="006667E1" w:rsidRDefault="00F47CAB" w:rsidP="00F03884">
      <w:pPr>
        <w:pStyle w:val="Ttulo1"/>
        <w:spacing w:before="0" w:beforeAutospacing="0" w:after="0" w:afterAutospacing="0"/>
        <w:jc w:val="center"/>
        <w:rPr>
          <w:rFonts w:eastAsia="Times New Roman" w:cs="Arial"/>
          <w:caps w:val="0"/>
          <w:szCs w:val="24"/>
        </w:rPr>
      </w:pPr>
      <w:bookmarkStart w:id="13" w:name="_Toc67595959"/>
      <w:bookmarkStart w:id="14" w:name="_Toc67597703"/>
      <w:bookmarkStart w:id="15" w:name="_Toc67602877"/>
      <w:bookmarkStart w:id="16" w:name="_Toc67603701"/>
      <w:bookmarkStart w:id="17" w:name="_Toc67606996"/>
      <w:r w:rsidRPr="006667E1">
        <w:rPr>
          <w:rFonts w:eastAsia="Times New Roman" w:cs="Arial"/>
          <w:caps w:val="0"/>
          <w:szCs w:val="24"/>
        </w:rPr>
        <w:t>Antecedentes</w:t>
      </w:r>
      <w:r w:rsidR="001328B3" w:rsidRPr="006667E1">
        <w:rPr>
          <w:rStyle w:val="Refdenotaalpie"/>
          <w:caps w:val="0"/>
          <w:szCs w:val="24"/>
        </w:rPr>
        <w:footnoteReference w:id="4"/>
      </w:r>
      <w:bookmarkEnd w:id="13"/>
      <w:bookmarkEnd w:id="14"/>
      <w:bookmarkEnd w:id="15"/>
      <w:bookmarkEnd w:id="16"/>
      <w:bookmarkEnd w:id="17"/>
    </w:p>
    <w:p w14:paraId="26A961CE" w14:textId="77777777" w:rsidR="00A60F43" w:rsidRPr="006667E1" w:rsidRDefault="00A60F43" w:rsidP="00F03884">
      <w:pPr>
        <w:spacing w:after="0"/>
      </w:pPr>
    </w:p>
    <w:p w14:paraId="4B19D229" w14:textId="77777777" w:rsidR="00567242" w:rsidRPr="006667E1" w:rsidRDefault="00567242" w:rsidP="00F03884">
      <w:pPr>
        <w:spacing w:after="0" w:line="240" w:lineRule="auto"/>
        <w:jc w:val="both"/>
        <w:rPr>
          <w:b/>
          <w:bCs/>
        </w:rPr>
      </w:pPr>
      <w:r w:rsidRPr="006667E1">
        <w:rPr>
          <w:b/>
          <w:bCs/>
        </w:rPr>
        <w:t>I. Proceso para la obtención de candidatura independiente</w:t>
      </w:r>
    </w:p>
    <w:p w14:paraId="38A03CD2" w14:textId="77777777" w:rsidR="00F47CAB" w:rsidRPr="006667E1" w:rsidRDefault="00F47CAB" w:rsidP="00F03884">
      <w:pPr>
        <w:spacing w:after="0" w:line="240" w:lineRule="auto"/>
        <w:jc w:val="both"/>
        <w:rPr>
          <w:b/>
          <w:bCs/>
        </w:rPr>
      </w:pPr>
    </w:p>
    <w:p w14:paraId="764A1A87" w14:textId="77777777" w:rsidR="002268D5" w:rsidRPr="006667E1" w:rsidRDefault="00912068" w:rsidP="00F03884">
      <w:pPr>
        <w:spacing w:after="0" w:line="360" w:lineRule="auto"/>
        <w:jc w:val="both"/>
      </w:pPr>
      <w:r w:rsidRPr="006667E1">
        <w:rPr>
          <w:b/>
        </w:rPr>
        <w:t>1.</w:t>
      </w:r>
      <w:r w:rsidRPr="006667E1">
        <w:t xml:space="preserve"> </w:t>
      </w:r>
      <w:r w:rsidR="00831A07" w:rsidRPr="006667E1">
        <w:t>El</w:t>
      </w:r>
      <w:r w:rsidR="00C80F95" w:rsidRPr="006667E1">
        <w:t xml:space="preserve"> </w:t>
      </w:r>
      <w:r w:rsidR="0049702E" w:rsidRPr="006667E1">
        <w:t>13 de diciembre de 2020</w:t>
      </w:r>
      <w:r w:rsidR="00831A07" w:rsidRPr="006667E1">
        <w:t xml:space="preserve">, </w:t>
      </w:r>
      <w:r w:rsidR="00730583" w:rsidRPr="006667E1">
        <w:t xml:space="preserve">Erika Lizbeth Cobián Velázquez </w:t>
      </w:r>
      <w:r w:rsidR="0049702E" w:rsidRPr="006667E1">
        <w:rPr>
          <w:b/>
        </w:rPr>
        <w:t>presentó</w:t>
      </w:r>
      <w:r w:rsidR="0049702E" w:rsidRPr="006667E1">
        <w:t xml:space="preserve"> </w:t>
      </w:r>
      <w:r w:rsidRPr="006667E1">
        <w:t xml:space="preserve">su </w:t>
      </w:r>
      <w:r w:rsidRPr="006667E1">
        <w:rPr>
          <w:b/>
        </w:rPr>
        <w:t xml:space="preserve">intención </w:t>
      </w:r>
      <w:r w:rsidRPr="006667E1">
        <w:t xml:space="preserve">de participar </w:t>
      </w:r>
      <w:r w:rsidR="005708CB" w:rsidRPr="006667E1">
        <w:t>como diputada local independiente al distrito XXI en Guanajuato en</w:t>
      </w:r>
      <w:r w:rsidRPr="006667E1">
        <w:t xml:space="preserve"> el proceso electoral 2021</w:t>
      </w:r>
      <w:r w:rsidR="008462E1" w:rsidRPr="006667E1">
        <w:t xml:space="preserve">, y </w:t>
      </w:r>
      <w:r w:rsidR="008462E1" w:rsidRPr="006667E1">
        <w:rPr>
          <w:bCs/>
        </w:rPr>
        <w:t>e</w:t>
      </w:r>
      <w:r w:rsidRPr="006667E1">
        <w:t xml:space="preserve">l 19 de diciembre, </w:t>
      </w:r>
      <w:r w:rsidR="00E92C24" w:rsidRPr="006667E1">
        <w:t xml:space="preserve">el Instituto Local </w:t>
      </w:r>
      <w:r w:rsidR="008462E1" w:rsidRPr="006667E1">
        <w:t>le</w:t>
      </w:r>
      <w:r w:rsidRPr="006667E1">
        <w:rPr>
          <w:b/>
        </w:rPr>
        <w:t xml:space="preserve"> expidi</w:t>
      </w:r>
      <w:r w:rsidR="00E92C24" w:rsidRPr="006667E1">
        <w:rPr>
          <w:b/>
        </w:rPr>
        <w:t>ó</w:t>
      </w:r>
      <w:r w:rsidRPr="006667E1">
        <w:rPr>
          <w:b/>
        </w:rPr>
        <w:t xml:space="preserve"> </w:t>
      </w:r>
      <w:r w:rsidR="00E92C24" w:rsidRPr="006667E1">
        <w:t>la</w:t>
      </w:r>
      <w:r w:rsidRPr="006667E1">
        <w:t xml:space="preserve"> </w:t>
      </w:r>
      <w:r w:rsidRPr="006667E1">
        <w:rPr>
          <w:b/>
        </w:rPr>
        <w:t>constancia como aspirante</w:t>
      </w:r>
      <w:r w:rsidRPr="006667E1">
        <w:t>.</w:t>
      </w:r>
    </w:p>
    <w:p w14:paraId="13E8AFDF" w14:textId="77777777" w:rsidR="00912068" w:rsidRPr="006667E1" w:rsidRDefault="00912068" w:rsidP="00F03884">
      <w:pPr>
        <w:spacing w:after="0" w:line="360" w:lineRule="auto"/>
        <w:jc w:val="both"/>
        <w:rPr>
          <w:b/>
        </w:rPr>
      </w:pPr>
    </w:p>
    <w:p w14:paraId="60AFB72E" w14:textId="77777777" w:rsidR="00567242" w:rsidRPr="006667E1" w:rsidRDefault="008462E1" w:rsidP="00F03884">
      <w:pPr>
        <w:spacing w:after="0" w:line="360" w:lineRule="auto"/>
        <w:jc w:val="both"/>
        <w:rPr>
          <w:b/>
        </w:rPr>
      </w:pPr>
      <w:r w:rsidRPr="006667E1">
        <w:rPr>
          <w:b/>
        </w:rPr>
        <w:t>2</w:t>
      </w:r>
      <w:r w:rsidR="00912068" w:rsidRPr="006667E1">
        <w:rPr>
          <w:b/>
        </w:rPr>
        <w:t xml:space="preserve">. </w:t>
      </w:r>
      <w:r w:rsidR="00567242" w:rsidRPr="006667E1">
        <w:t>E</w:t>
      </w:r>
      <w:r w:rsidR="00912068" w:rsidRPr="006667E1">
        <w:t>l 16 de febrero de 2021, la impugnante</w:t>
      </w:r>
      <w:r w:rsidR="00912068" w:rsidRPr="006667E1">
        <w:rPr>
          <w:b/>
        </w:rPr>
        <w:t xml:space="preserve"> solicitó </w:t>
      </w:r>
      <w:r w:rsidR="00912068" w:rsidRPr="006667E1">
        <w:t xml:space="preserve">la </w:t>
      </w:r>
      <w:r w:rsidR="00912068" w:rsidRPr="006667E1">
        <w:rPr>
          <w:b/>
          <w:bCs/>
        </w:rPr>
        <w:t xml:space="preserve">constancia </w:t>
      </w:r>
      <w:r w:rsidR="005A5674" w:rsidRPr="006667E1">
        <w:rPr>
          <w:b/>
          <w:bCs/>
        </w:rPr>
        <w:t xml:space="preserve">de </w:t>
      </w:r>
      <w:r w:rsidR="00567242" w:rsidRPr="006667E1">
        <w:rPr>
          <w:b/>
          <w:bCs/>
        </w:rPr>
        <w:t>obtención de apoyo ciudadano</w:t>
      </w:r>
      <w:r w:rsidR="00E34982" w:rsidRPr="006667E1">
        <w:rPr>
          <w:b/>
          <w:bCs/>
        </w:rPr>
        <w:t xml:space="preserve"> </w:t>
      </w:r>
      <w:r w:rsidR="00E34982" w:rsidRPr="006667E1">
        <w:rPr>
          <w:bCs/>
        </w:rPr>
        <w:t xml:space="preserve">y </w:t>
      </w:r>
      <w:r w:rsidR="00E34982" w:rsidRPr="006667E1">
        <w:t>pidió que</w:t>
      </w:r>
      <w:r w:rsidR="00E34982" w:rsidRPr="006667E1">
        <w:rPr>
          <w:b/>
        </w:rPr>
        <w:t xml:space="preserve"> </w:t>
      </w:r>
      <w:r w:rsidR="00567242" w:rsidRPr="006667E1">
        <w:t>analizara</w:t>
      </w:r>
      <w:r w:rsidR="005A5674" w:rsidRPr="006667E1">
        <w:t>n</w:t>
      </w:r>
      <w:r w:rsidR="00567242" w:rsidRPr="006667E1">
        <w:t xml:space="preserve"> su solicitud y resolviera</w:t>
      </w:r>
      <w:r w:rsidR="005A5674" w:rsidRPr="006667E1">
        <w:t>n</w:t>
      </w:r>
      <w:r w:rsidR="00567242" w:rsidRPr="006667E1">
        <w:t xml:space="preserve"> con perspectiva de género</w:t>
      </w:r>
      <w:r w:rsidR="00EF6561" w:rsidRPr="006667E1">
        <w:t xml:space="preserve">, sin embargo, </w:t>
      </w:r>
      <w:r w:rsidR="00EF6561" w:rsidRPr="006667E1">
        <w:rPr>
          <w:bCs/>
        </w:rPr>
        <w:t>el</w:t>
      </w:r>
      <w:r w:rsidR="00567242" w:rsidRPr="006667E1">
        <w:t xml:space="preserve"> 7 de marzo, </w:t>
      </w:r>
      <w:r w:rsidR="00EF6561" w:rsidRPr="006667E1">
        <w:rPr>
          <w:b/>
          <w:bCs/>
        </w:rPr>
        <w:t>se</w:t>
      </w:r>
      <w:r w:rsidR="00697F4B" w:rsidRPr="006667E1">
        <w:t xml:space="preserve"> </w:t>
      </w:r>
      <w:r w:rsidR="00567242" w:rsidRPr="006667E1">
        <w:rPr>
          <w:b/>
          <w:bCs/>
        </w:rPr>
        <w:t>determinó</w:t>
      </w:r>
      <w:r w:rsidR="00567242" w:rsidRPr="006667E1">
        <w:t xml:space="preserve"> que </w:t>
      </w:r>
      <w:r w:rsidR="00567242" w:rsidRPr="006667E1">
        <w:rPr>
          <w:b/>
        </w:rPr>
        <w:t xml:space="preserve">no </w:t>
      </w:r>
      <w:r w:rsidR="00EF6561" w:rsidRPr="006667E1">
        <w:rPr>
          <w:b/>
        </w:rPr>
        <w:t xml:space="preserve">había </w:t>
      </w:r>
      <w:r w:rsidR="00567242" w:rsidRPr="006667E1">
        <w:rPr>
          <w:b/>
        </w:rPr>
        <w:t>obt</w:t>
      </w:r>
      <w:r w:rsidR="00EF6561" w:rsidRPr="006667E1">
        <w:rPr>
          <w:b/>
        </w:rPr>
        <w:t xml:space="preserve">enido </w:t>
      </w:r>
      <w:r w:rsidR="00567242" w:rsidRPr="006667E1">
        <w:rPr>
          <w:b/>
        </w:rPr>
        <w:t xml:space="preserve">el apoyo ciudadano </w:t>
      </w:r>
      <w:r w:rsidR="00567242" w:rsidRPr="006667E1">
        <w:t xml:space="preserve">necesario para obtener la candidatura </w:t>
      </w:r>
      <w:r w:rsidR="005708CB" w:rsidRPr="006667E1">
        <w:t>como diputada local independiente al distrito XXI en Guanajuato</w:t>
      </w:r>
      <w:r w:rsidR="00567242" w:rsidRPr="006667E1">
        <w:t>.</w:t>
      </w:r>
    </w:p>
    <w:p w14:paraId="50135041" w14:textId="77777777" w:rsidR="00D300AE" w:rsidRPr="006667E1" w:rsidRDefault="00831A07" w:rsidP="00F03884">
      <w:pPr>
        <w:spacing w:after="0" w:line="360" w:lineRule="auto"/>
        <w:jc w:val="both"/>
        <w:rPr>
          <w:i/>
        </w:rPr>
      </w:pPr>
      <w:r w:rsidRPr="006667E1">
        <w:rPr>
          <w:i/>
        </w:rPr>
        <w:t xml:space="preserve"> </w:t>
      </w:r>
    </w:p>
    <w:p w14:paraId="0FFAA0B6" w14:textId="77777777" w:rsidR="00D300AE" w:rsidRPr="006667E1" w:rsidRDefault="00E9669C" w:rsidP="000236DA">
      <w:pPr>
        <w:spacing w:after="0" w:line="360" w:lineRule="auto"/>
        <w:jc w:val="both"/>
        <w:rPr>
          <w:b/>
        </w:rPr>
      </w:pPr>
      <w:r w:rsidRPr="006667E1">
        <w:rPr>
          <w:b/>
        </w:rPr>
        <w:t>I</w:t>
      </w:r>
      <w:r w:rsidR="00DD1F30" w:rsidRPr="006667E1">
        <w:rPr>
          <w:b/>
        </w:rPr>
        <w:t>I</w:t>
      </w:r>
      <w:r w:rsidRPr="006667E1">
        <w:rPr>
          <w:b/>
        </w:rPr>
        <w:t xml:space="preserve">. </w:t>
      </w:r>
      <w:r w:rsidR="00EF6561" w:rsidRPr="006667E1">
        <w:rPr>
          <w:b/>
        </w:rPr>
        <w:t>Instancia</w:t>
      </w:r>
      <w:r w:rsidR="00A20701" w:rsidRPr="006667E1">
        <w:rPr>
          <w:b/>
        </w:rPr>
        <w:t xml:space="preserve"> local</w:t>
      </w:r>
    </w:p>
    <w:p w14:paraId="1CF42A74" w14:textId="77777777" w:rsidR="000236DA" w:rsidRPr="006667E1" w:rsidRDefault="000236DA" w:rsidP="000236DA">
      <w:pPr>
        <w:spacing w:after="0" w:line="240" w:lineRule="auto"/>
        <w:jc w:val="both"/>
        <w:rPr>
          <w:b/>
        </w:rPr>
      </w:pPr>
    </w:p>
    <w:p w14:paraId="5E0D70CA" w14:textId="77777777" w:rsidR="00831A07" w:rsidRPr="006667E1" w:rsidRDefault="00E9669C" w:rsidP="00F03884">
      <w:pPr>
        <w:spacing w:after="0" w:line="360" w:lineRule="auto"/>
        <w:jc w:val="both"/>
      </w:pPr>
      <w:r w:rsidRPr="006667E1">
        <w:t xml:space="preserve">El </w:t>
      </w:r>
      <w:r w:rsidR="00D50A1D" w:rsidRPr="006667E1">
        <w:t>12</w:t>
      </w:r>
      <w:r w:rsidRPr="006667E1">
        <w:t xml:space="preserve"> de</w:t>
      </w:r>
      <w:r w:rsidR="00D50A1D" w:rsidRPr="006667E1">
        <w:t xml:space="preserve"> marzo</w:t>
      </w:r>
      <w:r w:rsidR="004C2816" w:rsidRPr="006667E1">
        <w:t xml:space="preserve">, </w:t>
      </w:r>
      <w:r w:rsidR="005F0DCF" w:rsidRPr="006667E1">
        <w:t>Erika Lizbeth Cobián Velázquez y Elsa Rosario Ibarra García</w:t>
      </w:r>
      <w:r w:rsidR="005F0DCF" w:rsidRPr="006667E1">
        <w:rPr>
          <w:rStyle w:val="Refdenotaalpie"/>
        </w:rPr>
        <w:footnoteReference w:id="5"/>
      </w:r>
      <w:r w:rsidR="005F0DCF" w:rsidRPr="006667E1">
        <w:t xml:space="preserve"> </w:t>
      </w:r>
      <w:r w:rsidR="00BC1528" w:rsidRPr="006667E1">
        <w:t>prese</w:t>
      </w:r>
      <w:r w:rsidR="0073534F" w:rsidRPr="006667E1">
        <w:t>n</w:t>
      </w:r>
      <w:r w:rsidR="00BC1528" w:rsidRPr="006667E1">
        <w:t>t</w:t>
      </w:r>
      <w:r w:rsidR="00730583" w:rsidRPr="006667E1">
        <w:t>aron</w:t>
      </w:r>
      <w:r w:rsidR="00BC1528" w:rsidRPr="006667E1">
        <w:t xml:space="preserve"> </w:t>
      </w:r>
      <w:r w:rsidR="00A20701" w:rsidRPr="006667E1">
        <w:t>demanda</w:t>
      </w:r>
      <w:r w:rsidR="004F3441" w:rsidRPr="006667E1">
        <w:t xml:space="preserve"> </w:t>
      </w:r>
      <w:r w:rsidR="008747D5" w:rsidRPr="006667E1">
        <w:t xml:space="preserve">contra </w:t>
      </w:r>
      <w:r w:rsidR="005F0DCF" w:rsidRPr="006667E1">
        <w:t>el acuerdo del Instituto Local donde se determinó que Erika Lizbeth Cobián</w:t>
      </w:r>
      <w:r w:rsidR="00067DF8" w:rsidRPr="006667E1">
        <w:t xml:space="preserve">, </w:t>
      </w:r>
      <w:r w:rsidR="005F0DCF" w:rsidRPr="006667E1">
        <w:rPr>
          <w:b/>
        </w:rPr>
        <w:t xml:space="preserve">no había logrado </w:t>
      </w:r>
      <w:r w:rsidR="00D50A1D" w:rsidRPr="006667E1">
        <w:rPr>
          <w:b/>
        </w:rPr>
        <w:t>la obtención del apoyo ciudadano</w:t>
      </w:r>
      <w:r w:rsidR="005F0DCF" w:rsidRPr="006667E1">
        <w:t xml:space="preserve"> para contender como</w:t>
      </w:r>
      <w:r w:rsidRPr="006667E1">
        <w:t xml:space="preserve"> </w:t>
      </w:r>
      <w:r w:rsidR="005F0DCF" w:rsidRPr="006667E1">
        <w:t>diputada local independiente al distrito XXI en Guanajuato.</w:t>
      </w:r>
    </w:p>
    <w:p w14:paraId="44ACEE9E" w14:textId="77777777" w:rsidR="009E7BD7" w:rsidRPr="006667E1" w:rsidRDefault="009E7BD7" w:rsidP="00F03884">
      <w:pPr>
        <w:spacing w:after="0" w:line="360" w:lineRule="auto"/>
      </w:pPr>
    </w:p>
    <w:p w14:paraId="394AF931" w14:textId="77777777" w:rsidR="009E7BD7" w:rsidRPr="006667E1" w:rsidRDefault="00100D38" w:rsidP="00F03884">
      <w:pPr>
        <w:spacing w:after="0" w:line="360" w:lineRule="auto"/>
        <w:jc w:val="both"/>
        <w:rPr>
          <w:iCs/>
          <w:color w:val="000000"/>
          <w:lang w:eastAsia="es-MX"/>
        </w:rPr>
      </w:pPr>
      <w:r w:rsidRPr="006667E1">
        <w:rPr>
          <w:iCs/>
          <w:color w:val="000000"/>
          <w:lang w:eastAsia="es-MX"/>
        </w:rPr>
        <w:t>El</w:t>
      </w:r>
      <w:r w:rsidR="00A20701" w:rsidRPr="006667E1">
        <w:rPr>
          <w:iCs/>
          <w:color w:val="000000"/>
          <w:lang w:eastAsia="es-MX"/>
        </w:rPr>
        <w:t xml:space="preserve"> </w:t>
      </w:r>
      <w:r w:rsidR="00D50A1D" w:rsidRPr="006667E1">
        <w:rPr>
          <w:iCs/>
          <w:color w:val="000000"/>
          <w:lang w:eastAsia="es-MX"/>
        </w:rPr>
        <w:t>26</w:t>
      </w:r>
      <w:r w:rsidR="00A20701" w:rsidRPr="006667E1">
        <w:rPr>
          <w:iCs/>
          <w:color w:val="000000"/>
          <w:lang w:eastAsia="es-MX"/>
        </w:rPr>
        <w:t xml:space="preserve"> de marzo, el Tribunal</w:t>
      </w:r>
      <w:r w:rsidRPr="006667E1">
        <w:rPr>
          <w:iCs/>
          <w:color w:val="000000"/>
          <w:lang w:eastAsia="es-MX"/>
        </w:rPr>
        <w:t xml:space="preserve"> Local se pronunció en los términos </w:t>
      </w:r>
      <w:r w:rsidR="00EA2D1D" w:rsidRPr="006667E1">
        <w:rPr>
          <w:iCs/>
          <w:color w:val="000000"/>
          <w:lang w:eastAsia="es-MX"/>
        </w:rPr>
        <w:t xml:space="preserve">que se precisan al inicio </w:t>
      </w:r>
      <w:r w:rsidR="009C56F1" w:rsidRPr="006667E1">
        <w:rPr>
          <w:iCs/>
          <w:color w:val="000000"/>
          <w:lang w:eastAsia="es-MX"/>
        </w:rPr>
        <w:t>del apartado</w:t>
      </w:r>
      <w:r w:rsidRPr="006667E1">
        <w:rPr>
          <w:iCs/>
          <w:color w:val="000000"/>
          <w:lang w:eastAsia="es-MX"/>
        </w:rPr>
        <w:t xml:space="preserve"> </w:t>
      </w:r>
      <w:r w:rsidR="009C56F1" w:rsidRPr="006667E1">
        <w:rPr>
          <w:iCs/>
          <w:color w:val="000000"/>
          <w:lang w:eastAsia="es-MX"/>
        </w:rPr>
        <w:t>siguiente</w:t>
      </w:r>
      <w:r w:rsidR="00A20701" w:rsidRPr="006667E1">
        <w:rPr>
          <w:rStyle w:val="Refdenotaalpie"/>
        </w:rPr>
        <w:footnoteReference w:id="6"/>
      </w:r>
      <w:r w:rsidR="0077545E" w:rsidRPr="006667E1">
        <w:rPr>
          <w:iCs/>
          <w:color w:val="000000"/>
          <w:lang w:eastAsia="es-MX"/>
        </w:rPr>
        <w:t>.</w:t>
      </w:r>
    </w:p>
    <w:p w14:paraId="0C46A5D2" w14:textId="77777777" w:rsidR="00243172" w:rsidRPr="006667E1" w:rsidRDefault="00243172" w:rsidP="00F03884">
      <w:pPr>
        <w:pStyle w:val="Ttulo1"/>
        <w:spacing w:before="0" w:beforeAutospacing="0" w:after="0" w:afterAutospacing="0"/>
        <w:jc w:val="center"/>
        <w:rPr>
          <w:rFonts w:eastAsia="BatangChe" w:cs="Arial"/>
          <w:szCs w:val="24"/>
        </w:rPr>
      </w:pPr>
      <w:bookmarkStart w:id="18" w:name="_Toc67595960"/>
      <w:bookmarkStart w:id="19" w:name="_Toc67597704"/>
      <w:bookmarkStart w:id="20" w:name="_Toc67602878"/>
      <w:bookmarkStart w:id="21" w:name="_Toc67603702"/>
      <w:bookmarkStart w:id="22" w:name="_Toc67606997"/>
      <w:r w:rsidRPr="006667E1">
        <w:rPr>
          <w:rFonts w:eastAsia="Times New Roman" w:cs="Arial"/>
          <w:caps w:val="0"/>
          <w:szCs w:val="24"/>
        </w:rPr>
        <w:t>Estudio de fondo</w:t>
      </w:r>
      <w:bookmarkEnd w:id="18"/>
      <w:bookmarkEnd w:id="19"/>
      <w:bookmarkEnd w:id="20"/>
      <w:bookmarkEnd w:id="21"/>
      <w:bookmarkEnd w:id="22"/>
    </w:p>
    <w:p w14:paraId="0D5414AD" w14:textId="77777777" w:rsidR="00243172" w:rsidRPr="006667E1" w:rsidRDefault="00243172" w:rsidP="00F03884">
      <w:pPr>
        <w:spacing w:after="0" w:line="240" w:lineRule="auto"/>
        <w:contextualSpacing/>
        <w:rPr>
          <w:lang w:eastAsia="es-MX"/>
        </w:rPr>
      </w:pPr>
    </w:p>
    <w:p w14:paraId="6DA9EAD7" w14:textId="77777777" w:rsidR="00243172" w:rsidRPr="006667E1" w:rsidRDefault="00243172" w:rsidP="00F03884">
      <w:pPr>
        <w:pStyle w:val="Ttulo2"/>
        <w:spacing w:before="0" w:line="240" w:lineRule="auto"/>
        <w:contextualSpacing/>
        <w:rPr>
          <w:rFonts w:ascii="Arial" w:hAnsi="Arial" w:cs="Arial"/>
          <w:color w:val="auto"/>
          <w:sz w:val="24"/>
          <w:szCs w:val="24"/>
        </w:rPr>
      </w:pPr>
      <w:bookmarkStart w:id="23" w:name="_Toc55305688"/>
      <w:bookmarkStart w:id="24" w:name="_Toc56220983"/>
      <w:bookmarkStart w:id="25" w:name="_Toc67595961"/>
      <w:bookmarkStart w:id="26" w:name="_Toc67597705"/>
      <w:bookmarkStart w:id="27" w:name="_Toc67602879"/>
      <w:bookmarkStart w:id="28" w:name="_Toc67603703"/>
      <w:bookmarkStart w:id="29" w:name="_Toc67606998"/>
      <w:r w:rsidRPr="006667E1">
        <w:rPr>
          <w:rFonts w:ascii="Arial" w:hAnsi="Arial" w:cs="Arial"/>
          <w:color w:val="auto"/>
          <w:sz w:val="24"/>
          <w:szCs w:val="24"/>
          <w:u w:val="single"/>
        </w:rPr>
        <w:t>Apartado preliminar.</w:t>
      </w:r>
      <w:r w:rsidRPr="006667E1">
        <w:rPr>
          <w:rFonts w:ascii="Arial" w:hAnsi="Arial" w:cs="Arial"/>
          <w:color w:val="auto"/>
          <w:sz w:val="24"/>
          <w:szCs w:val="24"/>
        </w:rPr>
        <w:t xml:space="preserve"> Definición de la materia de controversia</w:t>
      </w:r>
      <w:bookmarkEnd w:id="23"/>
      <w:bookmarkEnd w:id="24"/>
      <w:bookmarkEnd w:id="25"/>
      <w:bookmarkEnd w:id="26"/>
      <w:bookmarkEnd w:id="27"/>
      <w:bookmarkEnd w:id="28"/>
      <w:bookmarkEnd w:id="29"/>
    </w:p>
    <w:p w14:paraId="2AA32A93" w14:textId="77777777" w:rsidR="00243172" w:rsidRPr="006667E1" w:rsidRDefault="00243172" w:rsidP="00F03884">
      <w:pPr>
        <w:pStyle w:val="Prrafodelista"/>
        <w:tabs>
          <w:tab w:val="left" w:pos="5461"/>
        </w:tabs>
        <w:spacing w:after="0" w:line="240" w:lineRule="auto"/>
        <w:ind w:left="0"/>
        <w:jc w:val="both"/>
        <w:rPr>
          <w:bCs/>
        </w:rPr>
      </w:pPr>
    </w:p>
    <w:p w14:paraId="50A5159B" w14:textId="77777777" w:rsidR="00243172" w:rsidRPr="006667E1" w:rsidRDefault="00100D38" w:rsidP="00F03884">
      <w:pPr>
        <w:spacing w:after="0" w:line="360" w:lineRule="auto"/>
        <w:jc w:val="both"/>
      </w:pPr>
      <w:bookmarkStart w:id="30" w:name="_Hlk51922322"/>
      <w:r w:rsidRPr="006667E1">
        <w:rPr>
          <w:rFonts w:eastAsia="Arial"/>
          <w:b/>
        </w:rPr>
        <w:t>a.</w:t>
      </w:r>
      <w:r w:rsidR="0021573A" w:rsidRPr="006667E1">
        <w:rPr>
          <w:rFonts w:eastAsia="Arial"/>
          <w:b/>
        </w:rPr>
        <w:t xml:space="preserve"> En la </w:t>
      </w:r>
      <w:r w:rsidR="0022525A" w:rsidRPr="006667E1">
        <w:rPr>
          <w:rFonts w:eastAsia="Arial"/>
          <w:b/>
        </w:rPr>
        <w:t xml:space="preserve">resolución </w:t>
      </w:r>
      <w:r w:rsidRPr="006667E1">
        <w:rPr>
          <w:rFonts w:eastAsia="Arial"/>
          <w:b/>
        </w:rPr>
        <w:t>impugnada</w:t>
      </w:r>
      <w:r w:rsidR="0022525A" w:rsidRPr="006667E1">
        <w:rPr>
          <w:b/>
        </w:rPr>
        <w:t xml:space="preserve"> </w:t>
      </w:r>
      <w:r w:rsidR="0022525A" w:rsidRPr="006667E1">
        <w:rPr>
          <w:bCs/>
        </w:rPr>
        <w:t>el</w:t>
      </w:r>
      <w:r w:rsidRPr="006667E1">
        <w:t xml:space="preserve"> </w:t>
      </w:r>
      <w:r w:rsidR="0044728D" w:rsidRPr="006667E1">
        <w:t>T</w:t>
      </w:r>
      <w:r w:rsidRPr="006667E1">
        <w:t xml:space="preserve">ribunal </w:t>
      </w:r>
      <w:r w:rsidR="0022525A" w:rsidRPr="006667E1">
        <w:t xml:space="preserve">de Guanajuato </w:t>
      </w:r>
      <w:r w:rsidRPr="006667E1">
        <w:rPr>
          <w:b/>
        </w:rPr>
        <w:t>desechó</w:t>
      </w:r>
      <w:r w:rsidR="00B237E3" w:rsidRPr="006667E1">
        <w:rPr>
          <w:bCs/>
        </w:rPr>
        <w:t>, por falta de firma autógrafa,</w:t>
      </w:r>
      <w:r w:rsidRPr="006667E1">
        <w:rPr>
          <w:b/>
        </w:rPr>
        <w:t xml:space="preserve"> </w:t>
      </w:r>
      <w:r w:rsidRPr="006667E1">
        <w:t xml:space="preserve">la demanda </w:t>
      </w:r>
      <w:r w:rsidR="0022525A" w:rsidRPr="006667E1">
        <w:t xml:space="preserve">presentada por </w:t>
      </w:r>
      <w:r w:rsidR="00730583" w:rsidRPr="006667E1">
        <w:t>Erika Lizbeth Cobián Velázquez</w:t>
      </w:r>
      <w:r w:rsidR="00315C4F" w:rsidRPr="006667E1">
        <w:t xml:space="preserve"> y </w:t>
      </w:r>
      <w:r w:rsidR="00315C4F" w:rsidRPr="006667E1">
        <w:lastRenderedPageBreak/>
        <w:t>Elsa Rosario Ibarra García</w:t>
      </w:r>
      <w:r w:rsidR="0022525A" w:rsidRPr="006667E1">
        <w:t>, contra el acuerdo del Instituto Local que determinó que</w:t>
      </w:r>
      <w:r w:rsidR="00730583" w:rsidRPr="006667E1">
        <w:t xml:space="preserve"> </w:t>
      </w:r>
      <w:bookmarkStart w:id="31" w:name="_Hlk68190999"/>
      <w:r w:rsidR="00315C4F" w:rsidRPr="006667E1">
        <w:t xml:space="preserve">Erika Lizbeth Cobián </w:t>
      </w:r>
      <w:bookmarkEnd w:id="31"/>
      <w:r w:rsidR="00DA471C" w:rsidRPr="006667E1">
        <w:t xml:space="preserve">no obtuvo el apoyo ciudadano necesario para obtener </w:t>
      </w:r>
      <w:r w:rsidR="00B237E3" w:rsidRPr="006667E1">
        <w:t>la</w:t>
      </w:r>
      <w:r w:rsidR="00DA471C" w:rsidRPr="006667E1">
        <w:t xml:space="preserve"> candidatura </w:t>
      </w:r>
      <w:r w:rsidR="00B237E3" w:rsidRPr="006667E1">
        <w:t>como diputada local independiente al distrito XXI en Guanajuato</w:t>
      </w:r>
      <w:r w:rsidR="001F6650" w:rsidRPr="006667E1">
        <w:t xml:space="preserve">, </w:t>
      </w:r>
      <w:r w:rsidR="00C90574" w:rsidRPr="006667E1">
        <w:t>al considerar que</w:t>
      </w:r>
      <w:r w:rsidR="00190B3E" w:rsidRPr="006667E1">
        <w:t xml:space="preserve"> </w:t>
      </w:r>
      <w:r w:rsidR="00B237E3" w:rsidRPr="006667E1">
        <w:t xml:space="preserve">la demanda presentada </w:t>
      </w:r>
      <w:r w:rsidR="009C56F1" w:rsidRPr="006667E1">
        <w:t>era</w:t>
      </w:r>
      <w:r w:rsidR="00DA471C" w:rsidRPr="006667E1">
        <w:t xml:space="preserve"> </w:t>
      </w:r>
      <w:r w:rsidR="00A73FB7" w:rsidRPr="006667E1">
        <w:t xml:space="preserve">una </w:t>
      </w:r>
      <w:r w:rsidR="00DA471C" w:rsidRPr="006667E1">
        <w:t xml:space="preserve">copia simple de </w:t>
      </w:r>
      <w:r w:rsidR="0022525A" w:rsidRPr="006667E1">
        <w:t>su original</w:t>
      </w:r>
      <w:r w:rsidR="00DA471C" w:rsidRPr="006667E1">
        <w:t>.</w:t>
      </w:r>
      <w:r w:rsidR="00315C4F" w:rsidRPr="006667E1">
        <w:t xml:space="preserve"> </w:t>
      </w:r>
    </w:p>
    <w:p w14:paraId="683AAABB" w14:textId="77777777" w:rsidR="001F6650" w:rsidRPr="006667E1" w:rsidRDefault="001F6650" w:rsidP="00F03884">
      <w:pPr>
        <w:spacing w:after="0" w:line="360" w:lineRule="auto"/>
        <w:jc w:val="both"/>
      </w:pPr>
    </w:p>
    <w:p w14:paraId="2DB4B674" w14:textId="77777777" w:rsidR="00272028" w:rsidRPr="006667E1" w:rsidRDefault="00F47CAB" w:rsidP="00F03884">
      <w:pPr>
        <w:pStyle w:val="Prrafodelista"/>
        <w:tabs>
          <w:tab w:val="left" w:pos="5461"/>
        </w:tabs>
        <w:spacing w:after="0" w:line="360" w:lineRule="auto"/>
        <w:ind w:left="0"/>
        <w:jc w:val="both"/>
      </w:pPr>
      <w:r w:rsidRPr="006667E1">
        <w:rPr>
          <w:b/>
        </w:rPr>
        <w:t>b</w:t>
      </w:r>
      <w:r w:rsidR="00243172" w:rsidRPr="006667E1">
        <w:rPr>
          <w:b/>
        </w:rPr>
        <w:t xml:space="preserve">. </w:t>
      </w:r>
      <w:r w:rsidR="00B57A7A" w:rsidRPr="006667E1">
        <w:rPr>
          <w:b/>
        </w:rPr>
        <w:t>Pretensión</w:t>
      </w:r>
      <w:r w:rsidR="00243172" w:rsidRPr="006667E1">
        <w:rPr>
          <w:b/>
        </w:rPr>
        <w:t xml:space="preserve"> y planteamientos. </w:t>
      </w:r>
      <w:r w:rsidR="00DA471C" w:rsidRPr="006667E1">
        <w:t>La</w:t>
      </w:r>
      <w:r w:rsidR="00730583" w:rsidRPr="006667E1">
        <w:t>s</w:t>
      </w:r>
      <w:r w:rsidR="00DA471C" w:rsidRPr="006667E1">
        <w:t xml:space="preserve"> </w:t>
      </w:r>
      <w:r w:rsidR="009B5D2F" w:rsidRPr="006667E1">
        <w:t>impugnante</w:t>
      </w:r>
      <w:r w:rsidR="00730583" w:rsidRPr="006667E1">
        <w:t>s</w:t>
      </w:r>
      <w:r w:rsidR="00243172" w:rsidRPr="006667E1">
        <w:t xml:space="preserve"> pretende</w:t>
      </w:r>
      <w:r w:rsidR="00730583" w:rsidRPr="006667E1">
        <w:t>n</w:t>
      </w:r>
      <w:r w:rsidR="00243172" w:rsidRPr="006667E1">
        <w:t xml:space="preserve"> que se </w:t>
      </w:r>
      <w:r w:rsidR="00243172" w:rsidRPr="006667E1">
        <w:rPr>
          <w:b/>
        </w:rPr>
        <w:t>revoque</w:t>
      </w:r>
      <w:r w:rsidR="00243172" w:rsidRPr="006667E1">
        <w:t xml:space="preserve"> </w:t>
      </w:r>
      <w:r w:rsidR="007C3C23" w:rsidRPr="006667E1">
        <w:t>la sentencia</w:t>
      </w:r>
      <w:r w:rsidR="0044728D" w:rsidRPr="006667E1">
        <w:t>,</w:t>
      </w:r>
      <w:r w:rsidR="00812DEF" w:rsidRPr="006667E1">
        <w:t xml:space="preserve"> porque </w:t>
      </w:r>
      <w:r w:rsidR="00F23EF5" w:rsidRPr="006667E1">
        <w:t>consideran, esencialmente</w:t>
      </w:r>
      <w:r w:rsidR="00A3377D" w:rsidRPr="006667E1">
        <w:t>,</w:t>
      </w:r>
      <w:r w:rsidR="007C3C23" w:rsidRPr="006667E1">
        <w:t xml:space="preserve"> </w:t>
      </w:r>
      <w:r w:rsidR="00F23EF5" w:rsidRPr="006667E1">
        <w:t>que no se debió</w:t>
      </w:r>
      <w:r w:rsidR="00DA471C" w:rsidRPr="006667E1">
        <w:t xml:space="preserve"> desechar</w:t>
      </w:r>
      <w:r w:rsidR="00F23EF5" w:rsidRPr="006667E1">
        <w:t xml:space="preserve"> su demanda</w:t>
      </w:r>
      <w:r w:rsidR="0044728D" w:rsidRPr="006667E1">
        <w:t>,</w:t>
      </w:r>
      <w:r w:rsidR="00BD475C" w:rsidRPr="006667E1">
        <w:t xml:space="preserve"> </w:t>
      </w:r>
      <w:r w:rsidR="0044728D" w:rsidRPr="006667E1">
        <w:t>pues</w:t>
      </w:r>
      <w:r w:rsidR="008D5D18" w:rsidRPr="006667E1">
        <w:t xml:space="preserve"> a diferencia de lo que consideró </w:t>
      </w:r>
      <w:r w:rsidR="00A86714" w:rsidRPr="006667E1">
        <w:t>el Tribunal Local</w:t>
      </w:r>
      <w:r w:rsidR="00DA471C" w:rsidRPr="006667E1">
        <w:t xml:space="preserve">: </w:t>
      </w:r>
      <w:r w:rsidR="00DA471C" w:rsidRPr="006667E1">
        <w:rPr>
          <w:b/>
          <w:bCs/>
        </w:rPr>
        <w:t>i.</w:t>
      </w:r>
      <w:r w:rsidR="00DA471C" w:rsidRPr="006667E1">
        <w:t xml:space="preserve"> </w:t>
      </w:r>
      <w:r w:rsidR="00F23EF5" w:rsidRPr="006667E1">
        <w:t>S</w:t>
      </w:r>
      <w:r w:rsidR="00DA471C" w:rsidRPr="006667E1">
        <w:t xml:space="preserve">í </w:t>
      </w:r>
      <w:r w:rsidR="00F23EF5" w:rsidRPr="006667E1">
        <w:t xml:space="preserve">la </w:t>
      </w:r>
      <w:r w:rsidR="00DA471C" w:rsidRPr="006667E1">
        <w:t>present</w:t>
      </w:r>
      <w:r w:rsidR="00730583" w:rsidRPr="006667E1">
        <w:t>aron</w:t>
      </w:r>
      <w:r w:rsidR="00DA471C" w:rsidRPr="006667E1">
        <w:t xml:space="preserve"> con firma autógrafa</w:t>
      </w:r>
      <w:r w:rsidR="00F23EF5" w:rsidRPr="006667E1">
        <w:t>, pero</w:t>
      </w:r>
      <w:r w:rsidR="00DA471C" w:rsidRPr="006667E1">
        <w:t xml:space="preserve"> la </w:t>
      </w:r>
      <w:r w:rsidR="00F23EF5" w:rsidRPr="006667E1">
        <w:t xml:space="preserve">responsable </w:t>
      </w:r>
      <w:r w:rsidR="00DA471C" w:rsidRPr="006667E1">
        <w:t xml:space="preserve">extravió </w:t>
      </w:r>
      <w:r w:rsidR="00F23EF5" w:rsidRPr="006667E1">
        <w:t xml:space="preserve">la original </w:t>
      </w:r>
      <w:r w:rsidR="00DA471C" w:rsidRPr="006667E1">
        <w:t>y la sustituy</w:t>
      </w:r>
      <w:r w:rsidR="00F23EF5" w:rsidRPr="006667E1">
        <w:t>eron</w:t>
      </w:r>
      <w:r w:rsidR="00DA471C" w:rsidRPr="006667E1">
        <w:t xml:space="preserve"> con una copia simple</w:t>
      </w:r>
      <w:r w:rsidR="00F23EF5" w:rsidRPr="006667E1">
        <w:t xml:space="preserve"> y,</w:t>
      </w:r>
      <w:r w:rsidR="00DA471C" w:rsidRPr="006667E1">
        <w:t xml:space="preserve"> </w:t>
      </w:r>
      <w:r w:rsidR="00DA471C" w:rsidRPr="006667E1">
        <w:rPr>
          <w:b/>
          <w:bCs/>
        </w:rPr>
        <w:t>ii.</w:t>
      </w:r>
      <w:r w:rsidR="00DA471C" w:rsidRPr="006667E1">
        <w:t xml:space="preserve"> </w:t>
      </w:r>
      <w:r w:rsidR="00F23EF5" w:rsidRPr="006667E1">
        <w:t>A</w:t>
      </w:r>
      <w:r w:rsidR="00DA471C" w:rsidRPr="006667E1">
        <w:t>nte el extravío debi</w:t>
      </w:r>
      <w:r w:rsidR="00730583" w:rsidRPr="006667E1">
        <w:t>eron</w:t>
      </w:r>
      <w:r w:rsidR="00DA471C" w:rsidRPr="006667E1">
        <w:t xml:space="preserve"> preveni</w:t>
      </w:r>
      <w:r w:rsidR="00F23EF5" w:rsidRPr="006667E1">
        <w:t>rlas</w:t>
      </w:r>
      <w:r w:rsidR="00DA471C" w:rsidRPr="006667E1">
        <w:t xml:space="preserve"> para </w:t>
      </w:r>
      <w:r w:rsidR="00F23EF5" w:rsidRPr="006667E1">
        <w:t xml:space="preserve">que la </w:t>
      </w:r>
      <w:r w:rsidR="00DA471C" w:rsidRPr="006667E1">
        <w:t>ratificar</w:t>
      </w:r>
      <w:r w:rsidR="00F23EF5" w:rsidRPr="006667E1">
        <w:t>an.</w:t>
      </w:r>
    </w:p>
    <w:p w14:paraId="08C856E9" w14:textId="77777777" w:rsidR="00D53E94" w:rsidRPr="006667E1" w:rsidRDefault="00D53E94" w:rsidP="00F03884">
      <w:pPr>
        <w:spacing w:after="0" w:line="240" w:lineRule="auto"/>
        <w:jc w:val="both"/>
        <w:rPr>
          <w:b/>
        </w:rPr>
      </w:pPr>
    </w:p>
    <w:p w14:paraId="08BAE929" w14:textId="77777777" w:rsidR="003B5BB8" w:rsidRPr="006667E1" w:rsidRDefault="00F47CAB" w:rsidP="00F03884">
      <w:pPr>
        <w:spacing w:after="0" w:line="360" w:lineRule="auto"/>
        <w:jc w:val="both"/>
      </w:pPr>
      <w:r w:rsidRPr="006667E1">
        <w:rPr>
          <w:b/>
        </w:rPr>
        <w:t>c</w:t>
      </w:r>
      <w:r w:rsidR="00243172" w:rsidRPr="006667E1">
        <w:rPr>
          <w:b/>
        </w:rPr>
        <w:t xml:space="preserve">. Cuestión a resolver. </w:t>
      </w:r>
      <w:r w:rsidR="004217BB" w:rsidRPr="006667E1">
        <w:t>D</w:t>
      </w:r>
      <w:r w:rsidR="00243172" w:rsidRPr="006667E1">
        <w:t>eterminar</w:t>
      </w:r>
      <w:r w:rsidR="004217BB" w:rsidRPr="006667E1">
        <w:t>:</w:t>
      </w:r>
      <w:r w:rsidR="00704451" w:rsidRPr="006667E1">
        <w:t xml:space="preserve"> </w:t>
      </w:r>
      <w:r w:rsidR="008C32D7" w:rsidRPr="006667E1">
        <w:t>¿</w:t>
      </w:r>
      <w:bookmarkStart w:id="32" w:name="_Toc483300362"/>
      <w:bookmarkStart w:id="33" w:name="_Toc11874847"/>
      <w:bookmarkEnd w:id="30"/>
      <w:r w:rsidR="00704451" w:rsidRPr="006667E1">
        <w:t xml:space="preserve">Si </w:t>
      </w:r>
      <w:r w:rsidR="009C56F1" w:rsidRPr="006667E1">
        <w:t>fue correcto que el Tribunal Local desechara la demanda sobre la base de que carecía de firma autógrafa</w:t>
      </w:r>
      <w:r w:rsidR="00792342" w:rsidRPr="006667E1">
        <w:t>?</w:t>
      </w:r>
    </w:p>
    <w:p w14:paraId="058F8C6F" w14:textId="77777777" w:rsidR="00F47CAB" w:rsidRPr="006667E1" w:rsidRDefault="00F47CAB" w:rsidP="00F03884">
      <w:pPr>
        <w:spacing w:after="0" w:line="240" w:lineRule="auto"/>
        <w:jc w:val="both"/>
      </w:pPr>
    </w:p>
    <w:p w14:paraId="6F0B3D30" w14:textId="77777777" w:rsidR="00243172" w:rsidRPr="006667E1" w:rsidRDefault="00243172" w:rsidP="00F03884">
      <w:pPr>
        <w:pStyle w:val="Ttulo2"/>
        <w:spacing w:before="0" w:line="240" w:lineRule="auto"/>
        <w:contextualSpacing/>
        <w:rPr>
          <w:rFonts w:ascii="Arial" w:hAnsi="Arial" w:cs="Arial"/>
          <w:b w:val="0"/>
          <w:color w:val="auto"/>
          <w:sz w:val="24"/>
          <w:szCs w:val="24"/>
        </w:rPr>
      </w:pPr>
      <w:bookmarkStart w:id="34" w:name="_Toc67595962"/>
      <w:bookmarkStart w:id="35" w:name="_Toc67597706"/>
      <w:bookmarkStart w:id="36" w:name="_Toc67602880"/>
      <w:bookmarkStart w:id="37" w:name="_Toc67603704"/>
      <w:bookmarkStart w:id="38" w:name="_Toc67606999"/>
      <w:r w:rsidRPr="006667E1">
        <w:rPr>
          <w:rFonts w:ascii="Arial" w:hAnsi="Arial" w:cs="Arial"/>
          <w:color w:val="auto"/>
          <w:sz w:val="24"/>
          <w:szCs w:val="24"/>
          <w:u w:val="single"/>
        </w:rPr>
        <w:t>Apartado I.</w:t>
      </w:r>
      <w:r w:rsidRPr="006667E1">
        <w:rPr>
          <w:rFonts w:ascii="Arial" w:hAnsi="Arial" w:cs="Arial"/>
          <w:b w:val="0"/>
          <w:color w:val="auto"/>
          <w:sz w:val="24"/>
          <w:szCs w:val="24"/>
        </w:rPr>
        <w:t xml:space="preserve"> </w:t>
      </w:r>
      <w:r w:rsidRPr="006667E1">
        <w:rPr>
          <w:rFonts w:ascii="Arial" w:hAnsi="Arial" w:cs="Arial"/>
          <w:color w:val="auto"/>
          <w:sz w:val="24"/>
          <w:szCs w:val="24"/>
        </w:rPr>
        <w:t>Decisión</w:t>
      </w:r>
      <w:bookmarkEnd w:id="32"/>
      <w:bookmarkEnd w:id="33"/>
      <w:r w:rsidRPr="006667E1">
        <w:rPr>
          <w:rFonts w:ascii="Arial" w:hAnsi="Arial" w:cs="Arial"/>
          <w:color w:val="auto"/>
          <w:sz w:val="24"/>
          <w:szCs w:val="24"/>
        </w:rPr>
        <w:t xml:space="preserve"> general</w:t>
      </w:r>
      <w:bookmarkEnd w:id="34"/>
      <w:bookmarkEnd w:id="35"/>
      <w:bookmarkEnd w:id="36"/>
      <w:bookmarkEnd w:id="37"/>
      <w:bookmarkEnd w:id="38"/>
    </w:p>
    <w:p w14:paraId="1D37437D" w14:textId="77777777" w:rsidR="00243172" w:rsidRPr="006667E1" w:rsidRDefault="00243172" w:rsidP="00F03884">
      <w:pPr>
        <w:shd w:val="clear" w:color="auto" w:fill="FFFFFF" w:themeFill="background1"/>
        <w:spacing w:after="0" w:line="240" w:lineRule="auto"/>
        <w:jc w:val="both"/>
      </w:pPr>
    </w:p>
    <w:p w14:paraId="6C24DF5C" w14:textId="77777777" w:rsidR="00DA6C52" w:rsidRPr="006667E1" w:rsidRDefault="00F40058" w:rsidP="00F03884">
      <w:pPr>
        <w:spacing w:after="0" w:line="360" w:lineRule="auto"/>
        <w:contextualSpacing/>
        <w:jc w:val="both"/>
      </w:pPr>
      <w:r w:rsidRPr="006667E1">
        <w:t xml:space="preserve">Esta </w:t>
      </w:r>
      <w:r w:rsidR="00E83ED2" w:rsidRPr="006667E1">
        <w:t>S</w:t>
      </w:r>
      <w:r w:rsidRPr="006667E1">
        <w:t>ala</w:t>
      </w:r>
      <w:r w:rsidR="00E83ED2" w:rsidRPr="006667E1">
        <w:t xml:space="preserve"> Monterrey</w:t>
      </w:r>
      <w:r w:rsidRPr="006667E1">
        <w:t xml:space="preserve"> considera que debe </w:t>
      </w:r>
      <w:r w:rsidRPr="006667E1">
        <w:rPr>
          <w:b/>
        </w:rPr>
        <w:t xml:space="preserve">confirmarse </w:t>
      </w:r>
      <w:r w:rsidR="000B7A78" w:rsidRPr="006667E1">
        <w:t xml:space="preserve">la resolución del Tribunal Estatal Electoral de Guanajuato en la que </w:t>
      </w:r>
      <w:r w:rsidR="00315C4F" w:rsidRPr="006667E1">
        <w:rPr>
          <w:b/>
        </w:rPr>
        <w:t>desechó</w:t>
      </w:r>
      <w:r w:rsidR="00315C4F" w:rsidRPr="006667E1">
        <w:rPr>
          <w:bCs/>
        </w:rPr>
        <w:t>,</w:t>
      </w:r>
      <w:r w:rsidR="00315C4F" w:rsidRPr="006667E1">
        <w:rPr>
          <w:b/>
        </w:rPr>
        <w:t xml:space="preserve"> </w:t>
      </w:r>
      <w:r w:rsidR="00315C4F" w:rsidRPr="006667E1">
        <w:t>por falta de firma autógrafa,</w:t>
      </w:r>
      <w:r w:rsidR="00315C4F" w:rsidRPr="006667E1">
        <w:rPr>
          <w:b/>
        </w:rPr>
        <w:t xml:space="preserve"> </w:t>
      </w:r>
      <w:r w:rsidR="00315C4F" w:rsidRPr="006667E1">
        <w:t xml:space="preserve">la demanda contra el acuerdo del Instituto Local que le informó que no obtuvo el apoyo ciudadano necesario para contender como diputada local independiente al distrito XXI en Guanajuato, </w:t>
      </w:r>
      <w:r w:rsidR="00315C4F" w:rsidRPr="006667E1">
        <w:rPr>
          <w:b/>
        </w:rPr>
        <w:t>porque esta Sala considera</w:t>
      </w:r>
      <w:r w:rsidR="00315C4F" w:rsidRPr="006667E1">
        <w:t xml:space="preserve"> </w:t>
      </w:r>
      <w:r w:rsidR="00704451" w:rsidRPr="006667E1">
        <w:t>que</w:t>
      </w:r>
      <w:r w:rsidR="009C56F1" w:rsidRPr="006667E1">
        <w:t xml:space="preserve"> en autos consta que</w:t>
      </w:r>
      <w:r w:rsidR="00EC24B6" w:rsidRPr="006667E1">
        <w:t xml:space="preserve"> la</w:t>
      </w:r>
      <w:r w:rsidR="009C56F1" w:rsidRPr="006667E1">
        <w:t xml:space="preserve"> actuaria del Tribunal de Guanajuato asentó que la demanda no contenía la firma autógrafa de las impugnantes y estas sólo presentan una copia simple del acuse (no el original).</w:t>
      </w:r>
    </w:p>
    <w:p w14:paraId="5D99BB2A" w14:textId="77777777" w:rsidR="00AC0C20" w:rsidRPr="006667E1" w:rsidRDefault="00AC0C20" w:rsidP="00F03884">
      <w:pPr>
        <w:spacing w:after="0" w:line="360" w:lineRule="auto"/>
        <w:contextualSpacing/>
        <w:jc w:val="both"/>
      </w:pPr>
    </w:p>
    <w:p w14:paraId="6DAE2614" w14:textId="77777777" w:rsidR="00243172" w:rsidRPr="006667E1" w:rsidRDefault="00243172" w:rsidP="00F03884">
      <w:pPr>
        <w:pStyle w:val="Ttulo2"/>
        <w:shd w:val="clear" w:color="auto" w:fill="FFFFFF" w:themeFill="background1"/>
        <w:spacing w:before="0" w:line="360" w:lineRule="auto"/>
        <w:rPr>
          <w:rFonts w:ascii="Arial" w:hAnsi="Arial" w:cs="Arial"/>
          <w:color w:val="auto"/>
          <w:sz w:val="24"/>
          <w:szCs w:val="24"/>
        </w:rPr>
      </w:pPr>
      <w:bookmarkStart w:id="39" w:name="_Toc11874848"/>
      <w:bookmarkStart w:id="40" w:name="_Toc67595963"/>
      <w:bookmarkStart w:id="41" w:name="_Toc67597707"/>
      <w:bookmarkStart w:id="42" w:name="_Toc67602881"/>
      <w:bookmarkStart w:id="43" w:name="_Toc67603705"/>
      <w:bookmarkStart w:id="44" w:name="_Toc67607000"/>
      <w:r w:rsidRPr="006667E1">
        <w:rPr>
          <w:rFonts w:ascii="Arial" w:hAnsi="Arial" w:cs="Arial"/>
          <w:color w:val="auto"/>
          <w:sz w:val="24"/>
          <w:szCs w:val="24"/>
          <w:u w:val="single"/>
        </w:rPr>
        <w:t>Apartado II</w:t>
      </w:r>
      <w:r w:rsidRPr="006667E1">
        <w:rPr>
          <w:rFonts w:ascii="Arial" w:hAnsi="Arial" w:cs="Arial"/>
          <w:color w:val="auto"/>
          <w:sz w:val="24"/>
          <w:szCs w:val="24"/>
        </w:rPr>
        <w:t>. Desarrollo o justificación de la decisión</w:t>
      </w:r>
      <w:bookmarkEnd w:id="39"/>
      <w:bookmarkEnd w:id="40"/>
      <w:bookmarkEnd w:id="41"/>
      <w:bookmarkEnd w:id="42"/>
      <w:bookmarkEnd w:id="43"/>
      <w:bookmarkEnd w:id="44"/>
    </w:p>
    <w:p w14:paraId="4CF7B5B7" w14:textId="77777777" w:rsidR="0038584D" w:rsidRPr="006667E1" w:rsidRDefault="0038584D" w:rsidP="00666814">
      <w:pPr>
        <w:spacing w:after="0" w:line="240" w:lineRule="auto"/>
      </w:pPr>
    </w:p>
    <w:p w14:paraId="56030F69" w14:textId="77777777" w:rsidR="00356835" w:rsidRPr="006667E1" w:rsidRDefault="007A2E90" w:rsidP="00F03884">
      <w:pPr>
        <w:spacing w:after="0" w:line="360" w:lineRule="auto"/>
        <w:jc w:val="both"/>
        <w:rPr>
          <w:b/>
        </w:rPr>
      </w:pPr>
      <w:r w:rsidRPr="006667E1">
        <w:rPr>
          <w:b/>
        </w:rPr>
        <w:t>1.1</w:t>
      </w:r>
      <w:r w:rsidR="00E83ED2" w:rsidRPr="006667E1">
        <w:rPr>
          <w:b/>
        </w:rPr>
        <w:t>.</w:t>
      </w:r>
      <w:r w:rsidRPr="006667E1">
        <w:rPr>
          <w:b/>
        </w:rPr>
        <w:t xml:space="preserve"> </w:t>
      </w:r>
      <w:r w:rsidR="00356835" w:rsidRPr="006667E1">
        <w:rPr>
          <w:b/>
        </w:rPr>
        <w:t xml:space="preserve">Marco normativo </w:t>
      </w:r>
      <w:r w:rsidR="00D9699A" w:rsidRPr="006667E1">
        <w:rPr>
          <w:b/>
        </w:rPr>
        <w:t xml:space="preserve">que regula el deber </w:t>
      </w:r>
      <w:r w:rsidR="00302FE8" w:rsidRPr="006667E1">
        <w:rPr>
          <w:b/>
        </w:rPr>
        <w:t xml:space="preserve">de presentar </w:t>
      </w:r>
      <w:r w:rsidR="00D9699A" w:rsidRPr="006667E1">
        <w:rPr>
          <w:b/>
        </w:rPr>
        <w:t>las</w:t>
      </w:r>
      <w:r w:rsidR="00B32DE7" w:rsidRPr="006667E1">
        <w:rPr>
          <w:b/>
        </w:rPr>
        <w:t xml:space="preserve"> </w:t>
      </w:r>
      <w:r w:rsidR="00302FE8" w:rsidRPr="006667E1">
        <w:rPr>
          <w:b/>
        </w:rPr>
        <w:t>demanda</w:t>
      </w:r>
      <w:r w:rsidR="00D9699A" w:rsidRPr="006667E1">
        <w:rPr>
          <w:b/>
        </w:rPr>
        <w:t>s</w:t>
      </w:r>
      <w:r w:rsidR="00302FE8" w:rsidRPr="006667E1">
        <w:rPr>
          <w:b/>
        </w:rPr>
        <w:t xml:space="preserve"> con firma autógrafa </w:t>
      </w:r>
    </w:p>
    <w:p w14:paraId="4E73187E" w14:textId="77777777" w:rsidR="0052484D" w:rsidRPr="006667E1" w:rsidRDefault="0052484D" w:rsidP="00F03884">
      <w:pPr>
        <w:spacing w:after="0" w:line="240" w:lineRule="auto"/>
        <w:jc w:val="both"/>
        <w:rPr>
          <w:b/>
        </w:rPr>
      </w:pPr>
    </w:p>
    <w:p w14:paraId="307F8273" w14:textId="77777777" w:rsidR="0052484D" w:rsidRPr="006667E1" w:rsidRDefault="0052484D" w:rsidP="00F03884">
      <w:pPr>
        <w:spacing w:after="0" w:line="360" w:lineRule="auto"/>
        <w:jc w:val="both"/>
        <w:rPr>
          <w:lang w:bidi="en-US"/>
        </w:rPr>
      </w:pPr>
      <w:r w:rsidRPr="006667E1">
        <w:rPr>
          <w:lang w:bidi="en-US"/>
        </w:rPr>
        <w:t xml:space="preserve">En </w:t>
      </w:r>
      <w:r w:rsidR="005466C2" w:rsidRPr="006667E1">
        <w:rPr>
          <w:lang w:bidi="en-US"/>
        </w:rPr>
        <w:t>Guanajuato la Ley de Instituciones</w:t>
      </w:r>
      <w:r w:rsidR="00AC0C20" w:rsidRPr="006667E1">
        <w:rPr>
          <w:lang w:bidi="en-US"/>
        </w:rPr>
        <w:t xml:space="preserve"> Local</w:t>
      </w:r>
      <w:r w:rsidR="005466C2" w:rsidRPr="006667E1">
        <w:rPr>
          <w:lang w:bidi="en-US"/>
        </w:rPr>
        <w:t xml:space="preserve"> </w:t>
      </w:r>
      <w:r w:rsidRPr="006667E1">
        <w:rPr>
          <w:lang w:bidi="en-US"/>
        </w:rPr>
        <w:t xml:space="preserve">establece </w:t>
      </w:r>
      <w:r w:rsidR="005466C2" w:rsidRPr="006667E1">
        <w:rPr>
          <w:lang w:bidi="en-US"/>
        </w:rPr>
        <w:t xml:space="preserve">los </w:t>
      </w:r>
      <w:r w:rsidRPr="006667E1">
        <w:rPr>
          <w:lang w:bidi="en-US"/>
        </w:rPr>
        <w:t xml:space="preserve">diversos medios de impugnación </w:t>
      </w:r>
      <w:r w:rsidR="005466C2" w:rsidRPr="006667E1">
        <w:rPr>
          <w:lang w:bidi="en-US"/>
        </w:rPr>
        <w:t>que</w:t>
      </w:r>
      <w:r w:rsidRPr="006667E1">
        <w:rPr>
          <w:lang w:bidi="en-US"/>
        </w:rPr>
        <w:t xml:space="preserve"> garantiza que todos los actos y resoluciones se sujeten invariablemente a los principios rectores de constitucionalidad y legalidad que rigen el ejercicio electoral (artículo </w:t>
      </w:r>
      <w:r w:rsidR="00272C3F" w:rsidRPr="006667E1">
        <w:rPr>
          <w:lang w:bidi="en-US"/>
        </w:rPr>
        <w:t>381</w:t>
      </w:r>
      <w:r w:rsidRPr="006667E1">
        <w:rPr>
          <w:lang w:bidi="en-US"/>
        </w:rPr>
        <w:t>, de</w:t>
      </w:r>
      <w:r w:rsidR="00272C3F" w:rsidRPr="006667E1">
        <w:rPr>
          <w:lang w:bidi="en-US"/>
        </w:rPr>
        <w:t xml:space="preserve"> la </w:t>
      </w:r>
      <w:r w:rsidR="00364F68" w:rsidRPr="006667E1">
        <w:rPr>
          <w:lang w:bidi="en-US"/>
        </w:rPr>
        <w:t>Ley de Instituciones Local</w:t>
      </w:r>
      <w:r w:rsidR="00364F68" w:rsidRPr="006667E1">
        <w:rPr>
          <w:rStyle w:val="Refdenotaalpie"/>
          <w:lang w:bidi="en-US"/>
        </w:rPr>
        <w:t xml:space="preserve"> </w:t>
      </w:r>
      <w:r w:rsidRPr="006667E1">
        <w:rPr>
          <w:rStyle w:val="Refdenotaalpie"/>
          <w:lang w:bidi="en-US"/>
        </w:rPr>
        <w:footnoteReference w:id="7"/>
      </w:r>
      <w:r w:rsidRPr="006667E1">
        <w:rPr>
          <w:lang w:bidi="en-US"/>
        </w:rPr>
        <w:t>).</w:t>
      </w:r>
    </w:p>
    <w:p w14:paraId="26BC461A" w14:textId="77777777" w:rsidR="0052484D" w:rsidRPr="006667E1" w:rsidRDefault="0052484D" w:rsidP="00F03884">
      <w:pPr>
        <w:spacing w:after="0" w:line="240" w:lineRule="auto"/>
        <w:jc w:val="both"/>
        <w:rPr>
          <w:lang w:bidi="en-US"/>
        </w:rPr>
      </w:pPr>
    </w:p>
    <w:p w14:paraId="1FDA227F" w14:textId="77777777" w:rsidR="005466C2" w:rsidRPr="006667E1" w:rsidRDefault="00BA00BB" w:rsidP="00F03884">
      <w:pPr>
        <w:spacing w:after="0" w:line="360" w:lineRule="auto"/>
        <w:jc w:val="both"/>
        <w:rPr>
          <w:lang w:bidi="en-US"/>
        </w:rPr>
      </w:pPr>
      <w:r w:rsidRPr="006667E1">
        <w:rPr>
          <w:lang w:bidi="en-US"/>
        </w:rPr>
        <w:lastRenderedPageBreak/>
        <w:t xml:space="preserve">También </w:t>
      </w:r>
      <w:r w:rsidR="005466C2" w:rsidRPr="006667E1">
        <w:rPr>
          <w:lang w:bidi="en-US"/>
        </w:rPr>
        <w:t xml:space="preserve">establece que </w:t>
      </w:r>
      <w:r w:rsidR="00272C3F" w:rsidRPr="006667E1">
        <w:rPr>
          <w:bCs/>
        </w:rPr>
        <w:t>l</w:t>
      </w:r>
      <w:r w:rsidR="0052484D" w:rsidRPr="006667E1">
        <w:rPr>
          <w:bCs/>
        </w:rPr>
        <w:t xml:space="preserve">os medios de impugnación </w:t>
      </w:r>
      <w:r w:rsidR="00272C3F" w:rsidRPr="006667E1">
        <w:rPr>
          <w:bCs/>
        </w:rPr>
        <w:t xml:space="preserve">locales </w:t>
      </w:r>
      <w:r w:rsidR="0052484D" w:rsidRPr="006667E1">
        <w:rPr>
          <w:bCs/>
        </w:rPr>
        <w:t>deben cumplir, entre otros requisitos, con la firma autógrafa del actor</w:t>
      </w:r>
      <w:r w:rsidR="0055693A" w:rsidRPr="006667E1">
        <w:rPr>
          <w:bCs/>
        </w:rPr>
        <w:t>, ya que se trata de</w:t>
      </w:r>
      <w:r w:rsidR="0055693A" w:rsidRPr="006667E1">
        <w:rPr>
          <w:bCs/>
          <w:lang w:val="es-ES"/>
        </w:rPr>
        <w:t xml:space="preserve"> un requisito indispensable para la procedencia de un medio de impugnación, pues sólo así se tiene plena certeza de la voluntad para ejercer el derecho de acción</w:t>
      </w:r>
      <w:r w:rsidR="009C56F1" w:rsidRPr="006667E1">
        <w:rPr>
          <w:bCs/>
          <w:lang w:val="es-ES"/>
        </w:rPr>
        <w:t xml:space="preserve"> </w:t>
      </w:r>
      <w:r w:rsidR="0052484D" w:rsidRPr="006667E1">
        <w:rPr>
          <w:lang w:bidi="en-US"/>
        </w:rPr>
        <w:t>(artículo 3</w:t>
      </w:r>
      <w:r w:rsidR="00272C3F" w:rsidRPr="006667E1">
        <w:rPr>
          <w:lang w:bidi="en-US"/>
        </w:rPr>
        <w:t>82</w:t>
      </w:r>
      <w:r w:rsidR="0052484D" w:rsidRPr="006667E1">
        <w:rPr>
          <w:lang w:bidi="en-US"/>
        </w:rPr>
        <w:t>, de</w:t>
      </w:r>
      <w:r w:rsidR="00272C3F" w:rsidRPr="006667E1">
        <w:rPr>
          <w:lang w:bidi="en-US"/>
        </w:rPr>
        <w:t xml:space="preserve"> la Ley de </w:t>
      </w:r>
      <w:r w:rsidR="00AC0C20" w:rsidRPr="006667E1">
        <w:rPr>
          <w:lang w:bidi="en-US"/>
        </w:rPr>
        <w:t>Instituciones Local</w:t>
      </w:r>
      <w:r w:rsidR="0052484D" w:rsidRPr="006667E1">
        <w:rPr>
          <w:rStyle w:val="Refdenotaalpie"/>
          <w:lang w:bidi="en-US"/>
        </w:rPr>
        <w:footnoteReference w:id="8"/>
      </w:r>
      <w:r w:rsidR="0052484D" w:rsidRPr="006667E1">
        <w:rPr>
          <w:lang w:bidi="en-US"/>
        </w:rPr>
        <w:t xml:space="preserve">). </w:t>
      </w:r>
      <w:bookmarkStart w:id="45" w:name="_Hlk43687670"/>
    </w:p>
    <w:p w14:paraId="0E6A2DD1" w14:textId="77777777" w:rsidR="009C56F1" w:rsidRPr="006667E1" w:rsidRDefault="009C56F1" w:rsidP="00F03884">
      <w:pPr>
        <w:spacing w:after="0" w:line="360" w:lineRule="auto"/>
        <w:jc w:val="both"/>
        <w:rPr>
          <w:lang w:bidi="en-US"/>
        </w:rPr>
      </w:pPr>
    </w:p>
    <w:p w14:paraId="1A6C6FF0" w14:textId="77777777" w:rsidR="009C56F1" w:rsidRPr="006667E1" w:rsidRDefault="009C56F1" w:rsidP="00F03884">
      <w:pPr>
        <w:spacing w:after="0" w:line="360" w:lineRule="auto"/>
        <w:jc w:val="both"/>
        <w:rPr>
          <w:lang w:bidi="en-US"/>
        </w:rPr>
      </w:pPr>
      <w:r w:rsidRPr="006667E1">
        <w:rPr>
          <w:bCs/>
          <w:lang w:val="es-ES"/>
        </w:rPr>
        <w:t>La finalidad de que la firma sea autógrafa es otorgar autenticidad a la demanda, identificar al suscriptor del documento y vincularlo con el acto jurídico contenido en el escrito que se presenta.</w:t>
      </w:r>
    </w:p>
    <w:p w14:paraId="4D0F08D4" w14:textId="77777777" w:rsidR="005466C2" w:rsidRPr="006667E1" w:rsidRDefault="005466C2" w:rsidP="00F03884">
      <w:pPr>
        <w:spacing w:after="0" w:line="360" w:lineRule="auto"/>
        <w:jc w:val="both"/>
        <w:rPr>
          <w:lang w:bidi="en-US"/>
        </w:rPr>
      </w:pPr>
    </w:p>
    <w:p w14:paraId="54D28129" w14:textId="77777777" w:rsidR="0052484D" w:rsidRPr="006667E1" w:rsidRDefault="005466C2" w:rsidP="00F03884">
      <w:pPr>
        <w:spacing w:after="0" w:line="360" w:lineRule="auto"/>
        <w:jc w:val="both"/>
        <w:rPr>
          <w:lang w:bidi="en-US"/>
        </w:rPr>
      </w:pPr>
      <w:r w:rsidRPr="006667E1">
        <w:rPr>
          <w:lang w:bidi="en-US"/>
        </w:rPr>
        <w:t xml:space="preserve">En ese sentido, </w:t>
      </w:r>
      <w:r w:rsidR="00CB2743" w:rsidRPr="006667E1">
        <w:rPr>
          <w:lang w:bidi="en-US"/>
        </w:rPr>
        <w:t>en Guanajuato los</w:t>
      </w:r>
      <w:r w:rsidRPr="006667E1">
        <w:rPr>
          <w:lang w:bidi="en-US"/>
        </w:rPr>
        <w:t xml:space="preserve"> medio</w:t>
      </w:r>
      <w:r w:rsidR="00CB2743" w:rsidRPr="006667E1">
        <w:rPr>
          <w:lang w:bidi="en-US"/>
        </w:rPr>
        <w:t>s</w:t>
      </w:r>
      <w:r w:rsidRPr="006667E1">
        <w:rPr>
          <w:lang w:bidi="en-US"/>
        </w:rPr>
        <w:t xml:space="preserve"> de impugnación s</w:t>
      </w:r>
      <w:r w:rsidR="00CB2743" w:rsidRPr="006667E1">
        <w:rPr>
          <w:lang w:bidi="en-US"/>
        </w:rPr>
        <w:t>on</w:t>
      </w:r>
      <w:r w:rsidR="0052484D" w:rsidRPr="006667E1">
        <w:rPr>
          <w:bCs/>
        </w:rPr>
        <w:t xml:space="preserve"> </w:t>
      </w:r>
      <w:r w:rsidR="0052484D" w:rsidRPr="006667E1">
        <w:t>improcedente</w:t>
      </w:r>
      <w:r w:rsidR="00CB2743" w:rsidRPr="006667E1">
        <w:t>s</w:t>
      </w:r>
      <w:r w:rsidR="0052484D" w:rsidRPr="006667E1">
        <w:t xml:space="preserve"> </w:t>
      </w:r>
      <w:r w:rsidR="00CB2743" w:rsidRPr="006667E1">
        <w:rPr>
          <w:bCs/>
        </w:rPr>
        <w:t>cuando la demanda se presenta</w:t>
      </w:r>
      <w:r w:rsidR="0052484D" w:rsidRPr="006667E1">
        <w:rPr>
          <w:bCs/>
        </w:rPr>
        <w:t xml:space="preserve"> sin firma autógrafa</w:t>
      </w:r>
      <w:r w:rsidR="0055693A" w:rsidRPr="006667E1">
        <w:rPr>
          <w:bCs/>
        </w:rPr>
        <w:t xml:space="preserve">, </w:t>
      </w:r>
      <w:r w:rsidR="00F3550E" w:rsidRPr="006667E1">
        <w:rPr>
          <w:bCs/>
        </w:rPr>
        <w:t xml:space="preserve">por </w:t>
      </w:r>
      <w:r w:rsidR="0055693A" w:rsidRPr="006667E1">
        <w:rPr>
          <w:bCs/>
          <w:lang w:val="es-ES"/>
        </w:rPr>
        <w:t>la falta del elemento idóneo para acreditar la autenticidad de la voluntad del enjuiciante, en el sentido de querer ejercer el derecho público de acción</w:t>
      </w:r>
      <w:r w:rsidR="0052484D" w:rsidRPr="006667E1">
        <w:rPr>
          <w:bCs/>
        </w:rPr>
        <w:t xml:space="preserve"> </w:t>
      </w:r>
      <w:r w:rsidR="0052484D" w:rsidRPr="006667E1">
        <w:rPr>
          <w:lang w:bidi="en-US"/>
        </w:rPr>
        <w:t xml:space="preserve">(artículo </w:t>
      </w:r>
      <w:r w:rsidR="00272C3F" w:rsidRPr="006667E1">
        <w:rPr>
          <w:lang w:bidi="en-US"/>
        </w:rPr>
        <w:t>420</w:t>
      </w:r>
      <w:r w:rsidR="0052484D" w:rsidRPr="006667E1">
        <w:rPr>
          <w:lang w:bidi="en-US"/>
        </w:rPr>
        <w:t>, de</w:t>
      </w:r>
      <w:r w:rsidR="00272C3F" w:rsidRPr="006667E1">
        <w:rPr>
          <w:lang w:bidi="en-US"/>
        </w:rPr>
        <w:t xml:space="preserve"> la </w:t>
      </w:r>
      <w:r w:rsidR="00364F68" w:rsidRPr="006667E1">
        <w:rPr>
          <w:lang w:bidi="en-US"/>
        </w:rPr>
        <w:t>Ley de Instituciones Local</w:t>
      </w:r>
      <w:r w:rsidR="00364F68" w:rsidRPr="006667E1">
        <w:rPr>
          <w:rStyle w:val="Refdenotaalpie"/>
          <w:lang w:bidi="en-US"/>
        </w:rPr>
        <w:t xml:space="preserve"> </w:t>
      </w:r>
      <w:r w:rsidR="0052484D" w:rsidRPr="006667E1">
        <w:rPr>
          <w:rStyle w:val="Refdenotaalpie"/>
          <w:lang w:bidi="en-US"/>
        </w:rPr>
        <w:footnoteReference w:id="9"/>
      </w:r>
      <w:r w:rsidR="0052484D" w:rsidRPr="006667E1">
        <w:rPr>
          <w:lang w:bidi="en-US"/>
        </w:rPr>
        <w:t>).</w:t>
      </w:r>
    </w:p>
    <w:bookmarkEnd w:id="45"/>
    <w:p w14:paraId="2AB1DB10" w14:textId="77777777" w:rsidR="00302FE8" w:rsidRPr="006667E1" w:rsidRDefault="00302FE8" w:rsidP="00F03884">
      <w:pPr>
        <w:spacing w:after="0" w:line="360" w:lineRule="auto"/>
        <w:jc w:val="both"/>
        <w:rPr>
          <w:bCs/>
          <w:lang w:val="es-ES"/>
        </w:rPr>
      </w:pPr>
    </w:p>
    <w:p w14:paraId="042DAE23" w14:textId="77777777" w:rsidR="0083482C" w:rsidRPr="006667E1" w:rsidRDefault="00302FE8" w:rsidP="00F03884">
      <w:pPr>
        <w:spacing w:after="0" w:line="360" w:lineRule="auto"/>
        <w:jc w:val="both"/>
        <w:rPr>
          <w:bCs/>
          <w:lang w:val="es-ES"/>
        </w:rPr>
      </w:pPr>
      <w:r w:rsidRPr="006667E1">
        <w:rPr>
          <w:bCs/>
          <w:lang w:val="es-ES"/>
        </w:rPr>
        <w:t xml:space="preserve">En suma, </w:t>
      </w:r>
      <w:r w:rsidR="003375EF" w:rsidRPr="006667E1">
        <w:rPr>
          <w:bCs/>
          <w:lang w:val="es-ES"/>
        </w:rPr>
        <w:t xml:space="preserve">si no se presenta </w:t>
      </w:r>
      <w:r w:rsidRPr="006667E1">
        <w:rPr>
          <w:bCs/>
          <w:lang w:val="es-ES"/>
        </w:rPr>
        <w:t xml:space="preserve">el escrito original </w:t>
      </w:r>
      <w:r w:rsidR="003375EF" w:rsidRPr="006667E1">
        <w:rPr>
          <w:bCs/>
          <w:lang w:val="es-ES"/>
        </w:rPr>
        <w:t xml:space="preserve">de demanda </w:t>
      </w:r>
      <w:r w:rsidRPr="006667E1">
        <w:rPr>
          <w:bCs/>
          <w:lang w:val="es-ES"/>
        </w:rPr>
        <w:t xml:space="preserve">ante la autoridad responsable y </w:t>
      </w:r>
      <w:r w:rsidR="003375EF" w:rsidRPr="006667E1">
        <w:rPr>
          <w:bCs/>
          <w:lang w:val="es-ES"/>
        </w:rPr>
        <w:t xml:space="preserve">no se </w:t>
      </w:r>
      <w:r w:rsidRPr="006667E1">
        <w:rPr>
          <w:bCs/>
          <w:lang w:val="es-ES"/>
        </w:rPr>
        <w:t xml:space="preserve">hace constar la firma autógrafa del promovente, la </w:t>
      </w:r>
      <w:r w:rsidR="003375EF" w:rsidRPr="006667E1">
        <w:rPr>
          <w:bCs/>
          <w:lang w:val="es-ES"/>
        </w:rPr>
        <w:t xml:space="preserve">normativa electoral de Guanajuato </w:t>
      </w:r>
      <w:r w:rsidRPr="006667E1">
        <w:rPr>
          <w:bCs/>
          <w:lang w:val="es-ES"/>
        </w:rPr>
        <w:t xml:space="preserve">dispone la improcedencia del medio </w:t>
      </w:r>
      <w:r w:rsidR="009C56F1" w:rsidRPr="006667E1">
        <w:rPr>
          <w:bCs/>
          <w:lang w:val="es-ES"/>
        </w:rPr>
        <w:t>intentado</w:t>
      </w:r>
      <w:r w:rsidRPr="006667E1">
        <w:rPr>
          <w:bCs/>
          <w:lang w:val="es-ES"/>
        </w:rPr>
        <w:t xml:space="preserve">, </w:t>
      </w:r>
      <w:r w:rsidR="003375EF" w:rsidRPr="006667E1">
        <w:rPr>
          <w:bCs/>
          <w:lang w:val="es-ES"/>
        </w:rPr>
        <w:t xml:space="preserve">por </w:t>
      </w:r>
      <w:r w:rsidRPr="006667E1">
        <w:rPr>
          <w:bCs/>
          <w:lang w:val="es-ES"/>
        </w:rPr>
        <w:t>la falta del elemento idóneo para acreditar la autenticidad de la voluntad del enjuiciante</w:t>
      </w:r>
      <w:r w:rsidR="003375EF" w:rsidRPr="006667E1">
        <w:rPr>
          <w:bCs/>
          <w:lang w:val="es-ES"/>
        </w:rPr>
        <w:t xml:space="preserve"> </w:t>
      </w:r>
      <w:r w:rsidRPr="006667E1">
        <w:rPr>
          <w:bCs/>
          <w:lang w:val="es-ES"/>
        </w:rPr>
        <w:t>de querer ejercer el derecho público de acción.</w:t>
      </w:r>
    </w:p>
    <w:p w14:paraId="677E2677" w14:textId="77777777" w:rsidR="00302FE8" w:rsidRPr="006667E1" w:rsidRDefault="00302FE8" w:rsidP="00F03884">
      <w:pPr>
        <w:spacing w:after="0" w:line="240" w:lineRule="auto"/>
        <w:jc w:val="both"/>
        <w:rPr>
          <w:b/>
        </w:rPr>
      </w:pPr>
    </w:p>
    <w:p w14:paraId="6D969472" w14:textId="77777777" w:rsidR="00424AE0" w:rsidRPr="006667E1" w:rsidRDefault="00424AE0" w:rsidP="00F03884">
      <w:pPr>
        <w:spacing w:after="0" w:line="360" w:lineRule="auto"/>
        <w:jc w:val="both"/>
        <w:rPr>
          <w:b/>
        </w:rPr>
      </w:pPr>
      <w:r w:rsidRPr="006667E1">
        <w:rPr>
          <w:b/>
        </w:rPr>
        <w:t>2. Caso concretamente analizado</w:t>
      </w:r>
    </w:p>
    <w:p w14:paraId="44C9C4DC" w14:textId="77777777" w:rsidR="002B6CE6" w:rsidRPr="006667E1" w:rsidRDefault="002B6CE6" w:rsidP="00666814">
      <w:pPr>
        <w:spacing w:after="0" w:line="240" w:lineRule="auto"/>
        <w:jc w:val="both"/>
        <w:rPr>
          <w:b/>
        </w:rPr>
      </w:pPr>
    </w:p>
    <w:p w14:paraId="0B92180C" w14:textId="77777777" w:rsidR="0025057E" w:rsidRPr="006667E1" w:rsidRDefault="007A2E90" w:rsidP="00F03884">
      <w:pPr>
        <w:spacing w:after="0" w:line="360" w:lineRule="auto"/>
        <w:jc w:val="both"/>
      </w:pPr>
      <w:r w:rsidRPr="006667E1">
        <w:rPr>
          <w:b/>
          <w:bCs/>
        </w:rPr>
        <w:t>2</w:t>
      </w:r>
      <w:r w:rsidR="002B6CE6" w:rsidRPr="006667E1">
        <w:rPr>
          <w:b/>
          <w:bCs/>
        </w:rPr>
        <w:t xml:space="preserve">.1 </w:t>
      </w:r>
      <w:r w:rsidR="0025057E" w:rsidRPr="006667E1">
        <w:rPr>
          <w:b/>
          <w:bCs/>
        </w:rPr>
        <w:t xml:space="preserve">El Tribunal </w:t>
      </w:r>
      <w:r w:rsidR="00082EAB" w:rsidRPr="006667E1">
        <w:rPr>
          <w:b/>
          <w:bCs/>
        </w:rPr>
        <w:t>de Guanajuato</w:t>
      </w:r>
      <w:r w:rsidR="0025057E" w:rsidRPr="006667E1">
        <w:rPr>
          <w:bCs/>
        </w:rPr>
        <w:t xml:space="preserve"> </w:t>
      </w:r>
      <w:r w:rsidR="0025057E" w:rsidRPr="006667E1">
        <w:rPr>
          <w:b/>
        </w:rPr>
        <w:t>desechó</w:t>
      </w:r>
      <w:r w:rsidR="00A02DB9" w:rsidRPr="006667E1">
        <w:rPr>
          <w:bCs/>
        </w:rPr>
        <w:t>,</w:t>
      </w:r>
      <w:r w:rsidR="0025057E" w:rsidRPr="006667E1">
        <w:rPr>
          <w:b/>
        </w:rPr>
        <w:t xml:space="preserve"> </w:t>
      </w:r>
      <w:r w:rsidR="00A02DB9" w:rsidRPr="006667E1">
        <w:t xml:space="preserve">por falta de firma autógrafa, </w:t>
      </w:r>
      <w:r w:rsidR="00B32DE7" w:rsidRPr="006667E1">
        <w:t>la demanda de la</w:t>
      </w:r>
      <w:r w:rsidR="00315C4F" w:rsidRPr="006667E1">
        <w:t>s</w:t>
      </w:r>
      <w:r w:rsidR="00B32DE7" w:rsidRPr="006667E1">
        <w:t xml:space="preserve"> impugnante</w:t>
      </w:r>
      <w:r w:rsidR="00315C4F" w:rsidRPr="006667E1">
        <w:t>s</w:t>
      </w:r>
      <w:r w:rsidR="00A02DB9" w:rsidRPr="006667E1">
        <w:t xml:space="preserve"> presentada</w:t>
      </w:r>
      <w:r w:rsidR="00B32DE7" w:rsidRPr="006667E1">
        <w:t xml:space="preserve"> contra el acuerdo del Instituto Local que</w:t>
      </w:r>
      <w:r w:rsidR="00A02DB9" w:rsidRPr="006667E1">
        <w:t xml:space="preserve"> </w:t>
      </w:r>
      <w:r w:rsidR="00315C4F" w:rsidRPr="006667E1">
        <w:t xml:space="preserve">declaró que Erika Lizbeth Cobián no había logrado la obtención del apoyo ciudadano para contener como </w:t>
      </w:r>
      <w:r w:rsidR="00C81848" w:rsidRPr="006667E1">
        <w:t>diputada local independiente al distrito XXI en Guanajuato,</w:t>
      </w:r>
      <w:r w:rsidR="00315C4F" w:rsidRPr="006667E1">
        <w:t xml:space="preserve"> </w:t>
      </w:r>
      <w:r w:rsidR="00446AB9" w:rsidRPr="006667E1">
        <w:t xml:space="preserve">al considerar </w:t>
      </w:r>
      <w:r w:rsidR="00A02DB9" w:rsidRPr="006667E1">
        <w:t>que</w:t>
      </w:r>
      <w:r w:rsidR="00446AB9" w:rsidRPr="006667E1">
        <w:t>,</w:t>
      </w:r>
      <w:r w:rsidR="00A02DB9" w:rsidRPr="006667E1">
        <w:t xml:space="preserve"> </w:t>
      </w:r>
      <w:r w:rsidR="001E20EA" w:rsidRPr="006667E1">
        <w:t xml:space="preserve">del análisis del escrito </w:t>
      </w:r>
      <w:r w:rsidR="00A02DB9" w:rsidRPr="006667E1">
        <w:t xml:space="preserve">de demanda </w:t>
      </w:r>
      <w:r w:rsidR="001E20EA" w:rsidRPr="006667E1">
        <w:t xml:space="preserve">y </w:t>
      </w:r>
      <w:r w:rsidR="00A02DB9" w:rsidRPr="006667E1">
        <w:t xml:space="preserve">de </w:t>
      </w:r>
      <w:r w:rsidR="001E20EA" w:rsidRPr="006667E1">
        <w:t xml:space="preserve">lo </w:t>
      </w:r>
      <w:r w:rsidR="00A02DB9" w:rsidRPr="006667E1">
        <w:t xml:space="preserve">registrado </w:t>
      </w:r>
      <w:r w:rsidR="001E20EA" w:rsidRPr="006667E1">
        <w:t>por la actuaria adscrita a dicho Tribunal</w:t>
      </w:r>
      <w:r w:rsidR="00A02DB9" w:rsidRPr="006667E1">
        <w:t xml:space="preserve"> al recibirla</w:t>
      </w:r>
      <w:r w:rsidR="001E20EA" w:rsidRPr="006667E1">
        <w:t xml:space="preserve">, </w:t>
      </w:r>
      <w:r w:rsidR="00C81848" w:rsidRPr="006667E1">
        <w:t xml:space="preserve">era evidente que </w:t>
      </w:r>
      <w:r w:rsidR="001E20EA" w:rsidRPr="006667E1">
        <w:t xml:space="preserve">la </w:t>
      </w:r>
      <w:r w:rsidR="009C56F1" w:rsidRPr="006667E1">
        <w:t xml:space="preserve">demanda y la </w:t>
      </w:r>
      <w:r w:rsidR="001E20EA" w:rsidRPr="006667E1">
        <w:t xml:space="preserve">firma </w:t>
      </w:r>
      <w:r w:rsidR="009C56F1" w:rsidRPr="006667E1">
        <w:t>sólo constaban en copia</w:t>
      </w:r>
      <w:r w:rsidR="001E20EA" w:rsidRPr="006667E1">
        <w:t>.</w:t>
      </w:r>
    </w:p>
    <w:p w14:paraId="7EB13BF4" w14:textId="77777777" w:rsidR="005156A4" w:rsidRPr="006667E1" w:rsidRDefault="005156A4" w:rsidP="00F03884">
      <w:pPr>
        <w:spacing w:after="0" w:line="360" w:lineRule="auto"/>
        <w:jc w:val="both"/>
      </w:pPr>
    </w:p>
    <w:p w14:paraId="7055F74C" w14:textId="77777777" w:rsidR="002B6CE6" w:rsidRPr="006667E1" w:rsidRDefault="007A2E90" w:rsidP="00F03884">
      <w:pPr>
        <w:pStyle w:val="Prrafodelista"/>
        <w:tabs>
          <w:tab w:val="left" w:pos="5461"/>
        </w:tabs>
        <w:spacing w:after="0" w:line="360" w:lineRule="auto"/>
        <w:ind w:left="0"/>
        <w:jc w:val="both"/>
      </w:pPr>
      <w:r w:rsidRPr="006667E1">
        <w:rPr>
          <w:b/>
        </w:rPr>
        <w:lastRenderedPageBreak/>
        <w:t>2</w:t>
      </w:r>
      <w:r w:rsidR="002B6CE6" w:rsidRPr="006667E1">
        <w:rPr>
          <w:b/>
        </w:rPr>
        <w:t xml:space="preserve">.2 </w:t>
      </w:r>
      <w:r w:rsidR="00906DC5" w:rsidRPr="006667E1">
        <w:rPr>
          <w:b/>
        </w:rPr>
        <w:t>L</w:t>
      </w:r>
      <w:r w:rsidR="00475DC8" w:rsidRPr="006667E1">
        <w:rPr>
          <w:b/>
        </w:rPr>
        <w:t>a</w:t>
      </w:r>
      <w:r w:rsidR="002B6CE6" w:rsidRPr="006667E1">
        <w:rPr>
          <w:b/>
        </w:rPr>
        <w:t>s impugnantes</w:t>
      </w:r>
      <w:r w:rsidR="0025057E" w:rsidRPr="006667E1">
        <w:rPr>
          <w:b/>
        </w:rPr>
        <w:t xml:space="preserve"> </w:t>
      </w:r>
      <w:r w:rsidR="00A75E05" w:rsidRPr="006667E1">
        <w:rPr>
          <w:b/>
        </w:rPr>
        <w:t>alegan</w:t>
      </w:r>
      <w:r w:rsidR="0025057E" w:rsidRPr="006667E1">
        <w:t xml:space="preserve"> que </w:t>
      </w:r>
      <w:r w:rsidR="002B6CE6" w:rsidRPr="006667E1">
        <w:t xml:space="preserve">el Tribunal </w:t>
      </w:r>
      <w:r w:rsidR="006539F7" w:rsidRPr="006667E1">
        <w:t>L</w:t>
      </w:r>
      <w:r w:rsidR="002B6CE6" w:rsidRPr="006667E1">
        <w:t xml:space="preserve">ocal </w:t>
      </w:r>
      <w:r w:rsidR="00A05189" w:rsidRPr="006667E1">
        <w:t>no debió</w:t>
      </w:r>
      <w:r w:rsidR="001E20EA" w:rsidRPr="006667E1">
        <w:t xml:space="preserve"> desech</w:t>
      </w:r>
      <w:r w:rsidR="00A05189" w:rsidRPr="006667E1">
        <w:t>ar</w:t>
      </w:r>
      <w:r w:rsidR="001E20EA" w:rsidRPr="006667E1">
        <w:t xml:space="preserve"> su demanda, porque</w:t>
      </w:r>
      <w:r w:rsidR="00475DC8" w:rsidRPr="006667E1">
        <w:t xml:space="preserve"> s</w:t>
      </w:r>
      <w:r w:rsidR="00A05189" w:rsidRPr="006667E1">
        <w:t>í la presentaron con firma autógrafa, pero la responsable extravió la original y la sustituyeron con una copia simple y</w:t>
      </w:r>
      <w:r w:rsidR="00475DC8" w:rsidRPr="006667E1">
        <w:t xml:space="preserve"> ante</w:t>
      </w:r>
      <w:r w:rsidR="00A05189" w:rsidRPr="006667E1">
        <w:t xml:space="preserve"> el extravío debieron prevenirlas para que la</w:t>
      </w:r>
      <w:r w:rsidR="00475DC8" w:rsidRPr="006667E1">
        <w:t>s</w:t>
      </w:r>
      <w:r w:rsidR="00A05189" w:rsidRPr="006667E1">
        <w:t xml:space="preserve"> ratificaran.</w:t>
      </w:r>
    </w:p>
    <w:p w14:paraId="2CFD21F6" w14:textId="77777777" w:rsidR="009C56F1" w:rsidRPr="006667E1" w:rsidRDefault="009C56F1" w:rsidP="00F03884">
      <w:pPr>
        <w:pStyle w:val="Prrafodelista"/>
        <w:tabs>
          <w:tab w:val="left" w:pos="5461"/>
        </w:tabs>
        <w:spacing w:after="0" w:line="360" w:lineRule="auto"/>
        <w:ind w:left="0"/>
        <w:jc w:val="both"/>
      </w:pPr>
    </w:p>
    <w:p w14:paraId="060C9DE2" w14:textId="77777777" w:rsidR="00BF56D9" w:rsidRPr="006667E1" w:rsidRDefault="00BF56D9" w:rsidP="00F03884">
      <w:pPr>
        <w:spacing w:after="0" w:line="360" w:lineRule="auto"/>
        <w:jc w:val="both"/>
        <w:rPr>
          <w:b/>
        </w:rPr>
      </w:pPr>
      <w:r w:rsidRPr="006667E1">
        <w:rPr>
          <w:b/>
        </w:rPr>
        <w:t>3.</w:t>
      </w:r>
      <w:r w:rsidR="002B6CE6" w:rsidRPr="006667E1">
        <w:rPr>
          <w:b/>
        </w:rPr>
        <w:t xml:space="preserve"> </w:t>
      </w:r>
      <w:r w:rsidRPr="006667E1">
        <w:rPr>
          <w:b/>
        </w:rPr>
        <w:t>Valoración o juicio</w:t>
      </w:r>
    </w:p>
    <w:p w14:paraId="2D118D77" w14:textId="77777777" w:rsidR="00BF56D9" w:rsidRPr="006667E1" w:rsidRDefault="00BF56D9" w:rsidP="00F03884">
      <w:pPr>
        <w:spacing w:after="0" w:line="240" w:lineRule="auto"/>
        <w:jc w:val="both"/>
        <w:rPr>
          <w:b/>
        </w:rPr>
      </w:pPr>
    </w:p>
    <w:p w14:paraId="156CE813" w14:textId="77777777" w:rsidR="009C56F1" w:rsidRPr="006667E1" w:rsidRDefault="00BF56D9" w:rsidP="00F03884">
      <w:pPr>
        <w:spacing w:after="0" w:line="360" w:lineRule="auto"/>
        <w:jc w:val="both"/>
      </w:pPr>
      <w:r w:rsidRPr="006667E1">
        <w:rPr>
          <w:b/>
        </w:rPr>
        <w:t xml:space="preserve">3.1 </w:t>
      </w:r>
      <w:r w:rsidR="002B6CE6" w:rsidRPr="006667E1">
        <w:rPr>
          <w:b/>
        </w:rPr>
        <w:t xml:space="preserve">Esta Sala </w:t>
      </w:r>
      <w:r w:rsidR="001F3115" w:rsidRPr="006667E1">
        <w:rPr>
          <w:b/>
        </w:rPr>
        <w:t>Monterrey</w:t>
      </w:r>
      <w:r w:rsidR="002B6CE6" w:rsidRPr="006667E1">
        <w:rPr>
          <w:b/>
        </w:rPr>
        <w:t xml:space="preserve"> considera</w:t>
      </w:r>
      <w:r w:rsidR="002B6CE6" w:rsidRPr="006667E1">
        <w:t xml:space="preserve"> que </w:t>
      </w:r>
      <w:r w:rsidR="008D1F18" w:rsidRPr="006667E1">
        <w:rPr>
          <w:b/>
          <w:bCs/>
        </w:rPr>
        <w:t xml:space="preserve">no </w:t>
      </w:r>
      <w:r w:rsidR="00A67B19" w:rsidRPr="006667E1">
        <w:rPr>
          <w:b/>
          <w:bCs/>
        </w:rPr>
        <w:t xml:space="preserve">tienen </w:t>
      </w:r>
      <w:r w:rsidR="008D1F18" w:rsidRPr="006667E1">
        <w:rPr>
          <w:b/>
          <w:bCs/>
        </w:rPr>
        <w:t>razón</w:t>
      </w:r>
      <w:r w:rsidR="009C56F1" w:rsidRPr="006667E1">
        <w:rPr>
          <w:b/>
          <w:bCs/>
        </w:rPr>
        <w:t xml:space="preserve"> </w:t>
      </w:r>
      <w:r w:rsidR="009C56F1" w:rsidRPr="006667E1">
        <w:t>las impugnantes</w:t>
      </w:r>
      <w:r w:rsidR="00D87542" w:rsidRPr="006667E1">
        <w:t xml:space="preserve"> </w:t>
      </w:r>
      <w:r w:rsidR="001E63FC" w:rsidRPr="006667E1">
        <w:t>porque</w:t>
      </w:r>
      <w:r w:rsidR="00A67B19" w:rsidRPr="006667E1">
        <w:t xml:space="preserve">, </w:t>
      </w:r>
      <w:r w:rsidR="009C56F1" w:rsidRPr="006667E1">
        <w:t>efectivamente, como lo consideró el Tribunal Local no está demostrado que la demanda se hubiese presentado con firma autógrafa y menos que el Tribunal lo hubiera extraviado.</w:t>
      </w:r>
    </w:p>
    <w:p w14:paraId="0E0FCC37" w14:textId="77777777" w:rsidR="008D1F18" w:rsidRPr="006667E1" w:rsidRDefault="008D1F18" w:rsidP="00F03884">
      <w:pPr>
        <w:spacing w:after="0" w:line="360" w:lineRule="auto"/>
        <w:jc w:val="both"/>
      </w:pPr>
    </w:p>
    <w:p w14:paraId="0F1A0D03" w14:textId="77777777" w:rsidR="009C56F1" w:rsidRPr="006667E1" w:rsidRDefault="007628AA" w:rsidP="00F03884">
      <w:pPr>
        <w:spacing w:after="0" w:line="360" w:lineRule="auto"/>
        <w:jc w:val="both"/>
      </w:pPr>
      <w:r w:rsidRPr="006667E1">
        <w:rPr>
          <w:bCs/>
        </w:rPr>
        <w:t xml:space="preserve">Lo anterior, </w:t>
      </w:r>
      <w:r w:rsidR="009C56F1" w:rsidRPr="006667E1">
        <w:rPr>
          <w:bCs/>
        </w:rPr>
        <w:t xml:space="preserve">en primer lugar, </w:t>
      </w:r>
      <w:r w:rsidRPr="006667E1">
        <w:rPr>
          <w:bCs/>
        </w:rPr>
        <w:t>porque en</w:t>
      </w:r>
      <w:r w:rsidR="009C56F1" w:rsidRPr="006667E1">
        <w:rPr>
          <w:bCs/>
        </w:rPr>
        <w:t xml:space="preserve"> autos </w:t>
      </w:r>
      <w:r w:rsidR="009C56F1" w:rsidRPr="006667E1">
        <w:t>está demostrado que la demanda recibida por el Tribunal Local no se presentó con firma autógrafa, porque existe un acta firmada por la actuaria del Tribunal de Guanajuato en la que así se asentó</w:t>
      </w:r>
      <w:r w:rsidR="009C56F1" w:rsidRPr="006667E1">
        <w:rPr>
          <w:rStyle w:val="Refdenotaalpie"/>
        </w:rPr>
        <w:footnoteReference w:id="10"/>
      </w:r>
      <w:r w:rsidR="009C56F1" w:rsidRPr="006667E1">
        <w:t>.</w:t>
      </w:r>
    </w:p>
    <w:p w14:paraId="7571D3F3" w14:textId="77777777" w:rsidR="009C56F1" w:rsidRPr="006667E1" w:rsidRDefault="009C56F1" w:rsidP="00F03884">
      <w:pPr>
        <w:spacing w:after="0" w:line="360" w:lineRule="auto"/>
        <w:jc w:val="both"/>
        <w:rPr>
          <w:bCs/>
        </w:rPr>
      </w:pPr>
    </w:p>
    <w:p w14:paraId="2ADD0365" w14:textId="77777777" w:rsidR="009C56F1" w:rsidRPr="006667E1" w:rsidRDefault="009C56F1" w:rsidP="00F03884">
      <w:pPr>
        <w:spacing w:after="0" w:line="360" w:lineRule="auto"/>
        <w:jc w:val="both"/>
      </w:pPr>
      <w:r w:rsidRPr="006667E1">
        <w:rPr>
          <w:bCs/>
        </w:rPr>
        <w:t xml:space="preserve">Documental que tiene valor probatorio pleno, porque conforme al </w:t>
      </w:r>
      <w:r w:rsidR="0046196A" w:rsidRPr="006667E1">
        <w:rPr>
          <w:bCs/>
        </w:rPr>
        <w:t>Reglamento Interno del Tribunal Local,</w:t>
      </w:r>
      <w:r w:rsidR="007628AA" w:rsidRPr="006667E1">
        <w:rPr>
          <w:bCs/>
        </w:rPr>
        <w:t xml:space="preserve"> </w:t>
      </w:r>
      <w:r w:rsidRPr="006667E1">
        <w:rPr>
          <w:bCs/>
        </w:rPr>
        <w:t>las actuaciones realizadas por</w:t>
      </w:r>
      <w:r w:rsidR="0046196A" w:rsidRPr="006667E1">
        <w:rPr>
          <w:bCs/>
        </w:rPr>
        <w:t xml:space="preserve"> los actuarios </w:t>
      </w:r>
      <w:r w:rsidRPr="006667E1">
        <w:rPr>
          <w:bCs/>
        </w:rPr>
        <w:t>deben considerarse</w:t>
      </w:r>
      <w:r w:rsidR="009B42E9" w:rsidRPr="006667E1">
        <w:rPr>
          <w:bCs/>
        </w:rPr>
        <w:t xml:space="preserve"> válidas </w:t>
      </w:r>
      <w:r w:rsidRPr="006667E1">
        <w:t>al tratarse de funcionarios con fe pública, por tanto, si registran que un hecho ocurrió de determinada forma, debe considerarse cierto, si no hay prueba en contrario.</w:t>
      </w:r>
    </w:p>
    <w:p w14:paraId="7BD805BE" w14:textId="77777777" w:rsidR="009C56F1" w:rsidRPr="006667E1" w:rsidRDefault="009C56F1" w:rsidP="00F03884">
      <w:pPr>
        <w:spacing w:after="0" w:line="360" w:lineRule="auto"/>
        <w:jc w:val="both"/>
        <w:rPr>
          <w:bCs/>
        </w:rPr>
      </w:pPr>
    </w:p>
    <w:p w14:paraId="296131E0" w14:textId="77777777" w:rsidR="009B42E9" w:rsidRPr="006667E1" w:rsidRDefault="009B42E9" w:rsidP="00F03884">
      <w:pPr>
        <w:spacing w:after="0" w:line="360" w:lineRule="auto"/>
        <w:jc w:val="both"/>
        <w:rPr>
          <w:i/>
          <w:iCs/>
          <w:sz w:val="22"/>
          <w:szCs w:val="22"/>
          <w:lang w:val="es-MX"/>
        </w:rPr>
      </w:pPr>
      <w:r w:rsidRPr="006667E1">
        <w:rPr>
          <w:bCs/>
          <w:iCs/>
        </w:rPr>
        <w:t>Máxime que así se dispone en la tesis del rubro</w:t>
      </w:r>
      <w:r w:rsidRPr="006667E1">
        <w:rPr>
          <w:bCs/>
          <w:i/>
        </w:rPr>
        <w:t xml:space="preserve"> </w:t>
      </w:r>
      <w:r w:rsidRPr="006667E1">
        <w:rPr>
          <w:i/>
          <w:iCs/>
          <w:sz w:val="22"/>
          <w:szCs w:val="22"/>
          <w:lang w:val="es-MX"/>
        </w:rPr>
        <w:t>NOTIFICACIONES. LEGALIDAD DE LAS. EL ACTUARIO TIENE FE PUBLICA POR ACTUAR COMO AUTORIDAD EN EJERCICIO DE SUS FUNCIONES</w:t>
      </w:r>
      <w:r w:rsidRPr="006667E1">
        <w:rPr>
          <w:rStyle w:val="Refdenotaalpie"/>
        </w:rPr>
        <w:footnoteReference w:id="11"/>
      </w:r>
    </w:p>
    <w:p w14:paraId="10C32EED" w14:textId="77777777" w:rsidR="009B42E9" w:rsidRPr="006667E1" w:rsidRDefault="009B42E9" w:rsidP="00F03884">
      <w:pPr>
        <w:spacing w:after="0" w:line="360" w:lineRule="auto"/>
        <w:jc w:val="both"/>
        <w:rPr>
          <w:bCs/>
        </w:rPr>
      </w:pPr>
    </w:p>
    <w:p w14:paraId="2AEBF7B1" w14:textId="77777777" w:rsidR="009B42E9" w:rsidRPr="006667E1" w:rsidRDefault="009B42E9" w:rsidP="00F03884">
      <w:pPr>
        <w:spacing w:after="0" w:line="360" w:lineRule="auto"/>
        <w:jc w:val="both"/>
        <w:rPr>
          <w:bCs/>
        </w:rPr>
      </w:pPr>
      <w:r w:rsidRPr="006667E1">
        <w:rPr>
          <w:b/>
        </w:rPr>
        <w:t xml:space="preserve">3.2 </w:t>
      </w:r>
      <w:r w:rsidRPr="006667E1">
        <w:rPr>
          <w:bCs/>
        </w:rPr>
        <w:t xml:space="preserve">Sin que le asista razón a las impugnantes al afirmar </w:t>
      </w:r>
      <w:r w:rsidR="0006696C" w:rsidRPr="006667E1">
        <w:rPr>
          <w:bCs/>
        </w:rPr>
        <w:t xml:space="preserve">que </w:t>
      </w:r>
      <w:r w:rsidRPr="006667E1">
        <w:rPr>
          <w:bCs/>
        </w:rPr>
        <w:t>está demostrad</w:t>
      </w:r>
      <w:r w:rsidR="0006696C" w:rsidRPr="006667E1">
        <w:rPr>
          <w:bCs/>
        </w:rPr>
        <w:t>o que el Tribunal extravió la</w:t>
      </w:r>
      <w:r w:rsidRPr="006667E1">
        <w:rPr>
          <w:bCs/>
        </w:rPr>
        <w:t xml:space="preserve"> demanda </w:t>
      </w:r>
      <w:r w:rsidR="00F23263" w:rsidRPr="006667E1">
        <w:rPr>
          <w:bCs/>
        </w:rPr>
        <w:t>con firma autógrafa</w:t>
      </w:r>
      <w:r w:rsidR="0006696C" w:rsidRPr="006667E1">
        <w:rPr>
          <w:bCs/>
        </w:rPr>
        <w:t xml:space="preserve"> u original</w:t>
      </w:r>
      <w:r w:rsidR="00446E35" w:rsidRPr="006667E1">
        <w:rPr>
          <w:bCs/>
        </w:rPr>
        <w:t xml:space="preserve"> y que se alteró el acuse de recepción</w:t>
      </w:r>
      <w:r w:rsidR="00DA5B54" w:rsidRPr="006667E1">
        <w:rPr>
          <w:bCs/>
        </w:rPr>
        <w:t>,</w:t>
      </w:r>
      <w:r w:rsidR="00F23263" w:rsidRPr="006667E1">
        <w:rPr>
          <w:bCs/>
        </w:rPr>
        <w:t xml:space="preserve"> </w:t>
      </w:r>
      <w:r w:rsidR="00446E35" w:rsidRPr="006667E1">
        <w:rPr>
          <w:bCs/>
        </w:rPr>
        <w:t xml:space="preserve">así como que </w:t>
      </w:r>
      <w:r w:rsidR="0006696C" w:rsidRPr="006667E1">
        <w:rPr>
          <w:bCs/>
        </w:rPr>
        <w:t xml:space="preserve">ello lo demuestran con una copia simple del </w:t>
      </w:r>
      <w:r w:rsidRPr="006667E1">
        <w:rPr>
          <w:bCs/>
        </w:rPr>
        <w:t xml:space="preserve">acuse </w:t>
      </w:r>
      <w:r w:rsidR="0006696C" w:rsidRPr="006667E1">
        <w:rPr>
          <w:bCs/>
        </w:rPr>
        <w:t>de presentación, así como con el original que presentaría en su momento</w:t>
      </w:r>
      <w:r w:rsidRPr="006667E1">
        <w:rPr>
          <w:bCs/>
        </w:rPr>
        <w:t>.</w:t>
      </w:r>
    </w:p>
    <w:p w14:paraId="398A009E" w14:textId="77777777" w:rsidR="009B42E9" w:rsidRPr="006667E1" w:rsidRDefault="009B42E9" w:rsidP="00F03884">
      <w:pPr>
        <w:spacing w:after="0" w:line="360" w:lineRule="auto"/>
        <w:jc w:val="both"/>
        <w:rPr>
          <w:bCs/>
        </w:rPr>
      </w:pPr>
    </w:p>
    <w:p w14:paraId="7E467387" w14:textId="77777777" w:rsidR="009967EC" w:rsidRPr="006667E1" w:rsidRDefault="0006696C" w:rsidP="00F03884">
      <w:pPr>
        <w:spacing w:after="0" w:line="360" w:lineRule="auto"/>
        <w:jc w:val="both"/>
      </w:pPr>
      <w:r w:rsidRPr="006667E1">
        <w:rPr>
          <w:bCs/>
        </w:rPr>
        <w:t>Lo anterior</w:t>
      </w:r>
      <w:r w:rsidR="009B42E9" w:rsidRPr="006667E1">
        <w:rPr>
          <w:bCs/>
        </w:rPr>
        <w:t>, porque</w:t>
      </w:r>
      <w:r w:rsidR="00446E35" w:rsidRPr="006667E1">
        <w:rPr>
          <w:bCs/>
        </w:rPr>
        <w:t>,</w:t>
      </w:r>
      <w:r w:rsidR="009B42E9" w:rsidRPr="006667E1">
        <w:rPr>
          <w:bCs/>
        </w:rPr>
        <w:t xml:space="preserve"> </w:t>
      </w:r>
      <w:r w:rsidRPr="006667E1">
        <w:rPr>
          <w:bCs/>
        </w:rPr>
        <w:t xml:space="preserve">al tratarse de un hecho extraordinario, las impugnantes tenían la carga de demostrar su dicho, </w:t>
      </w:r>
      <w:r w:rsidR="009B42E9" w:rsidRPr="006667E1">
        <w:t xml:space="preserve">y </w:t>
      </w:r>
      <w:r w:rsidR="000C0F5C" w:rsidRPr="006667E1">
        <w:t>en el caso,</w:t>
      </w:r>
      <w:r w:rsidR="009B42E9" w:rsidRPr="006667E1">
        <w:t xml:space="preserve"> </w:t>
      </w:r>
      <w:r w:rsidRPr="006667E1">
        <w:t xml:space="preserve">finalmente, </w:t>
      </w:r>
      <w:r w:rsidR="009B42E9" w:rsidRPr="006667E1">
        <w:t xml:space="preserve">lo único que </w:t>
      </w:r>
      <w:r w:rsidRPr="006667E1">
        <w:lastRenderedPageBreak/>
        <w:t xml:space="preserve">allegaron al juicio </w:t>
      </w:r>
      <w:r w:rsidR="009B42E9" w:rsidRPr="006667E1">
        <w:t xml:space="preserve">fue una copia simple del acuse de recepción, </w:t>
      </w:r>
      <w:r w:rsidRPr="006667E1">
        <w:t>pero no así el original</w:t>
      </w:r>
      <w:r w:rsidR="00446E35" w:rsidRPr="006667E1">
        <w:t xml:space="preserve">, el cual únicamente refieren que podrían presentar ante la Sala Monterrey, sin que lo hubieran hecho, ante </w:t>
      </w:r>
      <w:r w:rsidRPr="006667E1">
        <w:t>e</w:t>
      </w:r>
      <w:r w:rsidR="009B42E9" w:rsidRPr="006667E1">
        <w:t>l cual</w:t>
      </w:r>
      <w:r w:rsidRPr="006667E1">
        <w:t>,</w:t>
      </w:r>
      <w:r w:rsidR="009B42E9" w:rsidRPr="006667E1">
        <w:t xml:space="preserve"> evidentemente,</w:t>
      </w:r>
      <w:r w:rsidR="00446E35" w:rsidRPr="006667E1">
        <w:t xml:space="preserve"> su afirmación no está respaldada, y menos </w:t>
      </w:r>
      <w:r w:rsidR="009B42E9" w:rsidRPr="006667E1">
        <w:t>desvirtúa lo asentado por la actuaria</w:t>
      </w:r>
      <w:r w:rsidR="00446E35" w:rsidRPr="006667E1">
        <w:t xml:space="preserve"> del Tribunal Local</w:t>
      </w:r>
      <w:r w:rsidRPr="006667E1">
        <w:t>.</w:t>
      </w:r>
      <w:r w:rsidR="009B42E9" w:rsidRPr="006667E1">
        <w:t xml:space="preserve"> </w:t>
      </w:r>
      <w:r w:rsidR="000C0F5C" w:rsidRPr="006667E1">
        <w:t xml:space="preserve"> </w:t>
      </w:r>
    </w:p>
    <w:p w14:paraId="6FCB02D8" w14:textId="77777777" w:rsidR="0006696C" w:rsidRPr="006667E1" w:rsidRDefault="0006696C" w:rsidP="00F03884">
      <w:pPr>
        <w:tabs>
          <w:tab w:val="left" w:pos="2646"/>
        </w:tabs>
        <w:spacing w:after="0" w:line="384" w:lineRule="auto"/>
        <w:jc w:val="both"/>
        <w:rPr>
          <w:bCs/>
        </w:rPr>
      </w:pPr>
    </w:p>
    <w:p w14:paraId="5A38FB99" w14:textId="77777777" w:rsidR="00446E35" w:rsidRPr="006667E1" w:rsidRDefault="009B42E9" w:rsidP="00F03884">
      <w:pPr>
        <w:tabs>
          <w:tab w:val="left" w:pos="2646"/>
        </w:tabs>
        <w:spacing w:after="0" w:line="384" w:lineRule="auto"/>
        <w:jc w:val="both"/>
      </w:pPr>
      <w:r w:rsidRPr="006667E1">
        <w:rPr>
          <w:bCs/>
        </w:rPr>
        <w:t>Ello</w:t>
      </w:r>
      <w:r w:rsidR="0042582C" w:rsidRPr="006667E1">
        <w:rPr>
          <w:bCs/>
        </w:rPr>
        <w:t xml:space="preserve">, conforme al criterio </w:t>
      </w:r>
      <w:r w:rsidRPr="006667E1">
        <w:rPr>
          <w:bCs/>
        </w:rPr>
        <w:t>de</w:t>
      </w:r>
      <w:r w:rsidR="0042582C" w:rsidRPr="006667E1">
        <w:rPr>
          <w:bCs/>
        </w:rPr>
        <w:t xml:space="preserve"> </w:t>
      </w:r>
      <w:r w:rsidR="0042582C" w:rsidRPr="006667E1">
        <w:t>la Primera Sala de la Suprema Corte de Justicia de la Nación</w:t>
      </w:r>
      <w:r w:rsidRPr="006667E1">
        <w:t xml:space="preserve"> </w:t>
      </w:r>
      <w:r w:rsidR="0042582C" w:rsidRPr="006667E1">
        <w:t xml:space="preserve">en caso de que </w:t>
      </w:r>
      <w:r w:rsidRPr="006667E1">
        <w:t>alguna de las partes alegue</w:t>
      </w:r>
      <w:r w:rsidR="0042582C" w:rsidRPr="006667E1">
        <w:t xml:space="preserve"> la existencia de hechos extraordinarios</w:t>
      </w:r>
      <w:r w:rsidRPr="006667E1">
        <w:t>,</w:t>
      </w:r>
      <w:r w:rsidR="00475DC8" w:rsidRPr="006667E1">
        <w:t xml:space="preserve"> </w:t>
      </w:r>
      <w:r w:rsidR="0042582C" w:rsidRPr="006667E1">
        <w:t xml:space="preserve">la carga de la prueba se traslada </w:t>
      </w:r>
      <w:r w:rsidR="003A6736" w:rsidRPr="006667E1">
        <w:t>a quien</w:t>
      </w:r>
      <w:r w:rsidR="0042582C" w:rsidRPr="006667E1">
        <w:t xml:space="preserve"> </w:t>
      </w:r>
      <w:r w:rsidR="003A6736" w:rsidRPr="006667E1">
        <w:t>lo alegue</w:t>
      </w:r>
      <w:r w:rsidRPr="006667E1">
        <w:rPr>
          <w:rStyle w:val="Refdenotaalpie"/>
          <w:rFonts w:eastAsiaTheme="majorEastAsia"/>
        </w:rPr>
        <w:footnoteReference w:id="12"/>
      </w:r>
      <w:r w:rsidR="0042582C" w:rsidRPr="006667E1">
        <w:t xml:space="preserve">, </w:t>
      </w:r>
      <w:r w:rsidR="0006696C" w:rsidRPr="006667E1">
        <w:t xml:space="preserve">de manera que si las impugnantes </w:t>
      </w:r>
      <w:r w:rsidRPr="006667E1">
        <w:t>afirman que el Tribunal Local extravió</w:t>
      </w:r>
      <w:r w:rsidR="0006696C" w:rsidRPr="006667E1">
        <w:t xml:space="preserve"> el escrito original firmado de una demanda </w:t>
      </w:r>
      <w:r w:rsidR="00446E35" w:rsidRPr="006667E1">
        <w:t xml:space="preserve">y alteró el acuse original del expediente </w:t>
      </w:r>
      <w:r w:rsidR="0006696C" w:rsidRPr="006667E1">
        <w:t>(situaci</w:t>
      </w:r>
      <w:r w:rsidR="00446E35" w:rsidRPr="006667E1">
        <w:t>ones</w:t>
      </w:r>
      <w:r w:rsidR="0006696C" w:rsidRPr="006667E1">
        <w:t xml:space="preserve"> que no s</w:t>
      </w:r>
      <w:r w:rsidR="00446E35" w:rsidRPr="006667E1">
        <w:t xml:space="preserve">on </w:t>
      </w:r>
      <w:r w:rsidR="0006696C" w:rsidRPr="006667E1">
        <w:t>ordinaria</w:t>
      </w:r>
      <w:r w:rsidR="00446E35" w:rsidRPr="006667E1">
        <w:t>s</w:t>
      </w:r>
      <w:r w:rsidR="0006696C" w:rsidRPr="006667E1">
        <w:t>)</w:t>
      </w:r>
      <w:r w:rsidRPr="006667E1">
        <w:t xml:space="preserve">, </w:t>
      </w:r>
      <w:r w:rsidR="00446E35" w:rsidRPr="006667E1">
        <w:t>esos hechos debían demostrarse.</w:t>
      </w:r>
    </w:p>
    <w:p w14:paraId="57190269" w14:textId="77777777" w:rsidR="00446E35" w:rsidRPr="006667E1" w:rsidRDefault="00446E35" w:rsidP="00F03884">
      <w:pPr>
        <w:tabs>
          <w:tab w:val="left" w:pos="2646"/>
        </w:tabs>
        <w:spacing w:after="0" w:line="384" w:lineRule="auto"/>
        <w:jc w:val="both"/>
        <w:rPr>
          <w:b/>
          <w:bCs/>
          <w:u w:val="single"/>
        </w:rPr>
      </w:pPr>
    </w:p>
    <w:p w14:paraId="757E4A36" w14:textId="77777777" w:rsidR="00446E35" w:rsidRPr="006667E1" w:rsidRDefault="00446E35" w:rsidP="00F03884">
      <w:pPr>
        <w:tabs>
          <w:tab w:val="left" w:pos="2646"/>
        </w:tabs>
        <w:spacing w:after="0" w:line="384" w:lineRule="auto"/>
        <w:jc w:val="both"/>
      </w:pPr>
      <w:r w:rsidRPr="006667E1">
        <w:t>Sin embargo, en el caso, dichos eventos no están demostrados porque una copia simple del acuse de recepción no lo justifica, y como se indicó, el supuesto original del acuse no fue allegado al juicio inicialmente (conforme a las reglas del proceso), ni de manera extraordinaria.</w:t>
      </w:r>
    </w:p>
    <w:p w14:paraId="08F1F22E" w14:textId="77777777" w:rsidR="00446E35" w:rsidRPr="006667E1" w:rsidRDefault="00446E35" w:rsidP="00F03884">
      <w:pPr>
        <w:spacing w:after="0" w:line="360" w:lineRule="auto"/>
        <w:jc w:val="both"/>
      </w:pPr>
    </w:p>
    <w:p w14:paraId="44E48C3A" w14:textId="77777777" w:rsidR="009E2D31" w:rsidRPr="006667E1" w:rsidRDefault="00446E35" w:rsidP="00F03884">
      <w:pPr>
        <w:spacing w:after="0" w:line="360" w:lineRule="auto"/>
        <w:jc w:val="both"/>
        <w:rPr>
          <w:color w:val="000000"/>
          <w:shd w:val="clear" w:color="auto" w:fill="FFFFFF"/>
        </w:rPr>
      </w:pPr>
      <w:r w:rsidRPr="006667E1">
        <w:t xml:space="preserve">De ahí que </w:t>
      </w:r>
      <w:r w:rsidR="00097440" w:rsidRPr="006667E1">
        <w:rPr>
          <w:color w:val="000000"/>
          <w:shd w:val="clear" w:color="auto" w:fill="FFFFFF"/>
        </w:rPr>
        <w:t xml:space="preserve">se considera </w:t>
      </w:r>
      <w:r w:rsidR="009E2D31" w:rsidRPr="006667E1">
        <w:rPr>
          <w:color w:val="000000"/>
          <w:shd w:val="clear" w:color="auto" w:fill="FFFFFF"/>
        </w:rPr>
        <w:t xml:space="preserve">correcto </w:t>
      </w:r>
      <w:r w:rsidR="00B42440" w:rsidRPr="006667E1">
        <w:rPr>
          <w:color w:val="000000"/>
          <w:shd w:val="clear" w:color="auto" w:fill="FFFFFF"/>
        </w:rPr>
        <w:t xml:space="preserve">el </w:t>
      </w:r>
      <w:proofErr w:type="spellStart"/>
      <w:r w:rsidR="009E2D31" w:rsidRPr="006667E1">
        <w:rPr>
          <w:color w:val="000000"/>
          <w:shd w:val="clear" w:color="auto" w:fill="FFFFFF"/>
        </w:rPr>
        <w:t>desecha</w:t>
      </w:r>
      <w:r w:rsidR="00B42440" w:rsidRPr="006667E1">
        <w:rPr>
          <w:color w:val="000000"/>
          <w:shd w:val="clear" w:color="auto" w:fill="FFFFFF"/>
        </w:rPr>
        <w:t>miento</w:t>
      </w:r>
      <w:proofErr w:type="spellEnd"/>
      <w:r w:rsidR="00B42440" w:rsidRPr="006667E1">
        <w:rPr>
          <w:color w:val="000000"/>
          <w:shd w:val="clear" w:color="auto" w:fill="FFFFFF"/>
        </w:rPr>
        <w:t xml:space="preserve"> de</w:t>
      </w:r>
      <w:r w:rsidR="009E2D31" w:rsidRPr="006667E1">
        <w:rPr>
          <w:color w:val="000000"/>
          <w:shd w:val="clear" w:color="auto" w:fill="FFFFFF"/>
        </w:rPr>
        <w:t xml:space="preserve"> </w:t>
      </w:r>
      <w:r w:rsidR="00097440" w:rsidRPr="006667E1">
        <w:rPr>
          <w:color w:val="000000"/>
          <w:shd w:val="clear" w:color="auto" w:fill="FFFFFF"/>
        </w:rPr>
        <w:t>la</w:t>
      </w:r>
      <w:r w:rsidR="009E2D31" w:rsidRPr="006667E1">
        <w:rPr>
          <w:color w:val="000000"/>
          <w:shd w:val="clear" w:color="auto" w:fill="FFFFFF"/>
        </w:rPr>
        <w:t xml:space="preserve"> demanda </w:t>
      </w:r>
      <w:r w:rsidR="00B42440" w:rsidRPr="006667E1">
        <w:rPr>
          <w:color w:val="000000"/>
          <w:shd w:val="clear" w:color="auto" w:fill="FFFFFF"/>
        </w:rPr>
        <w:t>por</w:t>
      </w:r>
      <w:r w:rsidR="009E2D31" w:rsidRPr="006667E1">
        <w:rPr>
          <w:color w:val="000000"/>
          <w:shd w:val="clear" w:color="auto" w:fill="FFFFFF"/>
        </w:rPr>
        <w:t xml:space="preserve"> la </w:t>
      </w:r>
      <w:r w:rsidR="00097440" w:rsidRPr="006667E1">
        <w:rPr>
          <w:color w:val="000000"/>
          <w:shd w:val="clear" w:color="auto" w:fill="FFFFFF"/>
        </w:rPr>
        <w:t xml:space="preserve">falta </w:t>
      </w:r>
      <w:r w:rsidR="009E2D31" w:rsidRPr="006667E1">
        <w:rPr>
          <w:color w:val="000000"/>
          <w:shd w:val="clear" w:color="auto" w:fill="FFFFFF"/>
        </w:rPr>
        <w:t>de firma autógrafa.</w:t>
      </w:r>
    </w:p>
    <w:p w14:paraId="0EE46BC8" w14:textId="77777777" w:rsidR="0025471C" w:rsidRPr="006667E1" w:rsidRDefault="0025471C" w:rsidP="00F03884">
      <w:pPr>
        <w:spacing w:after="0" w:line="360" w:lineRule="auto"/>
        <w:jc w:val="both"/>
        <w:rPr>
          <w:color w:val="000000"/>
          <w:shd w:val="clear" w:color="auto" w:fill="FFFFFF"/>
        </w:rPr>
      </w:pPr>
    </w:p>
    <w:p w14:paraId="6C07A1E8" w14:textId="77777777" w:rsidR="00730583" w:rsidRPr="006667E1" w:rsidRDefault="00866DB9" w:rsidP="00F03884">
      <w:pPr>
        <w:spacing w:after="0" w:line="360" w:lineRule="auto"/>
        <w:jc w:val="both"/>
        <w:rPr>
          <w:bCs/>
        </w:rPr>
      </w:pPr>
      <w:r w:rsidRPr="006667E1">
        <w:rPr>
          <w:b/>
          <w:color w:val="000000"/>
          <w:shd w:val="clear" w:color="auto" w:fill="FFFFFF"/>
        </w:rPr>
        <w:t>3.</w:t>
      </w:r>
      <w:r w:rsidR="0025471C" w:rsidRPr="006667E1">
        <w:rPr>
          <w:b/>
          <w:color w:val="000000"/>
          <w:shd w:val="clear" w:color="auto" w:fill="FFFFFF"/>
        </w:rPr>
        <w:t>3</w:t>
      </w:r>
      <w:r w:rsidRPr="006667E1">
        <w:rPr>
          <w:color w:val="000000"/>
          <w:shd w:val="clear" w:color="auto" w:fill="FFFFFF"/>
        </w:rPr>
        <w:t xml:space="preserve"> </w:t>
      </w:r>
      <w:r w:rsidR="00446E35" w:rsidRPr="006667E1">
        <w:rPr>
          <w:color w:val="000000"/>
          <w:shd w:val="clear" w:color="auto" w:fill="FFFFFF"/>
        </w:rPr>
        <w:t>Asimismo, no tiene</w:t>
      </w:r>
      <w:r w:rsidR="003421AF" w:rsidRPr="006667E1">
        <w:rPr>
          <w:color w:val="000000"/>
          <w:shd w:val="clear" w:color="auto" w:fill="FFFFFF"/>
        </w:rPr>
        <w:t>n</w:t>
      </w:r>
      <w:r w:rsidR="00446E35" w:rsidRPr="006667E1">
        <w:rPr>
          <w:color w:val="000000"/>
          <w:shd w:val="clear" w:color="auto" w:fill="FFFFFF"/>
        </w:rPr>
        <w:t xml:space="preserve"> razón las impugnantes al alega</w:t>
      </w:r>
      <w:r w:rsidR="00EC6668" w:rsidRPr="006667E1">
        <w:rPr>
          <w:color w:val="000000"/>
          <w:shd w:val="clear" w:color="auto" w:fill="FFFFFF"/>
        </w:rPr>
        <w:t>r</w:t>
      </w:r>
      <w:r w:rsidR="00446E35" w:rsidRPr="006667E1">
        <w:rPr>
          <w:color w:val="000000"/>
          <w:shd w:val="clear" w:color="auto" w:fill="FFFFFF"/>
        </w:rPr>
        <w:t xml:space="preserve"> </w:t>
      </w:r>
      <w:r w:rsidR="009E2D31" w:rsidRPr="006667E1">
        <w:rPr>
          <w:color w:val="000000"/>
          <w:shd w:val="clear" w:color="auto" w:fill="FFFFFF"/>
        </w:rPr>
        <w:t xml:space="preserve">que el Tribunal Local debió prevenirlas para que ratificaran su demanda, porque es criterio de este Tribunal </w:t>
      </w:r>
      <w:r w:rsidR="009E2D31" w:rsidRPr="006667E1">
        <w:rPr>
          <w:bCs/>
        </w:rPr>
        <w:t>que la firma autógrafa constituye un elemento esencial de validez que es insubsanable</w:t>
      </w:r>
      <w:r w:rsidR="009E2D31" w:rsidRPr="006667E1">
        <w:rPr>
          <w:rStyle w:val="Refdenotaalpie"/>
          <w:bCs/>
        </w:rPr>
        <w:footnoteReference w:id="13"/>
      </w:r>
      <w:r w:rsidR="009E2D31" w:rsidRPr="006667E1">
        <w:rPr>
          <w:bCs/>
        </w:rPr>
        <w:t>.</w:t>
      </w:r>
    </w:p>
    <w:p w14:paraId="7BDB41B4" w14:textId="77777777" w:rsidR="0025471C" w:rsidRPr="006667E1" w:rsidRDefault="0025471C" w:rsidP="00F03884">
      <w:pPr>
        <w:spacing w:after="0" w:line="360" w:lineRule="auto"/>
        <w:jc w:val="both"/>
        <w:rPr>
          <w:bCs/>
        </w:rPr>
      </w:pPr>
    </w:p>
    <w:p w14:paraId="2574A37C" w14:textId="77777777" w:rsidR="0025471C" w:rsidRPr="006667E1" w:rsidRDefault="0025471C" w:rsidP="0025471C">
      <w:pPr>
        <w:spacing w:after="0" w:line="360" w:lineRule="auto"/>
        <w:jc w:val="both"/>
        <w:rPr>
          <w:color w:val="000000"/>
          <w:shd w:val="clear" w:color="auto" w:fill="FFFFFF"/>
        </w:rPr>
      </w:pPr>
      <w:r w:rsidRPr="006667E1">
        <w:rPr>
          <w:b/>
          <w:color w:val="000000"/>
          <w:shd w:val="clear" w:color="auto" w:fill="FFFFFF"/>
        </w:rPr>
        <w:t>3.4</w:t>
      </w:r>
      <w:r w:rsidRPr="006667E1">
        <w:rPr>
          <w:color w:val="000000"/>
          <w:shd w:val="clear" w:color="auto" w:fill="FFFFFF"/>
        </w:rPr>
        <w:t xml:space="preserve"> Igualmente, es </w:t>
      </w:r>
      <w:r w:rsidRPr="006667E1">
        <w:rPr>
          <w:b/>
          <w:color w:val="000000"/>
          <w:shd w:val="clear" w:color="auto" w:fill="FFFFFF"/>
        </w:rPr>
        <w:t>ineficaz</w:t>
      </w:r>
      <w:r w:rsidRPr="006667E1">
        <w:rPr>
          <w:color w:val="000000"/>
          <w:shd w:val="clear" w:color="auto" w:fill="FFFFFF"/>
        </w:rPr>
        <w:t xml:space="preserve"> el alegato relativo a que el Tribunal Local, actuó incorrectamente porque sí les reconoció personalidad para que señalaran un cambio en el domicilio para recibir notificaciones y posteriormente no lo hizo para estudiar el fondo de su asunto.</w:t>
      </w:r>
    </w:p>
    <w:p w14:paraId="06B080BA" w14:textId="77777777" w:rsidR="0025471C" w:rsidRPr="006667E1" w:rsidRDefault="0025471C" w:rsidP="0025471C">
      <w:pPr>
        <w:spacing w:after="0" w:line="360" w:lineRule="auto"/>
        <w:jc w:val="both"/>
        <w:rPr>
          <w:color w:val="000000"/>
          <w:shd w:val="clear" w:color="auto" w:fill="FFFFFF"/>
        </w:rPr>
      </w:pPr>
    </w:p>
    <w:p w14:paraId="3C470748" w14:textId="77777777" w:rsidR="0025471C" w:rsidRPr="006667E1" w:rsidRDefault="0025471C" w:rsidP="0025471C">
      <w:pPr>
        <w:spacing w:after="0" w:line="360" w:lineRule="auto"/>
        <w:jc w:val="both"/>
        <w:rPr>
          <w:color w:val="000000"/>
          <w:shd w:val="clear" w:color="auto" w:fill="FFFFFF"/>
        </w:rPr>
      </w:pPr>
      <w:r w:rsidRPr="006667E1">
        <w:rPr>
          <w:color w:val="000000"/>
          <w:shd w:val="clear" w:color="auto" w:fill="FFFFFF"/>
        </w:rPr>
        <w:lastRenderedPageBreak/>
        <w:t>Lo anterior es así, porque las actuaciones que realizan las partes durante la sustanciación del juicio no están sujetas al estudio de los requisitos de procedencia, ya que esto es un aspecto que se analiza en la sentencia que resuelve la controversia planteada.</w:t>
      </w:r>
    </w:p>
    <w:p w14:paraId="0BEF3957" w14:textId="77777777" w:rsidR="00730583" w:rsidRPr="006667E1" w:rsidRDefault="00730583" w:rsidP="00F03884">
      <w:pPr>
        <w:spacing w:after="0" w:line="360" w:lineRule="auto"/>
        <w:jc w:val="both"/>
        <w:rPr>
          <w:bCs/>
        </w:rPr>
      </w:pPr>
    </w:p>
    <w:p w14:paraId="73776C75" w14:textId="77777777" w:rsidR="00446E35" w:rsidRPr="006667E1" w:rsidRDefault="003A7AED" w:rsidP="00F03884">
      <w:pPr>
        <w:spacing w:after="0" w:line="360" w:lineRule="auto"/>
        <w:jc w:val="both"/>
      </w:pPr>
      <w:r w:rsidRPr="006667E1">
        <w:rPr>
          <w:b/>
        </w:rPr>
        <w:t>3.</w:t>
      </w:r>
      <w:r w:rsidR="00B76A9A" w:rsidRPr="006667E1">
        <w:rPr>
          <w:b/>
        </w:rPr>
        <w:t>5</w:t>
      </w:r>
      <w:r w:rsidRPr="006667E1">
        <w:t xml:space="preserve"> </w:t>
      </w:r>
      <w:r w:rsidR="00446E35" w:rsidRPr="006667E1">
        <w:t xml:space="preserve">Adicionalmente, </w:t>
      </w:r>
      <w:r w:rsidR="00446E35" w:rsidRPr="006667E1">
        <w:rPr>
          <w:b/>
          <w:bCs/>
        </w:rPr>
        <w:t>únicamente para efectos procesales</w:t>
      </w:r>
      <w:r w:rsidR="00446E35" w:rsidRPr="006667E1">
        <w:t xml:space="preserve">, cabe precisar que, en todo caso, los planteamientos </w:t>
      </w:r>
      <w:proofErr w:type="gramStart"/>
      <w:r w:rsidR="00446E35" w:rsidRPr="006667E1">
        <w:t>en relación a</w:t>
      </w:r>
      <w:proofErr w:type="gramEnd"/>
      <w:r w:rsidR="00446E35" w:rsidRPr="006667E1">
        <w:t xml:space="preserve"> la pretensión de revocar el </w:t>
      </w:r>
      <w:proofErr w:type="spellStart"/>
      <w:r w:rsidR="00446E35" w:rsidRPr="006667E1">
        <w:t>desechamiento</w:t>
      </w:r>
      <w:proofErr w:type="spellEnd"/>
      <w:r w:rsidR="00446E35" w:rsidRPr="006667E1">
        <w:t xml:space="preserve"> y análisis, al igual que la solicitud de análisis en plenitud de jurisdicción serían </w:t>
      </w:r>
      <w:r w:rsidR="00446E35" w:rsidRPr="006667E1">
        <w:rPr>
          <w:b/>
          <w:bCs/>
        </w:rPr>
        <w:t>ineficaces</w:t>
      </w:r>
      <w:r w:rsidR="00446E35" w:rsidRPr="006667E1">
        <w:t xml:space="preserve">. </w:t>
      </w:r>
    </w:p>
    <w:p w14:paraId="4788CB00" w14:textId="77777777" w:rsidR="00446E35" w:rsidRPr="006667E1" w:rsidRDefault="00446E35" w:rsidP="00F03884">
      <w:pPr>
        <w:spacing w:after="0" w:line="360" w:lineRule="auto"/>
        <w:jc w:val="both"/>
      </w:pPr>
    </w:p>
    <w:p w14:paraId="65E09AA3" w14:textId="77777777" w:rsidR="003A7AED" w:rsidRPr="006667E1" w:rsidRDefault="00446E35" w:rsidP="00F03884">
      <w:pPr>
        <w:spacing w:after="0" w:line="360" w:lineRule="auto"/>
        <w:jc w:val="both"/>
      </w:pPr>
      <w:r w:rsidRPr="006667E1">
        <w:t xml:space="preserve">Lo anterior, porque en última instancia las impugnantes pretenden </w:t>
      </w:r>
      <w:r w:rsidR="00866DB9" w:rsidRPr="006667E1">
        <w:t>controv</w:t>
      </w:r>
      <w:r w:rsidR="00A64BBC" w:rsidRPr="006667E1">
        <w:t xml:space="preserve">ertir </w:t>
      </w:r>
      <w:r w:rsidRPr="006667E1">
        <w:t xml:space="preserve">un acuerdo intraprocesal, concretamente </w:t>
      </w:r>
      <w:r w:rsidR="00866DB9" w:rsidRPr="006667E1">
        <w:t xml:space="preserve">el acuerdo que determinó que </w:t>
      </w:r>
      <w:r w:rsidR="00315C4F" w:rsidRPr="006667E1">
        <w:t xml:space="preserve">Erika Lizbeth Cobián no logró </w:t>
      </w:r>
      <w:r w:rsidR="00866DB9" w:rsidRPr="006667E1">
        <w:t xml:space="preserve">obtener el respaldo ciudadano para contener como independiente por la diputación local, </w:t>
      </w:r>
      <w:r w:rsidRPr="006667E1">
        <w:t>en cont</w:t>
      </w:r>
      <w:r w:rsidR="00A56DA0" w:rsidRPr="006667E1">
        <w:t>r</w:t>
      </w:r>
      <w:r w:rsidRPr="006667E1">
        <w:t>a del cual la impugnación directa es improcedente, porque se trata de un acto intermedio de proceso de registro de candidato independiente, que sólo puede cuestionarse en vía de agravio a través de la resolución última que niega o acepta el registro, como se ha considerado en múltiples precedentes sustentados por esta Sala</w:t>
      </w:r>
      <w:r w:rsidRPr="006667E1">
        <w:rPr>
          <w:rStyle w:val="Refdenotaalpie"/>
        </w:rPr>
        <w:footnoteReference w:id="14"/>
      </w:r>
      <w:r w:rsidRPr="006667E1">
        <w:t xml:space="preserve">. </w:t>
      </w:r>
    </w:p>
    <w:p w14:paraId="74993EAC" w14:textId="77777777" w:rsidR="00630C5E" w:rsidRPr="006667E1" w:rsidRDefault="00630C5E" w:rsidP="00F03884">
      <w:pPr>
        <w:spacing w:after="0" w:line="360" w:lineRule="auto"/>
        <w:jc w:val="both"/>
      </w:pPr>
    </w:p>
    <w:p w14:paraId="3606360F" w14:textId="77777777" w:rsidR="00630C5E" w:rsidRPr="006667E1" w:rsidRDefault="00630C5E" w:rsidP="00F03884">
      <w:pPr>
        <w:spacing w:after="0" w:line="360" w:lineRule="auto"/>
        <w:jc w:val="both"/>
        <w:rPr>
          <w:rFonts w:eastAsia="Arial"/>
          <w:bCs/>
        </w:rPr>
      </w:pPr>
      <w:r w:rsidRPr="006667E1">
        <w:t xml:space="preserve">Cabe señalar, que </w:t>
      </w:r>
      <w:r w:rsidRPr="006667E1">
        <w:rPr>
          <w:rFonts w:eastAsia="Arial"/>
          <w:bCs/>
        </w:rPr>
        <w:t xml:space="preserve">la doctrina judicial desarrollada por la Sala Superior, respecto al tema, ha establecido la jurisprudencia del rubro: </w:t>
      </w:r>
      <w:r w:rsidRPr="006667E1">
        <w:rPr>
          <w:rFonts w:eastAsia="Arial"/>
          <w:bCs/>
          <w:i/>
          <w:iCs/>
          <w:sz w:val="22"/>
        </w:rPr>
        <w:t xml:space="preserve">CANDIDATURAS INDEPENDIENTES. LOS ACTOS EMITIDOS DURANTE LA FASE DE VERIFICACIÓN </w:t>
      </w:r>
      <w:r w:rsidRPr="006667E1">
        <w:rPr>
          <w:rFonts w:eastAsia="Arial"/>
          <w:bCs/>
          <w:i/>
          <w:iCs/>
          <w:sz w:val="22"/>
        </w:rPr>
        <w:lastRenderedPageBreak/>
        <w:t>DE APOYO CIUDADANO DE QUIENES SON ASPIRANTES CARECEN DE DEFINITIVIDAD Y FIRMEZA</w:t>
      </w:r>
      <w:r w:rsidRPr="006667E1">
        <w:rPr>
          <w:rStyle w:val="Refdenotaalpie"/>
          <w:rFonts w:eastAsia="Arial"/>
          <w:bCs/>
        </w:rPr>
        <w:footnoteReference w:id="15"/>
      </w:r>
      <w:r w:rsidRPr="006667E1">
        <w:rPr>
          <w:rFonts w:eastAsia="Arial"/>
          <w:bCs/>
        </w:rPr>
        <w:t>.</w:t>
      </w:r>
    </w:p>
    <w:p w14:paraId="2754B4BE" w14:textId="77777777" w:rsidR="00F03884" w:rsidRPr="006667E1" w:rsidRDefault="00F03884" w:rsidP="00F03884">
      <w:pPr>
        <w:spacing w:after="0" w:line="360" w:lineRule="auto"/>
        <w:jc w:val="both"/>
        <w:rPr>
          <w:rFonts w:eastAsia="Arial"/>
          <w:bCs/>
        </w:rPr>
      </w:pPr>
    </w:p>
    <w:p w14:paraId="77A6A7F3" w14:textId="77777777" w:rsidR="00630C5E" w:rsidRPr="006667E1" w:rsidRDefault="00630C5E" w:rsidP="00F03884">
      <w:pPr>
        <w:spacing w:after="0" w:line="360" w:lineRule="auto"/>
        <w:jc w:val="both"/>
        <w:rPr>
          <w:rFonts w:eastAsia="Arial"/>
          <w:bCs/>
        </w:rPr>
      </w:pPr>
      <w:r w:rsidRPr="006667E1">
        <w:rPr>
          <w:rFonts w:eastAsia="Arial"/>
          <w:bCs/>
        </w:rPr>
        <w:t>En dicha jurisprudencia, se sustenta que el acto a través del cual la autoridad informa a quienes son aspirantes sobre las modificaciones de los registros correspondientes al apoyo ciudadano, carecen de definitividad y firmeza, ya que no generan un perjuicio irreparable al impugnante, en todo caso cualquier irregularidad que se considere cometida durante esa fase puede impugna</w:t>
      </w:r>
      <w:r w:rsidR="00E361D0" w:rsidRPr="006667E1">
        <w:rPr>
          <w:rFonts w:eastAsia="Arial"/>
          <w:bCs/>
        </w:rPr>
        <w:t>r</w:t>
      </w:r>
      <w:r w:rsidRPr="006667E1">
        <w:rPr>
          <w:rFonts w:eastAsia="Arial"/>
          <w:bCs/>
        </w:rPr>
        <w:t>se en el acuerdo final que otorgue el registro.</w:t>
      </w:r>
    </w:p>
    <w:p w14:paraId="4F8607B1" w14:textId="77777777" w:rsidR="00F03884" w:rsidRPr="006667E1" w:rsidRDefault="00F03884" w:rsidP="00F03884">
      <w:pPr>
        <w:spacing w:after="0" w:line="360" w:lineRule="auto"/>
        <w:jc w:val="both"/>
        <w:rPr>
          <w:rFonts w:eastAsia="Arial"/>
          <w:bCs/>
        </w:rPr>
      </w:pPr>
    </w:p>
    <w:p w14:paraId="63E1F939" w14:textId="77777777" w:rsidR="00630C5E" w:rsidRPr="006667E1" w:rsidRDefault="00630C5E" w:rsidP="00F03884">
      <w:pPr>
        <w:spacing w:after="0" w:line="360" w:lineRule="auto"/>
        <w:jc w:val="both"/>
        <w:rPr>
          <w:rFonts w:eastAsia="Arial"/>
          <w:bCs/>
        </w:rPr>
      </w:pPr>
      <w:r w:rsidRPr="006667E1">
        <w:rPr>
          <w:rFonts w:eastAsia="Arial"/>
          <w:bCs/>
        </w:rPr>
        <w:t xml:space="preserve">Por tanto, el acto que se consideraría definitivo para poder controvertir es el acuerdo por el que el Instituto Local niegue el registro, porque es hasta ese momento en que la autoridad administrativa revisa el cumplimiento de todos los requisitos de elegibilidad. </w:t>
      </w:r>
    </w:p>
    <w:p w14:paraId="6F22FD6F" w14:textId="77777777" w:rsidR="00F03884" w:rsidRPr="006667E1" w:rsidRDefault="00F03884" w:rsidP="00F03884">
      <w:pPr>
        <w:spacing w:after="0" w:line="360" w:lineRule="auto"/>
        <w:jc w:val="both"/>
        <w:rPr>
          <w:rFonts w:eastAsia="Arial"/>
          <w:bCs/>
        </w:rPr>
      </w:pPr>
    </w:p>
    <w:p w14:paraId="2C618396" w14:textId="77777777" w:rsidR="00015E30" w:rsidRPr="006667E1" w:rsidRDefault="00F03884" w:rsidP="00F03884">
      <w:pPr>
        <w:spacing w:after="0" w:line="360" w:lineRule="auto"/>
        <w:jc w:val="both"/>
      </w:pPr>
      <w:r w:rsidRPr="006667E1">
        <w:t>Es decir</w:t>
      </w:r>
      <w:r w:rsidR="00EC6668" w:rsidRPr="006667E1">
        <w:t>, en todo</w:t>
      </w:r>
      <w:r w:rsidR="00EC6668" w:rsidRPr="006667E1">
        <w:rPr>
          <w:b/>
          <w:bCs/>
        </w:rPr>
        <w:t xml:space="preserve"> </w:t>
      </w:r>
      <w:r w:rsidR="00475DC8" w:rsidRPr="006667E1">
        <w:t>caso</w:t>
      </w:r>
      <w:r w:rsidRPr="006667E1">
        <w:t>,</w:t>
      </w:r>
      <w:r w:rsidR="00EC6668" w:rsidRPr="006667E1">
        <w:t xml:space="preserve"> los planteamientos son ineficaces porque las </w:t>
      </w:r>
      <w:r w:rsidRPr="006667E1">
        <w:t>impugnantes</w:t>
      </w:r>
      <w:r w:rsidR="00EC6668" w:rsidRPr="006667E1">
        <w:t xml:space="preserve"> no podrían alcanzar su pretensión de que el Tribunal Local o esta Sala realice un análisis de fondo, porque</w:t>
      </w:r>
      <w:r w:rsidR="005F0DCF" w:rsidRPr="006667E1">
        <w:t xml:space="preserve"> </w:t>
      </w:r>
      <w:r w:rsidR="00E361D0" w:rsidRPr="006667E1">
        <w:t xml:space="preserve">el </w:t>
      </w:r>
      <w:r w:rsidR="005F0DCF" w:rsidRPr="006667E1">
        <w:t xml:space="preserve">acto </w:t>
      </w:r>
      <w:r w:rsidR="00475DC8" w:rsidRPr="006667E1">
        <w:t xml:space="preserve">que </w:t>
      </w:r>
      <w:r w:rsidR="005F0DCF" w:rsidRPr="006667E1">
        <w:t>reclaman no es definitivo.</w:t>
      </w:r>
    </w:p>
    <w:p w14:paraId="3401D980" w14:textId="77777777" w:rsidR="000A0CCF" w:rsidRPr="006667E1" w:rsidRDefault="000A0CCF" w:rsidP="00F03884">
      <w:pPr>
        <w:spacing w:after="0" w:line="240" w:lineRule="auto"/>
        <w:jc w:val="both"/>
      </w:pPr>
    </w:p>
    <w:p w14:paraId="4601CC55" w14:textId="77777777" w:rsidR="00F85667" w:rsidRPr="006667E1" w:rsidRDefault="00A90C50" w:rsidP="00F03884">
      <w:pPr>
        <w:autoSpaceDE w:val="0"/>
        <w:autoSpaceDN w:val="0"/>
        <w:adjustRightInd w:val="0"/>
        <w:spacing w:after="0" w:line="360" w:lineRule="auto"/>
        <w:jc w:val="both"/>
        <w:rPr>
          <w:color w:val="000000"/>
        </w:rPr>
      </w:pPr>
      <w:r w:rsidRPr="006667E1">
        <w:rPr>
          <w:bCs/>
          <w:color w:val="000000"/>
        </w:rPr>
        <w:t>En ese sentido</w:t>
      </w:r>
      <w:r w:rsidR="00F85667" w:rsidRPr="006667E1">
        <w:rPr>
          <w:color w:val="000000"/>
        </w:rPr>
        <w:t>, lo procedente es</w:t>
      </w:r>
      <w:r w:rsidR="00691966" w:rsidRPr="006667E1">
        <w:rPr>
          <w:color w:val="000000"/>
        </w:rPr>
        <w:t xml:space="preserve"> </w:t>
      </w:r>
      <w:r w:rsidR="00691966" w:rsidRPr="006667E1">
        <w:rPr>
          <w:b/>
          <w:bCs/>
          <w:color w:val="000000"/>
        </w:rPr>
        <w:t>confirmar</w:t>
      </w:r>
      <w:r w:rsidR="00F85667" w:rsidRPr="006667E1">
        <w:rPr>
          <w:b/>
          <w:bCs/>
          <w:color w:val="000000"/>
        </w:rPr>
        <w:t xml:space="preserve"> </w:t>
      </w:r>
      <w:r w:rsidR="00F85667" w:rsidRPr="006667E1">
        <w:rPr>
          <w:color w:val="000000"/>
        </w:rPr>
        <w:t xml:space="preserve">la </w:t>
      </w:r>
      <w:r w:rsidR="00BD3C38" w:rsidRPr="006667E1">
        <w:rPr>
          <w:color w:val="000000"/>
        </w:rPr>
        <w:t xml:space="preserve">resolución </w:t>
      </w:r>
      <w:r w:rsidR="008657BE" w:rsidRPr="006667E1">
        <w:rPr>
          <w:color w:val="000000"/>
        </w:rPr>
        <w:t>impugnada</w:t>
      </w:r>
      <w:r w:rsidR="00F85667" w:rsidRPr="006667E1">
        <w:rPr>
          <w:color w:val="000000"/>
        </w:rPr>
        <w:t xml:space="preserve">. </w:t>
      </w:r>
    </w:p>
    <w:p w14:paraId="4E08A1A2" w14:textId="77777777" w:rsidR="00121979" w:rsidRPr="006667E1" w:rsidRDefault="00121979" w:rsidP="00F03884">
      <w:pPr>
        <w:spacing w:after="0" w:line="240" w:lineRule="auto"/>
        <w:jc w:val="both"/>
        <w:rPr>
          <w:b/>
        </w:rPr>
      </w:pPr>
    </w:p>
    <w:p w14:paraId="3C2DAC01" w14:textId="77777777" w:rsidR="00994CED" w:rsidRPr="006667E1" w:rsidRDefault="00243172" w:rsidP="00F03884">
      <w:pPr>
        <w:shd w:val="clear" w:color="auto" w:fill="FFFFFF" w:themeFill="background1"/>
        <w:spacing w:after="0" w:line="360" w:lineRule="auto"/>
        <w:jc w:val="both"/>
      </w:pPr>
      <w:r w:rsidRPr="006667E1">
        <w:t>Por lo expuesto y fundado se:</w:t>
      </w:r>
    </w:p>
    <w:p w14:paraId="3F2C6846" w14:textId="77777777" w:rsidR="00243172" w:rsidRPr="006667E1" w:rsidRDefault="00243172" w:rsidP="00F03884">
      <w:pPr>
        <w:pStyle w:val="Ttulo1"/>
        <w:shd w:val="clear" w:color="auto" w:fill="FFFFFF" w:themeFill="background1"/>
        <w:spacing w:before="0" w:beforeAutospacing="0" w:after="0" w:afterAutospacing="0"/>
        <w:jc w:val="center"/>
        <w:rPr>
          <w:caps w:val="0"/>
          <w:szCs w:val="24"/>
        </w:rPr>
      </w:pPr>
      <w:bookmarkStart w:id="47" w:name="_Toc483300366"/>
      <w:bookmarkStart w:id="48" w:name="_Toc67595964"/>
      <w:bookmarkStart w:id="49" w:name="_Toc67597708"/>
      <w:bookmarkStart w:id="50" w:name="_Toc67602882"/>
      <w:bookmarkStart w:id="51" w:name="_Toc67603706"/>
      <w:bookmarkStart w:id="52" w:name="_Toc67607001"/>
      <w:r w:rsidRPr="006667E1">
        <w:rPr>
          <w:caps w:val="0"/>
          <w:szCs w:val="24"/>
        </w:rPr>
        <w:t>Resuelve</w:t>
      </w:r>
      <w:bookmarkEnd w:id="47"/>
      <w:bookmarkEnd w:id="48"/>
      <w:bookmarkEnd w:id="49"/>
      <w:bookmarkEnd w:id="50"/>
      <w:bookmarkEnd w:id="51"/>
      <w:bookmarkEnd w:id="52"/>
    </w:p>
    <w:p w14:paraId="25A90AF7" w14:textId="77777777" w:rsidR="00866DB9" w:rsidRPr="006667E1" w:rsidRDefault="00866DB9" w:rsidP="00F03884">
      <w:pPr>
        <w:spacing w:after="0"/>
      </w:pPr>
    </w:p>
    <w:p w14:paraId="61166EC9" w14:textId="77777777" w:rsidR="009A241D" w:rsidRPr="006667E1" w:rsidRDefault="00866DB9" w:rsidP="00F03884">
      <w:pPr>
        <w:spacing w:after="0" w:line="360" w:lineRule="auto"/>
        <w:jc w:val="both"/>
        <w:rPr>
          <w:bCs/>
          <w:lang w:val="it-IT"/>
        </w:rPr>
      </w:pPr>
      <w:r w:rsidRPr="006667E1">
        <w:rPr>
          <w:rFonts w:eastAsia="Arial"/>
          <w:b/>
        </w:rPr>
        <w:t>ÚNICO</w:t>
      </w:r>
      <w:r w:rsidR="00725D3D" w:rsidRPr="006667E1">
        <w:rPr>
          <w:rFonts w:eastAsia="Arial"/>
          <w:b/>
        </w:rPr>
        <w:t xml:space="preserve">. </w:t>
      </w:r>
      <w:r w:rsidR="00243172" w:rsidRPr="006667E1">
        <w:rPr>
          <w:bCs/>
          <w:lang w:val="it-IT"/>
        </w:rPr>
        <w:t xml:space="preserve">Se </w:t>
      </w:r>
      <w:r w:rsidR="00691966" w:rsidRPr="006667E1">
        <w:rPr>
          <w:b/>
          <w:lang w:val="it-IT"/>
        </w:rPr>
        <w:t>confirma</w:t>
      </w:r>
      <w:r w:rsidR="00243172" w:rsidRPr="006667E1">
        <w:rPr>
          <w:b/>
          <w:lang w:val="it-IT"/>
        </w:rPr>
        <w:t xml:space="preserve"> </w:t>
      </w:r>
      <w:r w:rsidR="00243172" w:rsidRPr="006667E1">
        <w:rPr>
          <w:bCs/>
          <w:lang w:val="it-IT"/>
        </w:rPr>
        <w:t xml:space="preserve">la </w:t>
      </w:r>
      <w:r w:rsidR="00A54E3B" w:rsidRPr="006667E1">
        <w:rPr>
          <w:bCs/>
          <w:lang w:val="it-IT"/>
        </w:rPr>
        <w:t xml:space="preserve">resolución </w:t>
      </w:r>
      <w:r w:rsidR="00243172" w:rsidRPr="006667E1">
        <w:rPr>
          <w:bCs/>
          <w:lang w:val="it-IT"/>
        </w:rPr>
        <w:t>impugnada</w:t>
      </w:r>
      <w:r w:rsidR="009A241D" w:rsidRPr="006667E1">
        <w:rPr>
          <w:bCs/>
          <w:lang w:val="it-IT"/>
        </w:rPr>
        <w:t>.</w:t>
      </w:r>
    </w:p>
    <w:p w14:paraId="34A4F2AE" w14:textId="77777777" w:rsidR="00243172" w:rsidRPr="006667E1" w:rsidRDefault="00243172" w:rsidP="00F03884">
      <w:pPr>
        <w:shd w:val="clear" w:color="auto" w:fill="FFFFFF" w:themeFill="background1"/>
        <w:spacing w:after="0" w:line="240" w:lineRule="auto"/>
        <w:jc w:val="both"/>
        <w:rPr>
          <w:bCs/>
          <w:u w:val="single"/>
          <w:lang w:val="it-IT"/>
        </w:rPr>
      </w:pPr>
    </w:p>
    <w:p w14:paraId="36FED900" w14:textId="77777777" w:rsidR="00243172" w:rsidRPr="006667E1" w:rsidRDefault="00243172" w:rsidP="00F03884">
      <w:pPr>
        <w:shd w:val="clear" w:color="auto" w:fill="FFFFFF" w:themeFill="background1"/>
        <w:spacing w:after="0" w:line="360" w:lineRule="auto"/>
        <w:jc w:val="both"/>
      </w:pPr>
      <w:r w:rsidRPr="006667E1">
        <w:t xml:space="preserve">En su oportunidad, archívese </w:t>
      </w:r>
      <w:r w:rsidR="00E361D0" w:rsidRPr="006667E1">
        <w:t xml:space="preserve">el </w:t>
      </w:r>
      <w:r w:rsidRPr="006667E1">
        <w:t>expediente como asunto concluido; en su caso, devuélvase la documentación que en original haya exhibido la responsable.</w:t>
      </w:r>
    </w:p>
    <w:p w14:paraId="69D79C08" w14:textId="77777777" w:rsidR="00243172" w:rsidRPr="006667E1" w:rsidRDefault="00243172" w:rsidP="00F03884">
      <w:pPr>
        <w:shd w:val="clear" w:color="auto" w:fill="FFFFFF" w:themeFill="background1"/>
        <w:spacing w:after="0" w:line="240" w:lineRule="auto"/>
        <w:jc w:val="both"/>
      </w:pPr>
    </w:p>
    <w:p w14:paraId="0F89C03E" w14:textId="77777777" w:rsidR="00243172" w:rsidRPr="006667E1" w:rsidRDefault="00243172" w:rsidP="00F03884">
      <w:pPr>
        <w:shd w:val="clear" w:color="auto" w:fill="FFFFFF" w:themeFill="background1"/>
        <w:spacing w:after="0" w:line="360" w:lineRule="auto"/>
        <w:jc w:val="both"/>
        <w:rPr>
          <w:lang w:eastAsia="es-MX"/>
        </w:rPr>
      </w:pPr>
      <w:r w:rsidRPr="006667E1">
        <w:rPr>
          <w:b/>
          <w:bCs/>
          <w:lang w:eastAsia="es-MX"/>
        </w:rPr>
        <w:t>Notifíquese</w:t>
      </w:r>
      <w:r w:rsidRPr="006667E1">
        <w:rPr>
          <w:lang w:eastAsia="es-MX"/>
        </w:rPr>
        <w:t>, como en Derecho corresponda.</w:t>
      </w:r>
    </w:p>
    <w:p w14:paraId="32A0BC21" w14:textId="77777777" w:rsidR="00243172" w:rsidRPr="006667E1" w:rsidRDefault="00243172" w:rsidP="00F03884">
      <w:pPr>
        <w:shd w:val="clear" w:color="auto" w:fill="FFFFFF" w:themeFill="background1"/>
        <w:spacing w:after="0" w:line="240" w:lineRule="auto"/>
        <w:jc w:val="both"/>
        <w:rPr>
          <w:lang w:eastAsia="es-MX"/>
        </w:rPr>
      </w:pPr>
    </w:p>
    <w:p w14:paraId="5B5DFAE7" w14:textId="570BC70B" w:rsidR="00243172" w:rsidRPr="006667E1" w:rsidRDefault="00243172" w:rsidP="00F03884">
      <w:pPr>
        <w:shd w:val="clear" w:color="auto" w:fill="FFFFFF" w:themeFill="background1"/>
        <w:spacing w:after="0" w:line="360" w:lineRule="auto"/>
        <w:jc w:val="both"/>
        <w:rPr>
          <w:rFonts w:eastAsia="Calibri"/>
          <w:lang w:eastAsia="es-MX"/>
        </w:rPr>
      </w:pPr>
      <w:r w:rsidRPr="006667E1">
        <w:rPr>
          <w:rFonts w:eastAsia="Calibri"/>
          <w:lang w:eastAsia="es-MX"/>
        </w:rPr>
        <w:lastRenderedPageBreak/>
        <w:t>Así lo resolvieron</w:t>
      </w:r>
      <w:r w:rsidR="001C0152" w:rsidRPr="006667E1">
        <w:rPr>
          <w:rFonts w:eastAsia="Calibri"/>
          <w:lang w:eastAsia="es-MX"/>
        </w:rPr>
        <w:t>,</w:t>
      </w:r>
      <w:r w:rsidRPr="006667E1">
        <w:rPr>
          <w:rFonts w:eastAsia="Calibri"/>
          <w:lang w:eastAsia="es-MX"/>
        </w:rPr>
        <w:t xml:space="preserve"> por</w:t>
      </w:r>
      <w:r w:rsidR="00DF4DA6" w:rsidRPr="006667E1">
        <w:rPr>
          <w:rFonts w:eastAsia="Calibri"/>
          <w:lang w:eastAsia="es-MX"/>
        </w:rPr>
        <w:t xml:space="preserve"> </w:t>
      </w:r>
      <w:r w:rsidR="006667E1">
        <w:rPr>
          <w:rFonts w:eastAsia="Calibri"/>
          <w:b/>
          <w:bCs/>
          <w:lang w:eastAsia="es-MX"/>
        </w:rPr>
        <w:t xml:space="preserve">unanimidad </w:t>
      </w:r>
      <w:r w:rsidRPr="006667E1">
        <w:rPr>
          <w:rFonts w:eastAsia="Calibri"/>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3F6F639C" w14:textId="77777777" w:rsidR="00243172" w:rsidRPr="006667E1" w:rsidRDefault="00243172" w:rsidP="00F03884">
      <w:pPr>
        <w:spacing w:after="0"/>
        <w:jc w:val="both"/>
        <w:rPr>
          <w:bCs/>
          <w:i/>
          <w:iCs/>
          <w:sz w:val="22"/>
          <w:szCs w:val="22"/>
        </w:rPr>
      </w:pPr>
    </w:p>
    <w:p w14:paraId="2F4D1C88" w14:textId="77777777" w:rsidR="000E122C" w:rsidRPr="006667E1" w:rsidRDefault="00243172" w:rsidP="00F03884">
      <w:pPr>
        <w:spacing w:after="0"/>
        <w:jc w:val="both"/>
        <w:rPr>
          <w:bCs/>
          <w:i/>
          <w:iCs/>
          <w:sz w:val="22"/>
          <w:szCs w:val="22"/>
        </w:rPr>
      </w:pPr>
      <w:r w:rsidRPr="006667E1">
        <w:rPr>
          <w:bCs/>
          <w:i/>
          <w:iCs/>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C4C6479" w14:textId="77777777" w:rsidR="00DE5299" w:rsidRPr="006667E1" w:rsidRDefault="00DE5299" w:rsidP="00F03884">
      <w:pPr>
        <w:spacing w:after="0"/>
        <w:jc w:val="both"/>
        <w:rPr>
          <w:bCs/>
          <w:i/>
          <w:iCs/>
          <w:sz w:val="22"/>
          <w:szCs w:val="22"/>
        </w:rPr>
      </w:pPr>
    </w:p>
    <w:p w14:paraId="59B75258" w14:textId="77777777" w:rsidR="00DE5299" w:rsidRPr="00F37625" w:rsidRDefault="00DE5299" w:rsidP="00F03884">
      <w:pPr>
        <w:spacing w:after="0"/>
        <w:jc w:val="both"/>
        <w:rPr>
          <w:rFonts w:eastAsia="Calibri"/>
          <w:lang w:eastAsia="es-MX"/>
        </w:rPr>
      </w:pPr>
      <w:r w:rsidRPr="006667E1">
        <w:rPr>
          <w:bCs/>
          <w:i/>
          <w:iCs/>
          <w:sz w:val="22"/>
          <w:szCs w:val="22"/>
        </w:rPr>
        <w:t>..</w:t>
      </w:r>
    </w:p>
    <w:sectPr w:rsidR="00DE5299" w:rsidRPr="00F37625" w:rsidSect="00D2157F">
      <w:headerReference w:type="even" r:id="rId11"/>
      <w:headerReference w:type="default" r:id="rId12"/>
      <w:headerReference w:type="first" r:id="rId13"/>
      <w:pgSz w:w="12240" w:h="20160" w:code="5"/>
      <w:pgMar w:top="1702"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4383" w14:textId="77777777" w:rsidR="001A6FA6" w:rsidRDefault="001A6FA6" w:rsidP="00243172">
      <w:pPr>
        <w:spacing w:after="0" w:line="240" w:lineRule="auto"/>
      </w:pPr>
      <w:r>
        <w:separator/>
      </w:r>
    </w:p>
  </w:endnote>
  <w:endnote w:type="continuationSeparator" w:id="0">
    <w:p w14:paraId="782CCA62" w14:textId="77777777" w:rsidR="001A6FA6" w:rsidRDefault="001A6FA6" w:rsidP="00243172">
      <w:pPr>
        <w:spacing w:after="0" w:line="240" w:lineRule="auto"/>
      </w:pPr>
      <w:r>
        <w:continuationSeparator/>
      </w:r>
    </w:p>
  </w:endnote>
  <w:endnote w:type="continuationNotice" w:id="1">
    <w:p w14:paraId="2FFFDA59" w14:textId="77777777" w:rsidR="001A6FA6" w:rsidRDefault="001A6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TheSansOsF SemiLight">
    <w:altName w:val="Times New Roman"/>
    <w:charset w:val="00"/>
    <w:family w:val="auto"/>
    <w:pitch w:val="default"/>
  </w:font>
  <w:font w:name="Montserrat">
    <w:altName w:val="Calibri"/>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34B2" w14:textId="77777777" w:rsidR="001A6FA6" w:rsidRDefault="001A6FA6" w:rsidP="00243172">
      <w:pPr>
        <w:spacing w:after="0" w:line="240" w:lineRule="auto"/>
      </w:pPr>
      <w:r>
        <w:separator/>
      </w:r>
    </w:p>
  </w:footnote>
  <w:footnote w:type="continuationSeparator" w:id="0">
    <w:p w14:paraId="5C49EE27" w14:textId="77777777" w:rsidR="001A6FA6" w:rsidRDefault="001A6FA6" w:rsidP="00243172">
      <w:pPr>
        <w:spacing w:after="0" w:line="240" w:lineRule="auto"/>
      </w:pPr>
      <w:r>
        <w:continuationSeparator/>
      </w:r>
    </w:p>
  </w:footnote>
  <w:footnote w:type="continuationNotice" w:id="1">
    <w:p w14:paraId="578F1DA9" w14:textId="77777777" w:rsidR="001A6FA6" w:rsidRDefault="001A6FA6">
      <w:pPr>
        <w:spacing w:after="0" w:line="240" w:lineRule="auto"/>
      </w:pPr>
    </w:p>
  </w:footnote>
  <w:footnote w:id="2">
    <w:p w14:paraId="0B767CE7" w14:textId="77777777" w:rsidR="009E2D31" w:rsidRPr="00866DB9" w:rsidRDefault="009E2D31" w:rsidP="00866DB9">
      <w:pPr>
        <w:tabs>
          <w:tab w:val="left" w:pos="708"/>
        </w:tabs>
        <w:spacing w:after="0" w:line="240" w:lineRule="auto"/>
        <w:contextualSpacing/>
        <w:jc w:val="both"/>
        <w:rPr>
          <w:sz w:val="16"/>
          <w:szCs w:val="16"/>
          <w:shd w:val="clear" w:color="auto" w:fill="FFFFFF"/>
        </w:rPr>
      </w:pPr>
      <w:r w:rsidRPr="00866DB9">
        <w:rPr>
          <w:rStyle w:val="Refdenotaalpie"/>
          <w:sz w:val="16"/>
          <w:szCs w:val="16"/>
        </w:rPr>
        <w:footnoteRef/>
      </w:r>
      <w:r w:rsidRPr="00866DB9">
        <w:rPr>
          <w:sz w:val="16"/>
          <w:szCs w:val="16"/>
        </w:rPr>
        <w:t xml:space="preserve"> </w:t>
      </w:r>
      <w:r w:rsidRPr="00866DB9">
        <w:rPr>
          <w:rFonts w:eastAsia="Times New Roman"/>
          <w:sz w:val="16"/>
          <w:szCs w:val="16"/>
          <w:lang w:eastAsia="es-MX"/>
        </w:rPr>
        <w:t>Conforme a los artículos 195, fracción IV, inciso a), de la Ley Orgánica del Poder Judicial de la Federación y 83, párrafo 1, inciso b), fracción I, de la Ley General del Sistema de Medios de Impugnación.</w:t>
      </w:r>
    </w:p>
  </w:footnote>
  <w:footnote w:id="3">
    <w:p w14:paraId="5BA25B98" w14:textId="77777777" w:rsidR="009E2D31" w:rsidRPr="00866DB9" w:rsidRDefault="009E2D31" w:rsidP="00866DB9">
      <w:pPr>
        <w:pStyle w:val="Textonotapie"/>
        <w:shd w:val="clear" w:color="auto" w:fill="FFFFFF" w:themeFill="background1"/>
        <w:jc w:val="both"/>
        <w:rPr>
          <w:sz w:val="16"/>
          <w:szCs w:val="16"/>
        </w:rPr>
      </w:pPr>
      <w:r w:rsidRPr="00866DB9">
        <w:rPr>
          <w:rStyle w:val="Refdenotaalpie"/>
          <w:sz w:val="16"/>
          <w:szCs w:val="16"/>
        </w:rPr>
        <w:footnoteRef/>
      </w:r>
      <w:r w:rsidRPr="00866DB9">
        <w:rPr>
          <w:sz w:val="16"/>
          <w:szCs w:val="16"/>
        </w:rPr>
        <w:t xml:space="preserve"> Véase acuerdo de admisión.</w:t>
      </w:r>
    </w:p>
  </w:footnote>
  <w:footnote w:id="4">
    <w:p w14:paraId="7EA0C077" w14:textId="77777777" w:rsidR="009E2D31" w:rsidRPr="00866DB9" w:rsidRDefault="009E2D31" w:rsidP="00866DB9">
      <w:pPr>
        <w:pStyle w:val="Textonotapie"/>
        <w:jc w:val="both"/>
        <w:rPr>
          <w:sz w:val="16"/>
          <w:szCs w:val="16"/>
        </w:rPr>
      </w:pPr>
      <w:r w:rsidRPr="00866DB9">
        <w:rPr>
          <w:rStyle w:val="Refdenotaalpie"/>
          <w:sz w:val="16"/>
          <w:szCs w:val="16"/>
        </w:rPr>
        <w:footnoteRef/>
      </w:r>
      <w:r w:rsidRPr="00866DB9">
        <w:rPr>
          <w:sz w:val="16"/>
          <w:szCs w:val="16"/>
        </w:rPr>
        <w:t xml:space="preserve"> Hechos relevantes que se advierten de las constancias de autos y afirmaciones realizadas por las partes.</w:t>
      </w:r>
    </w:p>
  </w:footnote>
  <w:footnote w:id="5">
    <w:p w14:paraId="780484CC" w14:textId="77777777" w:rsidR="005F0DCF" w:rsidRPr="005F0DCF" w:rsidRDefault="005F0DCF">
      <w:pPr>
        <w:pStyle w:val="Textonotapie"/>
        <w:rPr>
          <w:sz w:val="16"/>
          <w:szCs w:val="16"/>
          <w:lang w:val="es-MX"/>
        </w:rPr>
      </w:pPr>
      <w:r w:rsidRPr="005F0DCF">
        <w:rPr>
          <w:rStyle w:val="Refdenotaalpie"/>
          <w:sz w:val="16"/>
          <w:szCs w:val="16"/>
        </w:rPr>
        <w:footnoteRef/>
      </w:r>
      <w:r w:rsidRPr="005F0DCF">
        <w:rPr>
          <w:sz w:val="16"/>
          <w:szCs w:val="16"/>
        </w:rPr>
        <w:t xml:space="preserve"> En su calidad de</w:t>
      </w:r>
      <w:r w:rsidRPr="005F0DCF">
        <w:rPr>
          <w:sz w:val="16"/>
          <w:szCs w:val="16"/>
          <w:lang w:val="es-MX"/>
        </w:rPr>
        <w:t xml:space="preserve"> representante de la asociación civil “</w:t>
      </w:r>
      <w:r w:rsidR="00A60F43" w:rsidRPr="005F0DCF">
        <w:rPr>
          <w:sz w:val="16"/>
          <w:szCs w:val="16"/>
          <w:lang w:val="es-MX"/>
        </w:rPr>
        <w:t>Lánzate</w:t>
      </w:r>
      <w:r w:rsidRPr="005F0DCF">
        <w:rPr>
          <w:sz w:val="16"/>
          <w:szCs w:val="16"/>
          <w:lang w:val="es-MX"/>
        </w:rPr>
        <w:t xml:space="preserve"> por León A.C.”.</w:t>
      </w:r>
    </w:p>
  </w:footnote>
  <w:footnote w:id="6">
    <w:p w14:paraId="606771C8" w14:textId="63757386" w:rsidR="009E2D31" w:rsidRPr="005F0DCF" w:rsidRDefault="009E2D31" w:rsidP="00866DB9">
      <w:pPr>
        <w:pStyle w:val="Textonotapie"/>
        <w:jc w:val="both"/>
        <w:rPr>
          <w:sz w:val="16"/>
          <w:szCs w:val="16"/>
        </w:rPr>
      </w:pPr>
      <w:r w:rsidRPr="005F0DCF">
        <w:rPr>
          <w:rStyle w:val="Refdenotaalpie"/>
          <w:sz w:val="16"/>
          <w:szCs w:val="16"/>
        </w:rPr>
        <w:footnoteRef/>
      </w:r>
      <w:r w:rsidRPr="005F0DCF">
        <w:rPr>
          <w:sz w:val="16"/>
          <w:szCs w:val="16"/>
        </w:rPr>
        <w:t xml:space="preserve"> Sentencia de </w:t>
      </w:r>
      <w:r w:rsidR="006667E1">
        <w:rPr>
          <w:sz w:val="16"/>
          <w:szCs w:val="16"/>
        </w:rPr>
        <w:t>26</w:t>
      </w:r>
      <w:r w:rsidRPr="005F0DCF">
        <w:rPr>
          <w:sz w:val="16"/>
          <w:szCs w:val="16"/>
        </w:rPr>
        <w:t xml:space="preserve"> de marzo dictada en el expediente </w:t>
      </w:r>
      <w:r w:rsidR="006667E1">
        <w:rPr>
          <w:sz w:val="16"/>
          <w:szCs w:val="16"/>
        </w:rPr>
        <w:t>TEEG-JPDC-15/2021</w:t>
      </w:r>
      <w:r w:rsidRPr="005F0DCF">
        <w:rPr>
          <w:sz w:val="16"/>
          <w:szCs w:val="16"/>
        </w:rPr>
        <w:t>.</w:t>
      </w:r>
    </w:p>
  </w:footnote>
  <w:footnote w:id="7">
    <w:p w14:paraId="7B84E03E" w14:textId="77777777" w:rsidR="009E2D31" w:rsidRPr="00866DB9" w:rsidRDefault="009E2D31" w:rsidP="00866DB9">
      <w:pPr>
        <w:pStyle w:val="Textonotapie"/>
        <w:jc w:val="both"/>
        <w:rPr>
          <w:sz w:val="16"/>
          <w:szCs w:val="16"/>
        </w:rPr>
      </w:pPr>
      <w:r w:rsidRPr="00866DB9">
        <w:rPr>
          <w:rStyle w:val="Refdenotaalpie"/>
          <w:sz w:val="16"/>
          <w:szCs w:val="16"/>
        </w:rPr>
        <w:footnoteRef/>
      </w:r>
      <w:r w:rsidRPr="00866DB9">
        <w:rPr>
          <w:sz w:val="16"/>
          <w:szCs w:val="16"/>
        </w:rPr>
        <w:t xml:space="preserve"> Artículo 381. Los medios de impugnación regulados por esta Ley, tienen por objeto garantizar que todos los actos o resoluciones dictadas por los órganos electorales del Instituto Estatal y en su caso, por el Pleno del Tribunal Estatal Electoral, se sujeten invariablemente a los principios constitucionales de legalidad, certeza, independencia, imparcialidad y objetividad, así como dar definitividad a los distintos actos y etapas de los procesos electorales; y proteger los derechos político-electorales de los ciudadanos del estado. Los medios de impugnación reglamentados por este ordenamiento son: </w:t>
      </w:r>
    </w:p>
    <w:p w14:paraId="339B9B84" w14:textId="77777777" w:rsidR="009E2D31" w:rsidRPr="00866DB9" w:rsidRDefault="009E2D31" w:rsidP="00866DB9">
      <w:pPr>
        <w:pStyle w:val="Textonotapie"/>
        <w:jc w:val="both"/>
        <w:rPr>
          <w:sz w:val="16"/>
          <w:szCs w:val="16"/>
        </w:rPr>
      </w:pPr>
      <w:r w:rsidRPr="00866DB9">
        <w:rPr>
          <w:sz w:val="16"/>
          <w:szCs w:val="16"/>
        </w:rPr>
        <w:t xml:space="preserve">I. El juicio para la protección de los derechos político-electorales del ciudadano; II. El recurso de revocación, y </w:t>
      </w:r>
    </w:p>
    <w:p w14:paraId="73A9ED7E" w14:textId="77777777" w:rsidR="009E2D31" w:rsidRPr="00866DB9" w:rsidRDefault="009E2D31" w:rsidP="00866DB9">
      <w:pPr>
        <w:pStyle w:val="Textonotapie"/>
        <w:jc w:val="both"/>
        <w:rPr>
          <w:sz w:val="16"/>
          <w:szCs w:val="16"/>
        </w:rPr>
      </w:pPr>
      <w:r w:rsidRPr="00866DB9">
        <w:rPr>
          <w:sz w:val="16"/>
          <w:szCs w:val="16"/>
        </w:rPr>
        <w:t>III. El recurso de revisión.</w:t>
      </w:r>
    </w:p>
  </w:footnote>
  <w:footnote w:id="8">
    <w:p w14:paraId="5908F31B" w14:textId="77777777" w:rsidR="009E2D31" w:rsidRPr="00866DB9" w:rsidRDefault="009E2D31" w:rsidP="00866DB9">
      <w:pPr>
        <w:pStyle w:val="Textonotapie"/>
        <w:jc w:val="both"/>
        <w:rPr>
          <w:sz w:val="16"/>
          <w:szCs w:val="16"/>
        </w:rPr>
      </w:pPr>
      <w:r w:rsidRPr="00866DB9">
        <w:rPr>
          <w:rStyle w:val="Refdenotaalpie"/>
          <w:sz w:val="16"/>
          <w:szCs w:val="16"/>
        </w:rPr>
        <w:footnoteRef/>
      </w:r>
      <w:r w:rsidRPr="00866DB9">
        <w:rPr>
          <w:sz w:val="16"/>
          <w:szCs w:val="16"/>
        </w:rPr>
        <w:t xml:space="preserve"> Artículo 382. Los medios de impugnación deberán formularse por </w:t>
      </w:r>
      <w:r w:rsidRPr="00866DB9">
        <w:rPr>
          <w:b/>
          <w:sz w:val="16"/>
          <w:szCs w:val="16"/>
          <w:u w:val="single"/>
        </w:rPr>
        <w:t>escrito firmado por el promovente</w:t>
      </w:r>
      <w:r w:rsidRPr="00866DB9">
        <w:rPr>
          <w:sz w:val="16"/>
          <w:szCs w:val="16"/>
        </w:rPr>
        <w:t xml:space="preserve">, en el que se expresará: </w:t>
      </w:r>
    </w:p>
    <w:p w14:paraId="47634839" w14:textId="77777777" w:rsidR="009E2D31" w:rsidRPr="00866DB9" w:rsidRDefault="009E2D31" w:rsidP="00866DB9">
      <w:pPr>
        <w:pStyle w:val="Textonotapie"/>
        <w:jc w:val="both"/>
        <w:rPr>
          <w:sz w:val="16"/>
          <w:szCs w:val="16"/>
        </w:rPr>
      </w:pPr>
      <w:r w:rsidRPr="00866DB9">
        <w:rPr>
          <w:sz w:val="16"/>
          <w:szCs w:val="16"/>
        </w:rPr>
        <w:t>I. Nombre y domicilio de promovente; II. El acto o resolución que se impugna; III. El organismo electoral del cual proviene el acto o resolución; IV. Los antecedentes del acto o resolución de los que tenga conocimiento el promovente; V. Los preceptos legales que se consideren violados; VI. La expresión de los agravios que cause el acto o resolución impugnados; VII. En su caso, el nombre y domicilio del tercero interesado, y VIII. El ofrecimiento de las pruebas documentales públicas y privadas que se adjunten y el fundamento de las presunciones legales y humanas que hagan valer. Al escrito de interposición del recurso se acompañarán los documentos que acrediten la personalidad del promovente, cuando no esté reconocida en los expedientes de los que emane el acto o resolución impugnada.</w:t>
      </w:r>
    </w:p>
    <w:p w14:paraId="46D67E62" w14:textId="77777777" w:rsidR="009E2D31" w:rsidRPr="00866DB9" w:rsidRDefault="009E2D31" w:rsidP="00866DB9">
      <w:pPr>
        <w:pStyle w:val="Textonotapie"/>
        <w:jc w:val="both"/>
        <w:rPr>
          <w:sz w:val="16"/>
          <w:szCs w:val="16"/>
        </w:rPr>
      </w:pPr>
      <w:r w:rsidRPr="00866DB9">
        <w:rPr>
          <w:sz w:val="16"/>
          <w:szCs w:val="16"/>
        </w:rPr>
        <w:t>[…]</w:t>
      </w:r>
    </w:p>
  </w:footnote>
  <w:footnote w:id="9">
    <w:p w14:paraId="2DBB60FA" w14:textId="77777777" w:rsidR="009E2D31" w:rsidRPr="00866DB9" w:rsidRDefault="009E2D31" w:rsidP="00866DB9">
      <w:pPr>
        <w:pStyle w:val="Textonotapie"/>
        <w:jc w:val="both"/>
        <w:rPr>
          <w:sz w:val="16"/>
          <w:szCs w:val="16"/>
        </w:rPr>
      </w:pPr>
      <w:r w:rsidRPr="00866DB9">
        <w:rPr>
          <w:rStyle w:val="Refdenotaalpie"/>
          <w:sz w:val="16"/>
          <w:szCs w:val="16"/>
        </w:rPr>
        <w:footnoteRef/>
      </w:r>
      <w:r w:rsidRPr="00866DB9">
        <w:rPr>
          <w:sz w:val="16"/>
          <w:szCs w:val="16"/>
        </w:rPr>
        <w:t xml:space="preserve"> Artículo 420. En todo caso, los medios de impugnación se entenderán como notoriamente improcedentes, y por tanto serán desechados de plano, cuando:</w:t>
      </w:r>
    </w:p>
    <w:p w14:paraId="08841577" w14:textId="77777777" w:rsidR="009E2D31" w:rsidRPr="00866DB9" w:rsidRDefault="009E2D31" w:rsidP="00866DB9">
      <w:pPr>
        <w:pStyle w:val="Textonotapie"/>
        <w:jc w:val="both"/>
        <w:rPr>
          <w:sz w:val="16"/>
          <w:szCs w:val="16"/>
        </w:rPr>
      </w:pPr>
      <w:r w:rsidRPr="00866DB9">
        <w:rPr>
          <w:sz w:val="16"/>
          <w:szCs w:val="16"/>
        </w:rPr>
        <w:t>I. No sean firmados por el promovente;</w:t>
      </w:r>
      <w:r w:rsidRPr="00866DB9">
        <w:rPr>
          <w:sz w:val="16"/>
          <w:szCs w:val="16"/>
        </w:rPr>
        <w:cr/>
      </w:r>
    </w:p>
    <w:p w14:paraId="4E382403" w14:textId="77777777" w:rsidR="009E2D31" w:rsidRPr="00866DB9" w:rsidRDefault="009E2D31" w:rsidP="00866DB9">
      <w:pPr>
        <w:pStyle w:val="Textonotapie"/>
        <w:jc w:val="both"/>
        <w:rPr>
          <w:sz w:val="16"/>
          <w:szCs w:val="16"/>
        </w:rPr>
      </w:pPr>
    </w:p>
  </w:footnote>
  <w:footnote w:id="10">
    <w:p w14:paraId="5ACA6041" w14:textId="77777777" w:rsidR="009C56F1" w:rsidRPr="00866DB9" w:rsidRDefault="009C56F1" w:rsidP="009C56F1">
      <w:pPr>
        <w:pStyle w:val="Textonotapie"/>
        <w:jc w:val="both"/>
        <w:rPr>
          <w:i/>
          <w:sz w:val="16"/>
          <w:szCs w:val="16"/>
          <w:lang w:val="es-MX"/>
        </w:rPr>
      </w:pPr>
      <w:r w:rsidRPr="00866DB9">
        <w:rPr>
          <w:rStyle w:val="Refdenotaalpie"/>
          <w:sz w:val="16"/>
          <w:szCs w:val="16"/>
        </w:rPr>
        <w:footnoteRef/>
      </w:r>
      <w:r w:rsidRPr="00866DB9">
        <w:rPr>
          <w:sz w:val="16"/>
          <w:szCs w:val="16"/>
        </w:rPr>
        <w:t xml:space="preserve"> </w:t>
      </w:r>
      <w:r w:rsidRPr="00866DB9">
        <w:rPr>
          <w:sz w:val="16"/>
          <w:szCs w:val="16"/>
          <w:lang w:val="es-MX"/>
        </w:rPr>
        <w:t xml:space="preserve">La actuaria adscrita al Tribunal Local asentó lo siguiente: </w:t>
      </w:r>
      <w:r w:rsidRPr="00866DB9">
        <w:rPr>
          <w:i/>
          <w:sz w:val="16"/>
          <w:szCs w:val="16"/>
          <w:lang w:val="es-MX"/>
        </w:rPr>
        <w:t>[…] “Otra si digo: Hago constar que al parecer las firmas que aparecen al calce del presente escrito no son autógrafas. Doy Fe.</w:t>
      </w:r>
    </w:p>
    <w:p w14:paraId="20DB7D4D" w14:textId="77777777" w:rsidR="009C56F1" w:rsidRPr="00866DB9" w:rsidRDefault="009C56F1" w:rsidP="009C56F1">
      <w:pPr>
        <w:pStyle w:val="Textonotapie"/>
        <w:jc w:val="both"/>
        <w:rPr>
          <w:sz w:val="16"/>
          <w:szCs w:val="16"/>
          <w:lang w:val="es-MX"/>
        </w:rPr>
      </w:pPr>
      <w:r w:rsidRPr="00866DB9">
        <w:rPr>
          <w:i/>
          <w:sz w:val="16"/>
          <w:szCs w:val="16"/>
          <w:lang w:val="es-MX"/>
        </w:rPr>
        <w:t>[…]</w:t>
      </w:r>
    </w:p>
  </w:footnote>
  <w:footnote w:id="11">
    <w:p w14:paraId="1F62A4BA" w14:textId="77777777" w:rsidR="009B42E9" w:rsidRPr="00866DB9" w:rsidRDefault="009B42E9" w:rsidP="009B42E9">
      <w:pPr>
        <w:pStyle w:val="Textonotapie"/>
        <w:jc w:val="both"/>
        <w:rPr>
          <w:sz w:val="16"/>
          <w:szCs w:val="16"/>
          <w:lang w:val="es-MX"/>
        </w:rPr>
      </w:pPr>
      <w:r w:rsidRPr="00866DB9">
        <w:rPr>
          <w:rStyle w:val="Refdenotaalpie"/>
          <w:sz w:val="16"/>
          <w:szCs w:val="16"/>
        </w:rPr>
        <w:footnoteRef/>
      </w:r>
      <w:r w:rsidRPr="00866DB9">
        <w:rPr>
          <w:sz w:val="16"/>
          <w:szCs w:val="16"/>
        </w:rPr>
        <w:t xml:space="preserve">   Cambiando lo que se deba cambiar, es aplicable </w:t>
      </w:r>
      <w:r w:rsidRPr="00866DB9">
        <w:rPr>
          <w:sz w:val="16"/>
          <w:szCs w:val="16"/>
          <w:lang w:val="es-MX"/>
        </w:rPr>
        <w:t>la jurisprudencia IV.2</w:t>
      </w:r>
      <w:proofErr w:type="gramStart"/>
      <w:r w:rsidRPr="00866DB9">
        <w:rPr>
          <w:sz w:val="16"/>
          <w:szCs w:val="16"/>
          <w:lang w:val="es-MX"/>
        </w:rPr>
        <w:t>°.J</w:t>
      </w:r>
      <w:proofErr w:type="gramEnd"/>
      <w:r w:rsidRPr="00866DB9">
        <w:rPr>
          <w:sz w:val="16"/>
          <w:szCs w:val="16"/>
          <w:lang w:val="es-MX"/>
        </w:rPr>
        <w:t xml:space="preserve">/4, de rubro y texto: NOTIFICACIONES. LEGALIDAD DE LAS. EL ACTUARIO TIENE FE PUBLICA POR ACTUAR COMO AUTORIDAD EN EJERCICIO DE SUS FUNCIONES. Este funcionario al llevar a cabo las diligencias de </w:t>
      </w:r>
      <w:proofErr w:type="gramStart"/>
      <w:r w:rsidRPr="00866DB9">
        <w:rPr>
          <w:sz w:val="16"/>
          <w:szCs w:val="16"/>
          <w:lang w:val="es-MX"/>
        </w:rPr>
        <w:t>notificación,</w:t>
      </w:r>
      <w:proofErr w:type="gramEnd"/>
      <w:r w:rsidRPr="00866DB9">
        <w:rPr>
          <w:sz w:val="16"/>
          <w:szCs w:val="16"/>
          <w:lang w:val="es-MX"/>
        </w:rPr>
        <w:t xml:space="preserve"> tiene, por disposición de la ley, la calidad de una autoridad en ejercicio de sus funciones, razón por la que está investido de fe pública; de manera que si asienta que entendió una diligencia de notificación con la persona a quien va dirigida, debe estimarse cierto ese hecho, si no hay prueba que acredite lo contrario.</w:t>
      </w:r>
    </w:p>
  </w:footnote>
  <w:footnote w:id="12">
    <w:p w14:paraId="26563E6D" w14:textId="77777777" w:rsidR="009B42E9" w:rsidRPr="00866DB9" w:rsidRDefault="009B42E9" w:rsidP="009B42E9">
      <w:pPr>
        <w:pStyle w:val="Textonotapie"/>
        <w:jc w:val="both"/>
        <w:rPr>
          <w:sz w:val="16"/>
          <w:szCs w:val="16"/>
        </w:rPr>
      </w:pPr>
      <w:r w:rsidRPr="00866DB9">
        <w:rPr>
          <w:rStyle w:val="Refdenotaalpie"/>
          <w:sz w:val="16"/>
          <w:szCs w:val="16"/>
        </w:rPr>
        <w:footnoteRef/>
      </w:r>
      <w:r w:rsidRPr="00866DB9">
        <w:rPr>
          <w:sz w:val="16"/>
          <w:szCs w:val="16"/>
        </w:rPr>
        <w:t xml:space="preserve"> Véase la tesis 1a. CCCXCVI/2014 (10a.), de rubro: </w:t>
      </w:r>
      <w:r w:rsidRPr="00866DB9">
        <w:rPr>
          <w:b/>
          <w:sz w:val="16"/>
          <w:szCs w:val="16"/>
        </w:rPr>
        <w:t>“CARGA DE LA PRUEBA. SU DISTRIBUCIÓN A PARTIR DE LOS PRINCIPIOS LÓGICO Y ONTOLÓGICO”</w:t>
      </w:r>
      <w:r w:rsidRPr="00866DB9">
        <w:rPr>
          <w:sz w:val="16"/>
          <w:szCs w:val="16"/>
        </w:rPr>
        <w:t xml:space="preserve"> visible en el Semanario Judicial de la Federación y su Gaceta, Novena Época, Tomo XVI, </w:t>
      </w:r>
      <w:proofErr w:type="gramStart"/>
      <w:r w:rsidRPr="00866DB9">
        <w:rPr>
          <w:sz w:val="16"/>
          <w:szCs w:val="16"/>
        </w:rPr>
        <w:t>Diciembre</w:t>
      </w:r>
      <w:proofErr w:type="gramEnd"/>
      <w:r w:rsidRPr="00866DB9">
        <w:rPr>
          <w:sz w:val="16"/>
          <w:szCs w:val="16"/>
        </w:rPr>
        <w:t xml:space="preserve"> de 2002, página 61, materia Común.</w:t>
      </w:r>
    </w:p>
  </w:footnote>
  <w:footnote w:id="13">
    <w:p w14:paraId="55A5A0AE" w14:textId="77777777" w:rsidR="009E2D31" w:rsidRPr="00866DB9" w:rsidRDefault="009E2D31" w:rsidP="00866DB9">
      <w:pPr>
        <w:spacing w:after="0" w:line="240" w:lineRule="auto"/>
        <w:jc w:val="both"/>
        <w:rPr>
          <w:i/>
          <w:sz w:val="16"/>
          <w:szCs w:val="16"/>
        </w:rPr>
      </w:pPr>
      <w:r w:rsidRPr="00866DB9">
        <w:rPr>
          <w:rStyle w:val="Refdenotaalpie"/>
          <w:sz w:val="16"/>
          <w:szCs w:val="16"/>
        </w:rPr>
        <w:footnoteRef/>
      </w:r>
      <w:r w:rsidRPr="00866DB9">
        <w:rPr>
          <w:sz w:val="16"/>
          <w:szCs w:val="16"/>
        </w:rPr>
        <w:t xml:space="preserve"> </w:t>
      </w:r>
      <w:r w:rsidRPr="00866DB9">
        <w:rPr>
          <w:sz w:val="16"/>
          <w:szCs w:val="16"/>
          <w:lang w:val="es-MX"/>
        </w:rPr>
        <w:t>Así lo determinó la Sala Superior al resolver el SUP-JDC-337/2021</w:t>
      </w:r>
      <w:r w:rsidR="00866DB9" w:rsidRPr="00866DB9">
        <w:rPr>
          <w:sz w:val="16"/>
          <w:szCs w:val="16"/>
          <w:lang w:val="es-MX"/>
        </w:rPr>
        <w:t xml:space="preserve">, donde, en los que interesa señaló: </w:t>
      </w:r>
      <w:r w:rsidR="00866DB9" w:rsidRPr="00866DB9">
        <w:rPr>
          <w:i/>
          <w:sz w:val="16"/>
          <w:szCs w:val="16"/>
          <w:lang w:val="es-MX"/>
        </w:rPr>
        <w:t>[…] “</w:t>
      </w:r>
      <w:r w:rsidR="00866DB9" w:rsidRPr="00866DB9">
        <w:rPr>
          <w:bCs/>
          <w:i/>
          <w:sz w:val="16"/>
          <w:szCs w:val="16"/>
        </w:rPr>
        <w:t xml:space="preserve">Esta Sala Superior estima que también resulta </w:t>
      </w:r>
      <w:r w:rsidR="00866DB9" w:rsidRPr="00866DB9">
        <w:rPr>
          <w:b/>
          <w:i/>
          <w:sz w:val="16"/>
          <w:szCs w:val="16"/>
        </w:rPr>
        <w:t>infundado</w:t>
      </w:r>
      <w:r w:rsidR="00866DB9" w:rsidRPr="00866DB9">
        <w:rPr>
          <w:bCs/>
          <w:i/>
          <w:sz w:val="16"/>
          <w:szCs w:val="16"/>
        </w:rPr>
        <w:t xml:space="preserve"> que el Tribunal loca debió </w:t>
      </w:r>
      <w:r w:rsidR="00866DB9" w:rsidRPr="00866DB9">
        <w:rPr>
          <w:i/>
          <w:sz w:val="16"/>
          <w:szCs w:val="16"/>
        </w:rPr>
        <w:t>requerir al promovente para que manifestara si presentó la demanda y si ratificaba o no la firma autógrafa escaneada</w:t>
      </w:r>
      <w:r w:rsidR="00475DC8">
        <w:rPr>
          <w:i/>
          <w:sz w:val="16"/>
          <w:szCs w:val="16"/>
        </w:rPr>
        <w:t xml:space="preserve"> </w:t>
      </w:r>
      <w:r w:rsidR="00866DB9" w:rsidRPr="00866DB9">
        <w:rPr>
          <w:bCs/>
          <w:i/>
          <w:sz w:val="16"/>
          <w:szCs w:val="16"/>
        </w:rPr>
        <w:t>.</w:t>
      </w:r>
      <w:bookmarkStart w:id="46" w:name="_Hlk68165723"/>
      <w:r w:rsidR="00866DB9" w:rsidRPr="00866DB9">
        <w:rPr>
          <w:i/>
          <w:sz w:val="16"/>
          <w:szCs w:val="16"/>
        </w:rPr>
        <w:t>Lo anterior, porque es</w:t>
      </w:r>
      <w:r w:rsidR="00866DB9" w:rsidRPr="00866DB9">
        <w:rPr>
          <w:bCs/>
          <w:i/>
          <w:sz w:val="16"/>
          <w:szCs w:val="16"/>
        </w:rPr>
        <w:t xml:space="preserve"> criterio de Sala Superior que la firma autógrafa constituye un elemento esencial de validez</w:t>
      </w:r>
      <w:r w:rsidR="00866DB9" w:rsidRPr="00866DB9">
        <w:rPr>
          <w:rStyle w:val="Refdenotaalpie"/>
          <w:bCs/>
          <w:i/>
          <w:sz w:val="16"/>
          <w:szCs w:val="16"/>
        </w:rPr>
        <w:footnoteRef/>
      </w:r>
      <w:r w:rsidR="00866DB9" w:rsidRPr="00866DB9">
        <w:rPr>
          <w:bCs/>
          <w:i/>
          <w:sz w:val="16"/>
          <w:szCs w:val="16"/>
        </w:rPr>
        <w:t xml:space="preserve"> del medio de impugnación que se presenta por escrito, es decir, es un elemento insubsanable.</w:t>
      </w:r>
      <w:bookmarkEnd w:id="46"/>
      <w:r w:rsidR="00866DB9" w:rsidRPr="00866DB9">
        <w:rPr>
          <w:bCs/>
          <w:i/>
          <w:sz w:val="16"/>
          <w:szCs w:val="16"/>
        </w:rPr>
        <w:t xml:space="preserve"> </w:t>
      </w:r>
      <w:r w:rsidR="00866DB9" w:rsidRPr="00866DB9">
        <w:rPr>
          <w:i/>
          <w:sz w:val="16"/>
          <w:szCs w:val="16"/>
        </w:rPr>
        <w:t>Sala Superior ha razonado que la firma autógrafa es la manifestación de voluntad de una persona, de la cual se pueda advertir fehacientemente su intención de iniciar un procedimiento, esto es, imprime la expresión de la voluntad a toda promoción o acto, por lo que más allá de un requisito, constituye la base para tener por cierta la manifestación de voluntad de la parte promovente”</w:t>
      </w:r>
    </w:p>
    <w:p w14:paraId="4E121F2F" w14:textId="77777777" w:rsidR="00866DB9" w:rsidRPr="00866DB9" w:rsidRDefault="00866DB9" w:rsidP="00866DB9">
      <w:pPr>
        <w:spacing w:after="0" w:line="240" w:lineRule="auto"/>
        <w:jc w:val="both"/>
        <w:rPr>
          <w:i/>
          <w:sz w:val="16"/>
          <w:szCs w:val="16"/>
        </w:rPr>
      </w:pPr>
      <w:r w:rsidRPr="00866DB9">
        <w:rPr>
          <w:i/>
          <w:sz w:val="16"/>
          <w:szCs w:val="16"/>
        </w:rPr>
        <w:t>[…]</w:t>
      </w:r>
    </w:p>
  </w:footnote>
  <w:footnote w:id="14">
    <w:p w14:paraId="28431E19" w14:textId="77777777" w:rsidR="008A3638" w:rsidRPr="008A3638" w:rsidRDefault="00446E35" w:rsidP="008A3638">
      <w:pPr>
        <w:spacing w:after="0" w:line="240" w:lineRule="auto"/>
        <w:jc w:val="both"/>
        <w:rPr>
          <w:rFonts w:eastAsia="Arial"/>
          <w:b/>
          <w:i/>
          <w:sz w:val="16"/>
          <w:szCs w:val="16"/>
        </w:rPr>
      </w:pPr>
      <w:r w:rsidRPr="00A56DA0">
        <w:rPr>
          <w:rStyle w:val="Refdenotaalpie"/>
          <w:sz w:val="18"/>
          <w:szCs w:val="18"/>
        </w:rPr>
        <w:footnoteRef/>
      </w:r>
      <w:r>
        <w:t xml:space="preserve"> </w:t>
      </w:r>
      <w:r w:rsidR="008A3638" w:rsidRPr="008A3638">
        <w:rPr>
          <w:sz w:val="16"/>
          <w:szCs w:val="16"/>
        </w:rPr>
        <w:t>Al respecto esta Sala Monterrey al resolver diversos asuntos se ha pronunciado en el sentido de que el acto que declara que no se logró el respaldo ciudadano no es definitivo sino de naturaleza procesa</w:t>
      </w:r>
      <w:r w:rsidR="00E361D0">
        <w:rPr>
          <w:sz w:val="16"/>
          <w:szCs w:val="16"/>
        </w:rPr>
        <w:t>l</w:t>
      </w:r>
      <w:r w:rsidR="008A3638" w:rsidRPr="008A3638">
        <w:rPr>
          <w:sz w:val="16"/>
          <w:szCs w:val="16"/>
        </w:rPr>
        <w:t xml:space="preserve">, como lo hiciera en el SM-JDC-108/2021, donde estableció: </w:t>
      </w:r>
      <w:r w:rsidR="008A3638" w:rsidRPr="008A3638">
        <w:rPr>
          <w:i/>
          <w:sz w:val="16"/>
          <w:szCs w:val="16"/>
        </w:rPr>
        <w:t>[…] “</w:t>
      </w:r>
      <w:r w:rsidR="008A3638" w:rsidRPr="008A3638">
        <w:rPr>
          <w:rFonts w:eastAsia="Arial"/>
          <w:bCs/>
          <w:i/>
          <w:sz w:val="16"/>
          <w:szCs w:val="16"/>
        </w:rPr>
        <w:t>En ese sentido, si el propio impugnante reconoce ante esta instancia que controvirtió el acuerdo por el que el Instituto Local verificó el cumplimiento de uno de los requisitos para ser registrado como candidato independiente</w:t>
      </w:r>
      <w:r w:rsidR="008A3638" w:rsidRPr="008A3638">
        <w:rPr>
          <w:rStyle w:val="Refdenotaalpie"/>
          <w:rFonts w:eastAsia="Arial"/>
          <w:bCs/>
          <w:i/>
          <w:sz w:val="16"/>
          <w:szCs w:val="16"/>
        </w:rPr>
        <w:footnoteRef/>
      </w:r>
      <w:r w:rsidR="008A3638" w:rsidRPr="008A3638">
        <w:rPr>
          <w:rFonts w:eastAsia="Arial"/>
          <w:bCs/>
          <w:i/>
          <w:sz w:val="16"/>
          <w:szCs w:val="16"/>
        </w:rPr>
        <w:t xml:space="preserve">, es posible concluir que lo controvertido es un acto intraprocesal, ya que, se insiste, el acto definitivo es el acuerdo que otorga el registro a la planilla. </w:t>
      </w:r>
    </w:p>
    <w:p w14:paraId="31E67E9F" w14:textId="77777777" w:rsidR="008A3638" w:rsidRPr="008A3638" w:rsidRDefault="008A3638" w:rsidP="008A3638">
      <w:pPr>
        <w:spacing w:after="0" w:line="240" w:lineRule="auto"/>
        <w:jc w:val="both"/>
        <w:rPr>
          <w:rFonts w:eastAsia="Arial"/>
          <w:bCs/>
          <w:i/>
          <w:sz w:val="16"/>
          <w:szCs w:val="16"/>
        </w:rPr>
      </w:pPr>
      <w:r w:rsidRPr="008A3638">
        <w:rPr>
          <w:rFonts w:eastAsia="Arial"/>
          <w:bCs/>
          <w:i/>
          <w:sz w:val="16"/>
          <w:szCs w:val="16"/>
        </w:rPr>
        <w:t xml:space="preserve">   En atención a lo expuesto, como se anticipó, con independencia que se compartan o no las consideraciones de fondo dadas por la responsable, en el caso debe subsistir, la consideración de que el acuerdo que tuvo por acreditado el requisito de apoyo ciudadano sólo es una acto intraprocesal no impugnable directamente, dentro del procedimiento de postulación que culmina con el acuerdo que resuelve sobre el registro de un candidato, al no haber sido impugnada, e incluso, resultar apegada a Derecho. </w:t>
      </w:r>
    </w:p>
    <w:p w14:paraId="729475EC" w14:textId="77777777" w:rsidR="00446E35" w:rsidRPr="008A3638" w:rsidRDefault="008A3638" w:rsidP="008A3638">
      <w:pPr>
        <w:spacing w:after="0" w:line="240" w:lineRule="auto"/>
        <w:jc w:val="both"/>
        <w:rPr>
          <w:rFonts w:eastAsia="Arial"/>
          <w:bCs/>
          <w:i/>
          <w:sz w:val="16"/>
          <w:szCs w:val="16"/>
        </w:rPr>
      </w:pPr>
      <w:r w:rsidRPr="008A3638">
        <w:rPr>
          <w:rFonts w:eastAsia="Arial"/>
          <w:bCs/>
          <w:i/>
          <w:sz w:val="16"/>
          <w:szCs w:val="16"/>
        </w:rPr>
        <w:t xml:space="preserve">   Máxime que el propio impugnante reconoce ante esta instancia que controvirtió el acuerdo por el que el Instituto Local verificó el cumplimiento de uno de los requisitos para ser registrado como candidato independiente</w:t>
      </w:r>
      <w:r w:rsidRPr="008A3638">
        <w:rPr>
          <w:rStyle w:val="Refdenotaalpie"/>
          <w:rFonts w:eastAsia="Arial"/>
          <w:bCs/>
          <w:i/>
          <w:sz w:val="16"/>
          <w:szCs w:val="16"/>
        </w:rPr>
        <w:footnoteRef/>
      </w:r>
      <w:r w:rsidRPr="008A3638">
        <w:rPr>
          <w:rFonts w:eastAsia="Arial"/>
          <w:bCs/>
          <w:i/>
          <w:sz w:val="16"/>
          <w:szCs w:val="16"/>
        </w:rPr>
        <w:t>, es posible concluir que lo controvertido es un acto intraprocesal, ya que, se insiste, el acto definitivo es el acuerdo que otorga el registro a la planilla”.</w:t>
      </w:r>
    </w:p>
    <w:p w14:paraId="447CC89C" w14:textId="77777777" w:rsidR="008A3638" w:rsidRDefault="008A3638" w:rsidP="008A3638">
      <w:pPr>
        <w:spacing w:after="0" w:line="240" w:lineRule="auto"/>
        <w:jc w:val="both"/>
        <w:rPr>
          <w:rFonts w:eastAsia="Arial"/>
          <w:bCs/>
          <w:i/>
          <w:sz w:val="16"/>
          <w:szCs w:val="16"/>
        </w:rPr>
      </w:pPr>
      <w:r w:rsidRPr="008A3638">
        <w:rPr>
          <w:rFonts w:eastAsia="Arial"/>
          <w:bCs/>
          <w:i/>
          <w:sz w:val="16"/>
          <w:szCs w:val="16"/>
        </w:rPr>
        <w:t>[…]</w:t>
      </w:r>
    </w:p>
    <w:p w14:paraId="0228D57A" w14:textId="77777777" w:rsidR="008A3638" w:rsidRPr="00630C5E" w:rsidRDefault="008A3638" w:rsidP="008A3638">
      <w:pPr>
        <w:spacing w:after="0" w:line="240" w:lineRule="auto"/>
        <w:ind w:right="-34"/>
        <w:jc w:val="both"/>
        <w:outlineLvl w:val="0"/>
        <w:rPr>
          <w:i/>
          <w:color w:val="000000"/>
          <w:sz w:val="16"/>
          <w:szCs w:val="16"/>
          <w:shd w:val="clear" w:color="auto" w:fill="FFFFFF"/>
        </w:rPr>
      </w:pPr>
      <w:r w:rsidRPr="008A3638">
        <w:rPr>
          <w:rFonts w:eastAsia="Arial"/>
          <w:bCs/>
          <w:sz w:val="16"/>
          <w:szCs w:val="16"/>
        </w:rPr>
        <w:t xml:space="preserve">Además, al resolver el SM-JDC-122/2021, esta Sala señaló que: </w:t>
      </w:r>
      <w:r w:rsidRPr="00630C5E">
        <w:rPr>
          <w:rFonts w:eastAsia="Arial"/>
          <w:bCs/>
          <w:i/>
          <w:sz w:val="16"/>
          <w:szCs w:val="16"/>
        </w:rPr>
        <w:t>[…] “</w:t>
      </w:r>
      <w:r w:rsidRPr="00630C5E">
        <w:rPr>
          <w:i/>
          <w:color w:val="000000"/>
          <w:sz w:val="16"/>
          <w:szCs w:val="16"/>
          <w:shd w:val="clear" w:color="auto" w:fill="FFFFFF"/>
        </w:rPr>
        <w:t>Esta sesión y la publicación de la lista son los que formalmente culminan con la etapa de obtención del apoyo ciudadano, siendo que, hasta ese momento las irregularidades que pudieron haberse cometido durante esa fase procedimental adquieren definitividad y, por lo tanto, son recurribles.</w:t>
      </w:r>
    </w:p>
    <w:p w14:paraId="739263C3" w14:textId="77777777" w:rsidR="008A3638" w:rsidRPr="00630C5E" w:rsidRDefault="00630C5E" w:rsidP="008A3638">
      <w:pPr>
        <w:spacing w:after="0" w:line="240" w:lineRule="auto"/>
        <w:ind w:right="-34"/>
        <w:jc w:val="both"/>
        <w:outlineLvl w:val="0"/>
        <w:rPr>
          <w:i/>
          <w:color w:val="000000"/>
          <w:sz w:val="16"/>
          <w:szCs w:val="16"/>
          <w:shd w:val="clear" w:color="auto" w:fill="FFFFFF"/>
        </w:rPr>
      </w:pPr>
      <w:r>
        <w:rPr>
          <w:i/>
          <w:color w:val="000000"/>
          <w:sz w:val="16"/>
          <w:szCs w:val="16"/>
          <w:shd w:val="clear" w:color="auto" w:fill="FFFFFF"/>
        </w:rPr>
        <w:t xml:space="preserve">    </w:t>
      </w:r>
      <w:r w:rsidR="008A3638" w:rsidRPr="00630C5E">
        <w:rPr>
          <w:i/>
          <w:color w:val="000000"/>
          <w:sz w:val="16"/>
          <w:szCs w:val="16"/>
          <w:shd w:val="clear" w:color="auto" w:fill="FFFFFF"/>
        </w:rPr>
        <w:t>En esta línea, se tiene que el oficio que es objeto de impugnación tiene un carácter intraprocesal, aun cuando el numeral 120 (antes 96) de los Lineamientos,</w:t>
      </w:r>
      <w:r w:rsidR="008A3638" w:rsidRPr="00630C5E">
        <w:rPr>
          <w:rStyle w:val="Refdenotaalpie"/>
          <w:i/>
          <w:color w:val="000000"/>
          <w:sz w:val="16"/>
          <w:szCs w:val="16"/>
          <w:shd w:val="clear" w:color="auto" w:fill="FFFFFF"/>
        </w:rPr>
        <w:footnoteRef/>
      </w:r>
      <w:r w:rsidR="008A3638" w:rsidRPr="00630C5E">
        <w:rPr>
          <w:i/>
          <w:color w:val="000000"/>
          <w:sz w:val="16"/>
          <w:szCs w:val="16"/>
          <w:shd w:val="clear" w:color="auto" w:fill="FFFFFF"/>
        </w:rPr>
        <w:t xml:space="preserve"> disponga que se deba informar a las personas aspirantes sobre el cumplimiento del porcentaje de apoyo, pues, con independencia de los datos contenidos en la comunicación correspondiente esta no finaliza la etapa de obtención de apoyo.</w:t>
      </w:r>
    </w:p>
    <w:p w14:paraId="520A23C1" w14:textId="77777777" w:rsidR="008A3638" w:rsidRPr="00630C5E" w:rsidRDefault="00630C5E" w:rsidP="008A3638">
      <w:pPr>
        <w:spacing w:after="0" w:line="240" w:lineRule="auto"/>
        <w:ind w:right="-34"/>
        <w:jc w:val="both"/>
        <w:outlineLvl w:val="0"/>
        <w:rPr>
          <w:i/>
          <w:color w:val="000000"/>
          <w:sz w:val="16"/>
          <w:szCs w:val="16"/>
          <w:shd w:val="clear" w:color="auto" w:fill="FFFFFF"/>
        </w:rPr>
      </w:pPr>
      <w:r>
        <w:rPr>
          <w:i/>
          <w:color w:val="000000"/>
          <w:sz w:val="16"/>
          <w:szCs w:val="16"/>
          <w:shd w:val="clear" w:color="auto" w:fill="FFFFFF"/>
        </w:rPr>
        <w:t xml:space="preserve">    </w:t>
      </w:r>
      <w:r w:rsidR="008A3638" w:rsidRPr="00630C5E">
        <w:rPr>
          <w:i/>
          <w:color w:val="000000"/>
          <w:sz w:val="16"/>
          <w:szCs w:val="16"/>
          <w:shd w:val="clear" w:color="auto" w:fill="FFFFFF"/>
        </w:rPr>
        <w:t>No se pierde de vista que el actor señala que este es de inminente ejecución, sin embargo, la impugnabilidad del acto en cuestión no depende tal circunstancia, sino de su definitividad.</w:t>
      </w:r>
    </w:p>
    <w:p w14:paraId="6A0A93E1" w14:textId="77777777" w:rsidR="008A3638" w:rsidRPr="00630C5E" w:rsidRDefault="008A3638" w:rsidP="008A3638">
      <w:pPr>
        <w:spacing w:after="0" w:line="240" w:lineRule="auto"/>
        <w:jc w:val="both"/>
        <w:rPr>
          <w:i/>
          <w:sz w:val="16"/>
          <w:szCs w:val="16"/>
          <w:shd w:val="clear" w:color="auto" w:fill="FFFFFF"/>
        </w:rPr>
      </w:pPr>
      <w:r w:rsidRPr="00630C5E">
        <w:rPr>
          <w:i/>
          <w:color w:val="000000"/>
          <w:sz w:val="16"/>
          <w:szCs w:val="16"/>
          <w:shd w:val="clear" w:color="auto" w:fill="FFFFFF"/>
        </w:rPr>
        <w:t xml:space="preserve">En tal virtud, </w:t>
      </w:r>
      <w:r w:rsidRPr="00630C5E">
        <w:rPr>
          <w:i/>
          <w:sz w:val="16"/>
          <w:szCs w:val="16"/>
          <w:shd w:val="clear" w:color="auto" w:fill="FFFFFF"/>
        </w:rPr>
        <w:t>lo procedente es desechar de plano la demanda al considerar que el actor no acreditó, a través del acuse o documento respectivo, la existencia de la solicitud atinente para afirmar que se le omitió dar respuesta y el acto controvertido carece de definitividad”</w:t>
      </w:r>
    </w:p>
    <w:p w14:paraId="32D806BD" w14:textId="77777777" w:rsidR="008A3638" w:rsidRPr="008A3638" w:rsidRDefault="008A3638" w:rsidP="008A3638">
      <w:pPr>
        <w:spacing w:after="0" w:line="240" w:lineRule="auto"/>
        <w:jc w:val="both"/>
        <w:rPr>
          <w:rFonts w:eastAsia="Arial"/>
          <w:bCs/>
          <w:i/>
          <w:sz w:val="16"/>
          <w:szCs w:val="16"/>
        </w:rPr>
      </w:pPr>
      <w:r w:rsidRPr="00630C5E">
        <w:rPr>
          <w:rFonts w:eastAsia="Arial"/>
          <w:bCs/>
          <w:i/>
          <w:sz w:val="16"/>
          <w:szCs w:val="16"/>
        </w:rPr>
        <w:t>[…]</w:t>
      </w:r>
    </w:p>
  </w:footnote>
  <w:footnote w:id="15">
    <w:p w14:paraId="24875EFF" w14:textId="77777777" w:rsidR="00630C5E" w:rsidRPr="00BF7083" w:rsidRDefault="00630C5E" w:rsidP="00630C5E">
      <w:pPr>
        <w:jc w:val="both"/>
        <w:rPr>
          <w:sz w:val="16"/>
          <w:szCs w:val="16"/>
        </w:rPr>
      </w:pPr>
      <w:r w:rsidRPr="00BF7083">
        <w:rPr>
          <w:rStyle w:val="Refdenotaalpie"/>
          <w:sz w:val="16"/>
          <w:szCs w:val="16"/>
        </w:rPr>
        <w:footnoteRef/>
      </w:r>
      <w:r w:rsidRPr="00BF7083">
        <w:rPr>
          <w:sz w:val="16"/>
          <w:szCs w:val="16"/>
        </w:rPr>
        <w:t xml:space="preserve"> </w:t>
      </w:r>
      <w:r>
        <w:rPr>
          <w:sz w:val="16"/>
          <w:szCs w:val="16"/>
        </w:rPr>
        <w:t xml:space="preserve">Jurisprudencia 7/2018: </w:t>
      </w:r>
      <w:r w:rsidRPr="00BF7083">
        <w:rPr>
          <w:sz w:val="16"/>
          <w:szCs w:val="16"/>
        </w:rPr>
        <w:t>CANDIDATURAS INDEPENDIENTES. LOS ACTOS EMITIDOS DURANTE LA FASE DE VERIFICACIÓN DE APOYO CIUDADANO DE QUIENES SON ASPIRANTES CARECEN DE DEFINITIVIDAD Y FIRMEZA. De conformidad con lo dispuesto en los artículos 9, párrafo 3; 10, párrafo 1, inciso d), de la Ley General del Sistema de Medios de Impugnación en Materia Electoral; 358, 360, 361, 366, 367, 368, 369, 371, párrafo 1, 383, 385, 386 y 387 de la Ley General de Instituciones y Procedimientos Electorales, el proceso de selección y registro de candidaturas independientes comprende diversas etapas, una de ellas es la relativa a la obtención del apoyo ciudadano, la cual, a su vez, comprende la fase de verificación. En ésta, el acto a través del cual la autoridad informa a quienes son aspirantes sobre las modificaciones de los registros correspondientes a dicho apoyo, obtenido para que ejerzan su derecho de defensa, carece de definitividad y firmeza, en tanto que no genera un perjuicio irreparable al derecho subjetivo de quienes aspiran a obtener el registro; ya que no invalidan los apoyos ciudadanos, sino que se limita a posibilitar el ejercicio del derecho de defensa en aras de subsanar las inconsistencias e irregularidades detectadas por la autoridad administrativa. En este sentido, el acuerdo final que apruebe la autoridad electoral administrativa es el que será definitivo, pudiéndose impugnar cualquier irregularidad que se considere cometida durante esa fase.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6E83" w14:textId="09E5F461" w:rsidR="009E2D31" w:rsidRDefault="001A6FA6" w:rsidP="002F6BEE">
    <w:pPr>
      <w:pStyle w:val="Encabezado"/>
      <w:rPr>
        <w:b/>
        <w:noProof/>
        <w:sz w:val="22"/>
        <w:lang w:eastAsia="es-ES"/>
      </w:rPr>
    </w:pPr>
    <w:sdt>
      <w:sdtPr>
        <w:rPr>
          <w:b/>
          <w:noProof/>
          <w:sz w:val="22"/>
          <w:lang w:eastAsia="es-ES"/>
        </w:rPr>
        <w:id w:val="743077007"/>
        <w:docPartObj>
          <w:docPartGallery w:val="Page Numbers (Margins)"/>
          <w:docPartUnique/>
        </w:docPartObj>
      </w:sdtPr>
      <w:sdtEndPr/>
      <w:sdtContent>
        <w:r w:rsidR="009E2D31" w:rsidRPr="007E63D5">
          <w:rPr>
            <w:b/>
            <w:noProof/>
            <w:sz w:val="22"/>
            <w:lang w:val="es-MX" w:eastAsia="es-MX"/>
          </w:rPr>
          <mc:AlternateContent>
            <mc:Choice Requires="wps">
              <w:drawing>
                <wp:anchor distT="0" distB="0" distL="114300" distR="114300" simplePos="0" relativeHeight="251658240" behindDoc="0" locked="0" layoutInCell="0" allowOverlap="1" wp14:anchorId="20AD60AC" wp14:editId="36626846">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4FEBECD0" w14:textId="77777777" w:rsidR="009E2D31" w:rsidRDefault="009E2D31">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E5299" w:rsidRPr="00DE5299">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60AC" id="Rectángulo 2"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LTZT68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4FEBECD0" w14:textId="77777777" w:rsidR="009E2D31" w:rsidRDefault="009E2D31">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E5299" w:rsidRPr="00DE5299">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5D6254E1" w14:textId="77777777" w:rsidR="009E2D31" w:rsidRDefault="009E2D31" w:rsidP="002F6BEE">
    <w:pPr>
      <w:pStyle w:val="Encabezado"/>
      <w:rPr>
        <w:b/>
        <w:noProof/>
        <w:sz w:val="22"/>
        <w:lang w:eastAsia="es-ES"/>
      </w:rPr>
    </w:pPr>
  </w:p>
  <w:p w14:paraId="205F2BE8" w14:textId="77777777" w:rsidR="009E2D31" w:rsidRDefault="009E2D31" w:rsidP="002F6BEE">
    <w:pPr>
      <w:pStyle w:val="Encabezado"/>
      <w:rPr>
        <w:b/>
        <w:noProof/>
        <w:sz w:val="22"/>
        <w:lang w:eastAsia="es-ES"/>
      </w:rPr>
    </w:pPr>
    <w:r w:rsidRPr="00DF1A6E">
      <w:rPr>
        <w:b/>
        <w:noProof/>
        <w:sz w:val="22"/>
        <w:lang w:eastAsia="es-ES"/>
      </w:rPr>
      <w:t>SM-J</w:t>
    </w:r>
    <w:r>
      <w:rPr>
        <w:b/>
        <w:noProof/>
        <w:sz w:val="22"/>
        <w:lang w:eastAsia="es-ES"/>
      </w:rPr>
      <w:t>DC-178/2021</w:t>
    </w:r>
  </w:p>
  <w:p w14:paraId="7E2439E5" w14:textId="77777777" w:rsidR="009E2D31" w:rsidRDefault="009E2D31" w:rsidP="002F6BEE">
    <w:pPr>
      <w:pStyle w:val="Encabezado"/>
      <w:rPr>
        <w:b/>
      </w:rPr>
    </w:pPr>
  </w:p>
  <w:p w14:paraId="4ECE057E" w14:textId="77777777" w:rsidR="009E2D31" w:rsidRPr="003F46B4" w:rsidRDefault="009E2D31"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0C5B" w14:textId="4E48C0B2" w:rsidR="009E2D31" w:rsidRDefault="001A6FA6" w:rsidP="002F6BEE">
    <w:pPr>
      <w:pStyle w:val="Encabezado"/>
      <w:jc w:val="right"/>
    </w:pPr>
    <w:sdt>
      <w:sdtPr>
        <w:id w:val="-628468046"/>
        <w:docPartObj>
          <w:docPartGallery w:val="Page Numbers (Margins)"/>
          <w:docPartUnique/>
        </w:docPartObj>
      </w:sdtPr>
      <w:sdtEndPr/>
      <w:sdtContent>
        <w:r w:rsidR="009E2D31">
          <w:rPr>
            <w:noProof/>
            <w:lang w:val="es-MX" w:eastAsia="es-MX"/>
          </w:rPr>
          <mc:AlternateContent>
            <mc:Choice Requires="wps">
              <w:drawing>
                <wp:anchor distT="0" distB="0" distL="114300" distR="114300" simplePos="0" relativeHeight="251658243" behindDoc="0" locked="0" layoutInCell="0" allowOverlap="1" wp14:anchorId="78470B56" wp14:editId="588ACE23">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5F40B36" w14:textId="77777777" w:rsidR="009E2D31" w:rsidRDefault="009E2D31">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E5299" w:rsidRPr="00DE5299">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0B56" id="Rectángulo 1" o:spid="_x0000_s1027" style="position:absolute;left:0;text-align:left;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NCgIAAO4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ni0rITqQLIR&#10;xqGjR0KbFvA7Zz0NXMH9t51AxZl5b8m669liESc0BYvl5ZwCPM+U5xlhJUEVPHA2bjdhnOqdQ920&#10;9KdZssHCLdld62RFbMXI6kifhirJPT6AOLXncar6/UzXvwA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m/0EDQ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5F40B36" w14:textId="77777777" w:rsidR="009E2D31" w:rsidRDefault="009E2D31">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E5299" w:rsidRPr="00DE5299">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9E2D31" w:rsidRPr="00A324D6">
      <w:rPr>
        <w:b/>
        <w:noProof/>
        <w:sz w:val="22"/>
        <w:lang w:val="es-MX" w:eastAsia="es-MX"/>
      </w:rPr>
      <w:drawing>
        <wp:anchor distT="0" distB="0" distL="114300" distR="114300" simplePos="0" relativeHeight="251658242" behindDoc="0" locked="0" layoutInCell="1" allowOverlap="1" wp14:anchorId="60130422" wp14:editId="54926A03">
          <wp:simplePos x="0" y="0"/>
          <wp:positionH relativeFrom="column">
            <wp:posOffset>-1492250</wp:posOffset>
          </wp:positionH>
          <wp:positionV relativeFrom="paragraph">
            <wp:posOffset>-339090</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3EB08" w14:textId="77777777" w:rsidR="009E2D31" w:rsidRDefault="009E2D31" w:rsidP="002F6BEE">
    <w:pPr>
      <w:pStyle w:val="Encabezado"/>
      <w:jc w:val="right"/>
    </w:pPr>
  </w:p>
  <w:p w14:paraId="05FC61EF" w14:textId="77777777" w:rsidR="009E2D31" w:rsidRDefault="009E2D31" w:rsidP="00832159">
    <w:pPr>
      <w:pStyle w:val="Encabezado"/>
      <w:jc w:val="right"/>
      <w:rPr>
        <w:b/>
        <w:noProof/>
        <w:sz w:val="22"/>
        <w:lang w:eastAsia="es-ES"/>
      </w:rPr>
    </w:pPr>
    <w:r w:rsidRPr="00DF1A6E">
      <w:rPr>
        <w:b/>
        <w:noProof/>
        <w:sz w:val="22"/>
        <w:lang w:eastAsia="es-ES"/>
      </w:rPr>
      <w:t>SM-J</w:t>
    </w:r>
    <w:r>
      <w:rPr>
        <w:b/>
        <w:noProof/>
        <w:sz w:val="22"/>
        <w:lang w:eastAsia="es-ES"/>
      </w:rPr>
      <w:t>DC</w:t>
    </w:r>
    <w:r w:rsidRPr="00DF1A6E">
      <w:rPr>
        <w:b/>
        <w:noProof/>
        <w:sz w:val="22"/>
        <w:lang w:eastAsia="es-ES"/>
      </w:rPr>
      <w:t>-</w:t>
    </w:r>
    <w:r>
      <w:rPr>
        <w:b/>
        <w:noProof/>
        <w:sz w:val="22"/>
        <w:lang w:eastAsia="es-ES"/>
      </w:rPr>
      <w:t>178/2021</w:t>
    </w:r>
  </w:p>
  <w:p w14:paraId="3E45C100" w14:textId="77777777" w:rsidR="009E2D31" w:rsidRDefault="009E2D31" w:rsidP="00832159">
    <w:pPr>
      <w:pStyle w:val="Encabezado"/>
    </w:pPr>
  </w:p>
  <w:p w14:paraId="1509F92A" w14:textId="77777777" w:rsidR="009E2D31" w:rsidRDefault="009E2D31"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E94A" w14:textId="1440B9E9" w:rsidR="009E2D31" w:rsidRDefault="009E2D31">
    <w:pPr>
      <w:pStyle w:val="Encabezado"/>
    </w:pPr>
    <w:r>
      <w:rPr>
        <w:noProof/>
        <w:lang w:val="es-MX" w:eastAsia="es-MX"/>
      </w:rPr>
      <w:drawing>
        <wp:anchor distT="0" distB="0" distL="114300" distR="114300" simplePos="0" relativeHeight="251658241" behindDoc="0" locked="0" layoutInCell="1" allowOverlap="1" wp14:anchorId="0FF9D0E1" wp14:editId="7DCF0EC4">
          <wp:simplePos x="0" y="0"/>
          <wp:positionH relativeFrom="column">
            <wp:posOffset>-1438275</wp:posOffset>
          </wp:positionH>
          <wp:positionV relativeFrom="paragraph">
            <wp:posOffset>-314325</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9BC15" w14:textId="77777777" w:rsidR="009E2D31" w:rsidRDefault="009E2D31">
    <w:pPr>
      <w:pStyle w:val="Encabezado"/>
    </w:pPr>
  </w:p>
  <w:p w14:paraId="0BA169BE" w14:textId="77777777" w:rsidR="009E2D31" w:rsidRDefault="009E2D31">
    <w:pPr>
      <w:pStyle w:val="Encabezado"/>
    </w:pPr>
  </w:p>
  <w:p w14:paraId="4A625818" w14:textId="77777777" w:rsidR="009E2D31" w:rsidRDefault="009E2D31">
    <w:pPr>
      <w:pStyle w:val="Encabezado"/>
    </w:pPr>
  </w:p>
  <w:p w14:paraId="39DA61CB" w14:textId="77777777" w:rsidR="009E2D31" w:rsidRDefault="009E2D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3E3"/>
    <w:multiLevelType w:val="multilevel"/>
    <w:tmpl w:val="ACDCF632"/>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7"/>
  </w:num>
  <w:num w:numId="5">
    <w:abstractNumId w:val="19"/>
  </w:num>
  <w:num w:numId="6">
    <w:abstractNumId w:val="8"/>
  </w:num>
  <w:num w:numId="7">
    <w:abstractNumId w:val="6"/>
  </w:num>
  <w:num w:numId="8">
    <w:abstractNumId w:val="13"/>
  </w:num>
  <w:num w:numId="9">
    <w:abstractNumId w:val="12"/>
  </w:num>
  <w:num w:numId="10">
    <w:abstractNumId w:val="3"/>
  </w:num>
  <w:num w:numId="11">
    <w:abstractNumId w:val="10"/>
  </w:num>
  <w:num w:numId="12">
    <w:abstractNumId w:val="4"/>
  </w:num>
  <w:num w:numId="13">
    <w:abstractNumId w:val="18"/>
  </w:num>
  <w:num w:numId="14">
    <w:abstractNumId w:val="1"/>
  </w:num>
  <w:num w:numId="15">
    <w:abstractNumId w:val="11"/>
  </w:num>
  <w:num w:numId="16">
    <w:abstractNumId w:val="14"/>
  </w:num>
  <w:num w:numId="17">
    <w:abstractNumId w:val="16"/>
  </w:num>
  <w:num w:numId="18">
    <w:abstractNumId w:val="20"/>
  </w:num>
  <w:num w:numId="19">
    <w:abstractNumId w:val="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72"/>
    <w:rsid w:val="00002DB0"/>
    <w:rsid w:val="000035C0"/>
    <w:rsid w:val="00003834"/>
    <w:rsid w:val="00007C78"/>
    <w:rsid w:val="00010871"/>
    <w:rsid w:val="00011900"/>
    <w:rsid w:val="000126D4"/>
    <w:rsid w:val="00012A55"/>
    <w:rsid w:val="00014605"/>
    <w:rsid w:val="000154FF"/>
    <w:rsid w:val="00015E30"/>
    <w:rsid w:val="000174EF"/>
    <w:rsid w:val="00017956"/>
    <w:rsid w:val="00020239"/>
    <w:rsid w:val="000206EF"/>
    <w:rsid w:val="000208AB"/>
    <w:rsid w:val="000209FB"/>
    <w:rsid w:val="00020D16"/>
    <w:rsid w:val="00021A66"/>
    <w:rsid w:val="00021A6E"/>
    <w:rsid w:val="000236DA"/>
    <w:rsid w:val="00023B65"/>
    <w:rsid w:val="000258D8"/>
    <w:rsid w:val="00026340"/>
    <w:rsid w:val="00026755"/>
    <w:rsid w:val="000274B2"/>
    <w:rsid w:val="00027EEF"/>
    <w:rsid w:val="000308E1"/>
    <w:rsid w:val="000319C8"/>
    <w:rsid w:val="00032EE4"/>
    <w:rsid w:val="00033415"/>
    <w:rsid w:val="00034B4F"/>
    <w:rsid w:val="000351C6"/>
    <w:rsid w:val="000356AC"/>
    <w:rsid w:val="000372F6"/>
    <w:rsid w:val="0003748B"/>
    <w:rsid w:val="00037792"/>
    <w:rsid w:val="0003783A"/>
    <w:rsid w:val="00037927"/>
    <w:rsid w:val="0003793D"/>
    <w:rsid w:val="00040BA8"/>
    <w:rsid w:val="00040D4C"/>
    <w:rsid w:val="0004100F"/>
    <w:rsid w:val="00042A18"/>
    <w:rsid w:val="00044882"/>
    <w:rsid w:val="0004632F"/>
    <w:rsid w:val="000464C5"/>
    <w:rsid w:val="00050E64"/>
    <w:rsid w:val="000550EC"/>
    <w:rsid w:val="0005541D"/>
    <w:rsid w:val="00055445"/>
    <w:rsid w:val="00057440"/>
    <w:rsid w:val="00057B0D"/>
    <w:rsid w:val="00057F0C"/>
    <w:rsid w:val="00060738"/>
    <w:rsid w:val="000620C1"/>
    <w:rsid w:val="00062329"/>
    <w:rsid w:val="00063714"/>
    <w:rsid w:val="00064452"/>
    <w:rsid w:val="00065FE5"/>
    <w:rsid w:val="0006635C"/>
    <w:rsid w:val="000667AD"/>
    <w:rsid w:val="0006696C"/>
    <w:rsid w:val="00066F7B"/>
    <w:rsid w:val="00067DF8"/>
    <w:rsid w:val="00070485"/>
    <w:rsid w:val="0007105F"/>
    <w:rsid w:val="000722FB"/>
    <w:rsid w:val="0007511B"/>
    <w:rsid w:val="00075C27"/>
    <w:rsid w:val="000775E2"/>
    <w:rsid w:val="00077AE8"/>
    <w:rsid w:val="00077C97"/>
    <w:rsid w:val="0008054E"/>
    <w:rsid w:val="0008085A"/>
    <w:rsid w:val="00080BA6"/>
    <w:rsid w:val="0008192E"/>
    <w:rsid w:val="0008283A"/>
    <w:rsid w:val="000829E2"/>
    <w:rsid w:val="00082EAB"/>
    <w:rsid w:val="00083C37"/>
    <w:rsid w:val="00083EBF"/>
    <w:rsid w:val="000853E5"/>
    <w:rsid w:val="0008547B"/>
    <w:rsid w:val="00085AE9"/>
    <w:rsid w:val="0008716C"/>
    <w:rsid w:val="0008730B"/>
    <w:rsid w:val="00087C21"/>
    <w:rsid w:val="00090F6C"/>
    <w:rsid w:val="000922DF"/>
    <w:rsid w:val="000936F8"/>
    <w:rsid w:val="00093759"/>
    <w:rsid w:val="00094077"/>
    <w:rsid w:val="00096028"/>
    <w:rsid w:val="000961FE"/>
    <w:rsid w:val="00096261"/>
    <w:rsid w:val="0009717B"/>
    <w:rsid w:val="000972A5"/>
    <w:rsid w:val="00097440"/>
    <w:rsid w:val="0009770D"/>
    <w:rsid w:val="000A0283"/>
    <w:rsid w:val="000A086F"/>
    <w:rsid w:val="000A0CCF"/>
    <w:rsid w:val="000A1007"/>
    <w:rsid w:val="000A1118"/>
    <w:rsid w:val="000A2446"/>
    <w:rsid w:val="000A3615"/>
    <w:rsid w:val="000A3911"/>
    <w:rsid w:val="000A3DE1"/>
    <w:rsid w:val="000A4A3A"/>
    <w:rsid w:val="000A4BCD"/>
    <w:rsid w:val="000A560D"/>
    <w:rsid w:val="000A591E"/>
    <w:rsid w:val="000A77C5"/>
    <w:rsid w:val="000B1BCC"/>
    <w:rsid w:val="000B407A"/>
    <w:rsid w:val="000B4B62"/>
    <w:rsid w:val="000B63E4"/>
    <w:rsid w:val="000B6776"/>
    <w:rsid w:val="000B6C92"/>
    <w:rsid w:val="000B7578"/>
    <w:rsid w:val="000B7A78"/>
    <w:rsid w:val="000C0F5C"/>
    <w:rsid w:val="000C22E5"/>
    <w:rsid w:val="000C2E10"/>
    <w:rsid w:val="000C3A7D"/>
    <w:rsid w:val="000C515A"/>
    <w:rsid w:val="000C575C"/>
    <w:rsid w:val="000C6676"/>
    <w:rsid w:val="000D0472"/>
    <w:rsid w:val="000D1251"/>
    <w:rsid w:val="000D1576"/>
    <w:rsid w:val="000D23AE"/>
    <w:rsid w:val="000D370D"/>
    <w:rsid w:val="000D409C"/>
    <w:rsid w:val="000D4927"/>
    <w:rsid w:val="000D4AC7"/>
    <w:rsid w:val="000D4D53"/>
    <w:rsid w:val="000D797F"/>
    <w:rsid w:val="000E122C"/>
    <w:rsid w:val="000E1BA4"/>
    <w:rsid w:val="000E32FC"/>
    <w:rsid w:val="000E419A"/>
    <w:rsid w:val="000E453A"/>
    <w:rsid w:val="000E45BB"/>
    <w:rsid w:val="000E5D93"/>
    <w:rsid w:val="000E60BD"/>
    <w:rsid w:val="000E7242"/>
    <w:rsid w:val="000E7820"/>
    <w:rsid w:val="000F17AB"/>
    <w:rsid w:val="000F1813"/>
    <w:rsid w:val="000F1E06"/>
    <w:rsid w:val="000F2488"/>
    <w:rsid w:val="000F2B09"/>
    <w:rsid w:val="000F2EA8"/>
    <w:rsid w:val="000F3239"/>
    <w:rsid w:val="000F59F3"/>
    <w:rsid w:val="000F5ACA"/>
    <w:rsid w:val="000F5F85"/>
    <w:rsid w:val="000F78C6"/>
    <w:rsid w:val="000F7EF0"/>
    <w:rsid w:val="000F7F40"/>
    <w:rsid w:val="00100376"/>
    <w:rsid w:val="00100D38"/>
    <w:rsid w:val="00100E80"/>
    <w:rsid w:val="00100F85"/>
    <w:rsid w:val="001041E3"/>
    <w:rsid w:val="001053C6"/>
    <w:rsid w:val="00105C4D"/>
    <w:rsid w:val="00105ECB"/>
    <w:rsid w:val="00106144"/>
    <w:rsid w:val="001062D3"/>
    <w:rsid w:val="00106B3F"/>
    <w:rsid w:val="00106EA6"/>
    <w:rsid w:val="001108EF"/>
    <w:rsid w:val="00110DCA"/>
    <w:rsid w:val="00110ED7"/>
    <w:rsid w:val="00112513"/>
    <w:rsid w:val="00112610"/>
    <w:rsid w:val="00113DE6"/>
    <w:rsid w:val="001149BF"/>
    <w:rsid w:val="001156BB"/>
    <w:rsid w:val="001162C2"/>
    <w:rsid w:val="00120209"/>
    <w:rsid w:val="001211CB"/>
    <w:rsid w:val="00121979"/>
    <w:rsid w:val="001229B3"/>
    <w:rsid w:val="00122A35"/>
    <w:rsid w:val="00123D75"/>
    <w:rsid w:val="00123E1C"/>
    <w:rsid w:val="00125661"/>
    <w:rsid w:val="0012637F"/>
    <w:rsid w:val="0013163D"/>
    <w:rsid w:val="00131955"/>
    <w:rsid w:val="00132485"/>
    <w:rsid w:val="001325D2"/>
    <w:rsid w:val="001328B3"/>
    <w:rsid w:val="0013334A"/>
    <w:rsid w:val="00133C47"/>
    <w:rsid w:val="001360AF"/>
    <w:rsid w:val="001362ED"/>
    <w:rsid w:val="00137F7A"/>
    <w:rsid w:val="00140E47"/>
    <w:rsid w:val="0014107B"/>
    <w:rsid w:val="001421DC"/>
    <w:rsid w:val="00143728"/>
    <w:rsid w:val="00144237"/>
    <w:rsid w:val="00144E0E"/>
    <w:rsid w:val="00145B54"/>
    <w:rsid w:val="00146D6E"/>
    <w:rsid w:val="00147172"/>
    <w:rsid w:val="00150F3A"/>
    <w:rsid w:val="00151947"/>
    <w:rsid w:val="00153444"/>
    <w:rsid w:val="00153A00"/>
    <w:rsid w:val="001542CE"/>
    <w:rsid w:val="00154EB5"/>
    <w:rsid w:val="00155517"/>
    <w:rsid w:val="00161593"/>
    <w:rsid w:val="00162136"/>
    <w:rsid w:val="00163298"/>
    <w:rsid w:val="0016388A"/>
    <w:rsid w:val="00163A78"/>
    <w:rsid w:val="00163D2D"/>
    <w:rsid w:val="00163D44"/>
    <w:rsid w:val="0017053C"/>
    <w:rsid w:val="001709EC"/>
    <w:rsid w:val="00170A2F"/>
    <w:rsid w:val="00171100"/>
    <w:rsid w:val="00171403"/>
    <w:rsid w:val="001716E4"/>
    <w:rsid w:val="00171821"/>
    <w:rsid w:val="0017308C"/>
    <w:rsid w:val="001733A7"/>
    <w:rsid w:val="0017353D"/>
    <w:rsid w:val="00173E5B"/>
    <w:rsid w:val="001745A5"/>
    <w:rsid w:val="00174B8C"/>
    <w:rsid w:val="00176D1D"/>
    <w:rsid w:val="001777A7"/>
    <w:rsid w:val="0017783E"/>
    <w:rsid w:val="0018004D"/>
    <w:rsid w:val="00180077"/>
    <w:rsid w:val="00182B5D"/>
    <w:rsid w:val="00184832"/>
    <w:rsid w:val="00184B67"/>
    <w:rsid w:val="001860A3"/>
    <w:rsid w:val="00186522"/>
    <w:rsid w:val="00187016"/>
    <w:rsid w:val="00187A13"/>
    <w:rsid w:val="00190B3E"/>
    <w:rsid w:val="00192638"/>
    <w:rsid w:val="001926CE"/>
    <w:rsid w:val="00193B02"/>
    <w:rsid w:val="00194AF5"/>
    <w:rsid w:val="00194BC7"/>
    <w:rsid w:val="00194E4F"/>
    <w:rsid w:val="001954C9"/>
    <w:rsid w:val="00196347"/>
    <w:rsid w:val="001972A8"/>
    <w:rsid w:val="001A3EF9"/>
    <w:rsid w:val="001A4A7A"/>
    <w:rsid w:val="001A4C05"/>
    <w:rsid w:val="001A5521"/>
    <w:rsid w:val="001A5675"/>
    <w:rsid w:val="001A6FA6"/>
    <w:rsid w:val="001A740F"/>
    <w:rsid w:val="001A7CAF"/>
    <w:rsid w:val="001B0DAB"/>
    <w:rsid w:val="001B1DDF"/>
    <w:rsid w:val="001B238F"/>
    <w:rsid w:val="001B31AE"/>
    <w:rsid w:val="001B3315"/>
    <w:rsid w:val="001B3856"/>
    <w:rsid w:val="001B3E83"/>
    <w:rsid w:val="001B46AD"/>
    <w:rsid w:val="001C0152"/>
    <w:rsid w:val="001C0806"/>
    <w:rsid w:val="001C1392"/>
    <w:rsid w:val="001C1867"/>
    <w:rsid w:val="001C1D78"/>
    <w:rsid w:val="001C3228"/>
    <w:rsid w:val="001C343F"/>
    <w:rsid w:val="001C3CB7"/>
    <w:rsid w:val="001C4297"/>
    <w:rsid w:val="001C4A39"/>
    <w:rsid w:val="001C5263"/>
    <w:rsid w:val="001C53ED"/>
    <w:rsid w:val="001C6E31"/>
    <w:rsid w:val="001C7215"/>
    <w:rsid w:val="001C7744"/>
    <w:rsid w:val="001D0C7D"/>
    <w:rsid w:val="001D19C4"/>
    <w:rsid w:val="001D1E1E"/>
    <w:rsid w:val="001D247B"/>
    <w:rsid w:val="001D3701"/>
    <w:rsid w:val="001D4AB8"/>
    <w:rsid w:val="001D4F89"/>
    <w:rsid w:val="001D59F1"/>
    <w:rsid w:val="001D5D11"/>
    <w:rsid w:val="001D5DF1"/>
    <w:rsid w:val="001D6175"/>
    <w:rsid w:val="001E0BC7"/>
    <w:rsid w:val="001E1CF4"/>
    <w:rsid w:val="001E1F33"/>
    <w:rsid w:val="001E20EA"/>
    <w:rsid w:val="001E5160"/>
    <w:rsid w:val="001E614F"/>
    <w:rsid w:val="001E63FC"/>
    <w:rsid w:val="001E7742"/>
    <w:rsid w:val="001E7B9A"/>
    <w:rsid w:val="001F065B"/>
    <w:rsid w:val="001F0AB3"/>
    <w:rsid w:val="001F20D9"/>
    <w:rsid w:val="001F26B6"/>
    <w:rsid w:val="001F3115"/>
    <w:rsid w:val="001F3606"/>
    <w:rsid w:val="001F38DA"/>
    <w:rsid w:val="001F3A15"/>
    <w:rsid w:val="001F3FAA"/>
    <w:rsid w:val="001F42C3"/>
    <w:rsid w:val="001F4D5E"/>
    <w:rsid w:val="001F5BB6"/>
    <w:rsid w:val="001F6650"/>
    <w:rsid w:val="00200392"/>
    <w:rsid w:val="00201AE4"/>
    <w:rsid w:val="00201DC1"/>
    <w:rsid w:val="00201E73"/>
    <w:rsid w:val="00202865"/>
    <w:rsid w:val="0020419A"/>
    <w:rsid w:val="00204727"/>
    <w:rsid w:val="00204F71"/>
    <w:rsid w:val="00206154"/>
    <w:rsid w:val="00206B30"/>
    <w:rsid w:val="00210180"/>
    <w:rsid w:val="002106B4"/>
    <w:rsid w:val="00210B8F"/>
    <w:rsid w:val="00212D19"/>
    <w:rsid w:val="00214965"/>
    <w:rsid w:val="00214D1A"/>
    <w:rsid w:val="0021573A"/>
    <w:rsid w:val="002210C1"/>
    <w:rsid w:val="002216D3"/>
    <w:rsid w:val="0022277D"/>
    <w:rsid w:val="00222CD0"/>
    <w:rsid w:val="002242A3"/>
    <w:rsid w:val="0022525A"/>
    <w:rsid w:val="00226417"/>
    <w:rsid w:val="00226454"/>
    <w:rsid w:val="00226498"/>
    <w:rsid w:val="002268D5"/>
    <w:rsid w:val="002268DF"/>
    <w:rsid w:val="00230A89"/>
    <w:rsid w:val="00230B5B"/>
    <w:rsid w:val="00230B89"/>
    <w:rsid w:val="0023124B"/>
    <w:rsid w:val="0023281C"/>
    <w:rsid w:val="002332ED"/>
    <w:rsid w:val="00233DDC"/>
    <w:rsid w:val="00233EEE"/>
    <w:rsid w:val="002341FC"/>
    <w:rsid w:val="00234854"/>
    <w:rsid w:val="00234A27"/>
    <w:rsid w:val="002358A8"/>
    <w:rsid w:val="002371DE"/>
    <w:rsid w:val="0023790F"/>
    <w:rsid w:val="00240021"/>
    <w:rsid w:val="002410A3"/>
    <w:rsid w:val="00241507"/>
    <w:rsid w:val="00241ACB"/>
    <w:rsid w:val="00241F2E"/>
    <w:rsid w:val="00242080"/>
    <w:rsid w:val="00243172"/>
    <w:rsid w:val="002444DB"/>
    <w:rsid w:val="002446D8"/>
    <w:rsid w:val="00245923"/>
    <w:rsid w:val="00247AE8"/>
    <w:rsid w:val="0025057E"/>
    <w:rsid w:val="00250BB0"/>
    <w:rsid w:val="00250F72"/>
    <w:rsid w:val="0025314C"/>
    <w:rsid w:val="002535C8"/>
    <w:rsid w:val="0025387E"/>
    <w:rsid w:val="0025471C"/>
    <w:rsid w:val="00254D24"/>
    <w:rsid w:val="00254E1C"/>
    <w:rsid w:val="00255B02"/>
    <w:rsid w:val="00256E0B"/>
    <w:rsid w:val="00260379"/>
    <w:rsid w:val="0026049D"/>
    <w:rsid w:val="00263B5B"/>
    <w:rsid w:val="0026538A"/>
    <w:rsid w:val="002663CC"/>
    <w:rsid w:val="00266AB4"/>
    <w:rsid w:val="00272028"/>
    <w:rsid w:val="00272C3F"/>
    <w:rsid w:val="00272F59"/>
    <w:rsid w:val="002731D4"/>
    <w:rsid w:val="0027608D"/>
    <w:rsid w:val="00276512"/>
    <w:rsid w:val="00276986"/>
    <w:rsid w:val="00276A7A"/>
    <w:rsid w:val="00277B94"/>
    <w:rsid w:val="00277BA8"/>
    <w:rsid w:val="002803CB"/>
    <w:rsid w:val="00281ECA"/>
    <w:rsid w:val="00282BA0"/>
    <w:rsid w:val="00284886"/>
    <w:rsid w:val="00285427"/>
    <w:rsid w:val="002854AD"/>
    <w:rsid w:val="00286B60"/>
    <w:rsid w:val="0028774F"/>
    <w:rsid w:val="00287BFA"/>
    <w:rsid w:val="00290280"/>
    <w:rsid w:val="00290682"/>
    <w:rsid w:val="00290BDF"/>
    <w:rsid w:val="00290F38"/>
    <w:rsid w:val="002927E1"/>
    <w:rsid w:val="00292C26"/>
    <w:rsid w:val="002933BC"/>
    <w:rsid w:val="00293409"/>
    <w:rsid w:val="002959F1"/>
    <w:rsid w:val="00296553"/>
    <w:rsid w:val="002A0AE3"/>
    <w:rsid w:val="002A0D85"/>
    <w:rsid w:val="002A1F84"/>
    <w:rsid w:val="002A254B"/>
    <w:rsid w:val="002A28E8"/>
    <w:rsid w:val="002A2AD1"/>
    <w:rsid w:val="002A4C1F"/>
    <w:rsid w:val="002A4EF6"/>
    <w:rsid w:val="002A5DDA"/>
    <w:rsid w:val="002A6FC9"/>
    <w:rsid w:val="002A79FA"/>
    <w:rsid w:val="002B0D31"/>
    <w:rsid w:val="002B0F8D"/>
    <w:rsid w:val="002B167C"/>
    <w:rsid w:val="002B210C"/>
    <w:rsid w:val="002B2A4F"/>
    <w:rsid w:val="002B2F21"/>
    <w:rsid w:val="002B58EE"/>
    <w:rsid w:val="002B6CE6"/>
    <w:rsid w:val="002B6F35"/>
    <w:rsid w:val="002C2017"/>
    <w:rsid w:val="002C2928"/>
    <w:rsid w:val="002C36FA"/>
    <w:rsid w:val="002C37E6"/>
    <w:rsid w:val="002C3C94"/>
    <w:rsid w:val="002C4184"/>
    <w:rsid w:val="002C7886"/>
    <w:rsid w:val="002D02D9"/>
    <w:rsid w:val="002D2422"/>
    <w:rsid w:val="002D3F90"/>
    <w:rsid w:val="002D4ECC"/>
    <w:rsid w:val="002D5360"/>
    <w:rsid w:val="002D6206"/>
    <w:rsid w:val="002D627A"/>
    <w:rsid w:val="002D715F"/>
    <w:rsid w:val="002D7FCE"/>
    <w:rsid w:val="002E0C3B"/>
    <w:rsid w:val="002E273D"/>
    <w:rsid w:val="002E289A"/>
    <w:rsid w:val="002E2A3D"/>
    <w:rsid w:val="002E2E24"/>
    <w:rsid w:val="002E3642"/>
    <w:rsid w:val="002E439E"/>
    <w:rsid w:val="002E5C70"/>
    <w:rsid w:val="002E6878"/>
    <w:rsid w:val="002E6AEC"/>
    <w:rsid w:val="002E7100"/>
    <w:rsid w:val="002F1C7C"/>
    <w:rsid w:val="002F26C4"/>
    <w:rsid w:val="002F45D2"/>
    <w:rsid w:val="002F4702"/>
    <w:rsid w:val="002F5456"/>
    <w:rsid w:val="002F570B"/>
    <w:rsid w:val="002F5B31"/>
    <w:rsid w:val="002F6BEE"/>
    <w:rsid w:val="0030148E"/>
    <w:rsid w:val="00302C44"/>
    <w:rsid w:val="00302FE8"/>
    <w:rsid w:val="003053B9"/>
    <w:rsid w:val="00305470"/>
    <w:rsid w:val="0030649C"/>
    <w:rsid w:val="00307260"/>
    <w:rsid w:val="00310DBD"/>
    <w:rsid w:val="003119FD"/>
    <w:rsid w:val="003120C6"/>
    <w:rsid w:val="0031254A"/>
    <w:rsid w:val="00312B48"/>
    <w:rsid w:val="00312B71"/>
    <w:rsid w:val="00313BD6"/>
    <w:rsid w:val="00314061"/>
    <w:rsid w:val="00315094"/>
    <w:rsid w:val="003151E3"/>
    <w:rsid w:val="00315667"/>
    <w:rsid w:val="00315B44"/>
    <w:rsid w:val="00315C4F"/>
    <w:rsid w:val="00316171"/>
    <w:rsid w:val="0031646B"/>
    <w:rsid w:val="00317634"/>
    <w:rsid w:val="00317932"/>
    <w:rsid w:val="00317EE2"/>
    <w:rsid w:val="00322622"/>
    <w:rsid w:val="0032283D"/>
    <w:rsid w:val="0032398C"/>
    <w:rsid w:val="003262E8"/>
    <w:rsid w:val="0032676A"/>
    <w:rsid w:val="00327B91"/>
    <w:rsid w:val="00327FAB"/>
    <w:rsid w:val="003308E0"/>
    <w:rsid w:val="00330A39"/>
    <w:rsid w:val="00331027"/>
    <w:rsid w:val="00331461"/>
    <w:rsid w:val="00331F00"/>
    <w:rsid w:val="0033521A"/>
    <w:rsid w:val="00335827"/>
    <w:rsid w:val="00335B51"/>
    <w:rsid w:val="00335C51"/>
    <w:rsid w:val="0033617C"/>
    <w:rsid w:val="003361E7"/>
    <w:rsid w:val="00336712"/>
    <w:rsid w:val="003369C1"/>
    <w:rsid w:val="003375EF"/>
    <w:rsid w:val="003421AF"/>
    <w:rsid w:val="0034344A"/>
    <w:rsid w:val="003435BC"/>
    <w:rsid w:val="00343F39"/>
    <w:rsid w:val="00345C18"/>
    <w:rsid w:val="003479CA"/>
    <w:rsid w:val="003500AE"/>
    <w:rsid w:val="00352E0A"/>
    <w:rsid w:val="003543C3"/>
    <w:rsid w:val="00355F29"/>
    <w:rsid w:val="00356835"/>
    <w:rsid w:val="0035708A"/>
    <w:rsid w:val="0035768C"/>
    <w:rsid w:val="00357762"/>
    <w:rsid w:val="0035782F"/>
    <w:rsid w:val="00360287"/>
    <w:rsid w:val="003617A7"/>
    <w:rsid w:val="00364F68"/>
    <w:rsid w:val="0036535C"/>
    <w:rsid w:val="003653A4"/>
    <w:rsid w:val="0036547E"/>
    <w:rsid w:val="00365921"/>
    <w:rsid w:val="00366B77"/>
    <w:rsid w:val="00370351"/>
    <w:rsid w:val="00372215"/>
    <w:rsid w:val="00372362"/>
    <w:rsid w:val="00372827"/>
    <w:rsid w:val="00377111"/>
    <w:rsid w:val="00380C99"/>
    <w:rsid w:val="00380E1F"/>
    <w:rsid w:val="003820BD"/>
    <w:rsid w:val="0038359D"/>
    <w:rsid w:val="0038360D"/>
    <w:rsid w:val="0038469E"/>
    <w:rsid w:val="003846ED"/>
    <w:rsid w:val="0038584D"/>
    <w:rsid w:val="0038640C"/>
    <w:rsid w:val="003878AF"/>
    <w:rsid w:val="00391222"/>
    <w:rsid w:val="00391E42"/>
    <w:rsid w:val="003927BF"/>
    <w:rsid w:val="003934B6"/>
    <w:rsid w:val="003939A6"/>
    <w:rsid w:val="0039466C"/>
    <w:rsid w:val="003952EF"/>
    <w:rsid w:val="00396B40"/>
    <w:rsid w:val="00397C32"/>
    <w:rsid w:val="003A0318"/>
    <w:rsid w:val="003A26B6"/>
    <w:rsid w:val="003A4931"/>
    <w:rsid w:val="003A525F"/>
    <w:rsid w:val="003A5F24"/>
    <w:rsid w:val="003A6736"/>
    <w:rsid w:val="003A693C"/>
    <w:rsid w:val="003A793D"/>
    <w:rsid w:val="003A7AED"/>
    <w:rsid w:val="003A7F8B"/>
    <w:rsid w:val="003B1FFB"/>
    <w:rsid w:val="003B2684"/>
    <w:rsid w:val="003B3D0E"/>
    <w:rsid w:val="003B5BB8"/>
    <w:rsid w:val="003B7BC6"/>
    <w:rsid w:val="003B7D0A"/>
    <w:rsid w:val="003C0130"/>
    <w:rsid w:val="003C3FED"/>
    <w:rsid w:val="003C429D"/>
    <w:rsid w:val="003C5830"/>
    <w:rsid w:val="003D0004"/>
    <w:rsid w:val="003D0FAA"/>
    <w:rsid w:val="003D1017"/>
    <w:rsid w:val="003D34FD"/>
    <w:rsid w:val="003D3BAE"/>
    <w:rsid w:val="003D42B6"/>
    <w:rsid w:val="003D48A8"/>
    <w:rsid w:val="003D4EA7"/>
    <w:rsid w:val="003D527F"/>
    <w:rsid w:val="003D6849"/>
    <w:rsid w:val="003D7B10"/>
    <w:rsid w:val="003E0F42"/>
    <w:rsid w:val="003E2049"/>
    <w:rsid w:val="003E44C0"/>
    <w:rsid w:val="003E4A0B"/>
    <w:rsid w:val="003E4D3B"/>
    <w:rsid w:val="003E5A0D"/>
    <w:rsid w:val="003E654D"/>
    <w:rsid w:val="003E6D74"/>
    <w:rsid w:val="003F0235"/>
    <w:rsid w:val="003F06DC"/>
    <w:rsid w:val="003F1736"/>
    <w:rsid w:val="003F29D0"/>
    <w:rsid w:val="003F3645"/>
    <w:rsid w:val="003F50A7"/>
    <w:rsid w:val="003F6851"/>
    <w:rsid w:val="003F7037"/>
    <w:rsid w:val="003F7440"/>
    <w:rsid w:val="003F744C"/>
    <w:rsid w:val="003F7CA9"/>
    <w:rsid w:val="0040143C"/>
    <w:rsid w:val="004032CD"/>
    <w:rsid w:val="00403475"/>
    <w:rsid w:val="00403811"/>
    <w:rsid w:val="00404C47"/>
    <w:rsid w:val="004050CA"/>
    <w:rsid w:val="00405560"/>
    <w:rsid w:val="00405BC2"/>
    <w:rsid w:val="0040663C"/>
    <w:rsid w:val="00407AEA"/>
    <w:rsid w:val="00407BAD"/>
    <w:rsid w:val="00410519"/>
    <w:rsid w:val="00410743"/>
    <w:rsid w:val="004112D3"/>
    <w:rsid w:val="00411435"/>
    <w:rsid w:val="00413763"/>
    <w:rsid w:val="00413ADD"/>
    <w:rsid w:val="00413BC1"/>
    <w:rsid w:val="00415C26"/>
    <w:rsid w:val="00416F45"/>
    <w:rsid w:val="00417AB5"/>
    <w:rsid w:val="004217BB"/>
    <w:rsid w:val="00422AA3"/>
    <w:rsid w:val="00422EDF"/>
    <w:rsid w:val="00423051"/>
    <w:rsid w:val="0042346F"/>
    <w:rsid w:val="00423483"/>
    <w:rsid w:val="0042359D"/>
    <w:rsid w:val="00424AE0"/>
    <w:rsid w:val="0042582C"/>
    <w:rsid w:val="00427FE1"/>
    <w:rsid w:val="00430E87"/>
    <w:rsid w:val="00431026"/>
    <w:rsid w:val="00431473"/>
    <w:rsid w:val="00432B9C"/>
    <w:rsid w:val="00433AEF"/>
    <w:rsid w:val="00433B6B"/>
    <w:rsid w:val="0043690C"/>
    <w:rsid w:val="00437184"/>
    <w:rsid w:val="004379BF"/>
    <w:rsid w:val="00440178"/>
    <w:rsid w:val="00441CAF"/>
    <w:rsid w:val="00441E12"/>
    <w:rsid w:val="00442135"/>
    <w:rsid w:val="00442B9B"/>
    <w:rsid w:val="00443257"/>
    <w:rsid w:val="0044428E"/>
    <w:rsid w:val="0044527F"/>
    <w:rsid w:val="0044551D"/>
    <w:rsid w:val="004455B7"/>
    <w:rsid w:val="00445672"/>
    <w:rsid w:val="00446AB9"/>
    <w:rsid w:val="00446E35"/>
    <w:rsid w:val="0044728D"/>
    <w:rsid w:val="00447ECB"/>
    <w:rsid w:val="00451192"/>
    <w:rsid w:val="0045171C"/>
    <w:rsid w:val="004528C4"/>
    <w:rsid w:val="004535A6"/>
    <w:rsid w:val="0045546D"/>
    <w:rsid w:val="00455816"/>
    <w:rsid w:val="00455C0C"/>
    <w:rsid w:val="00456D92"/>
    <w:rsid w:val="00457E3D"/>
    <w:rsid w:val="00460161"/>
    <w:rsid w:val="0046016E"/>
    <w:rsid w:val="0046196A"/>
    <w:rsid w:val="00462476"/>
    <w:rsid w:val="0046693B"/>
    <w:rsid w:val="00467F26"/>
    <w:rsid w:val="004704D3"/>
    <w:rsid w:val="00472ED3"/>
    <w:rsid w:val="004731D0"/>
    <w:rsid w:val="00473330"/>
    <w:rsid w:val="00473512"/>
    <w:rsid w:val="00473A6B"/>
    <w:rsid w:val="00474C81"/>
    <w:rsid w:val="00475141"/>
    <w:rsid w:val="00475DC8"/>
    <w:rsid w:val="00475E19"/>
    <w:rsid w:val="0047676A"/>
    <w:rsid w:val="00476E00"/>
    <w:rsid w:val="004777AE"/>
    <w:rsid w:val="00480171"/>
    <w:rsid w:val="00480227"/>
    <w:rsid w:val="00480752"/>
    <w:rsid w:val="00480820"/>
    <w:rsid w:val="0048085C"/>
    <w:rsid w:val="00481287"/>
    <w:rsid w:val="00481316"/>
    <w:rsid w:val="00483F35"/>
    <w:rsid w:val="00486630"/>
    <w:rsid w:val="00486676"/>
    <w:rsid w:val="00486C05"/>
    <w:rsid w:val="00490749"/>
    <w:rsid w:val="00493E98"/>
    <w:rsid w:val="004954F9"/>
    <w:rsid w:val="00495AC2"/>
    <w:rsid w:val="00495EDC"/>
    <w:rsid w:val="0049668A"/>
    <w:rsid w:val="0049702E"/>
    <w:rsid w:val="004A0CF6"/>
    <w:rsid w:val="004A1F57"/>
    <w:rsid w:val="004A2CAA"/>
    <w:rsid w:val="004A3858"/>
    <w:rsid w:val="004A4FC1"/>
    <w:rsid w:val="004A50B3"/>
    <w:rsid w:val="004A5C32"/>
    <w:rsid w:val="004A632D"/>
    <w:rsid w:val="004A6C4B"/>
    <w:rsid w:val="004A741D"/>
    <w:rsid w:val="004A75DC"/>
    <w:rsid w:val="004A77E1"/>
    <w:rsid w:val="004A7CEE"/>
    <w:rsid w:val="004B0C29"/>
    <w:rsid w:val="004B13CD"/>
    <w:rsid w:val="004B1B9F"/>
    <w:rsid w:val="004B1F4C"/>
    <w:rsid w:val="004B2D7B"/>
    <w:rsid w:val="004B2DFF"/>
    <w:rsid w:val="004B31A6"/>
    <w:rsid w:val="004B3D41"/>
    <w:rsid w:val="004B48B5"/>
    <w:rsid w:val="004B549A"/>
    <w:rsid w:val="004B54CC"/>
    <w:rsid w:val="004B575B"/>
    <w:rsid w:val="004B66C6"/>
    <w:rsid w:val="004B7049"/>
    <w:rsid w:val="004B7549"/>
    <w:rsid w:val="004B7E45"/>
    <w:rsid w:val="004B7E91"/>
    <w:rsid w:val="004B7EDD"/>
    <w:rsid w:val="004C05EA"/>
    <w:rsid w:val="004C0F62"/>
    <w:rsid w:val="004C22CB"/>
    <w:rsid w:val="004C241F"/>
    <w:rsid w:val="004C2816"/>
    <w:rsid w:val="004C37D5"/>
    <w:rsid w:val="004C3D51"/>
    <w:rsid w:val="004C4129"/>
    <w:rsid w:val="004C5651"/>
    <w:rsid w:val="004C5F1F"/>
    <w:rsid w:val="004C7458"/>
    <w:rsid w:val="004C7813"/>
    <w:rsid w:val="004D0069"/>
    <w:rsid w:val="004D0F07"/>
    <w:rsid w:val="004D1175"/>
    <w:rsid w:val="004D12EF"/>
    <w:rsid w:val="004D1481"/>
    <w:rsid w:val="004D16D0"/>
    <w:rsid w:val="004D2347"/>
    <w:rsid w:val="004D2F9A"/>
    <w:rsid w:val="004D30CF"/>
    <w:rsid w:val="004D7A8C"/>
    <w:rsid w:val="004E0048"/>
    <w:rsid w:val="004E09E7"/>
    <w:rsid w:val="004E117B"/>
    <w:rsid w:val="004E1C63"/>
    <w:rsid w:val="004E1ED9"/>
    <w:rsid w:val="004E29C9"/>
    <w:rsid w:val="004E3BD0"/>
    <w:rsid w:val="004E6392"/>
    <w:rsid w:val="004E71EE"/>
    <w:rsid w:val="004E74BD"/>
    <w:rsid w:val="004F19DB"/>
    <w:rsid w:val="004F260A"/>
    <w:rsid w:val="004F3441"/>
    <w:rsid w:val="004F509E"/>
    <w:rsid w:val="004F512B"/>
    <w:rsid w:val="004F53FC"/>
    <w:rsid w:val="004F55EC"/>
    <w:rsid w:val="004F5D46"/>
    <w:rsid w:val="004F62D9"/>
    <w:rsid w:val="004F6ED3"/>
    <w:rsid w:val="00501E1C"/>
    <w:rsid w:val="005029D9"/>
    <w:rsid w:val="00502DE3"/>
    <w:rsid w:val="00503474"/>
    <w:rsid w:val="00503655"/>
    <w:rsid w:val="00504999"/>
    <w:rsid w:val="00505175"/>
    <w:rsid w:val="0050686B"/>
    <w:rsid w:val="00507391"/>
    <w:rsid w:val="0051005C"/>
    <w:rsid w:val="00510537"/>
    <w:rsid w:val="005111E4"/>
    <w:rsid w:val="0051131A"/>
    <w:rsid w:val="00513667"/>
    <w:rsid w:val="00514306"/>
    <w:rsid w:val="00514E7E"/>
    <w:rsid w:val="005156A4"/>
    <w:rsid w:val="00516922"/>
    <w:rsid w:val="0051706A"/>
    <w:rsid w:val="00517D29"/>
    <w:rsid w:val="005205AB"/>
    <w:rsid w:val="0052426E"/>
    <w:rsid w:val="0052484D"/>
    <w:rsid w:val="0052485A"/>
    <w:rsid w:val="00531B4E"/>
    <w:rsid w:val="00531CA8"/>
    <w:rsid w:val="005322E5"/>
    <w:rsid w:val="00532ABA"/>
    <w:rsid w:val="00532C52"/>
    <w:rsid w:val="00533739"/>
    <w:rsid w:val="00534AAF"/>
    <w:rsid w:val="00535042"/>
    <w:rsid w:val="0053515D"/>
    <w:rsid w:val="00536590"/>
    <w:rsid w:val="00540A3A"/>
    <w:rsid w:val="00541B5D"/>
    <w:rsid w:val="005423AA"/>
    <w:rsid w:val="005425EF"/>
    <w:rsid w:val="00544063"/>
    <w:rsid w:val="00544E0F"/>
    <w:rsid w:val="0054537B"/>
    <w:rsid w:val="005454C9"/>
    <w:rsid w:val="00545D5A"/>
    <w:rsid w:val="005466C2"/>
    <w:rsid w:val="00547230"/>
    <w:rsid w:val="00552712"/>
    <w:rsid w:val="00552832"/>
    <w:rsid w:val="00553A65"/>
    <w:rsid w:val="0055464F"/>
    <w:rsid w:val="005549ED"/>
    <w:rsid w:val="00556633"/>
    <w:rsid w:val="0055693A"/>
    <w:rsid w:val="00556C04"/>
    <w:rsid w:val="00557752"/>
    <w:rsid w:val="00557931"/>
    <w:rsid w:val="005601F1"/>
    <w:rsid w:val="00561CA6"/>
    <w:rsid w:val="00562110"/>
    <w:rsid w:val="00562A5E"/>
    <w:rsid w:val="00564B44"/>
    <w:rsid w:val="00565530"/>
    <w:rsid w:val="00565767"/>
    <w:rsid w:val="005669C4"/>
    <w:rsid w:val="00567242"/>
    <w:rsid w:val="005708CB"/>
    <w:rsid w:val="0057212C"/>
    <w:rsid w:val="0057249B"/>
    <w:rsid w:val="00572501"/>
    <w:rsid w:val="0057253E"/>
    <w:rsid w:val="005732BE"/>
    <w:rsid w:val="005732E0"/>
    <w:rsid w:val="005738AD"/>
    <w:rsid w:val="00573B8F"/>
    <w:rsid w:val="0057531A"/>
    <w:rsid w:val="00575FFD"/>
    <w:rsid w:val="005813B8"/>
    <w:rsid w:val="005849F4"/>
    <w:rsid w:val="00585475"/>
    <w:rsid w:val="00592AEE"/>
    <w:rsid w:val="005954EB"/>
    <w:rsid w:val="0059711B"/>
    <w:rsid w:val="0059769B"/>
    <w:rsid w:val="005979D8"/>
    <w:rsid w:val="005A00E1"/>
    <w:rsid w:val="005A091E"/>
    <w:rsid w:val="005A166E"/>
    <w:rsid w:val="005A1F87"/>
    <w:rsid w:val="005A2262"/>
    <w:rsid w:val="005A2ACE"/>
    <w:rsid w:val="005A2AD0"/>
    <w:rsid w:val="005A306A"/>
    <w:rsid w:val="005A3D69"/>
    <w:rsid w:val="005A4763"/>
    <w:rsid w:val="005A5674"/>
    <w:rsid w:val="005A5C71"/>
    <w:rsid w:val="005A65B8"/>
    <w:rsid w:val="005A7C28"/>
    <w:rsid w:val="005B17FB"/>
    <w:rsid w:val="005B1928"/>
    <w:rsid w:val="005B6852"/>
    <w:rsid w:val="005B6EFF"/>
    <w:rsid w:val="005B7FAE"/>
    <w:rsid w:val="005C269C"/>
    <w:rsid w:val="005C3C1D"/>
    <w:rsid w:val="005C4918"/>
    <w:rsid w:val="005C544E"/>
    <w:rsid w:val="005C666A"/>
    <w:rsid w:val="005C6AEC"/>
    <w:rsid w:val="005D24AD"/>
    <w:rsid w:val="005D3C07"/>
    <w:rsid w:val="005D4214"/>
    <w:rsid w:val="005D509A"/>
    <w:rsid w:val="005D5BD1"/>
    <w:rsid w:val="005D5CF3"/>
    <w:rsid w:val="005D62B5"/>
    <w:rsid w:val="005D64C7"/>
    <w:rsid w:val="005D6745"/>
    <w:rsid w:val="005D72CC"/>
    <w:rsid w:val="005D7316"/>
    <w:rsid w:val="005D76FE"/>
    <w:rsid w:val="005D7DA5"/>
    <w:rsid w:val="005E39CE"/>
    <w:rsid w:val="005E45E2"/>
    <w:rsid w:val="005E62FB"/>
    <w:rsid w:val="005E6EDA"/>
    <w:rsid w:val="005E7098"/>
    <w:rsid w:val="005E7379"/>
    <w:rsid w:val="005E73B8"/>
    <w:rsid w:val="005F0815"/>
    <w:rsid w:val="005F0DCF"/>
    <w:rsid w:val="005F2394"/>
    <w:rsid w:val="005F24F7"/>
    <w:rsid w:val="005F28AB"/>
    <w:rsid w:val="005F3730"/>
    <w:rsid w:val="005F412C"/>
    <w:rsid w:val="005F4998"/>
    <w:rsid w:val="005F5A92"/>
    <w:rsid w:val="005F62A7"/>
    <w:rsid w:val="0060038E"/>
    <w:rsid w:val="00602383"/>
    <w:rsid w:val="00602E2D"/>
    <w:rsid w:val="006054BB"/>
    <w:rsid w:val="0060569C"/>
    <w:rsid w:val="00605967"/>
    <w:rsid w:val="00605FAC"/>
    <w:rsid w:val="00606602"/>
    <w:rsid w:val="00606E92"/>
    <w:rsid w:val="006101F8"/>
    <w:rsid w:val="006111CD"/>
    <w:rsid w:val="006123A7"/>
    <w:rsid w:val="00612A14"/>
    <w:rsid w:val="00612AD8"/>
    <w:rsid w:val="00613C3D"/>
    <w:rsid w:val="00614274"/>
    <w:rsid w:val="00616112"/>
    <w:rsid w:val="00617E1A"/>
    <w:rsid w:val="00620189"/>
    <w:rsid w:val="00620ADA"/>
    <w:rsid w:val="00620C0A"/>
    <w:rsid w:val="00620C63"/>
    <w:rsid w:val="00620F2D"/>
    <w:rsid w:val="00622F02"/>
    <w:rsid w:val="00623217"/>
    <w:rsid w:val="006262BA"/>
    <w:rsid w:val="006266B4"/>
    <w:rsid w:val="00630C2B"/>
    <w:rsid w:val="00630C5E"/>
    <w:rsid w:val="006318F7"/>
    <w:rsid w:val="00631BFD"/>
    <w:rsid w:val="00631E56"/>
    <w:rsid w:val="00632450"/>
    <w:rsid w:val="00632877"/>
    <w:rsid w:val="00632E1C"/>
    <w:rsid w:val="00633D79"/>
    <w:rsid w:val="006354BD"/>
    <w:rsid w:val="00636F1A"/>
    <w:rsid w:val="00636FBD"/>
    <w:rsid w:val="00637B18"/>
    <w:rsid w:val="006415BF"/>
    <w:rsid w:val="00641F97"/>
    <w:rsid w:val="0064562A"/>
    <w:rsid w:val="00645ADC"/>
    <w:rsid w:val="00646B2A"/>
    <w:rsid w:val="00647811"/>
    <w:rsid w:val="00647934"/>
    <w:rsid w:val="00650413"/>
    <w:rsid w:val="00650B3B"/>
    <w:rsid w:val="00652A30"/>
    <w:rsid w:val="00652A60"/>
    <w:rsid w:val="00652E68"/>
    <w:rsid w:val="006538C5"/>
    <w:rsid w:val="006539F7"/>
    <w:rsid w:val="006542E3"/>
    <w:rsid w:val="00654AF8"/>
    <w:rsid w:val="00656023"/>
    <w:rsid w:val="00657993"/>
    <w:rsid w:val="006617AF"/>
    <w:rsid w:val="00662795"/>
    <w:rsid w:val="00664582"/>
    <w:rsid w:val="00665721"/>
    <w:rsid w:val="00665EC6"/>
    <w:rsid w:val="0066628A"/>
    <w:rsid w:val="006667E1"/>
    <w:rsid w:val="00666814"/>
    <w:rsid w:val="00667907"/>
    <w:rsid w:val="0066794A"/>
    <w:rsid w:val="00670B61"/>
    <w:rsid w:val="00670E38"/>
    <w:rsid w:val="00670EB4"/>
    <w:rsid w:val="006714D3"/>
    <w:rsid w:val="00671FA0"/>
    <w:rsid w:val="00672F8A"/>
    <w:rsid w:val="00673591"/>
    <w:rsid w:val="00673D55"/>
    <w:rsid w:val="00674328"/>
    <w:rsid w:val="006754CD"/>
    <w:rsid w:val="006754FB"/>
    <w:rsid w:val="006759A3"/>
    <w:rsid w:val="006760B1"/>
    <w:rsid w:val="00676DD3"/>
    <w:rsid w:val="00676FDC"/>
    <w:rsid w:val="00677CC0"/>
    <w:rsid w:val="00677D64"/>
    <w:rsid w:val="00680C11"/>
    <w:rsid w:val="00681399"/>
    <w:rsid w:val="00681A7B"/>
    <w:rsid w:val="00681E12"/>
    <w:rsid w:val="006820B8"/>
    <w:rsid w:val="006837D7"/>
    <w:rsid w:val="0068438F"/>
    <w:rsid w:val="00684650"/>
    <w:rsid w:val="00686A80"/>
    <w:rsid w:val="00686E61"/>
    <w:rsid w:val="006879B3"/>
    <w:rsid w:val="00691966"/>
    <w:rsid w:val="00693516"/>
    <w:rsid w:val="0069361F"/>
    <w:rsid w:val="006954BE"/>
    <w:rsid w:val="00696979"/>
    <w:rsid w:val="00696D63"/>
    <w:rsid w:val="006970D8"/>
    <w:rsid w:val="00697260"/>
    <w:rsid w:val="006978F1"/>
    <w:rsid w:val="00697A62"/>
    <w:rsid w:val="00697F0C"/>
    <w:rsid w:val="00697F4B"/>
    <w:rsid w:val="006A08EC"/>
    <w:rsid w:val="006A165D"/>
    <w:rsid w:val="006A1CD3"/>
    <w:rsid w:val="006A1D81"/>
    <w:rsid w:val="006A2F20"/>
    <w:rsid w:val="006A2F93"/>
    <w:rsid w:val="006A32DD"/>
    <w:rsid w:val="006A3308"/>
    <w:rsid w:val="006A514F"/>
    <w:rsid w:val="006A5537"/>
    <w:rsid w:val="006B0C2A"/>
    <w:rsid w:val="006B16D6"/>
    <w:rsid w:val="006B2956"/>
    <w:rsid w:val="006B546A"/>
    <w:rsid w:val="006B5769"/>
    <w:rsid w:val="006B58E5"/>
    <w:rsid w:val="006B6DCA"/>
    <w:rsid w:val="006B6F09"/>
    <w:rsid w:val="006B7B61"/>
    <w:rsid w:val="006B7FC4"/>
    <w:rsid w:val="006C1556"/>
    <w:rsid w:val="006C25CB"/>
    <w:rsid w:val="006C284C"/>
    <w:rsid w:val="006C2A11"/>
    <w:rsid w:val="006C2A4B"/>
    <w:rsid w:val="006C475D"/>
    <w:rsid w:val="006C5327"/>
    <w:rsid w:val="006C5689"/>
    <w:rsid w:val="006C5A1E"/>
    <w:rsid w:val="006C74B3"/>
    <w:rsid w:val="006C7650"/>
    <w:rsid w:val="006D05B2"/>
    <w:rsid w:val="006D0E4A"/>
    <w:rsid w:val="006D15BE"/>
    <w:rsid w:val="006D1AEA"/>
    <w:rsid w:val="006D1E84"/>
    <w:rsid w:val="006D26A5"/>
    <w:rsid w:val="006D2A24"/>
    <w:rsid w:val="006D2E4C"/>
    <w:rsid w:val="006D30D8"/>
    <w:rsid w:val="006D39F4"/>
    <w:rsid w:val="006D3E45"/>
    <w:rsid w:val="006D436F"/>
    <w:rsid w:val="006D47A2"/>
    <w:rsid w:val="006D49F0"/>
    <w:rsid w:val="006D508F"/>
    <w:rsid w:val="006D5410"/>
    <w:rsid w:val="006D59CD"/>
    <w:rsid w:val="006D5D7A"/>
    <w:rsid w:val="006D5D89"/>
    <w:rsid w:val="006D60A1"/>
    <w:rsid w:val="006D750E"/>
    <w:rsid w:val="006D7E0B"/>
    <w:rsid w:val="006D7F76"/>
    <w:rsid w:val="006E2EBA"/>
    <w:rsid w:val="006E300F"/>
    <w:rsid w:val="006E4C70"/>
    <w:rsid w:val="006E62B0"/>
    <w:rsid w:val="006E62CD"/>
    <w:rsid w:val="006E64E7"/>
    <w:rsid w:val="006F120A"/>
    <w:rsid w:val="006F231C"/>
    <w:rsid w:val="006F2DD3"/>
    <w:rsid w:val="006F5619"/>
    <w:rsid w:val="006F67A7"/>
    <w:rsid w:val="0070062B"/>
    <w:rsid w:val="00700839"/>
    <w:rsid w:val="0070094F"/>
    <w:rsid w:val="00701F03"/>
    <w:rsid w:val="00702A47"/>
    <w:rsid w:val="00704451"/>
    <w:rsid w:val="007066A9"/>
    <w:rsid w:val="007070FA"/>
    <w:rsid w:val="00707707"/>
    <w:rsid w:val="00707E7D"/>
    <w:rsid w:val="007127D4"/>
    <w:rsid w:val="00712CFE"/>
    <w:rsid w:val="007139AC"/>
    <w:rsid w:val="00714476"/>
    <w:rsid w:val="00714F3A"/>
    <w:rsid w:val="00716541"/>
    <w:rsid w:val="00716A75"/>
    <w:rsid w:val="00717262"/>
    <w:rsid w:val="00717F14"/>
    <w:rsid w:val="007235F3"/>
    <w:rsid w:val="0072369A"/>
    <w:rsid w:val="00723FF9"/>
    <w:rsid w:val="007259C2"/>
    <w:rsid w:val="00725D3D"/>
    <w:rsid w:val="00726177"/>
    <w:rsid w:val="00726C12"/>
    <w:rsid w:val="00726D81"/>
    <w:rsid w:val="00730583"/>
    <w:rsid w:val="007311D1"/>
    <w:rsid w:val="007325FB"/>
    <w:rsid w:val="00732A6F"/>
    <w:rsid w:val="00732BC1"/>
    <w:rsid w:val="00733A8C"/>
    <w:rsid w:val="007344A7"/>
    <w:rsid w:val="00734794"/>
    <w:rsid w:val="00734EA2"/>
    <w:rsid w:val="0073534F"/>
    <w:rsid w:val="00736969"/>
    <w:rsid w:val="00736A77"/>
    <w:rsid w:val="00736D30"/>
    <w:rsid w:val="007370FE"/>
    <w:rsid w:val="00737279"/>
    <w:rsid w:val="007376CD"/>
    <w:rsid w:val="00737F17"/>
    <w:rsid w:val="00740241"/>
    <w:rsid w:val="00741901"/>
    <w:rsid w:val="00741C54"/>
    <w:rsid w:val="00742DDE"/>
    <w:rsid w:val="00742FCB"/>
    <w:rsid w:val="00743D30"/>
    <w:rsid w:val="00747B80"/>
    <w:rsid w:val="0075146F"/>
    <w:rsid w:val="00751C16"/>
    <w:rsid w:val="0075282D"/>
    <w:rsid w:val="007531A6"/>
    <w:rsid w:val="007534CE"/>
    <w:rsid w:val="00753668"/>
    <w:rsid w:val="00753891"/>
    <w:rsid w:val="00753C2D"/>
    <w:rsid w:val="007552BC"/>
    <w:rsid w:val="00756F5D"/>
    <w:rsid w:val="00757ACE"/>
    <w:rsid w:val="00757FD1"/>
    <w:rsid w:val="00760070"/>
    <w:rsid w:val="00761563"/>
    <w:rsid w:val="007623D5"/>
    <w:rsid w:val="007628AA"/>
    <w:rsid w:val="007639B6"/>
    <w:rsid w:val="007641BE"/>
    <w:rsid w:val="00764606"/>
    <w:rsid w:val="00764FA4"/>
    <w:rsid w:val="007656F8"/>
    <w:rsid w:val="0076585E"/>
    <w:rsid w:val="00766997"/>
    <w:rsid w:val="00766B1E"/>
    <w:rsid w:val="007677A3"/>
    <w:rsid w:val="00770593"/>
    <w:rsid w:val="0077114A"/>
    <w:rsid w:val="00771166"/>
    <w:rsid w:val="0077147D"/>
    <w:rsid w:val="00771568"/>
    <w:rsid w:val="00772BA3"/>
    <w:rsid w:val="00772E6C"/>
    <w:rsid w:val="00773423"/>
    <w:rsid w:val="007736FE"/>
    <w:rsid w:val="007740D9"/>
    <w:rsid w:val="00774453"/>
    <w:rsid w:val="0077545E"/>
    <w:rsid w:val="007756FA"/>
    <w:rsid w:val="0077653C"/>
    <w:rsid w:val="00777CF9"/>
    <w:rsid w:val="00777D4A"/>
    <w:rsid w:val="00780263"/>
    <w:rsid w:val="00780372"/>
    <w:rsid w:val="0078198E"/>
    <w:rsid w:val="007837ED"/>
    <w:rsid w:val="00785BA5"/>
    <w:rsid w:val="0078633C"/>
    <w:rsid w:val="007871F7"/>
    <w:rsid w:val="00787527"/>
    <w:rsid w:val="00787F1B"/>
    <w:rsid w:val="007917A2"/>
    <w:rsid w:val="00792342"/>
    <w:rsid w:val="007935BB"/>
    <w:rsid w:val="00793CC2"/>
    <w:rsid w:val="007955D8"/>
    <w:rsid w:val="00795758"/>
    <w:rsid w:val="00796C6C"/>
    <w:rsid w:val="0079768F"/>
    <w:rsid w:val="007977E9"/>
    <w:rsid w:val="007A08A9"/>
    <w:rsid w:val="007A2E90"/>
    <w:rsid w:val="007A43CD"/>
    <w:rsid w:val="007A4424"/>
    <w:rsid w:val="007A57A7"/>
    <w:rsid w:val="007A5FEA"/>
    <w:rsid w:val="007A6382"/>
    <w:rsid w:val="007A6FCC"/>
    <w:rsid w:val="007A738C"/>
    <w:rsid w:val="007B0F24"/>
    <w:rsid w:val="007B2045"/>
    <w:rsid w:val="007B2D8A"/>
    <w:rsid w:val="007B405D"/>
    <w:rsid w:val="007B4587"/>
    <w:rsid w:val="007B6CF1"/>
    <w:rsid w:val="007C0399"/>
    <w:rsid w:val="007C0F07"/>
    <w:rsid w:val="007C0FC3"/>
    <w:rsid w:val="007C13D8"/>
    <w:rsid w:val="007C2326"/>
    <w:rsid w:val="007C2389"/>
    <w:rsid w:val="007C25F5"/>
    <w:rsid w:val="007C3C23"/>
    <w:rsid w:val="007C3D05"/>
    <w:rsid w:val="007C3FB3"/>
    <w:rsid w:val="007C4CE3"/>
    <w:rsid w:val="007C528D"/>
    <w:rsid w:val="007C646C"/>
    <w:rsid w:val="007C785B"/>
    <w:rsid w:val="007C7E4B"/>
    <w:rsid w:val="007C7F3A"/>
    <w:rsid w:val="007D01BA"/>
    <w:rsid w:val="007D1800"/>
    <w:rsid w:val="007D1D67"/>
    <w:rsid w:val="007D1F2B"/>
    <w:rsid w:val="007D276E"/>
    <w:rsid w:val="007D3443"/>
    <w:rsid w:val="007D5033"/>
    <w:rsid w:val="007D514A"/>
    <w:rsid w:val="007D70ED"/>
    <w:rsid w:val="007E066C"/>
    <w:rsid w:val="007E1573"/>
    <w:rsid w:val="007E1FFD"/>
    <w:rsid w:val="007E44F7"/>
    <w:rsid w:val="007E4CEC"/>
    <w:rsid w:val="007E55DD"/>
    <w:rsid w:val="007E5BC4"/>
    <w:rsid w:val="007E600B"/>
    <w:rsid w:val="007E6223"/>
    <w:rsid w:val="007E676A"/>
    <w:rsid w:val="007E6A53"/>
    <w:rsid w:val="007E76DA"/>
    <w:rsid w:val="007E79D6"/>
    <w:rsid w:val="007F00EF"/>
    <w:rsid w:val="007F03C5"/>
    <w:rsid w:val="007F2CD3"/>
    <w:rsid w:val="007F2D96"/>
    <w:rsid w:val="007F344C"/>
    <w:rsid w:val="007F36F0"/>
    <w:rsid w:val="007F3D8B"/>
    <w:rsid w:val="007F442E"/>
    <w:rsid w:val="007F4691"/>
    <w:rsid w:val="007F475D"/>
    <w:rsid w:val="0080258A"/>
    <w:rsid w:val="00803B81"/>
    <w:rsid w:val="008043F0"/>
    <w:rsid w:val="008044CD"/>
    <w:rsid w:val="00804FA3"/>
    <w:rsid w:val="00807097"/>
    <w:rsid w:val="008070CD"/>
    <w:rsid w:val="008070DF"/>
    <w:rsid w:val="0081049E"/>
    <w:rsid w:val="00810D5B"/>
    <w:rsid w:val="00810DED"/>
    <w:rsid w:val="00811B14"/>
    <w:rsid w:val="00812477"/>
    <w:rsid w:val="0081276D"/>
    <w:rsid w:val="00812DEF"/>
    <w:rsid w:val="00813B8A"/>
    <w:rsid w:val="00813E61"/>
    <w:rsid w:val="00816FAB"/>
    <w:rsid w:val="0081797F"/>
    <w:rsid w:val="00821E3D"/>
    <w:rsid w:val="00822B2C"/>
    <w:rsid w:val="0082376B"/>
    <w:rsid w:val="00824B76"/>
    <w:rsid w:val="00825FE1"/>
    <w:rsid w:val="008278AE"/>
    <w:rsid w:val="008300ED"/>
    <w:rsid w:val="008301BD"/>
    <w:rsid w:val="00830E2C"/>
    <w:rsid w:val="008315E5"/>
    <w:rsid w:val="00831A07"/>
    <w:rsid w:val="00831EC1"/>
    <w:rsid w:val="00832159"/>
    <w:rsid w:val="00832C55"/>
    <w:rsid w:val="00833661"/>
    <w:rsid w:val="0083482C"/>
    <w:rsid w:val="00840DED"/>
    <w:rsid w:val="00840F53"/>
    <w:rsid w:val="00841FE6"/>
    <w:rsid w:val="008444BA"/>
    <w:rsid w:val="00845A25"/>
    <w:rsid w:val="008462E1"/>
    <w:rsid w:val="00846319"/>
    <w:rsid w:val="00846530"/>
    <w:rsid w:val="00846ADA"/>
    <w:rsid w:val="00847469"/>
    <w:rsid w:val="008511EE"/>
    <w:rsid w:val="00853BB1"/>
    <w:rsid w:val="00856F40"/>
    <w:rsid w:val="00857734"/>
    <w:rsid w:val="008577D2"/>
    <w:rsid w:val="00857DEF"/>
    <w:rsid w:val="00860488"/>
    <w:rsid w:val="00860F3E"/>
    <w:rsid w:val="008619F4"/>
    <w:rsid w:val="00861B64"/>
    <w:rsid w:val="00862537"/>
    <w:rsid w:val="00862758"/>
    <w:rsid w:val="00862F95"/>
    <w:rsid w:val="00863323"/>
    <w:rsid w:val="008634B1"/>
    <w:rsid w:val="008635AD"/>
    <w:rsid w:val="00863D70"/>
    <w:rsid w:val="008657BE"/>
    <w:rsid w:val="00865B7D"/>
    <w:rsid w:val="00866DB9"/>
    <w:rsid w:val="00867725"/>
    <w:rsid w:val="00870563"/>
    <w:rsid w:val="00872A30"/>
    <w:rsid w:val="0087390D"/>
    <w:rsid w:val="008747D5"/>
    <w:rsid w:val="00874B44"/>
    <w:rsid w:val="00877264"/>
    <w:rsid w:val="00880A3E"/>
    <w:rsid w:val="00880FB4"/>
    <w:rsid w:val="00880FDA"/>
    <w:rsid w:val="0088285F"/>
    <w:rsid w:val="008831C3"/>
    <w:rsid w:val="00883441"/>
    <w:rsid w:val="00883CF3"/>
    <w:rsid w:val="008842E1"/>
    <w:rsid w:val="00885D31"/>
    <w:rsid w:val="008860E8"/>
    <w:rsid w:val="0088699F"/>
    <w:rsid w:val="00891A66"/>
    <w:rsid w:val="0089228B"/>
    <w:rsid w:val="0089338F"/>
    <w:rsid w:val="00893508"/>
    <w:rsid w:val="00893D55"/>
    <w:rsid w:val="008974F8"/>
    <w:rsid w:val="00897D1B"/>
    <w:rsid w:val="008A0784"/>
    <w:rsid w:val="008A0C4D"/>
    <w:rsid w:val="008A16AD"/>
    <w:rsid w:val="008A2B1B"/>
    <w:rsid w:val="008A3638"/>
    <w:rsid w:val="008A44F7"/>
    <w:rsid w:val="008A4DF3"/>
    <w:rsid w:val="008A4F3A"/>
    <w:rsid w:val="008A5183"/>
    <w:rsid w:val="008A5FB4"/>
    <w:rsid w:val="008A6525"/>
    <w:rsid w:val="008B07D9"/>
    <w:rsid w:val="008B158A"/>
    <w:rsid w:val="008B1DCF"/>
    <w:rsid w:val="008B1E51"/>
    <w:rsid w:val="008B3ED6"/>
    <w:rsid w:val="008B470C"/>
    <w:rsid w:val="008B4738"/>
    <w:rsid w:val="008B57BB"/>
    <w:rsid w:val="008B5C7A"/>
    <w:rsid w:val="008B65AB"/>
    <w:rsid w:val="008B76B7"/>
    <w:rsid w:val="008C00E6"/>
    <w:rsid w:val="008C120B"/>
    <w:rsid w:val="008C2D35"/>
    <w:rsid w:val="008C32D7"/>
    <w:rsid w:val="008C37C4"/>
    <w:rsid w:val="008C391D"/>
    <w:rsid w:val="008C39D4"/>
    <w:rsid w:val="008C5A07"/>
    <w:rsid w:val="008C6B73"/>
    <w:rsid w:val="008C6F3D"/>
    <w:rsid w:val="008C78E6"/>
    <w:rsid w:val="008D1618"/>
    <w:rsid w:val="008D1F18"/>
    <w:rsid w:val="008D2EA6"/>
    <w:rsid w:val="008D3018"/>
    <w:rsid w:val="008D388E"/>
    <w:rsid w:val="008D5747"/>
    <w:rsid w:val="008D5D18"/>
    <w:rsid w:val="008D6D1D"/>
    <w:rsid w:val="008D711F"/>
    <w:rsid w:val="008E0388"/>
    <w:rsid w:val="008E07E1"/>
    <w:rsid w:val="008E0E99"/>
    <w:rsid w:val="008E279B"/>
    <w:rsid w:val="008E334C"/>
    <w:rsid w:val="008E5F08"/>
    <w:rsid w:val="008E676D"/>
    <w:rsid w:val="008E6FD3"/>
    <w:rsid w:val="008F0002"/>
    <w:rsid w:val="008F05BC"/>
    <w:rsid w:val="008F1372"/>
    <w:rsid w:val="008F13BB"/>
    <w:rsid w:val="008F18C2"/>
    <w:rsid w:val="008F22CF"/>
    <w:rsid w:val="008F24EA"/>
    <w:rsid w:val="008F3212"/>
    <w:rsid w:val="008F3B79"/>
    <w:rsid w:val="008F3B83"/>
    <w:rsid w:val="008F3F5F"/>
    <w:rsid w:val="008F5075"/>
    <w:rsid w:val="008F5D96"/>
    <w:rsid w:val="008F5E94"/>
    <w:rsid w:val="008F67BB"/>
    <w:rsid w:val="008F685F"/>
    <w:rsid w:val="008F7599"/>
    <w:rsid w:val="008F7F0D"/>
    <w:rsid w:val="00901B72"/>
    <w:rsid w:val="00903043"/>
    <w:rsid w:val="00903C71"/>
    <w:rsid w:val="00904AD2"/>
    <w:rsid w:val="00906DC5"/>
    <w:rsid w:val="00910269"/>
    <w:rsid w:val="00911074"/>
    <w:rsid w:val="00911453"/>
    <w:rsid w:val="00911C08"/>
    <w:rsid w:val="00912068"/>
    <w:rsid w:val="00912A3A"/>
    <w:rsid w:val="009137B4"/>
    <w:rsid w:val="00914CDD"/>
    <w:rsid w:val="009160B0"/>
    <w:rsid w:val="00916664"/>
    <w:rsid w:val="00916887"/>
    <w:rsid w:val="00917C99"/>
    <w:rsid w:val="009236B9"/>
    <w:rsid w:val="00925D39"/>
    <w:rsid w:val="00927267"/>
    <w:rsid w:val="00930006"/>
    <w:rsid w:val="00930AC2"/>
    <w:rsid w:val="00930F62"/>
    <w:rsid w:val="00931D63"/>
    <w:rsid w:val="00932361"/>
    <w:rsid w:val="00933225"/>
    <w:rsid w:val="0093388E"/>
    <w:rsid w:val="009347B2"/>
    <w:rsid w:val="009354BC"/>
    <w:rsid w:val="00936034"/>
    <w:rsid w:val="00936CB5"/>
    <w:rsid w:val="009408EC"/>
    <w:rsid w:val="00943480"/>
    <w:rsid w:val="009438F7"/>
    <w:rsid w:val="009450C2"/>
    <w:rsid w:val="00950ADC"/>
    <w:rsid w:val="00950E26"/>
    <w:rsid w:val="0095107B"/>
    <w:rsid w:val="009519AB"/>
    <w:rsid w:val="00952CDA"/>
    <w:rsid w:val="009544FE"/>
    <w:rsid w:val="00954888"/>
    <w:rsid w:val="00954972"/>
    <w:rsid w:val="00954B97"/>
    <w:rsid w:val="0095628E"/>
    <w:rsid w:val="00957E24"/>
    <w:rsid w:val="0096146A"/>
    <w:rsid w:val="009615CB"/>
    <w:rsid w:val="00962BC8"/>
    <w:rsid w:val="00962EAC"/>
    <w:rsid w:val="0096475C"/>
    <w:rsid w:val="00964C22"/>
    <w:rsid w:val="00965FEE"/>
    <w:rsid w:val="00966F00"/>
    <w:rsid w:val="00967E48"/>
    <w:rsid w:val="009701C0"/>
    <w:rsid w:val="009704F6"/>
    <w:rsid w:val="00970F9F"/>
    <w:rsid w:val="00971B85"/>
    <w:rsid w:val="00974388"/>
    <w:rsid w:val="009758EC"/>
    <w:rsid w:val="0097696E"/>
    <w:rsid w:val="00976CC5"/>
    <w:rsid w:val="00976E57"/>
    <w:rsid w:val="00977398"/>
    <w:rsid w:val="00977D01"/>
    <w:rsid w:val="00980696"/>
    <w:rsid w:val="00980E47"/>
    <w:rsid w:val="0098161C"/>
    <w:rsid w:val="009816FB"/>
    <w:rsid w:val="00981AD9"/>
    <w:rsid w:val="00982F21"/>
    <w:rsid w:val="00983E40"/>
    <w:rsid w:val="009842D0"/>
    <w:rsid w:val="00985EC0"/>
    <w:rsid w:val="009867FC"/>
    <w:rsid w:val="00987C7E"/>
    <w:rsid w:val="0099125C"/>
    <w:rsid w:val="00991E38"/>
    <w:rsid w:val="00992D97"/>
    <w:rsid w:val="00992F94"/>
    <w:rsid w:val="00993883"/>
    <w:rsid w:val="00994CA8"/>
    <w:rsid w:val="00994CED"/>
    <w:rsid w:val="00995C1A"/>
    <w:rsid w:val="009967EC"/>
    <w:rsid w:val="009971AC"/>
    <w:rsid w:val="009A0180"/>
    <w:rsid w:val="009A241D"/>
    <w:rsid w:val="009A44AF"/>
    <w:rsid w:val="009A47D4"/>
    <w:rsid w:val="009A588B"/>
    <w:rsid w:val="009A5D68"/>
    <w:rsid w:val="009A5F11"/>
    <w:rsid w:val="009A7FE9"/>
    <w:rsid w:val="009B0EC3"/>
    <w:rsid w:val="009B2001"/>
    <w:rsid w:val="009B2584"/>
    <w:rsid w:val="009B42E9"/>
    <w:rsid w:val="009B4312"/>
    <w:rsid w:val="009B5898"/>
    <w:rsid w:val="009B5D2F"/>
    <w:rsid w:val="009B7E25"/>
    <w:rsid w:val="009C0F68"/>
    <w:rsid w:val="009C1B71"/>
    <w:rsid w:val="009C1E2A"/>
    <w:rsid w:val="009C2645"/>
    <w:rsid w:val="009C2A4B"/>
    <w:rsid w:val="009C3698"/>
    <w:rsid w:val="009C4504"/>
    <w:rsid w:val="009C462D"/>
    <w:rsid w:val="009C4F3E"/>
    <w:rsid w:val="009C56F1"/>
    <w:rsid w:val="009C5A7E"/>
    <w:rsid w:val="009C5BC5"/>
    <w:rsid w:val="009C6457"/>
    <w:rsid w:val="009C72B9"/>
    <w:rsid w:val="009D1739"/>
    <w:rsid w:val="009D26A2"/>
    <w:rsid w:val="009D48B6"/>
    <w:rsid w:val="009D5A5F"/>
    <w:rsid w:val="009E03BF"/>
    <w:rsid w:val="009E118B"/>
    <w:rsid w:val="009E227E"/>
    <w:rsid w:val="009E2965"/>
    <w:rsid w:val="009E2D31"/>
    <w:rsid w:val="009E2EB1"/>
    <w:rsid w:val="009E36B7"/>
    <w:rsid w:val="009E3E67"/>
    <w:rsid w:val="009E44A6"/>
    <w:rsid w:val="009E5A74"/>
    <w:rsid w:val="009E5D40"/>
    <w:rsid w:val="009E5DF1"/>
    <w:rsid w:val="009E7955"/>
    <w:rsid w:val="009E7BD7"/>
    <w:rsid w:val="009F0690"/>
    <w:rsid w:val="009F2498"/>
    <w:rsid w:val="009F3218"/>
    <w:rsid w:val="009F4A60"/>
    <w:rsid w:val="009F6FED"/>
    <w:rsid w:val="00A0041F"/>
    <w:rsid w:val="00A02DB9"/>
    <w:rsid w:val="00A03DF1"/>
    <w:rsid w:val="00A049D7"/>
    <w:rsid w:val="00A04AC8"/>
    <w:rsid w:val="00A05189"/>
    <w:rsid w:val="00A05924"/>
    <w:rsid w:val="00A068A5"/>
    <w:rsid w:val="00A07747"/>
    <w:rsid w:val="00A077E3"/>
    <w:rsid w:val="00A11196"/>
    <w:rsid w:val="00A14727"/>
    <w:rsid w:val="00A14C43"/>
    <w:rsid w:val="00A17388"/>
    <w:rsid w:val="00A20701"/>
    <w:rsid w:val="00A2161D"/>
    <w:rsid w:val="00A23952"/>
    <w:rsid w:val="00A24642"/>
    <w:rsid w:val="00A2530C"/>
    <w:rsid w:val="00A26F1F"/>
    <w:rsid w:val="00A26F76"/>
    <w:rsid w:val="00A2748D"/>
    <w:rsid w:val="00A27A77"/>
    <w:rsid w:val="00A3034B"/>
    <w:rsid w:val="00A307BA"/>
    <w:rsid w:val="00A30974"/>
    <w:rsid w:val="00A30B2D"/>
    <w:rsid w:val="00A30D7D"/>
    <w:rsid w:val="00A312F1"/>
    <w:rsid w:val="00A32A1B"/>
    <w:rsid w:val="00A32BC6"/>
    <w:rsid w:val="00A3377D"/>
    <w:rsid w:val="00A3434B"/>
    <w:rsid w:val="00A34605"/>
    <w:rsid w:val="00A346CE"/>
    <w:rsid w:val="00A36206"/>
    <w:rsid w:val="00A36A36"/>
    <w:rsid w:val="00A375C1"/>
    <w:rsid w:val="00A37B4D"/>
    <w:rsid w:val="00A40C68"/>
    <w:rsid w:val="00A40CF5"/>
    <w:rsid w:val="00A42CD4"/>
    <w:rsid w:val="00A43334"/>
    <w:rsid w:val="00A437F1"/>
    <w:rsid w:val="00A44E42"/>
    <w:rsid w:val="00A450C5"/>
    <w:rsid w:val="00A46455"/>
    <w:rsid w:val="00A47642"/>
    <w:rsid w:val="00A47D13"/>
    <w:rsid w:val="00A47EA1"/>
    <w:rsid w:val="00A503F0"/>
    <w:rsid w:val="00A51089"/>
    <w:rsid w:val="00A52AB7"/>
    <w:rsid w:val="00A52CE4"/>
    <w:rsid w:val="00A5310F"/>
    <w:rsid w:val="00A532CD"/>
    <w:rsid w:val="00A53698"/>
    <w:rsid w:val="00A539A0"/>
    <w:rsid w:val="00A54E3B"/>
    <w:rsid w:val="00A54F86"/>
    <w:rsid w:val="00A561A0"/>
    <w:rsid w:val="00A56DA0"/>
    <w:rsid w:val="00A60416"/>
    <w:rsid w:val="00A6063E"/>
    <w:rsid w:val="00A60F43"/>
    <w:rsid w:val="00A610FA"/>
    <w:rsid w:val="00A611B6"/>
    <w:rsid w:val="00A61B0B"/>
    <w:rsid w:val="00A64BBC"/>
    <w:rsid w:val="00A6575F"/>
    <w:rsid w:val="00A669ED"/>
    <w:rsid w:val="00A66E85"/>
    <w:rsid w:val="00A671E4"/>
    <w:rsid w:val="00A67B19"/>
    <w:rsid w:val="00A67B5D"/>
    <w:rsid w:val="00A7171A"/>
    <w:rsid w:val="00A721B3"/>
    <w:rsid w:val="00A7286F"/>
    <w:rsid w:val="00A72D9A"/>
    <w:rsid w:val="00A735A3"/>
    <w:rsid w:val="00A73FB7"/>
    <w:rsid w:val="00A748CD"/>
    <w:rsid w:val="00A749E2"/>
    <w:rsid w:val="00A74FF1"/>
    <w:rsid w:val="00A75E05"/>
    <w:rsid w:val="00A7681B"/>
    <w:rsid w:val="00A76E76"/>
    <w:rsid w:val="00A77B61"/>
    <w:rsid w:val="00A77D4B"/>
    <w:rsid w:val="00A80CD5"/>
    <w:rsid w:val="00A817D0"/>
    <w:rsid w:val="00A82641"/>
    <w:rsid w:val="00A82E40"/>
    <w:rsid w:val="00A835DD"/>
    <w:rsid w:val="00A8431D"/>
    <w:rsid w:val="00A849A4"/>
    <w:rsid w:val="00A849B2"/>
    <w:rsid w:val="00A85F82"/>
    <w:rsid w:val="00A86573"/>
    <w:rsid w:val="00A8664D"/>
    <w:rsid w:val="00A86714"/>
    <w:rsid w:val="00A872D2"/>
    <w:rsid w:val="00A87E18"/>
    <w:rsid w:val="00A9051E"/>
    <w:rsid w:val="00A90C50"/>
    <w:rsid w:val="00A917AF"/>
    <w:rsid w:val="00A917FB"/>
    <w:rsid w:val="00A9444A"/>
    <w:rsid w:val="00A9586F"/>
    <w:rsid w:val="00A95B0D"/>
    <w:rsid w:val="00A95E2F"/>
    <w:rsid w:val="00A96B3D"/>
    <w:rsid w:val="00A97447"/>
    <w:rsid w:val="00AA063C"/>
    <w:rsid w:val="00AA0C2D"/>
    <w:rsid w:val="00AA181B"/>
    <w:rsid w:val="00AA1C1A"/>
    <w:rsid w:val="00AA1D48"/>
    <w:rsid w:val="00AA44D6"/>
    <w:rsid w:val="00AA5E10"/>
    <w:rsid w:val="00AA6039"/>
    <w:rsid w:val="00AA6EDA"/>
    <w:rsid w:val="00AA707C"/>
    <w:rsid w:val="00AB051D"/>
    <w:rsid w:val="00AB1456"/>
    <w:rsid w:val="00AB188E"/>
    <w:rsid w:val="00AB2B15"/>
    <w:rsid w:val="00AB2BCA"/>
    <w:rsid w:val="00AB46D4"/>
    <w:rsid w:val="00AB5101"/>
    <w:rsid w:val="00AB529C"/>
    <w:rsid w:val="00AB5A7E"/>
    <w:rsid w:val="00AB69B2"/>
    <w:rsid w:val="00AB6B42"/>
    <w:rsid w:val="00AB7174"/>
    <w:rsid w:val="00AB74A1"/>
    <w:rsid w:val="00AC0C20"/>
    <w:rsid w:val="00AC1123"/>
    <w:rsid w:val="00AC1A09"/>
    <w:rsid w:val="00AC1AB7"/>
    <w:rsid w:val="00AC2EC5"/>
    <w:rsid w:val="00AC51D1"/>
    <w:rsid w:val="00AC5E32"/>
    <w:rsid w:val="00AC652B"/>
    <w:rsid w:val="00AC6644"/>
    <w:rsid w:val="00AD071A"/>
    <w:rsid w:val="00AD0E28"/>
    <w:rsid w:val="00AD104F"/>
    <w:rsid w:val="00AD1327"/>
    <w:rsid w:val="00AD1CBB"/>
    <w:rsid w:val="00AD1FDC"/>
    <w:rsid w:val="00AD53B6"/>
    <w:rsid w:val="00AD596F"/>
    <w:rsid w:val="00AD5E95"/>
    <w:rsid w:val="00AD6E57"/>
    <w:rsid w:val="00AD6EED"/>
    <w:rsid w:val="00AE0776"/>
    <w:rsid w:val="00AE3603"/>
    <w:rsid w:val="00AE360C"/>
    <w:rsid w:val="00AE51D7"/>
    <w:rsid w:val="00AE5355"/>
    <w:rsid w:val="00AE729F"/>
    <w:rsid w:val="00AF0574"/>
    <w:rsid w:val="00AF0675"/>
    <w:rsid w:val="00AF1782"/>
    <w:rsid w:val="00AF17B1"/>
    <w:rsid w:val="00AF2054"/>
    <w:rsid w:val="00AF3300"/>
    <w:rsid w:val="00AF521C"/>
    <w:rsid w:val="00AF63F7"/>
    <w:rsid w:val="00AF6B43"/>
    <w:rsid w:val="00AF6F79"/>
    <w:rsid w:val="00AF7BD5"/>
    <w:rsid w:val="00B02CB1"/>
    <w:rsid w:val="00B0356E"/>
    <w:rsid w:val="00B0383F"/>
    <w:rsid w:val="00B045A9"/>
    <w:rsid w:val="00B04764"/>
    <w:rsid w:val="00B0488B"/>
    <w:rsid w:val="00B04981"/>
    <w:rsid w:val="00B05D2B"/>
    <w:rsid w:val="00B06673"/>
    <w:rsid w:val="00B10273"/>
    <w:rsid w:val="00B10C4E"/>
    <w:rsid w:val="00B11C06"/>
    <w:rsid w:val="00B12E04"/>
    <w:rsid w:val="00B13D2C"/>
    <w:rsid w:val="00B1406D"/>
    <w:rsid w:val="00B143DB"/>
    <w:rsid w:val="00B144FA"/>
    <w:rsid w:val="00B157D5"/>
    <w:rsid w:val="00B1686D"/>
    <w:rsid w:val="00B179D8"/>
    <w:rsid w:val="00B2199C"/>
    <w:rsid w:val="00B21D03"/>
    <w:rsid w:val="00B220BD"/>
    <w:rsid w:val="00B22B26"/>
    <w:rsid w:val="00B22CAF"/>
    <w:rsid w:val="00B22E67"/>
    <w:rsid w:val="00B236A8"/>
    <w:rsid w:val="00B237E3"/>
    <w:rsid w:val="00B23A12"/>
    <w:rsid w:val="00B23AFE"/>
    <w:rsid w:val="00B24215"/>
    <w:rsid w:val="00B255E2"/>
    <w:rsid w:val="00B26849"/>
    <w:rsid w:val="00B26A2F"/>
    <w:rsid w:val="00B26B76"/>
    <w:rsid w:val="00B30DBC"/>
    <w:rsid w:val="00B31520"/>
    <w:rsid w:val="00B31F1D"/>
    <w:rsid w:val="00B32DE7"/>
    <w:rsid w:val="00B335FB"/>
    <w:rsid w:val="00B34884"/>
    <w:rsid w:val="00B35E75"/>
    <w:rsid w:val="00B36C0D"/>
    <w:rsid w:val="00B37093"/>
    <w:rsid w:val="00B37921"/>
    <w:rsid w:val="00B40070"/>
    <w:rsid w:val="00B40A60"/>
    <w:rsid w:val="00B41482"/>
    <w:rsid w:val="00B41A41"/>
    <w:rsid w:val="00B42440"/>
    <w:rsid w:val="00B42616"/>
    <w:rsid w:val="00B42DED"/>
    <w:rsid w:val="00B42FC6"/>
    <w:rsid w:val="00B4372E"/>
    <w:rsid w:val="00B44A18"/>
    <w:rsid w:val="00B45134"/>
    <w:rsid w:val="00B45E58"/>
    <w:rsid w:val="00B46A5B"/>
    <w:rsid w:val="00B46F73"/>
    <w:rsid w:val="00B500C0"/>
    <w:rsid w:val="00B50507"/>
    <w:rsid w:val="00B50CD8"/>
    <w:rsid w:val="00B513A4"/>
    <w:rsid w:val="00B519BE"/>
    <w:rsid w:val="00B528C2"/>
    <w:rsid w:val="00B5323A"/>
    <w:rsid w:val="00B5341C"/>
    <w:rsid w:val="00B54451"/>
    <w:rsid w:val="00B54C34"/>
    <w:rsid w:val="00B54D12"/>
    <w:rsid w:val="00B54E18"/>
    <w:rsid w:val="00B54F04"/>
    <w:rsid w:val="00B56193"/>
    <w:rsid w:val="00B57A7A"/>
    <w:rsid w:val="00B57A95"/>
    <w:rsid w:val="00B57BFE"/>
    <w:rsid w:val="00B60A08"/>
    <w:rsid w:val="00B61B0F"/>
    <w:rsid w:val="00B61E2D"/>
    <w:rsid w:val="00B620E3"/>
    <w:rsid w:val="00B62415"/>
    <w:rsid w:val="00B63772"/>
    <w:rsid w:val="00B6591E"/>
    <w:rsid w:val="00B6611A"/>
    <w:rsid w:val="00B66452"/>
    <w:rsid w:val="00B6674E"/>
    <w:rsid w:val="00B669A0"/>
    <w:rsid w:val="00B7012C"/>
    <w:rsid w:val="00B707D3"/>
    <w:rsid w:val="00B709E0"/>
    <w:rsid w:val="00B70FCB"/>
    <w:rsid w:val="00B71BA9"/>
    <w:rsid w:val="00B71D09"/>
    <w:rsid w:val="00B75284"/>
    <w:rsid w:val="00B76A9A"/>
    <w:rsid w:val="00B770FA"/>
    <w:rsid w:val="00B80647"/>
    <w:rsid w:val="00B82273"/>
    <w:rsid w:val="00B82E7D"/>
    <w:rsid w:val="00B8308C"/>
    <w:rsid w:val="00B84543"/>
    <w:rsid w:val="00B846C6"/>
    <w:rsid w:val="00B84E43"/>
    <w:rsid w:val="00B85261"/>
    <w:rsid w:val="00B85344"/>
    <w:rsid w:val="00B87B36"/>
    <w:rsid w:val="00B90C37"/>
    <w:rsid w:val="00B9240E"/>
    <w:rsid w:val="00B9263C"/>
    <w:rsid w:val="00B92902"/>
    <w:rsid w:val="00B94F3C"/>
    <w:rsid w:val="00B94F4D"/>
    <w:rsid w:val="00B954AB"/>
    <w:rsid w:val="00B9615C"/>
    <w:rsid w:val="00B96E3C"/>
    <w:rsid w:val="00B97CE2"/>
    <w:rsid w:val="00BA00BB"/>
    <w:rsid w:val="00BA3621"/>
    <w:rsid w:val="00BA3F3F"/>
    <w:rsid w:val="00BA7DB6"/>
    <w:rsid w:val="00BB0ABF"/>
    <w:rsid w:val="00BB57E1"/>
    <w:rsid w:val="00BB57FA"/>
    <w:rsid w:val="00BB5A8F"/>
    <w:rsid w:val="00BB6436"/>
    <w:rsid w:val="00BB6B85"/>
    <w:rsid w:val="00BB730A"/>
    <w:rsid w:val="00BB7C24"/>
    <w:rsid w:val="00BC1528"/>
    <w:rsid w:val="00BC466B"/>
    <w:rsid w:val="00BC4A3C"/>
    <w:rsid w:val="00BC4BF4"/>
    <w:rsid w:val="00BC56D0"/>
    <w:rsid w:val="00BC6266"/>
    <w:rsid w:val="00BC6879"/>
    <w:rsid w:val="00BD0AA9"/>
    <w:rsid w:val="00BD10E8"/>
    <w:rsid w:val="00BD2CBE"/>
    <w:rsid w:val="00BD37F9"/>
    <w:rsid w:val="00BD3AB4"/>
    <w:rsid w:val="00BD3C38"/>
    <w:rsid w:val="00BD475C"/>
    <w:rsid w:val="00BD50CF"/>
    <w:rsid w:val="00BD5C64"/>
    <w:rsid w:val="00BE16BD"/>
    <w:rsid w:val="00BE1E3F"/>
    <w:rsid w:val="00BE2299"/>
    <w:rsid w:val="00BE25EA"/>
    <w:rsid w:val="00BE3CA2"/>
    <w:rsid w:val="00BE499F"/>
    <w:rsid w:val="00BE55B0"/>
    <w:rsid w:val="00BE6292"/>
    <w:rsid w:val="00BE72FE"/>
    <w:rsid w:val="00BE798A"/>
    <w:rsid w:val="00BE7A5B"/>
    <w:rsid w:val="00BE7BFF"/>
    <w:rsid w:val="00BF07AD"/>
    <w:rsid w:val="00BF1145"/>
    <w:rsid w:val="00BF1C41"/>
    <w:rsid w:val="00BF21D0"/>
    <w:rsid w:val="00BF2905"/>
    <w:rsid w:val="00BF2EB3"/>
    <w:rsid w:val="00BF34E9"/>
    <w:rsid w:val="00BF5164"/>
    <w:rsid w:val="00BF56D9"/>
    <w:rsid w:val="00C01F05"/>
    <w:rsid w:val="00C027A7"/>
    <w:rsid w:val="00C02EAB"/>
    <w:rsid w:val="00C03367"/>
    <w:rsid w:val="00C03BF4"/>
    <w:rsid w:val="00C047BE"/>
    <w:rsid w:val="00C04F5C"/>
    <w:rsid w:val="00C057FD"/>
    <w:rsid w:val="00C05E3F"/>
    <w:rsid w:val="00C064A0"/>
    <w:rsid w:val="00C07317"/>
    <w:rsid w:val="00C1109B"/>
    <w:rsid w:val="00C12729"/>
    <w:rsid w:val="00C14533"/>
    <w:rsid w:val="00C146EB"/>
    <w:rsid w:val="00C1544D"/>
    <w:rsid w:val="00C1558A"/>
    <w:rsid w:val="00C15934"/>
    <w:rsid w:val="00C16106"/>
    <w:rsid w:val="00C2159B"/>
    <w:rsid w:val="00C21AE1"/>
    <w:rsid w:val="00C22091"/>
    <w:rsid w:val="00C22197"/>
    <w:rsid w:val="00C233BC"/>
    <w:rsid w:val="00C23811"/>
    <w:rsid w:val="00C24060"/>
    <w:rsid w:val="00C243C3"/>
    <w:rsid w:val="00C24514"/>
    <w:rsid w:val="00C24794"/>
    <w:rsid w:val="00C2497A"/>
    <w:rsid w:val="00C24A43"/>
    <w:rsid w:val="00C26309"/>
    <w:rsid w:val="00C26F41"/>
    <w:rsid w:val="00C2759F"/>
    <w:rsid w:val="00C27D77"/>
    <w:rsid w:val="00C30A8D"/>
    <w:rsid w:val="00C310B4"/>
    <w:rsid w:val="00C324C0"/>
    <w:rsid w:val="00C32714"/>
    <w:rsid w:val="00C3494F"/>
    <w:rsid w:val="00C34C94"/>
    <w:rsid w:val="00C350D7"/>
    <w:rsid w:val="00C363D4"/>
    <w:rsid w:val="00C40C67"/>
    <w:rsid w:val="00C41DED"/>
    <w:rsid w:val="00C42835"/>
    <w:rsid w:val="00C43EEF"/>
    <w:rsid w:val="00C44856"/>
    <w:rsid w:val="00C44D37"/>
    <w:rsid w:val="00C45361"/>
    <w:rsid w:val="00C45B66"/>
    <w:rsid w:val="00C46ED1"/>
    <w:rsid w:val="00C474A4"/>
    <w:rsid w:val="00C476DD"/>
    <w:rsid w:val="00C51A18"/>
    <w:rsid w:val="00C52B04"/>
    <w:rsid w:val="00C54125"/>
    <w:rsid w:val="00C554D0"/>
    <w:rsid w:val="00C5657F"/>
    <w:rsid w:val="00C5666C"/>
    <w:rsid w:val="00C602FA"/>
    <w:rsid w:val="00C603E6"/>
    <w:rsid w:val="00C6140C"/>
    <w:rsid w:val="00C61C16"/>
    <w:rsid w:val="00C62196"/>
    <w:rsid w:val="00C623BD"/>
    <w:rsid w:val="00C628C3"/>
    <w:rsid w:val="00C6394E"/>
    <w:rsid w:val="00C63B17"/>
    <w:rsid w:val="00C640DF"/>
    <w:rsid w:val="00C64315"/>
    <w:rsid w:val="00C644A7"/>
    <w:rsid w:val="00C649A5"/>
    <w:rsid w:val="00C654D9"/>
    <w:rsid w:val="00C65927"/>
    <w:rsid w:val="00C665C9"/>
    <w:rsid w:val="00C6697D"/>
    <w:rsid w:val="00C67D28"/>
    <w:rsid w:val="00C73C5D"/>
    <w:rsid w:val="00C75C44"/>
    <w:rsid w:val="00C76EF4"/>
    <w:rsid w:val="00C7718A"/>
    <w:rsid w:val="00C806A5"/>
    <w:rsid w:val="00C807FA"/>
    <w:rsid w:val="00C80CF2"/>
    <w:rsid w:val="00C80F95"/>
    <w:rsid w:val="00C8125F"/>
    <w:rsid w:val="00C81848"/>
    <w:rsid w:val="00C82212"/>
    <w:rsid w:val="00C83809"/>
    <w:rsid w:val="00C83CFB"/>
    <w:rsid w:val="00C86739"/>
    <w:rsid w:val="00C86A5A"/>
    <w:rsid w:val="00C874E5"/>
    <w:rsid w:val="00C90574"/>
    <w:rsid w:val="00C93DFC"/>
    <w:rsid w:val="00C93F4D"/>
    <w:rsid w:val="00C94649"/>
    <w:rsid w:val="00C946C7"/>
    <w:rsid w:val="00C9480D"/>
    <w:rsid w:val="00C96B98"/>
    <w:rsid w:val="00C96EA7"/>
    <w:rsid w:val="00C96F58"/>
    <w:rsid w:val="00CA0BA4"/>
    <w:rsid w:val="00CA0E4B"/>
    <w:rsid w:val="00CA0F5B"/>
    <w:rsid w:val="00CA1F81"/>
    <w:rsid w:val="00CA3C34"/>
    <w:rsid w:val="00CA4ACB"/>
    <w:rsid w:val="00CA573E"/>
    <w:rsid w:val="00CA6B16"/>
    <w:rsid w:val="00CA753E"/>
    <w:rsid w:val="00CA7FEF"/>
    <w:rsid w:val="00CB00E4"/>
    <w:rsid w:val="00CB2743"/>
    <w:rsid w:val="00CB29BF"/>
    <w:rsid w:val="00CB35BE"/>
    <w:rsid w:val="00CB5E78"/>
    <w:rsid w:val="00CB64CF"/>
    <w:rsid w:val="00CB6ADD"/>
    <w:rsid w:val="00CB6F4E"/>
    <w:rsid w:val="00CB7B67"/>
    <w:rsid w:val="00CC0581"/>
    <w:rsid w:val="00CC11A5"/>
    <w:rsid w:val="00CC1A5F"/>
    <w:rsid w:val="00CC2100"/>
    <w:rsid w:val="00CC23DF"/>
    <w:rsid w:val="00CC2B50"/>
    <w:rsid w:val="00CC3C84"/>
    <w:rsid w:val="00CC3CB5"/>
    <w:rsid w:val="00CC3D68"/>
    <w:rsid w:val="00CC4F18"/>
    <w:rsid w:val="00CC4F30"/>
    <w:rsid w:val="00CC522E"/>
    <w:rsid w:val="00CC569A"/>
    <w:rsid w:val="00CC5B12"/>
    <w:rsid w:val="00CD232C"/>
    <w:rsid w:val="00CD28E2"/>
    <w:rsid w:val="00CD3121"/>
    <w:rsid w:val="00CD31A7"/>
    <w:rsid w:val="00CD3800"/>
    <w:rsid w:val="00CD4A3A"/>
    <w:rsid w:val="00CD722F"/>
    <w:rsid w:val="00CE0363"/>
    <w:rsid w:val="00CE2135"/>
    <w:rsid w:val="00CE4625"/>
    <w:rsid w:val="00CE4877"/>
    <w:rsid w:val="00CE6E99"/>
    <w:rsid w:val="00CF1C4D"/>
    <w:rsid w:val="00CF20A5"/>
    <w:rsid w:val="00CF245B"/>
    <w:rsid w:val="00CF28BD"/>
    <w:rsid w:val="00CF3336"/>
    <w:rsid w:val="00CF43D7"/>
    <w:rsid w:val="00CF4F3A"/>
    <w:rsid w:val="00CF51E4"/>
    <w:rsid w:val="00CF5E4D"/>
    <w:rsid w:val="00CF6063"/>
    <w:rsid w:val="00CF67C4"/>
    <w:rsid w:val="00CF75CD"/>
    <w:rsid w:val="00CF775B"/>
    <w:rsid w:val="00CF7CF7"/>
    <w:rsid w:val="00D0239A"/>
    <w:rsid w:val="00D02B38"/>
    <w:rsid w:val="00D031F6"/>
    <w:rsid w:val="00D0388A"/>
    <w:rsid w:val="00D038FA"/>
    <w:rsid w:val="00D0453D"/>
    <w:rsid w:val="00D05253"/>
    <w:rsid w:val="00D05DD1"/>
    <w:rsid w:val="00D05FF1"/>
    <w:rsid w:val="00D07B6D"/>
    <w:rsid w:val="00D113E9"/>
    <w:rsid w:val="00D11C29"/>
    <w:rsid w:val="00D1283B"/>
    <w:rsid w:val="00D129B5"/>
    <w:rsid w:val="00D13FBE"/>
    <w:rsid w:val="00D14CC7"/>
    <w:rsid w:val="00D15526"/>
    <w:rsid w:val="00D15C68"/>
    <w:rsid w:val="00D162CA"/>
    <w:rsid w:val="00D16D3E"/>
    <w:rsid w:val="00D178A3"/>
    <w:rsid w:val="00D17BBD"/>
    <w:rsid w:val="00D2157F"/>
    <w:rsid w:val="00D21BF1"/>
    <w:rsid w:val="00D22648"/>
    <w:rsid w:val="00D227E9"/>
    <w:rsid w:val="00D22EE0"/>
    <w:rsid w:val="00D249AD"/>
    <w:rsid w:val="00D24CC7"/>
    <w:rsid w:val="00D25AB6"/>
    <w:rsid w:val="00D300AE"/>
    <w:rsid w:val="00D307B5"/>
    <w:rsid w:val="00D30829"/>
    <w:rsid w:val="00D31ADA"/>
    <w:rsid w:val="00D31B6B"/>
    <w:rsid w:val="00D34F19"/>
    <w:rsid w:val="00D35694"/>
    <w:rsid w:val="00D364F5"/>
    <w:rsid w:val="00D377AF"/>
    <w:rsid w:val="00D37ABC"/>
    <w:rsid w:val="00D40482"/>
    <w:rsid w:val="00D40A3A"/>
    <w:rsid w:val="00D42EEA"/>
    <w:rsid w:val="00D43944"/>
    <w:rsid w:val="00D44C79"/>
    <w:rsid w:val="00D4720C"/>
    <w:rsid w:val="00D47C1D"/>
    <w:rsid w:val="00D50767"/>
    <w:rsid w:val="00D50A1D"/>
    <w:rsid w:val="00D51582"/>
    <w:rsid w:val="00D53E94"/>
    <w:rsid w:val="00D54917"/>
    <w:rsid w:val="00D57334"/>
    <w:rsid w:val="00D574E7"/>
    <w:rsid w:val="00D6029F"/>
    <w:rsid w:val="00D61140"/>
    <w:rsid w:val="00D61F10"/>
    <w:rsid w:val="00D622CE"/>
    <w:rsid w:val="00D626B6"/>
    <w:rsid w:val="00D626CF"/>
    <w:rsid w:val="00D631D7"/>
    <w:rsid w:val="00D666B1"/>
    <w:rsid w:val="00D66DF6"/>
    <w:rsid w:val="00D70C6F"/>
    <w:rsid w:val="00D7165A"/>
    <w:rsid w:val="00D7269F"/>
    <w:rsid w:val="00D74B40"/>
    <w:rsid w:val="00D75259"/>
    <w:rsid w:val="00D7590B"/>
    <w:rsid w:val="00D76D32"/>
    <w:rsid w:val="00D771A9"/>
    <w:rsid w:val="00D82387"/>
    <w:rsid w:val="00D823DF"/>
    <w:rsid w:val="00D823F3"/>
    <w:rsid w:val="00D826E7"/>
    <w:rsid w:val="00D836C8"/>
    <w:rsid w:val="00D8543E"/>
    <w:rsid w:val="00D86B90"/>
    <w:rsid w:val="00D87542"/>
    <w:rsid w:val="00D87732"/>
    <w:rsid w:val="00D9023E"/>
    <w:rsid w:val="00D907BC"/>
    <w:rsid w:val="00D9091E"/>
    <w:rsid w:val="00D90B5D"/>
    <w:rsid w:val="00D918BB"/>
    <w:rsid w:val="00D92598"/>
    <w:rsid w:val="00D92B98"/>
    <w:rsid w:val="00D932E4"/>
    <w:rsid w:val="00D93B54"/>
    <w:rsid w:val="00D94356"/>
    <w:rsid w:val="00D94C8C"/>
    <w:rsid w:val="00D95B21"/>
    <w:rsid w:val="00D95E3D"/>
    <w:rsid w:val="00D960A6"/>
    <w:rsid w:val="00D96675"/>
    <w:rsid w:val="00D9699A"/>
    <w:rsid w:val="00D9755D"/>
    <w:rsid w:val="00DA17A6"/>
    <w:rsid w:val="00DA1CB0"/>
    <w:rsid w:val="00DA2496"/>
    <w:rsid w:val="00DA471C"/>
    <w:rsid w:val="00DA516E"/>
    <w:rsid w:val="00DA578E"/>
    <w:rsid w:val="00DA5B54"/>
    <w:rsid w:val="00DA6C52"/>
    <w:rsid w:val="00DA7769"/>
    <w:rsid w:val="00DA7995"/>
    <w:rsid w:val="00DB1452"/>
    <w:rsid w:val="00DB3AD6"/>
    <w:rsid w:val="00DB43D5"/>
    <w:rsid w:val="00DB524F"/>
    <w:rsid w:val="00DB7FC8"/>
    <w:rsid w:val="00DC01AA"/>
    <w:rsid w:val="00DC177C"/>
    <w:rsid w:val="00DC1888"/>
    <w:rsid w:val="00DC270C"/>
    <w:rsid w:val="00DC34EA"/>
    <w:rsid w:val="00DC436C"/>
    <w:rsid w:val="00DC5718"/>
    <w:rsid w:val="00DC602F"/>
    <w:rsid w:val="00DC6405"/>
    <w:rsid w:val="00DD0ECC"/>
    <w:rsid w:val="00DD1861"/>
    <w:rsid w:val="00DD1C38"/>
    <w:rsid w:val="00DD1F30"/>
    <w:rsid w:val="00DD3734"/>
    <w:rsid w:val="00DD37E7"/>
    <w:rsid w:val="00DD5560"/>
    <w:rsid w:val="00DD5C71"/>
    <w:rsid w:val="00DD62C9"/>
    <w:rsid w:val="00DD6E67"/>
    <w:rsid w:val="00DD7538"/>
    <w:rsid w:val="00DD7A2B"/>
    <w:rsid w:val="00DD7EC5"/>
    <w:rsid w:val="00DE0441"/>
    <w:rsid w:val="00DE2E7B"/>
    <w:rsid w:val="00DE2F6B"/>
    <w:rsid w:val="00DE493A"/>
    <w:rsid w:val="00DE5299"/>
    <w:rsid w:val="00DE5AD4"/>
    <w:rsid w:val="00DE60B7"/>
    <w:rsid w:val="00DF0EE0"/>
    <w:rsid w:val="00DF2925"/>
    <w:rsid w:val="00DF33D8"/>
    <w:rsid w:val="00DF3F9C"/>
    <w:rsid w:val="00DF4DA6"/>
    <w:rsid w:val="00DF54C0"/>
    <w:rsid w:val="00DF6EDD"/>
    <w:rsid w:val="00DF7E3B"/>
    <w:rsid w:val="00E00720"/>
    <w:rsid w:val="00E013CA"/>
    <w:rsid w:val="00E01AA7"/>
    <w:rsid w:val="00E02E0D"/>
    <w:rsid w:val="00E0353E"/>
    <w:rsid w:val="00E038D2"/>
    <w:rsid w:val="00E0573F"/>
    <w:rsid w:val="00E068CE"/>
    <w:rsid w:val="00E074E6"/>
    <w:rsid w:val="00E078E6"/>
    <w:rsid w:val="00E12BD2"/>
    <w:rsid w:val="00E1314B"/>
    <w:rsid w:val="00E1368C"/>
    <w:rsid w:val="00E14F21"/>
    <w:rsid w:val="00E15C53"/>
    <w:rsid w:val="00E202B0"/>
    <w:rsid w:val="00E214AD"/>
    <w:rsid w:val="00E23167"/>
    <w:rsid w:val="00E26CE9"/>
    <w:rsid w:val="00E30F0B"/>
    <w:rsid w:val="00E332C9"/>
    <w:rsid w:val="00E340D4"/>
    <w:rsid w:val="00E34982"/>
    <w:rsid w:val="00E352BC"/>
    <w:rsid w:val="00E35A45"/>
    <w:rsid w:val="00E361D0"/>
    <w:rsid w:val="00E368BD"/>
    <w:rsid w:val="00E36C42"/>
    <w:rsid w:val="00E404E1"/>
    <w:rsid w:val="00E405D6"/>
    <w:rsid w:val="00E40A52"/>
    <w:rsid w:val="00E40F38"/>
    <w:rsid w:val="00E42228"/>
    <w:rsid w:val="00E43442"/>
    <w:rsid w:val="00E44EBB"/>
    <w:rsid w:val="00E45B67"/>
    <w:rsid w:val="00E47522"/>
    <w:rsid w:val="00E51BF9"/>
    <w:rsid w:val="00E51FDD"/>
    <w:rsid w:val="00E5321D"/>
    <w:rsid w:val="00E53298"/>
    <w:rsid w:val="00E55F3E"/>
    <w:rsid w:val="00E602CC"/>
    <w:rsid w:val="00E60E8C"/>
    <w:rsid w:val="00E613D9"/>
    <w:rsid w:val="00E61EA0"/>
    <w:rsid w:val="00E622B5"/>
    <w:rsid w:val="00E62997"/>
    <w:rsid w:val="00E62AAA"/>
    <w:rsid w:val="00E62AC5"/>
    <w:rsid w:val="00E63F33"/>
    <w:rsid w:val="00E66A2E"/>
    <w:rsid w:val="00E67191"/>
    <w:rsid w:val="00E67AD5"/>
    <w:rsid w:val="00E70236"/>
    <w:rsid w:val="00E70478"/>
    <w:rsid w:val="00E70EE9"/>
    <w:rsid w:val="00E71A93"/>
    <w:rsid w:val="00E724F0"/>
    <w:rsid w:val="00E7288E"/>
    <w:rsid w:val="00E72BFD"/>
    <w:rsid w:val="00E74564"/>
    <w:rsid w:val="00E757E8"/>
    <w:rsid w:val="00E7662F"/>
    <w:rsid w:val="00E80E64"/>
    <w:rsid w:val="00E82E72"/>
    <w:rsid w:val="00E83ED2"/>
    <w:rsid w:val="00E83FAD"/>
    <w:rsid w:val="00E843DC"/>
    <w:rsid w:val="00E84612"/>
    <w:rsid w:val="00E847E9"/>
    <w:rsid w:val="00E85256"/>
    <w:rsid w:val="00E86148"/>
    <w:rsid w:val="00E8648D"/>
    <w:rsid w:val="00E86B3E"/>
    <w:rsid w:val="00E87308"/>
    <w:rsid w:val="00E87AB2"/>
    <w:rsid w:val="00E87AD8"/>
    <w:rsid w:val="00E90553"/>
    <w:rsid w:val="00E90821"/>
    <w:rsid w:val="00E91231"/>
    <w:rsid w:val="00E918DA"/>
    <w:rsid w:val="00E92C24"/>
    <w:rsid w:val="00E92DCF"/>
    <w:rsid w:val="00E93308"/>
    <w:rsid w:val="00E9419C"/>
    <w:rsid w:val="00E95B78"/>
    <w:rsid w:val="00E9669C"/>
    <w:rsid w:val="00E967FD"/>
    <w:rsid w:val="00E972CB"/>
    <w:rsid w:val="00E97DF4"/>
    <w:rsid w:val="00EA14C7"/>
    <w:rsid w:val="00EA1E8F"/>
    <w:rsid w:val="00EA23F0"/>
    <w:rsid w:val="00EA2D1D"/>
    <w:rsid w:val="00EA3ECA"/>
    <w:rsid w:val="00EA4EE2"/>
    <w:rsid w:val="00EA50B6"/>
    <w:rsid w:val="00EA69AA"/>
    <w:rsid w:val="00EB0A3D"/>
    <w:rsid w:val="00EB0A8A"/>
    <w:rsid w:val="00EB11AF"/>
    <w:rsid w:val="00EB3AA1"/>
    <w:rsid w:val="00EB5DD9"/>
    <w:rsid w:val="00EB696D"/>
    <w:rsid w:val="00EB6A55"/>
    <w:rsid w:val="00EB6AF9"/>
    <w:rsid w:val="00EB6DC4"/>
    <w:rsid w:val="00EB6F91"/>
    <w:rsid w:val="00EB7B65"/>
    <w:rsid w:val="00EC03EF"/>
    <w:rsid w:val="00EC183C"/>
    <w:rsid w:val="00EC1DAC"/>
    <w:rsid w:val="00EC24B6"/>
    <w:rsid w:val="00EC28F4"/>
    <w:rsid w:val="00EC2BD9"/>
    <w:rsid w:val="00EC3C14"/>
    <w:rsid w:val="00EC41A9"/>
    <w:rsid w:val="00EC4444"/>
    <w:rsid w:val="00EC4845"/>
    <w:rsid w:val="00EC5043"/>
    <w:rsid w:val="00EC5F3F"/>
    <w:rsid w:val="00EC61E5"/>
    <w:rsid w:val="00EC6668"/>
    <w:rsid w:val="00EC6B52"/>
    <w:rsid w:val="00EC6CCF"/>
    <w:rsid w:val="00ED09FE"/>
    <w:rsid w:val="00ED1093"/>
    <w:rsid w:val="00ED1B9F"/>
    <w:rsid w:val="00ED2AC2"/>
    <w:rsid w:val="00ED4652"/>
    <w:rsid w:val="00ED4E8B"/>
    <w:rsid w:val="00ED580B"/>
    <w:rsid w:val="00ED5877"/>
    <w:rsid w:val="00ED5F77"/>
    <w:rsid w:val="00ED6295"/>
    <w:rsid w:val="00EE039D"/>
    <w:rsid w:val="00EE09B5"/>
    <w:rsid w:val="00EE0C6F"/>
    <w:rsid w:val="00EE15C7"/>
    <w:rsid w:val="00EE44CA"/>
    <w:rsid w:val="00EE4B07"/>
    <w:rsid w:val="00EE4C2C"/>
    <w:rsid w:val="00EE5213"/>
    <w:rsid w:val="00EE66DA"/>
    <w:rsid w:val="00EE66FA"/>
    <w:rsid w:val="00EE6E52"/>
    <w:rsid w:val="00EE74DD"/>
    <w:rsid w:val="00EE7BD6"/>
    <w:rsid w:val="00EF011F"/>
    <w:rsid w:val="00EF0255"/>
    <w:rsid w:val="00EF0F94"/>
    <w:rsid w:val="00EF14D8"/>
    <w:rsid w:val="00EF2551"/>
    <w:rsid w:val="00EF60A8"/>
    <w:rsid w:val="00EF6561"/>
    <w:rsid w:val="00EF75C0"/>
    <w:rsid w:val="00EF7CA3"/>
    <w:rsid w:val="00EF7FE2"/>
    <w:rsid w:val="00F002BC"/>
    <w:rsid w:val="00F004D1"/>
    <w:rsid w:val="00F01DE0"/>
    <w:rsid w:val="00F03884"/>
    <w:rsid w:val="00F04412"/>
    <w:rsid w:val="00F04467"/>
    <w:rsid w:val="00F05801"/>
    <w:rsid w:val="00F05A54"/>
    <w:rsid w:val="00F05EFC"/>
    <w:rsid w:val="00F06180"/>
    <w:rsid w:val="00F0721C"/>
    <w:rsid w:val="00F073B1"/>
    <w:rsid w:val="00F10648"/>
    <w:rsid w:val="00F115BC"/>
    <w:rsid w:val="00F11609"/>
    <w:rsid w:val="00F1377A"/>
    <w:rsid w:val="00F165CA"/>
    <w:rsid w:val="00F16F41"/>
    <w:rsid w:val="00F16F6C"/>
    <w:rsid w:val="00F17307"/>
    <w:rsid w:val="00F17C84"/>
    <w:rsid w:val="00F21517"/>
    <w:rsid w:val="00F21521"/>
    <w:rsid w:val="00F2217B"/>
    <w:rsid w:val="00F228D7"/>
    <w:rsid w:val="00F23263"/>
    <w:rsid w:val="00F23927"/>
    <w:rsid w:val="00F23EC4"/>
    <w:rsid w:val="00F23EF5"/>
    <w:rsid w:val="00F247D4"/>
    <w:rsid w:val="00F24E50"/>
    <w:rsid w:val="00F25804"/>
    <w:rsid w:val="00F26F46"/>
    <w:rsid w:val="00F2754B"/>
    <w:rsid w:val="00F309F5"/>
    <w:rsid w:val="00F31FD8"/>
    <w:rsid w:val="00F32437"/>
    <w:rsid w:val="00F3287E"/>
    <w:rsid w:val="00F33A37"/>
    <w:rsid w:val="00F33B51"/>
    <w:rsid w:val="00F3468D"/>
    <w:rsid w:val="00F3550E"/>
    <w:rsid w:val="00F35814"/>
    <w:rsid w:val="00F35DA6"/>
    <w:rsid w:val="00F35E75"/>
    <w:rsid w:val="00F37625"/>
    <w:rsid w:val="00F37B7B"/>
    <w:rsid w:val="00F40058"/>
    <w:rsid w:val="00F403CF"/>
    <w:rsid w:val="00F4171C"/>
    <w:rsid w:val="00F41765"/>
    <w:rsid w:val="00F41C3B"/>
    <w:rsid w:val="00F4306D"/>
    <w:rsid w:val="00F437EF"/>
    <w:rsid w:val="00F43CD5"/>
    <w:rsid w:val="00F441D2"/>
    <w:rsid w:val="00F444C0"/>
    <w:rsid w:val="00F45185"/>
    <w:rsid w:val="00F46399"/>
    <w:rsid w:val="00F465D7"/>
    <w:rsid w:val="00F476D8"/>
    <w:rsid w:val="00F477B4"/>
    <w:rsid w:val="00F47C71"/>
    <w:rsid w:val="00F47CAB"/>
    <w:rsid w:val="00F52562"/>
    <w:rsid w:val="00F5779A"/>
    <w:rsid w:val="00F60311"/>
    <w:rsid w:val="00F60D83"/>
    <w:rsid w:val="00F611F4"/>
    <w:rsid w:val="00F617F7"/>
    <w:rsid w:val="00F61F70"/>
    <w:rsid w:val="00F62457"/>
    <w:rsid w:val="00F64C63"/>
    <w:rsid w:val="00F673F4"/>
    <w:rsid w:val="00F70E9C"/>
    <w:rsid w:val="00F71838"/>
    <w:rsid w:val="00F720EE"/>
    <w:rsid w:val="00F72226"/>
    <w:rsid w:val="00F7301A"/>
    <w:rsid w:val="00F73B5B"/>
    <w:rsid w:val="00F74883"/>
    <w:rsid w:val="00F7585B"/>
    <w:rsid w:val="00F75C7B"/>
    <w:rsid w:val="00F764CB"/>
    <w:rsid w:val="00F766E7"/>
    <w:rsid w:val="00F76912"/>
    <w:rsid w:val="00F76F65"/>
    <w:rsid w:val="00F80309"/>
    <w:rsid w:val="00F81968"/>
    <w:rsid w:val="00F82442"/>
    <w:rsid w:val="00F83DA8"/>
    <w:rsid w:val="00F84317"/>
    <w:rsid w:val="00F85085"/>
    <w:rsid w:val="00F85667"/>
    <w:rsid w:val="00F85726"/>
    <w:rsid w:val="00F86038"/>
    <w:rsid w:val="00F86346"/>
    <w:rsid w:val="00F8709E"/>
    <w:rsid w:val="00F87E9F"/>
    <w:rsid w:val="00F902CD"/>
    <w:rsid w:val="00F912AE"/>
    <w:rsid w:val="00F91304"/>
    <w:rsid w:val="00F91901"/>
    <w:rsid w:val="00F920C9"/>
    <w:rsid w:val="00F924BF"/>
    <w:rsid w:val="00F92775"/>
    <w:rsid w:val="00F935F0"/>
    <w:rsid w:val="00F94288"/>
    <w:rsid w:val="00F9470E"/>
    <w:rsid w:val="00F9477C"/>
    <w:rsid w:val="00F95E12"/>
    <w:rsid w:val="00F96850"/>
    <w:rsid w:val="00F96E25"/>
    <w:rsid w:val="00FA0F27"/>
    <w:rsid w:val="00FA21A9"/>
    <w:rsid w:val="00FA2A82"/>
    <w:rsid w:val="00FA2B5B"/>
    <w:rsid w:val="00FA3B5A"/>
    <w:rsid w:val="00FA4ABC"/>
    <w:rsid w:val="00FA4C6B"/>
    <w:rsid w:val="00FA5B63"/>
    <w:rsid w:val="00FA74B4"/>
    <w:rsid w:val="00FB29F6"/>
    <w:rsid w:val="00FB2EAF"/>
    <w:rsid w:val="00FB4786"/>
    <w:rsid w:val="00FB4AD6"/>
    <w:rsid w:val="00FB4DA9"/>
    <w:rsid w:val="00FB657F"/>
    <w:rsid w:val="00FB6AE1"/>
    <w:rsid w:val="00FB7DC4"/>
    <w:rsid w:val="00FC052B"/>
    <w:rsid w:val="00FC15E9"/>
    <w:rsid w:val="00FC16A7"/>
    <w:rsid w:val="00FC17AF"/>
    <w:rsid w:val="00FC1B9B"/>
    <w:rsid w:val="00FC2666"/>
    <w:rsid w:val="00FC30C6"/>
    <w:rsid w:val="00FC312A"/>
    <w:rsid w:val="00FC3941"/>
    <w:rsid w:val="00FC4FAD"/>
    <w:rsid w:val="00FC61FF"/>
    <w:rsid w:val="00FC7406"/>
    <w:rsid w:val="00FC7DD7"/>
    <w:rsid w:val="00FC7F4C"/>
    <w:rsid w:val="00FD06E3"/>
    <w:rsid w:val="00FD0BFF"/>
    <w:rsid w:val="00FD0ED3"/>
    <w:rsid w:val="00FD1EA9"/>
    <w:rsid w:val="00FD3A49"/>
    <w:rsid w:val="00FD48A4"/>
    <w:rsid w:val="00FD4D25"/>
    <w:rsid w:val="00FD5A13"/>
    <w:rsid w:val="00FD5E1C"/>
    <w:rsid w:val="00FD67D1"/>
    <w:rsid w:val="00FE2098"/>
    <w:rsid w:val="00FE27D2"/>
    <w:rsid w:val="00FE3178"/>
    <w:rsid w:val="00FE404B"/>
    <w:rsid w:val="00FE4167"/>
    <w:rsid w:val="00FE4C0D"/>
    <w:rsid w:val="00FE4FB4"/>
    <w:rsid w:val="00FE52F5"/>
    <w:rsid w:val="00FE5AF0"/>
    <w:rsid w:val="00FF0E7A"/>
    <w:rsid w:val="00FF10B2"/>
    <w:rsid w:val="00FF1B27"/>
    <w:rsid w:val="00FF3BBF"/>
    <w:rsid w:val="00FF40AC"/>
    <w:rsid w:val="00FF43D9"/>
    <w:rsid w:val="00FF5420"/>
    <w:rsid w:val="00FF5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8D72"/>
  <w15:chartTrackingRefBased/>
  <w15:docId w15:val="{94210A6E-7023-4421-B52B-B36DFAEF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6D6"/>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DA2496"/>
    <w:pPr>
      <w:tabs>
        <w:tab w:val="left" w:pos="284"/>
        <w:tab w:val="left" w:pos="660"/>
        <w:tab w:val="right" w:leader="dot" w:pos="8263"/>
      </w:tabs>
      <w:spacing w:after="0"/>
      <w:jc w:val="both"/>
    </w:pPr>
  </w:style>
  <w:style w:type="paragraph" w:styleId="TDC2">
    <w:name w:val="toc 2"/>
    <w:basedOn w:val="Normal"/>
    <w:next w:val="Normal"/>
    <w:autoRedefine/>
    <w:uiPriority w:val="39"/>
    <w:unhideWhenUsed/>
    <w:rsid w:val="00EA69AA"/>
    <w:pPr>
      <w:tabs>
        <w:tab w:val="right" w:leader="dot" w:pos="8222"/>
      </w:tabs>
      <w:spacing w:after="0" w:line="240" w:lineRule="auto"/>
      <w:ind w:left="200"/>
    </w:pPr>
    <w:rPr>
      <w:b/>
      <w:bCs/>
      <w:noProof/>
      <w:sz w:val="18"/>
      <w:szCs w:val="18"/>
      <w:u w:val="single"/>
    </w:rPr>
  </w:style>
  <w:style w:type="paragraph" w:styleId="TDC3">
    <w:name w:val="toc 3"/>
    <w:basedOn w:val="Normal"/>
    <w:next w:val="Normal"/>
    <w:autoRedefine/>
    <w:uiPriority w:val="39"/>
    <w:unhideWhenUsed/>
    <w:rsid w:val="00C874E5"/>
    <w:pPr>
      <w:spacing w:after="100"/>
      <w:ind w:left="400"/>
    </w:pPr>
    <w:rPr>
      <w:u w:val="single"/>
    </w:r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 w:type="paragraph" w:styleId="Textosinformato">
    <w:name w:val="Plain Text"/>
    <w:basedOn w:val="Normal"/>
    <w:link w:val="TextosinformatoCar"/>
    <w:uiPriority w:val="99"/>
    <w:semiHidden/>
    <w:unhideWhenUsed/>
    <w:rsid w:val="00490749"/>
    <w:pPr>
      <w:spacing w:after="0" w:line="240" w:lineRule="auto"/>
    </w:pPr>
    <w:rPr>
      <w:rFonts w:ascii="Calibri" w:hAnsi="Calibri" w:cstheme="minorBidi"/>
      <w:sz w:val="22"/>
      <w:szCs w:val="21"/>
      <w:lang w:val="es-MX"/>
    </w:rPr>
  </w:style>
  <w:style w:type="character" w:customStyle="1" w:styleId="TextosinformatoCar">
    <w:name w:val="Texto sin formato Car"/>
    <w:basedOn w:val="Fuentedeprrafopredeter"/>
    <w:link w:val="Textosinformato"/>
    <w:uiPriority w:val="99"/>
    <w:semiHidden/>
    <w:rsid w:val="004907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617299749">
      <w:bodyDiv w:val="1"/>
      <w:marLeft w:val="0"/>
      <w:marRight w:val="0"/>
      <w:marTop w:val="0"/>
      <w:marBottom w:val="0"/>
      <w:divBdr>
        <w:top w:val="none" w:sz="0" w:space="0" w:color="auto"/>
        <w:left w:val="none" w:sz="0" w:space="0" w:color="auto"/>
        <w:bottom w:val="none" w:sz="0" w:space="0" w:color="auto"/>
        <w:right w:val="none" w:sz="0" w:space="0" w:color="auto"/>
      </w:divBdr>
    </w:div>
    <w:div w:id="791554317">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856776789">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281303503">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403061131">
      <w:bodyDiv w:val="1"/>
      <w:marLeft w:val="0"/>
      <w:marRight w:val="0"/>
      <w:marTop w:val="0"/>
      <w:marBottom w:val="0"/>
      <w:divBdr>
        <w:top w:val="none" w:sz="0" w:space="0" w:color="auto"/>
        <w:left w:val="none" w:sz="0" w:space="0" w:color="auto"/>
        <w:bottom w:val="none" w:sz="0" w:space="0" w:color="auto"/>
        <w:right w:val="none" w:sz="0" w:space="0" w:color="auto"/>
      </w:divBdr>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608387536">
      <w:bodyDiv w:val="1"/>
      <w:marLeft w:val="0"/>
      <w:marRight w:val="0"/>
      <w:marTop w:val="0"/>
      <w:marBottom w:val="0"/>
      <w:divBdr>
        <w:top w:val="none" w:sz="0" w:space="0" w:color="auto"/>
        <w:left w:val="none" w:sz="0" w:space="0" w:color="auto"/>
        <w:bottom w:val="none" w:sz="0" w:space="0" w:color="auto"/>
        <w:right w:val="none" w:sz="0" w:space="0" w:color="auto"/>
      </w:divBdr>
    </w:div>
    <w:div w:id="1708330070">
      <w:bodyDiv w:val="1"/>
      <w:marLeft w:val="0"/>
      <w:marRight w:val="0"/>
      <w:marTop w:val="0"/>
      <w:marBottom w:val="0"/>
      <w:divBdr>
        <w:top w:val="none" w:sz="0" w:space="0" w:color="auto"/>
        <w:left w:val="none" w:sz="0" w:space="0" w:color="auto"/>
        <w:bottom w:val="none" w:sz="0" w:space="0" w:color="auto"/>
        <w:right w:val="none" w:sz="0" w:space="0" w:color="auto"/>
      </w:divBdr>
    </w:div>
    <w:div w:id="1782794208">
      <w:bodyDiv w:val="1"/>
      <w:marLeft w:val="0"/>
      <w:marRight w:val="0"/>
      <w:marTop w:val="0"/>
      <w:marBottom w:val="0"/>
      <w:divBdr>
        <w:top w:val="none" w:sz="0" w:space="0" w:color="auto"/>
        <w:left w:val="none" w:sz="0" w:space="0" w:color="auto"/>
        <w:bottom w:val="none" w:sz="0" w:space="0" w:color="auto"/>
        <w:right w:val="none" w:sz="0" w:space="0" w:color="auto"/>
      </w:divBdr>
      <w:divsChild>
        <w:div w:id="1098403765">
          <w:marLeft w:val="0"/>
          <w:marRight w:val="0"/>
          <w:marTop w:val="0"/>
          <w:marBottom w:val="0"/>
          <w:divBdr>
            <w:top w:val="none" w:sz="0" w:space="0" w:color="auto"/>
            <w:left w:val="none" w:sz="0" w:space="0" w:color="auto"/>
            <w:bottom w:val="none" w:sz="0" w:space="0" w:color="auto"/>
            <w:right w:val="none" w:sz="0" w:space="0" w:color="auto"/>
          </w:divBdr>
        </w:div>
      </w:divsChild>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5B3CD8B7BD2934CA98590F891F88548" ma:contentTypeVersion="13" ma:contentTypeDescription="Crear nuevo documento." ma:contentTypeScope="" ma:versionID="02a2ea7f7113c690d0400bb7b66763e1">
  <xsd:schema xmlns:xsd="http://www.w3.org/2001/XMLSchema" xmlns:xs="http://www.w3.org/2001/XMLSchema" xmlns:p="http://schemas.microsoft.com/office/2006/metadata/properties" xmlns:ns3="c293062b-5610-419d-9e2d-934cd9a32a78" xmlns:ns4="5142f736-de80-43a8-964a-90d8fff7467c" targetNamespace="http://schemas.microsoft.com/office/2006/metadata/properties" ma:root="true" ma:fieldsID="881b3110f52e93f6bfac14e64cd79d10" ns3:_="" ns4:_="">
    <xsd:import namespace="c293062b-5610-419d-9e2d-934cd9a32a78"/>
    <xsd:import namespace="5142f736-de80-43a8-964a-90d8fff746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3062b-5610-419d-9e2d-934cd9a32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2f736-de80-43a8-964a-90d8fff7467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CF22-262B-4CCE-BCF1-10F22D2B80B2}">
  <ds:schemaRefs>
    <ds:schemaRef ds:uri="http://schemas.microsoft.com/sharepoint/v3/contenttype/forms"/>
  </ds:schemaRefs>
</ds:datastoreItem>
</file>

<file path=customXml/itemProps2.xml><?xml version="1.0" encoding="utf-8"?>
<ds:datastoreItem xmlns:ds="http://schemas.openxmlformats.org/officeDocument/2006/customXml" ds:itemID="{2AEF61DC-EB7E-4C5C-BE78-75700F53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3062b-5610-419d-9e2d-934cd9a32a78"/>
    <ds:schemaRef ds:uri="5142f736-de80-43a8-964a-90d8fff7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DE466-465A-42D2-A4A2-E91D1CB4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12532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Rubén Arturo Marroquín Mitre</cp:lastModifiedBy>
  <cp:revision>2</cp:revision>
  <cp:lastPrinted>2021-04-02T00:24:00Z</cp:lastPrinted>
  <dcterms:created xsi:type="dcterms:W3CDTF">2021-04-17T16:01:00Z</dcterms:created>
  <dcterms:modified xsi:type="dcterms:W3CDTF">2021-04-17T16:01:00Z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0x01010045B3CD8B7BD2934CA98590F891F88548</vt:lpwstr>
  </property>
</Properties>
</file>