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D4A" w:rsidRPr="00A05D4A" w:rsidRDefault="00A05D4A" w:rsidP="00A05D4A">
      <w:pPr>
        <w:spacing w:after="120" w:line="240" w:lineRule="auto"/>
        <w:ind w:left="3969"/>
        <w:jc w:val="both"/>
        <w:rPr>
          <w:b/>
          <w:sz w:val="22"/>
          <w:szCs w:val="22"/>
        </w:rPr>
      </w:pPr>
      <w:r w:rsidRPr="00A05D4A">
        <w:rPr>
          <w:b/>
          <w:sz w:val="22"/>
          <w:szCs w:val="22"/>
        </w:rPr>
        <w:t>JUICIO PARA LA PROTECCIÓN DE LOS DERECHOS POLÍTICO-ELECTORALES DEL CIUDADANO</w:t>
      </w:r>
    </w:p>
    <w:p w:rsidR="00A05D4A" w:rsidRPr="00A05D4A" w:rsidRDefault="00A05D4A" w:rsidP="00A05D4A">
      <w:pPr>
        <w:spacing w:after="120" w:line="240" w:lineRule="auto"/>
        <w:ind w:left="3969"/>
        <w:jc w:val="both"/>
        <w:rPr>
          <w:bCs/>
          <w:sz w:val="22"/>
          <w:szCs w:val="22"/>
        </w:rPr>
      </w:pPr>
      <w:r w:rsidRPr="00A05D4A">
        <w:rPr>
          <w:b/>
          <w:sz w:val="22"/>
          <w:szCs w:val="22"/>
        </w:rPr>
        <w:t xml:space="preserve">EXPEDIENTE: </w:t>
      </w:r>
      <w:r w:rsidRPr="00A05D4A">
        <w:rPr>
          <w:bCs/>
          <w:sz w:val="22"/>
          <w:szCs w:val="22"/>
        </w:rPr>
        <w:t>SM-JDC-</w:t>
      </w:r>
      <w:r w:rsidR="004C470C">
        <w:rPr>
          <w:bCs/>
          <w:sz w:val="22"/>
          <w:szCs w:val="22"/>
        </w:rPr>
        <w:t>3</w:t>
      </w:r>
      <w:r w:rsidR="00EF51EA">
        <w:rPr>
          <w:bCs/>
          <w:sz w:val="22"/>
          <w:szCs w:val="22"/>
        </w:rPr>
        <w:t>56</w:t>
      </w:r>
      <w:r w:rsidRPr="00A05D4A">
        <w:rPr>
          <w:bCs/>
          <w:sz w:val="22"/>
          <w:szCs w:val="22"/>
        </w:rPr>
        <w:t>/2021</w:t>
      </w:r>
    </w:p>
    <w:p w:rsidR="00A05D4A" w:rsidRPr="0076113F" w:rsidRDefault="00A05D4A" w:rsidP="00A05D4A">
      <w:pPr>
        <w:spacing w:after="120" w:line="240" w:lineRule="auto"/>
        <w:ind w:left="3969"/>
        <w:jc w:val="both"/>
        <w:rPr>
          <w:bCs/>
          <w:sz w:val="22"/>
          <w:szCs w:val="22"/>
        </w:rPr>
      </w:pPr>
      <w:r w:rsidRPr="00A05D4A">
        <w:rPr>
          <w:b/>
          <w:sz w:val="22"/>
          <w:szCs w:val="22"/>
        </w:rPr>
        <w:t>IMPUGNANTE</w:t>
      </w:r>
      <w:r w:rsidR="00EF51EA">
        <w:rPr>
          <w:b/>
          <w:sz w:val="22"/>
          <w:szCs w:val="22"/>
        </w:rPr>
        <w:t>S</w:t>
      </w:r>
      <w:r w:rsidRPr="00A05D4A">
        <w:rPr>
          <w:b/>
          <w:sz w:val="22"/>
          <w:szCs w:val="22"/>
        </w:rPr>
        <w:t xml:space="preserve">: </w:t>
      </w:r>
      <w:bookmarkStart w:id="0" w:name="_Hlk70522307"/>
      <w:r w:rsidR="00436836">
        <w:rPr>
          <w:bCs/>
          <w:sz w:val="22"/>
          <w:szCs w:val="22"/>
        </w:rPr>
        <w:t>AGUSTÍN MARMOLEJO VALLE Y OTRO</w:t>
      </w:r>
    </w:p>
    <w:bookmarkEnd w:id="0"/>
    <w:p w:rsidR="00A05D4A" w:rsidRPr="0076113F" w:rsidRDefault="00A05D4A" w:rsidP="00A05D4A">
      <w:pPr>
        <w:spacing w:after="120" w:line="240" w:lineRule="auto"/>
        <w:ind w:left="3969"/>
        <w:jc w:val="both"/>
        <w:rPr>
          <w:bCs/>
          <w:sz w:val="22"/>
          <w:szCs w:val="22"/>
        </w:rPr>
      </w:pPr>
      <w:r w:rsidRPr="00A05D4A">
        <w:rPr>
          <w:b/>
          <w:sz w:val="22"/>
          <w:szCs w:val="22"/>
        </w:rPr>
        <w:t xml:space="preserve">RESPONSABLE: </w:t>
      </w:r>
      <w:r w:rsidR="0076113F">
        <w:rPr>
          <w:b/>
          <w:sz w:val="22"/>
          <w:szCs w:val="22"/>
        </w:rPr>
        <w:t xml:space="preserve"> </w:t>
      </w:r>
      <w:bookmarkStart w:id="1" w:name="_Hlk70522335"/>
      <w:r w:rsidR="0076113F" w:rsidRPr="0076113F">
        <w:rPr>
          <w:bCs/>
          <w:sz w:val="22"/>
          <w:szCs w:val="22"/>
        </w:rPr>
        <w:t>TRIBUNAL E</w:t>
      </w:r>
      <w:bookmarkEnd w:id="1"/>
      <w:r w:rsidR="00436836">
        <w:rPr>
          <w:bCs/>
          <w:sz w:val="22"/>
          <w:szCs w:val="22"/>
        </w:rPr>
        <w:t>STATAL ELECTORAL DE GUANAJUATO</w:t>
      </w:r>
    </w:p>
    <w:p w:rsidR="00A05D4A" w:rsidRPr="00A05D4A" w:rsidRDefault="00A05D4A" w:rsidP="00A05D4A">
      <w:pPr>
        <w:spacing w:after="120" w:line="240" w:lineRule="auto"/>
        <w:ind w:left="3969"/>
        <w:jc w:val="both"/>
        <w:rPr>
          <w:sz w:val="22"/>
          <w:szCs w:val="22"/>
        </w:rPr>
      </w:pPr>
      <w:r w:rsidRPr="00A05D4A">
        <w:rPr>
          <w:b/>
          <w:sz w:val="22"/>
          <w:szCs w:val="22"/>
        </w:rPr>
        <w:t xml:space="preserve">MAGISTRADO PONENTE: </w:t>
      </w:r>
      <w:r w:rsidRPr="00A05D4A">
        <w:rPr>
          <w:sz w:val="22"/>
          <w:szCs w:val="22"/>
        </w:rPr>
        <w:t>ERNESTO CAMACHO OCHOA</w:t>
      </w:r>
    </w:p>
    <w:p w:rsidR="00216ACE" w:rsidRPr="00E709EE" w:rsidRDefault="00A05D4A" w:rsidP="004C470C">
      <w:pPr>
        <w:spacing w:after="120" w:line="240" w:lineRule="auto"/>
        <w:ind w:left="3969"/>
        <w:jc w:val="both"/>
        <w:rPr>
          <w:bCs/>
          <w:sz w:val="22"/>
        </w:rPr>
      </w:pPr>
      <w:r w:rsidRPr="00A05D4A">
        <w:rPr>
          <w:b/>
          <w:sz w:val="22"/>
          <w:szCs w:val="22"/>
        </w:rPr>
        <w:t>SECRETAR</w:t>
      </w:r>
      <w:r w:rsidR="00474FF6">
        <w:rPr>
          <w:b/>
          <w:sz w:val="22"/>
          <w:szCs w:val="22"/>
        </w:rPr>
        <w:t>IO</w:t>
      </w:r>
      <w:r w:rsidRPr="00A05D4A">
        <w:rPr>
          <w:b/>
          <w:sz w:val="22"/>
          <w:szCs w:val="22"/>
        </w:rPr>
        <w:t xml:space="preserve">: </w:t>
      </w:r>
      <w:r w:rsidR="006C0862" w:rsidRPr="006C0862">
        <w:rPr>
          <w:sz w:val="22"/>
          <w:szCs w:val="22"/>
        </w:rPr>
        <w:t xml:space="preserve">ANA CECILIA LOBATO TAPIA </w:t>
      </w:r>
      <w:bookmarkStart w:id="2" w:name="_GoBack"/>
      <w:bookmarkEnd w:id="2"/>
      <w:r w:rsidR="006C0862" w:rsidRPr="006C0862">
        <w:rPr>
          <w:sz w:val="22"/>
          <w:szCs w:val="22"/>
        </w:rPr>
        <w:t xml:space="preserve">Y </w:t>
      </w:r>
      <w:r w:rsidR="00E709EE" w:rsidRPr="006C0862">
        <w:rPr>
          <w:bCs/>
          <w:sz w:val="22"/>
          <w:szCs w:val="22"/>
        </w:rPr>
        <w:t>RUBÉN ARTURO MARROQUÍN MITRE</w:t>
      </w:r>
    </w:p>
    <w:p w:rsidR="00474FF6" w:rsidRDefault="00474FF6" w:rsidP="00474FF6">
      <w:pPr>
        <w:pStyle w:val="Normalsentencia"/>
        <w:spacing w:before="0" w:after="0" w:line="240" w:lineRule="auto"/>
        <w:ind w:firstLine="0"/>
        <w:rPr>
          <w:sz w:val="22"/>
        </w:rPr>
      </w:pPr>
    </w:p>
    <w:p w:rsidR="00243172" w:rsidRPr="00474FF6" w:rsidRDefault="00243172" w:rsidP="00474FF6">
      <w:pPr>
        <w:pStyle w:val="Normalsentencia"/>
        <w:spacing w:before="0" w:after="0"/>
        <w:ind w:firstLine="0"/>
        <w:rPr>
          <w:sz w:val="24"/>
          <w:szCs w:val="24"/>
        </w:rPr>
      </w:pPr>
      <w:r w:rsidRPr="00216ACE">
        <w:rPr>
          <w:sz w:val="24"/>
          <w:szCs w:val="24"/>
        </w:rPr>
        <w:t xml:space="preserve">Monterrey, Nuevo León, a </w:t>
      </w:r>
      <w:r w:rsidR="000F4C92">
        <w:rPr>
          <w:sz w:val="22"/>
        </w:rPr>
        <w:t xml:space="preserve">12 </w:t>
      </w:r>
      <w:r w:rsidRPr="00216ACE">
        <w:rPr>
          <w:sz w:val="24"/>
          <w:szCs w:val="24"/>
        </w:rPr>
        <w:t xml:space="preserve">de </w:t>
      </w:r>
      <w:r w:rsidR="00A90305">
        <w:rPr>
          <w:sz w:val="24"/>
          <w:szCs w:val="24"/>
        </w:rPr>
        <w:t>mayo</w:t>
      </w:r>
      <w:r w:rsidR="00A54E3B" w:rsidRPr="00216ACE">
        <w:rPr>
          <w:sz w:val="24"/>
          <w:szCs w:val="24"/>
        </w:rPr>
        <w:t xml:space="preserve"> </w:t>
      </w:r>
      <w:r w:rsidRPr="00216ACE">
        <w:rPr>
          <w:sz w:val="24"/>
          <w:szCs w:val="24"/>
        </w:rPr>
        <w:t>de 202</w:t>
      </w:r>
      <w:r w:rsidR="008C6B73" w:rsidRPr="00216ACE">
        <w:rPr>
          <w:sz w:val="24"/>
          <w:szCs w:val="24"/>
        </w:rPr>
        <w:t>1</w:t>
      </w:r>
      <w:r w:rsidRPr="00216ACE">
        <w:rPr>
          <w:sz w:val="24"/>
          <w:szCs w:val="24"/>
        </w:rPr>
        <w:t>.</w:t>
      </w:r>
    </w:p>
    <w:p w:rsidR="00A96106" w:rsidRDefault="00A05D4A" w:rsidP="00737A63">
      <w:pPr>
        <w:spacing w:before="100" w:beforeAutospacing="1" w:line="360" w:lineRule="auto"/>
        <w:jc w:val="both"/>
      </w:pPr>
      <w:r w:rsidRPr="00FB5242">
        <w:rPr>
          <w:b/>
        </w:rPr>
        <w:t xml:space="preserve">Sentencia </w:t>
      </w:r>
      <w:r w:rsidRPr="00FB5242">
        <w:t xml:space="preserve">de la Sala Monterrey </w:t>
      </w:r>
      <w:bookmarkStart w:id="3" w:name="_Hlk15568957"/>
      <w:r w:rsidRPr="00FB5242">
        <w:t xml:space="preserve">que </w:t>
      </w:r>
      <w:bookmarkEnd w:id="3"/>
      <w:r w:rsidR="00EE553C" w:rsidRPr="00FB5242">
        <w:rPr>
          <w:b/>
        </w:rPr>
        <w:t xml:space="preserve">confirma </w:t>
      </w:r>
      <w:r w:rsidR="00CC1650" w:rsidRPr="00FB5242">
        <w:t>l</w:t>
      </w:r>
      <w:r w:rsidR="00CC1650" w:rsidRPr="00FB5242">
        <w:rPr>
          <w:rFonts w:eastAsia="Calibri"/>
        </w:rPr>
        <w:t xml:space="preserve">a del Tribunal de </w:t>
      </w:r>
      <w:r w:rsidR="0026172D" w:rsidRPr="00FB5242">
        <w:rPr>
          <w:rFonts w:eastAsia="Calibri"/>
        </w:rPr>
        <w:t xml:space="preserve">Guanajuato que </w:t>
      </w:r>
      <w:r w:rsidR="0026172D" w:rsidRPr="00FB5242">
        <w:t>confirmó</w:t>
      </w:r>
      <w:r w:rsidR="0026172D" w:rsidRPr="00FB5242">
        <w:rPr>
          <w:b/>
        </w:rPr>
        <w:t xml:space="preserve"> </w:t>
      </w:r>
      <w:r w:rsidR="0026172D" w:rsidRPr="00FB5242">
        <w:rPr>
          <w:lang w:val="es-ES"/>
        </w:rPr>
        <w:t>la resolución de la Comisión de Justicia</w:t>
      </w:r>
      <w:r w:rsidR="00B51ED0" w:rsidRPr="00FB5242">
        <w:rPr>
          <w:lang w:val="es-ES"/>
        </w:rPr>
        <w:t xml:space="preserve"> del PRI</w:t>
      </w:r>
      <w:r w:rsidR="0026172D" w:rsidRPr="00FB5242">
        <w:rPr>
          <w:lang w:val="es-ES"/>
        </w:rPr>
        <w:t>, que a su vez confirmó</w:t>
      </w:r>
      <w:r w:rsidR="0000416A" w:rsidRPr="00FB5242">
        <w:rPr>
          <w:lang w:val="es-ES"/>
        </w:rPr>
        <w:t xml:space="preserve"> la deter</w:t>
      </w:r>
      <w:r w:rsidR="00074BC3" w:rsidRPr="00FB5242">
        <w:rPr>
          <w:lang w:val="es-ES"/>
        </w:rPr>
        <w:t xml:space="preserve">minación del </w:t>
      </w:r>
      <w:r w:rsidR="001E2ED4" w:rsidRPr="00FB5242">
        <w:rPr>
          <w:lang w:val="es-ES"/>
        </w:rPr>
        <w:t xml:space="preserve">Comité Ejecutivo Nacional </w:t>
      </w:r>
      <w:r w:rsidR="00414EDC" w:rsidRPr="00FB5242">
        <w:rPr>
          <w:lang w:val="es-ES"/>
        </w:rPr>
        <w:t xml:space="preserve">de dicho partido, de </w:t>
      </w:r>
      <w:r w:rsidR="0026172D" w:rsidRPr="00FB5242">
        <w:rPr>
          <w:rFonts w:eastAsia="Calibri"/>
        </w:rPr>
        <w:t>autoriz</w:t>
      </w:r>
      <w:r w:rsidR="00414EDC" w:rsidRPr="00FB5242">
        <w:rPr>
          <w:rFonts w:eastAsia="Calibri"/>
        </w:rPr>
        <w:t>ar</w:t>
      </w:r>
      <w:r w:rsidR="0026172D" w:rsidRPr="00FB5242">
        <w:rPr>
          <w:rFonts w:eastAsia="Calibri"/>
        </w:rPr>
        <w:t xml:space="preserve"> una prórroga a la vigencia de la dirigencia estatal del Comité Directivo Estatal</w:t>
      </w:r>
      <w:r w:rsidR="00AA4B49" w:rsidRPr="00FB5242">
        <w:rPr>
          <w:rFonts w:eastAsia="Calibri"/>
        </w:rPr>
        <w:t xml:space="preserve"> del PRI en Guanajuato</w:t>
      </w:r>
      <w:r w:rsidR="00CC1650" w:rsidRPr="00FB5242">
        <w:rPr>
          <w:rFonts w:eastAsia="Calibri"/>
        </w:rPr>
        <w:t xml:space="preserve">; </w:t>
      </w:r>
      <w:r w:rsidR="00CC1650" w:rsidRPr="00FB5242">
        <w:rPr>
          <w:rFonts w:eastAsia="Calibri"/>
          <w:b/>
        </w:rPr>
        <w:t xml:space="preserve">porque esta Sala </w:t>
      </w:r>
      <w:r w:rsidR="00CC1650" w:rsidRPr="00FB5242">
        <w:rPr>
          <w:rFonts w:eastAsia="Calibri"/>
        </w:rPr>
        <w:t>considera que</w:t>
      </w:r>
      <w:r w:rsidR="00401BE6" w:rsidRPr="00FB5242">
        <w:rPr>
          <w:rFonts w:eastAsia="Calibri"/>
        </w:rPr>
        <w:t xml:space="preserve"> d</w:t>
      </w:r>
      <w:r w:rsidR="00401BE6" w:rsidRPr="00FB5242">
        <w:rPr>
          <w:rFonts w:eastAsia="Arial"/>
        </w:rPr>
        <w:t>ebe quedar firme lo considerado por el Tribunal Local, en cuanto a que</w:t>
      </w:r>
      <w:r w:rsidR="00EF4F21" w:rsidRPr="00FB5242">
        <w:rPr>
          <w:rFonts w:eastAsia="Arial"/>
        </w:rPr>
        <w:t xml:space="preserve"> la Comisión de Justicia válidamente estableció que el</w:t>
      </w:r>
      <w:r w:rsidR="0033740A" w:rsidRPr="00FB5242">
        <w:rPr>
          <w:rFonts w:eastAsia="Arial"/>
        </w:rPr>
        <w:t xml:space="preserve"> </w:t>
      </w:r>
      <w:r w:rsidR="0033740A" w:rsidRPr="00FB5242">
        <w:rPr>
          <w:lang w:val="es-ES"/>
        </w:rPr>
        <w:t>Comité Ejecutivo Nacional</w:t>
      </w:r>
      <w:r w:rsidR="00F22DD3" w:rsidRPr="00FB5242">
        <w:rPr>
          <w:lang w:val="es-ES"/>
        </w:rPr>
        <w:t xml:space="preserve"> </w:t>
      </w:r>
      <w:r w:rsidR="008103CF" w:rsidRPr="00FB5242">
        <w:rPr>
          <w:lang w:val="es-ES"/>
        </w:rPr>
        <w:t>tiene facultades para</w:t>
      </w:r>
      <w:r w:rsidR="00FF2EE7" w:rsidRPr="00FB5242">
        <w:rPr>
          <w:lang w:val="es-ES"/>
        </w:rPr>
        <w:t xml:space="preserve"> establecer una</w:t>
      </w:r>
      <w:r w:rsidR="004F0D73" w:rsidRPr="00FB5242">
        <w:rPr>
          <w:lang w:val="es-ES"/>
        </w:rPr>
        <w:t xml:space="preserve"> </w:t>
      </w:r>
      <w:r w:rsidR="004F0D73" w:rsidRPr="00FB5242">
        <w:rPr>
          <w:rFonts w:eastAsia="Calibri"/>
        </w:rPr>
        <w:t>prórroga a la vigencia de la dirigencia estatal</w:t>
      </w:r>
      <w:r w:rsidR="003E2FCC" w:rsidRPr="00FB5242">
        <w:rPr>
          <w:rFonts w:eastAsia="Calibri"/>
        </w:rPr>
        <w:t xml:space="preserve">, porque, </w:t>
      </w:r>
      <w:r w:rsidR="00EE553C" w:rsidRPr="00FB5242">
        <w:rPr>
          <w:rFonts w:eastAsia="Calibri"/>
          <w:u w:val="single"/>
        </w:rPr>
        <w:t>por una parte</w:t>
      </w:r>
      <w:r w:rsidR="00EE553C" w:rsidRPr="00FB5242">
        <w:rPr>
          <w:rFonts w:eastAsia="Calibri"/>
        </w:rPr>
        <w:t>, la responsable sí se pronunció respecto</w:t>
      </w:r>
      <w:r w:rsidR="009E4FFF" w:rsidRPr="00FB5242">
        <w:rPr>
          <w:rFonts w:eastAsia="Calibri"/>
        </w:rPr>
        <w:t xml:space="preserve"> a la</w:t>
      </w:r>
      <w:r w:rsidR="00E31C7E" w:rsidRPr="00FB5242">
        <w:rPr>
          <w:rFonts w:eastAsia="Calibri"/>
        </w:rPr>
        <w:t xml:space="preserve"> acreditación de las </w:t>
      </w:r>
      <w:r w:rsidR="009E4FFF" w:rsidRPr="00FB5242">
        <w:rPr>
          <w:rFonts w:eastAsia="Calibri"/>
        </w:rPr>
        <w:t>causas</w:t>
      </w:r>
      <w:r w:rsidR="001E50EA" w:rsidRPr="00FB5242">
        <w:rPr>
          <w:rFonts w:eastAsia="Calibri"/>
        </w:rPr>
        <w:t xml:space="preserve"> o supuesto</w:t>
      </w:r>
      <w:r w:rsidR="00D62D09" w:rsidRPr="00FB5242">
        <w:rPr>
          <w:rFonts w:eastAsia="Calibri"/>
        </w:rPr>
        <w:t xml:space="preserve"> extraordinarios </w:t>
      </w:r>
      <w:r w:rsidR="007248F1" w:rsidRPr="00FB5242">
        <w:rPr>
          <w:rFonts w:eastAsia="Calibri"/>
        </w:rPr>
        <w:t>que</w:t>
      </w:r>
      <w:r w:rsidR="00225D6B" w:rsidRPr="00FB5242">
        <w:rPr>
          <w:rFonts w:eastAsia="Calibri"/>
        </w:rPr>
        <w:t xml:space="preserve"> </w:t>
      </w:r>
      <w:r w:rsidR="00214CB4" w:rsidRPr="00FB5242">
        <w:rPr>
          <w:rFonts w:eastAsia="Calibri"/>
        </w:rPr>
        <w:t>ocasionaron la</w:t>
      </w:r>
      <w:r w:rsidR="00163C81" w:rsidRPr="00FB5242">
        <w:rPr>
          <w:rFonts w:eastAsia="Calibri"/>
        </w:rPr>
        <w:t xml:space="preserve"> autorización de la </w:t>
      </w:r>
      <w:r w:rsidR="00AE3EE7" w:rsidRPr="00FB5242">
        <w:rPr>
          <w:rFonts w:eastAsia="Calibri"/>
          <w:bCs/>
        </w:rPr>
        <w:t>pr</w:t>
      </w:r>
      <w:r w:rsidR="00AE3EE7">
        <w:rPr>
          <w:rFonts w:eastAsia="Calibri"/>
          <w:bCs/>
        </w:rPr>
        <w:t>ó</w:t>
      </w:r>
      <w:r w:rsidR="00AE3EE7" w:rsidRPr="00FB5242">
        <w:rPr>
          <w:rFonts w:eastAsia="Calibri"/>
          <w:bCs/>
        </w:rPr>
        <w:t xml:space="preserve">rroga </w:t>
      </w:r>
      <w:r w:rsidR="00163C81" w:rsidRPr="00FB5242">
        <w:rPr>
          <w:rFonts w:eastAsia="Calibri"/>
        </w:rPr>
        <w:t xml:space="preserve">en cuestión, </w:t>
      </w:r>
      <w:r w:rsidR="00986804" w:rsidRPr="00FB5242">
        <w:rPr>
          <w:rFonts w:eastAsia="Calibri"/>
        </w:rPr>
        <w:t>sin que los inconformes controviertan esas consideraciones,</w:t>
      </w:r>
      <w:r w:rsidR="00C12C0B" w:rsidRPr="00FB5242">
        <w:rPr>
          <w:rFonts w:eastAsia="Calibri"/>
        </w:rPr>
        <w:t xml:space="preserve"> </w:t>
      </w:r>
      <w:r w:rsidR="00163C81" w:rsidRPr="00FB5242">
        <w:rPr>
          <w:rFonts w:eastAsia="Calibri"/>
        </w:rPr>
        <w:t xml:space="preserve">aunado a que, </w:t>
      </w:r>
      <w:r w:rsidR="00163C81" w:rsidRPr="00FB5242">
        <w:rPr>
          <w:rFonts w:eastAsia="Calibri"/>
          <w:u w:val="single"/>
        </w:rPr>
        <w:t>por otro lado</w:t>
      </w:r>
      <w:r w:rsidR="00163C81" w:rsidRPr="00FB5242">
        <w:rPr>
          <w:rFonts w:eastAsia="Calibri"/>
        </w:rPr>
        <w:t xml:space="preserve">, </w:t>
      </w:r>
      <w:r w:rsidR="00EE553C" w:rsidRPr="00FB5242">
        <w:rPr>
          <w:rFonts w:eastAsia="Calibri"/>
        </w:rPr>
        <w:t>con independencia</w:t>
      </w:r>
      <w:r w:rsidR="00B63CB9" w:rsidRPr="00FB5242">
        <w:rPr>
          <w:rFonts w:eastAsia="Calibri"/>
        </w:rPr>
        <w:t xml:space="preserve"> de </w:t>
      </w:r>
      <w:r w:rsidR="00EE553C" w:rsidRPr="00FB5242">
        <w:rPr>
          <w:rFonts w:eastAsia="Calibri"/>
        </w:rPr>
        <w:t>las razones expresadas por</w:t>
      </w:r>
      <w:r w:rsidR="00B63CB9" w:rsidRPr="00FB5242">
        <w:rPr>
          <w:rFonts w:eastAsia="Calibri"/>
        </w:rPr>
        <w:t xml:space="preserve"> el </w:t>
      </w:r>
      <w:r w:rsidR="00EE553C" w:rsidRPr="00FB5242">
        <w:rPr>
          <w:rFonts w:eastAsia="Calibri"/>
        </w:rPr>
        <w:t>Tribunal Local,</w:t>
      </w:r>
      <w:r w:rsidR="006E5D21" w:rsidRPr="00FB5242">
        <w:rPr>
          <w:rFonts w:eastAsia="Calibri"/>
        </w:rPr>
        <w:t xml:space="preserve"> a diferencia de lo que sostiene </w:t>
      </w:r>
      <w:r w:rsidR="003126A3" w:rsidRPr="00FB5242">
        <w:rPr>
          <w:rFonts w:eastAsia="Calibri"/>
        </w:rPr>
        <w:t>e</w:t>
      </w:r>
      <w:r w:rsidR="006E5D21" w:rsidRPr="00FB5242">
        <w:rPr>
          <w:rFonts w:eastAsia="Calibri"/>
        </w:rPr>
        <w:t>l</w:t>
      </w:r>
      <w:r w:rsidR="003126A3" w:rsidRPr="00FB5242">
        <w:rPr>
          <w:rFonts w:eastAsia="Calibri"/>
        </w:rPr>
        <w:t xml:space="preserve"> </w:t>
      </w:r>
      <w:r w:rsidR="006E5D21" w:rsidRPr="00FB5242">
        <w:rPr>
          <w:rFonts w:eastAsia="Calibri"/>
        </w:rPr>
        <w:t xml:space="preserve">impugnante, </w:t>
      </w:r>
      <w:r w:rsidR="006435B2" w:rsidRPr="00FB5242">
        <w:rPr>
          <w:rFonts w:eastAsia="Calibri"/>
        </w:rPr>
        <w:t xml:space="preserve">es ineficaz lo alegado en cuanto a que </w:t>
      </w:r>
      <w:r w:rsidR="006E5D21" w:rsidRPr="00FB5242">
        <w:rPr>
          <w:rFonts w:eastAsia="Calibri"/>
        </w:rPr>
        <w:t>el C</w:t>
      </w:r>
      <w:r w:rsidR="005979AC" w:rsidRPr="00FB5242">
        <w:rPr>
          <w:rFonts w:eastAsia="Calibri"/>
        </w:rPr>
        <w:t>omité Nacional</w:t>
      </w:r>
      <w:r w:rsidR="006E5D21" w:rsidRPr="00FB5242">
        <w:rPr>
          <w:rFonts w:eastAsia="Calibri"/>
        </w:rPr>
        <w:t xml:space="preserve"> </w:t>
      </w:r>
      <w:r w:rsidR="006435B2" w:rsidRPr="00FB5242">
        <w:rPr>
          <w:rFonts w:eastAsia="Calibri"/>
        </w:rPr>
        <w:t>debió</w:t>
      </w:r>
      <w:r w:rsidR="00DE0ACC" w:rsidRPr="00FB5242">
        <w:rPr>
          <w:rFonts w:eastAsia="Calibri"/>
        </w:rPr>
        <w:t xml:space="preserve"> notificarles</w:t>
      </w:r>
      <w:r w:rsidR="009B3DA1" w:rsidRPr="00FB5242">
        <w:rPr>
          <w:rFonts w:eastAsia="Calibri"/>
        </w:rPr>
        <w:t xml:space="preserve"> </w:t>
      </w:r>
      <w:r w:rsidR="007811A5" w:rsidRPr="00FB5242">
        <w:rPr>
          <w:rFonts w:eastAsia="Calibri"/>
        </w:rPr>
        <w:t>la</w:t>
      </w:r>
      <w:r w:rsidR="000A52F0" w:rsidRPr="00FB5242">
        <w:rPr>
          <w:rFonts w:eastAsia="Calibri"/>
        </w:rPr>
        <w:t xml:space="preserve"> autorización de la </w:t>
      </w:r>
      <w:r w:rsidR="002264E2" w:rsidRPr="00FB5242">
        <w:rPr>
          <w:rFonts w:eastAsia="Calibri"/>
        </w:rPr>
        <w:t>prórroga</w:t>
      </w:r>
      <w:r w:rsidR="00C0256E" w:rsidRPr="00FB5242">
        <w:rPr>
          <w:rFonts w:eastAsia="Calibri"/>
        </w:rPr>
        <w:t xml:space="preserve"> del </w:t>
      </w:r>
      <w:r w:rsidR="00D9501E" w:rsidRPr="00FB5242">
        <w:rPr>
          <w:rFonts w:eastAsia="Calibri"/>
        </w:rPr>
        <w:t>comité estatal</w:t>
      </w:r>
      <w:r w:rsidR="005979AC" w:rsidRPr="00FB5242">
        <w:rPr>
          <w:rFonts w:eastAsia="Calibri"/>
        </w:rPr>
        <w:t xml:space="preserve"> del partido</w:t>
      </w:r>
      <w:r w:rsidR="006E5D21" w:rsidRPr="00FB5242">
        <w:rPr>
          <w:rFonts w:eastAsia="Calibri"/>
        </w:rPr>
        <w:t>,</w:t>
      </w:r>
      <w:r w:rsidR="00E2028E" w:rsidRPr="00FB5242">
        <w:rPr>
          <w:rFonts w:eastAsia="Calibri"/>
        </w:rPr>
        <w:t xml:space="preserve"> porque </w:t>
      </w:r>
      <w:r w:rsidR="006435B2" w:rsidRPr="00FB5242">
        <w:rPr>
          <w:rFonts w:eastAsia="Calibri"/>
        </w:rPr>
        <w:t>dicho planteamiento</w:t>
      </w:r>
      <w:r w:rsidR="00DB12FD" w:rsidRPr="00FB5242">
        <w:rPr>
          <w:rFonts w:eastAsia="Calibri"/>
        </w:rPr>
        <w:t xml:space="preserve"> lo hace depender de </w:t>
      </w:r>
      <w:r w:rsidR="005979AC" w:rsidRPr="00FB5242">
        <w:rPr>
          <w:rFonts w:eastAsia="Calibri"/>
        </w:rPr>
        <w:t>su</w:t>
      </w:r>
      <w:r w:rsidR="006435B2" w:rsidRPr="00FB5242">
        <w:rPr>
          <w:rFonts w:eastAsia="Calibri"/>
        </w:rPr>
        <w:t xml:space="preserve"> supuesta </w:t>
      </w:r>
      <w:r w:rsidR="00DB12FD" w:rsidRPr="00FB5242">
        <w:rPr>
          <w:rFonts w:eastAsia="Calibri"/>
        </w:rPr>
        <w:t>calidad de</w:t>
      </w:r>
      <w:r w:rsidR="00431DE3" w:rsidRPr="00FB5242">
        <w:rPr>
          <w:rFonts w:eastAsia="Calibri"/>
        </w:rPr>
        <w:t xml:space="preserve"> </w:t>
      </w:r>
      <w:r w:rsidR="003126A3" w:rsidRPr="00FB5242">
        <w:rPr>
          <w:rFonts w:eastAsia="Calibri"/>
        </w:rPr>
        <w:t xml:space="preserve">nuevo </w:t>
      </w:r>
      <w:r w:rsidR="00431DE3" w:rsidRPr="00FB5242">
        <w:rPr>
          <w:rFonts w:eastAsia="Cambria"/>
        </w:rPr>
        <w:t>presidente</w:t>
      </w:r>
      <w:r w:rsidR="007B129C" w:rsidRPr="00FB5242">
        <w:t xml:space="preserve">, </w:t>
      </w:r>
      <w:r w:rsidR="00AF57AF" w:rsidRPr="00FB5242">
        <w:t>sin embargo,</w:t>
      </w:r>
      <w:r w:rsidR="00A25A4B" w:rsidRPr="00FB5242">
        <w:t xml:space="preserve"> la Comisión de Justicia</w:t>
      </w:r>
      <w:r w:rsidR="00AF57AF" w:rsidRPr="00FB5242">
        <w:t xml:space="preserve"> la desestimó</w:t>
      </w:r>
      <w:r w:rsidR="00AD5264" w:rsidRPr="00FB5242">
        <w:t>, sin</w:t>
      </w:r>
      <w:r w:rsidR="00C90FE3" w:rsidRPr="00FB5242">
        <w:t xml:space="preserve"> que</w:t>
      </w:r>
      <w:r w:rsidR="00447F03" w:rsidRPr="00FB5242">
        <w:t xml:space="preserve"> </w:t>
      </w:r>
      <w:r w:rsidR="005C50F1" w:rsidRPr="00FB5242">
        <w:t>esto hubiera si</w:t>
      </w:r>
      <w:r w:rsidR="00D26FCC" w:rsidRPr="00FB5242">
        <w:t>do cuestionado</w:t>
      </w:r>
      <w:r w:rsidR="00192F05" w:rsidRPr="00FB5242">
        <w:t xml:space="preserve"> </w:t>
      </w:r>
      <w:r w:rsidR="00CC1EE9" w:rsidRPr="00FB5242">
        <w:t xml:space="preserve">ante el Tribunal Local </w:t>
      </w:r>
      <w:r w:rsidR="00A96106" w:rsidRPr="00FB5242">
        <w:t>ni ante esta Sala Monterrey.</w:t>
      </w: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ajorEastAsia" w:cstheme="majorBidi"/>
          <w:sz w:val="18"/>
          <w:szCs w:val="18"/>
        </w:rPr>
      </w:sdtEndPr>
      <w:sdtContent>
        <w:p w:rsidR="00243172" w:rsidRPr="000C4CE0" w:rsidRDefault="00243172" w:rsidP="00243172">
          <w:pPr>
            <w:pStyle w:val="TtuloTDC"/>
            <w:spacing w:before="0" w:line="240" w:lineRule="auto"/>
            <w:jc w:val="center"/>
            <w:rPr>
              <w:rFonts w:ascii="Arial" w:hAnsi="Arial" w:cs="Arial"/>
              <w:sz w:val="18"/>
              <w:szCs w:val="16"/>
            </w:rPr>
          </w:pPr>
          <w:r w:rsidRPr="00216ACE">
            <w:rPr>
              <w:rFonts w:ascii="Arial" w:hAnsi="Arial" w:cs="Arial"/>
              <w:b/>
              <w:color w:val="000000" w:themeColor="text1"/>
              <w:sz w:val="18"/>
              <w:szCs w:val="16"/>
              <w:lang w:val="es-ES"/>
            </w:rPr>
            <w:t>Índice</w:t>
          </w:r>
        </w:p>
        <w:p w:rsidR="00B5693B" w:rsidRPr="00BF5DD2" w:rsidRDefault="007335F9" w:rsidP="000D10E5">
          <w:pPr>
            <w:pStyle w:val="TDC1"/>
            <w:spacing w:after="0" w:line="240" w:lineRule="auto"/>
            <w:rPr>
              <w:rFonts w:asciiTheme="minorHAnsi" w:eastAsiaTheme="minorEastAsia" w:hAnsiTheme="minorHAnsi" w:cstheme="minorBidi"/>
              <w:noProof/>
              <w:sz w:val="18"/>
              <w:szCs w:val="18"/>
              <w:lang w:val="es-MX" w:eastAsia="es-MX"/>
            </w:rPr>
          </w:pPr>
          <w:r w:rsidRPr="00BF5DD2">
            <w:rPr>
              <w:rFonts w:eastAsia="Times New Roman"/>
              <w:b/>
              <w:bCs/>
              <w:caps/>
              <w:noProof/>
              <w:sz w:val="18"/>
              <w:szCs w:val="18"/>
              <w:lang w:val="es-MX" w:eastAsia="es-ES"/>
            </w:rPr>
            <w:fldChar w:fldCharType="begin"/>
          </w:r>
          <w:r w:rsidRPr="00BF5DD2">
            <w:rPr>
              <w:rFonts w:eastAsia="Times New Roman"/>
              <w:b/>
              <w:bCs/>
              <w:caps/>
              <w:noProof/>
              <w:sz w:val="18"/>
              <w:szCs w:val="18"/>
              <w:lang w:val="es-MX" w:eastAsia="es-ES"/>
            </w:rPr>
            <w:instrText xml:space="preserve"> TOC \o "1-3" \h \z \u </w:instrText>
          </w:r>
          <w:r w:rsidRPr="00BF5DD2">
            <w:rPr>
              <w:rFonts w:eastAsia="Times New Roman"/>
              <w:b/>
              <w:bCs/>
              <w:caps/>
              <w:noProof/>
              <w:sz w:val="18"/>
              <w:szCs w:val="18"/>
              <w:lang w:val="es-MX" w:eastAsia="es-ES"/>
            </w:rPr>
            <w:fldChar w:fldCharType="separate"/>
          </w:r>
          <w:hyperlink w:anchor="_Toc71533626" w:history="1">
            <w:r w:rsidR="00B5693B" w:rsidRPr="000D10E5">
              <w:rPr>
                <w:rStyle w:val="Hipervnculo"/>
                <w:b/>
                <w:noProof/>
                <w:sz w:val="18"/>
                <w:szCs w:val="18"/>
              </w:rPr>
              <w:t>Glosario</w:t>
            </w:r>
            <w:r w:rsidR="00B5693B" w:rsidRPr="00BF5DD2">
              <w:rPr>
                <w:noProof/>
                <w:webHidden/>
                <w:sz w:val="18"/>
                <w:szCs w:val="18"/>
              </w:rPr>
              <w:tab/>
            </w:r>
            <w:r w:rsidR="00B5693B" w:rsidRPr="00BF5DD2">
              <w:rPr>
                <w:noProof/>
                <w:webHidden/>
                <w:sz w:val="18"/>
                <w:szCs w:val="18"/>
              </w:rPr>
              <w:fldChar w:fldCharType="begin"/>
            </w:r>
            <w:r w:rsidR="00B5693B" w:rsidRPr="00BF5DD2">
              <w:rPr>
                <w:noProof/>
                <w:webHidden/>
                <w:sz w:val="18"/>
                <w:szCs w:val="18"/>
              </w:rPr>
              <w:instrText xml:space="preserve"> PAGEREF _Toc71533626 \h </w:instrText>
            </w:r>
            <w:r w:rsidR="00B5693B" w:rsidRPr="00BF5DD2">
              <w:rPr>
                <w:noProof/>
                <w:webHidden/>
                <w:sz w:val="18"/>
                <w:szCs w:val="18"/>
              </w:rPr>
            </w:r>
            <w:r w:rsidR="00B5693B" w:rsidRPr="00BF5DD2">
              <w:rPr>
                <w:noProof/>
                <w:webHidden/>
                <w:sz w:val="18"/>
                <w:szCs w:val="18"/>
              </w:rPr>
              <w:fldChar w:fldCharType="separate"/>
            </w:r>
            <w:r w:rsidR="00226454">
              <w:rPr>
                <w:noProof/>
                <w:webHidden/>
                <w:sz w:val="18"/>
                <w:szCs w:val="18"/>
              </w:rPr>
              <w:t>1</w:t>
            </w:r>
            <w:r w:rsidR="00B5693B" w:rsidRPr="00BF5DD2">
              <w:rPr>
                <w:noProof/>
                <w:webHidden/>
                <w:sz w:val="18"/>
                <w:szCs w:val="18"/>
              </w:rPr>
              <w:fldChar w:fldCharType="end"/>
            </w:r>
          </w:hyperlink>
        </w:p>
        <w:p w:rsidR="00B5693B" w:rsidRPr="00BF5DD2" w:rsidRDefault="008B2A81" w:rsidP="000D10E5">
          <w:pPr>
            <w:pStyle w:val="TDC1"/>
            <w:spacing w:after="0" w:line="240" w:lineRule="auto"/>
            <w:rPr>
              <w:rFonts w:asciiTheme="minorHAnsi" w:eastAsiaTheme="minorEastAsia" w:hAnsiTheme="minorHAnsi" w:cstheme="minorBidi"/>
              <w:noProof/>
              <w:sz w:val="18"/>
              <w:szCs w:val="18"/>
              <w:lang w:val="es-MX" w:eastAsia="es-MX"/>
            </w:rPr>
          </w:pPr>
          <w:hyperlink w:anchor="_Toc71533627" w:history="1">
            <w:r w:rsidR="00B5693B" w:rsidRPr="000D10E5">
              <w:rPr>
                <w:rStyle w:val="Hipervnculo"/>
                <w:rFonts w:eastAsia="Times New Roman"/>
                <w:b/>
                <w:noProof/>
                <w:sz w:val="18"/>
                <w:szCs w:val="18"/>
              </w:rPr>
              <w:t>Competencia y procedenci</w:t>
            </w:r>
            <w:r w:rsidR="00B5693B" w:rsidRPr="00BF5DD2">
              <w:rPr>
                <w:rStyle w:val="Hipervnculo"/>
                <w:rFonts w:eastAsia="Times New Roman"/>
                <w:noProof/>
                <w:sz w:val="18"/>
                <w:szCs w:val="18"/>
              </w:rPr>
              <w:t>a</w:t>
            </w:r>
            <w:r w:rsidR="00B5693B" w:rsidRPr="00BF5DD2">
              <w:rPr>
                <w:noProof/>
                <w:webHidden/>
                <w:sz w:val="18"/>
                <w:szCs w:val="18"/>
              </w:rPr>
              <w:tab/>
            </w:r>
            <w:r w:rsidR="00B5693B" w:rsidRPr="00BF5DD2">
              <w:rPr>
                <w:noProof/>
                <w:webHidden/>
                <w:sz w:val="18"/>
                <w:szCs w:val="18"/>
              </w:rPr>
              <w:fldChar w:fldCharType="begin"/>
            </w:r>
            <w:r w:rsidR="00B5693B" w:rsidRPr="00BF5DD2">
              <w:rPr>
                <w:noProof/>
                <w:webHidden/>
                <w:sz w:val="18"/>
                <w:szCs w:val="18"/>
              </w:rPr>
              <w:instrText xml:space="preserve"> PAGEREF _Toc71533627 \h </w:instrText>
            </w:r>
            <w:r w:rsidR="00B5693B" w:rsidRPr="00BF5DD2">
              <w:rPr>
                <w:noProof/>
                <w:webHidden/>
                <w:sz w:val="18"/>
                <w:szCs w:val="18"/>
              </w:rPr>
            </w:r>
            <w:r w:rsidR="00B5693B" w:rsidRPr="00BF5DD2">
              <w:rPr>
                <w:noProof/>
                <w:webHidden/>
                <w:sz w:val="18"/>
                <w:szCs w:val="18"/>
              </w:rPr>
              <w:fldChar w:fldCharType="separate"/>
            </w:r>
            <w:r w:rsidR="00226454">
              <w:rPr>
                <w:noProof/>
                <w:webHidden/>
                <w:sz w:val="18"/>
                <w:szCs w:val="18"/>
              </w:rPr>
              <w:t>2</w:t>
            </w:r>
            <w:r w:rsidR="00B5693B" w:rsidRPr="00BF5DD2">
              <w:rPr>
                <w:noProof/>
                <w:webHidden/>
                <w:sz w:val="18"/>
                <w:szCs w:val="18"/>
              </w:rPr>
              <w:fldChar w:fldCharType="end"/>
            </w:r>
          </w:hyperlink>
        </w:p>
        <w:p w:rsidR="00B5693B" w:rsidRPr="00BF5DD2" w:rsidRDefault="008B2A81" w:rsidP="000D10E5">
          <w:pPr>
            <w:pStyle w:val="TDC1"/>
            <w:spacing w:after="0" w:line="240" w:lineRule="auto"/>
            <w:rPr>
              <w:rFonts w:asciiTheme="minorHAnsi" w:eastAsiaTheme="minorEastAsia" w:hAnsiTheme="minorHAnsi" w:cstheme="minorBidi"/>
              <w:noProof/>
              <w:sz w:val="18"/>
              <w:szCs w:val="18"/>
              <w:lang w:val="es-MX" w:eastAsia="es-MX"/>
            </w:rPr>
          </w:pPr>
          <w:hyperlink w:anchor="_Toc71533628" w:history="1">
            <w:r w:rsidR="00B5693B" w:rsidRPr="000D10E5">
              <w:rPr>
                <w:rStyle w:val="Hipervnculo"/>
                <w:rFonts w:eastAsia="Times New Roman"/>
                <w:b/>
                <w:noProof/>
                <w:sz w:val="18"/>
                <w:szCs w:val="18"/>
              </w:rPr>
              <w:t>Antecedentes</w:t>
            </w:r>
            <w:r w:rsidR="00B5693B" w:rsidRPr="00BF5DD2">
              <w:rPr>
                <w:noProof/>
                <w:webHidden/>
                <w:sz w:val="18"/>
                <w:szCs w:val="18"/>
              </w:rPr>
              <w:tab/>
            </w:r>
            <w:r w:rsidR="00B5693B" w:rsidRPr="00BF5DD2">
              <w:rPr>
                <w:noProof/>
                <w:webHidden/>
                <w:sz w:val="18"/>
                <w:szCs w:val="18"/>
              </w:rPr>
              <w:fldChar w:fldCharType="begin"/>
            </w:r>
            <w:r w:rsidR="00B5693B" w:rsidRPr="00BF5DD2">
              <w:rPr>
                <w:noProof/>
                <w:webHidden/>
                <w:sz w:val="18"/>
                <w:szCs w:val="18"/>
              </w:rPr>
              <w:instrText xml:space="preserve"> PAGEREF _Toc71533628 \h </w:instrText>
            </w:r>
            <w:r w:rsidR="00B5693B" w:rsidRPr="00BF5DD2">
              <w:rPr>
                <w:noProof/>
                <w:webHidden/>
                <w:sz w:val="18"/>
                <w:szCs w:val="18"/>
              </w:rPr>
            </w:r>
            <w:r w:rsidR="00B5693B" w:rsidRPr="00BF5DD2">
              <w:rPr>
                <w:noProof/>
                <w:webHidden/>
                <w:sz w:val="18"/>
                <w:szCs w:val="18"/>
              </w:rPr>
              <w:fldChar w:fldCharType="separate"/>
            </w:r>
            <w:r w:rsidR="00226454">
              <w:rPr>
                <w:noProof/>
                <w:webHidden/>
                <w:sz w:val="18"/>
                <w:szCs w:val="18"/>
              </w:rPr>
              <w:t>3</w:t>
            </w:r>
            <w:r w:rsidR="00B5693B" w:rsidRPr="00BF5DD2">
              <w:rPr>
                <w:noProof/>
                <w:webHidden/>
                <w:sz w:val="18"/>
                <w:szCs w:val="18"/>
              </w:rPr>
              <w:fldChar w:fldCharType="end"/>
            </w:r>
          </w:hyperlink>
        </w:p>
        <w:p w:rsidR="00B5693B" w:rsidRPr="00BF5DD2" w:rsidRDefault="008B2A81" w:rsidP="000D10E5">
          <w:pPr>
            <w:pStyle w:val="TDC1"/>
            <w:spacing w:after="0" w:line="240" w:lineRule="auto"/>
            <w:rPr>
              <w:rFonts w:asciiTheme="minorHAnsi" w:eastAsiaTheme="minorEastAsia" w:hAnsiTheme="minorHAnsi" w:cstheme="minorBidi"/>
              <w:noProof/>
              <w:sz w:val="18"/>
              <w:szCs w:val="18"/>
              <w:lang w:val="es-MX" w:eastAsia="es-MX"/>
            </w:rPr>
          </w:pPr>
          <w:hyperlink w:anchor="_Toc71533629" w:history="1">
            <w:r w:rsidR="00B5693B" w:rsidRPr="000D10E5">
              <w:rPr>
                <w:rStyle w:val="Hipervnculo"/>
                <w:rFonts w:eastAsia="Times New Roman"/>
                <w:b/>
                <w:noProof/>
                <w:sz w:val="18"/>
                <w:szCs w:val="18"/>
              </w:rPr>
              <w:t>Estudio de fondo</w:t>
            </w:r>
            <w:r w:rsidR="00B5693B" w:rsidRPr="00BF5DD2">
              <w:rPr>
                <w:noProof/>
                <w:webHidden/>
                <w:sz w:val="18"/>
                <w:szCs w:val="18"/>
              </w:rPr>
              <w:tab/>
            </w:r>
            <w:r w:rsidR="00B5693B" w:rsidRPr="00BF5DD2">
              <w:rPr>
                <w:noProof/>
                <w:webHidden/>
                <w:sz w:val="18"/>
                <w:szCs w:val="18"/>
              </w:rPr>
              <w:fldChar w:fldCharType="begin"/>
            </w:r>
            <w:r w:rsidR="00B5693B" w:rsidRPr="00BF5DD2">
              <w:rPr>
                <w:noProof/>
                <w:webHidden/>
                <w:sz w:val="18"/>
                <w:szCs w:val="18"/>
              </w:rPr>
              <w:instrText xml:space="preserve"> PAGEREF _Toc71533629 \h </w:instrText>
            </w:r>
            <w:r w:rsidR="00B5693B" w:rsidRPr="00BF5DD2">
              <w:rPr>
                <w:noProof/>
                <w:webHidden/>
                <w:sz w:val="18"/>
                <w:szCs w:val="18"/>
              </w:rPr>
            </w:r>
            <w:r w:rsidR="00B5693B" w:rsidRPr="00BF5DD2">
              <w:rPr>
                <w:noProof/>
                <w:webHidden/>
                <w:sz w:val="18"/>
                <w:szCs w:val="18"/>
              </w:rPr>
              <w:fldChar w:fldCharType="separate"/>
            </w:r>
            <w:r w:rsidR="00226454">
              <w:rPr>
                <w:noProof/>
                <w:webHidden/>
                <w:sz w:val="18"/>
                <w:szCs w:val="18"/>
              </w:rPr>
              <w:t>5</w:t>
            </w:r>
            <w:r w:rsidR="00B5693B" w:rsidRPr="00BF5DD2">
              <w:rPr>
                <w:noProof/>
                <w:webHidden/>
                <w:sz w:val="18"/>
                <w:szCs w:val="18"/>
              </w:rPr>
              <w:fldChar w:fldCharType="end"/>
            </w:r>
          </w:hyperlink>
        </w:p>
        <w:p w:rsidR="00B5693B" w:rsidRPr="000D10E5" w:rsidRDefault="008B2A81" w:rsidP="000D10E5">
          <w:pPr>
            <w:pStyle w:val="TDC2"/>
            <w:rPr>
              <w:rFonts w:asciiTheme="minorHAnsi" w:eastAsiaTheme="minorEastAsia" w:hAnsiTheme="minorHAnsi" w:cstheme="minorBidi"/>
              <w:noProof/>
              <w:sz w:val="18"/>
              <w:szCs w:val="18"/>
              <w:u w:val="none"/>
              <w:lang w:val="es-MX" w:eastAsia="es-MX"/>
            </w:rPr>
          </w:pPr>
          <w:hyperlink w:anchor="_Toc71533630" w:history="1">
            <w:r w:rsidR="00B5693B" w:rsidRPr="000D10E5">
              <w:rPr>
                <w:rStyle w:val="Hipervnculo"/>
                <w:noProof/>
                <w:sz w:val="18"/>
                <w:szCs w:val="18"/>
                <w:u w:val="none"/>
              </w:rPr>
              <w:t>Apartado preliminar. Materia de la controversia</w:t>
            </w:r>
            <w:r w:rsidR="00B5693B" w:rsidRPr="000D10E5">
              <w:rPr>
                <w:noProof/>
                <w:webHidden/>
                <w:sz w:val="18"/>
                <w:szCs w:val="18"/>
                <w:u w:val="none"/>
              </w:rPr>
              <w:tab/>
            </w:r>
            <w:r w:rsidR="00B5693B" w:rsidRPr="000D10E5">
              <w:rPr>
                <w:noProof/>
                <w:webHidden/>
                <w:sz w:val="18"/>
                <w:szCs w:val="18"/>
                <w:u w:val="none"/>
              </w:rPr>
              <w:fldChar w:fldCharType="begin"/>
            </w:r>
            <w:r w:rsidR="00B5693B" w:rsidRPr="000D10E5">
              <w:rPr>
                <w:noProof/>
                <w:webHidden/>
                <w:sz w:val="18"/>
                <w:szCs w:val="18"/>
                <w:u w:val="none"/>
              </w:rPr>
              <w:instrText xml:space="preserve"> PAGEREF _Toc71533630 \h </w:instrText>
            </w:r>
            <w:r w:rsidR="00B5693B" w:rsidRPr="000D10E5">
              <w:rPr>
                <w:noProof/>
                <w:webHidden/>
                <w:sz w:val="18"/>
                <w:szCs w:val="18"/>
                <w:u w:val="none"/>
              </w:rPr>
            </w:r>
            <w:r w:rsidR="00B5693B" w:rsidRPr="000D10E5">
              <w:rPr>
                <w:noProof/>
                <w:webHidden/>
                <w:sz w:val="18"/>
                <w:szCs w:val="18"/>
                <w:u w:val="none"/>
              </w:rPr>
              <w:fldChar w:fldCharType="separate"/>
            </w:r>
            <w:r w:rsidR="00226454">
              <w:rPr>
                <w:noProof/>
                <w:webHidden/>
                <w:sz w:val="18"/>
                <w:szCs w:val="18"/>
                <w:u w:val="none"/>
              </w:rPr>
              <w:t>5</w:t>
            </w:r>
            <w:r w:rsidR="00B5693B" w:rsidRPr="000D10E5">
              <w:rPr>
                <w:noProof/>
                <w:webHidden/>
                <w:sz w:val="18"/>
                <w:szCs w:val="18"/>
                <w:u w:val="none"/>
              </w:rPr>
              <w:fldChar w:fldCharType="end"/>
            </w:r>
          </w:hyperlink>
        </w:p>
        <w:p w:rsidR="00B5693B" w:rsidRPr="000D10E5" w:rsidRDefault="000D10E5" w:rsidP="000D10E5">
          <w:pPr>
            <w:pStyle w:val="TDC1"/>
            <w:spacing w:after="0" w:line="240" w:lineRule="auto"/>
            <w:rPr>
              <w:rFonts w:asciiTheme="minorHAnsi" w:eastAsiaTheme="minorEastAsia" w:hAnsiTheme="minorHAnsi" w:cstheme="minorBidi"/>
              <w:noProof/>
              <w:sz w:val="18"/>
              <w:szCs w:val="18"/>
              <w:lang w:val="es-MX" w:eastAsia="es-MX"/>
            </w:rPr>
          </w:pPr>
          <w:r w:rsidRPr="000D10E5">
            <w:rPr>
              <w:rStyle w:val="Hipervnculo"/>
              <w:noProof/>
              <w:sz w:val="18"/>
              <w:szCs w:val="18"/>
              <w:u w:val="none"/>
            </w:rPr>
            <w:t xml:space="preserve">    </w:t>
          </w:r>
          <w:hyperlink w:anchor="_Toc71533631" w:history="1">
            <w:r w:rsidR="00B5693B" w:rsidRPr="000D10E5">
              <w:rPr>
                <w:rStyle w:val="Hipervnculo"/>
                <w:rFonts w:eastAsia="Times New Roman"/>
                <w:noProof/>
                <w:sz w:val="18"/>
                <w:szCs w:val="18"/>
                <w:u w:val="none"/>
                <w:lang w:eastAsia="es-MX"/>
              </w:rPr>
              <w:t>Apartado I.</w:t>
            </w:r>
            <w:r w:rsidR="00B5693B" w:rsidRPr="000D10E5">
              <w:rPr>
                <w:rStyle w:val="Hipervnculo"/>
                <w:noProof/>
                <w:sz w:val="18"/>
                <w:szCs w:val="18"/>
                <w:u w:val="none"/>
              </w:rPr>
              <w:t xml:space="preserve"> Decisión general</w:t>
            </w:r>
            <w:r w:rsidR="00B5693B" w:rsidRPr="000D10E5">
              <w:rPr>
                <w:noProof/>
                <w:webHidden/>
                <w:sz w:val="18"/>
                <w:szCs w:val="18"/>
              </w:rPr>
              <w:tab/>
            </w:r>
            <w:r w:rsidR="00B5693B" w:rsidRPr="000D10E5">
              <w:rPr>
                <w:noProof/>
                <w:webHidden/>
                <w:sz w:val="18"/>
                <w:szCs w:val="18"/>
              </w:rPr>
              <w:fldChar w:fldCharType="begin"/>
            </w:r>
            <w:r w:rsidR="00B5693B" w:rsidRPr="000D10E5">
              <w:rPr>
                <w:noProof/>
                <w:webHidden/>
                <w:sz w:val="18"/>
                <w:szCs w:val="18"/>
              </w:rPr>
              <w:instrText xml:space="preserve"> PAGEREF _Toc71533631 \h </w:instrText>
            </w:r>
            <w:r w:rsidR="00B5693B" w:rsidRPr="000D10E5">
              <w:rPr>
                <w:noProof/>
                <w:webHidden/>
                <w:sz w:val="18"/>
                <w:szCs w:val="18"/>
              </w:rPr>
            </w:r>
            <w:r w:rsidR="00B5693B" w:rsidRPr="000D10E5">
              <w:rPr>
                <w:noProof/>
                <w:webHidden/>
                <w:sz w:val="18"/>
                <w:szCs w:val="18"/>
              </w:rPr>
              <w:fldChar w:fldCharType="separate"/>
            </w:r>
            <w:r w:rsidR="00226454">
              <w:rPr>
                <w:noProof/>
                <w:webHidden/>
                <w:sz w:val="18"/>
                <w:szCs w:val="18"/>
              </w:rPr>
              <w:t>6</w:t>
            </w:r>
            <w:r w:rsidR="00B5693B" w:rsidRPr="000D10E5">
              <w:rPr>
                <w:noProof/>
                <w:webHidden/>
                <w:sz w:val="18"/>
                <w:szCs w:val="18"/>
              </w:rPr>
              <w:fldChar w:fldCharType="end"/>
            </w:r>
          </w:hyperlink>
        </w:p>
        <w:p w:rsidR="00B5693B" w:rsidRPr="000D10E5" w:rsidRDefault="008B2A81" w:rsidP="000D10E5">
          <w:pPr>
            <w:pStyle w:val="TDC2"/>
            <w:rPr>
              <w:rFonts w:asciiTheme="minorHAnsi" w:eastAsiaTheme="minorEastAsia" w:hAnsiTheme="minorHAnsi" w:cstheme="minorBidi"/>
              <w:noProof/>
              <w:sz w:val="18"/>
              <w:szCs w:val="18"/>
              <w:u w:val="none"/>
              <w:lang w:val="es-MX" w:eastAsia="es-MX"/>
            </w:rPr>
          </w:pPr>
          <w:hyperlink w:anchor="_Toc71533632" w:history="1">
            <w:r w:rsidR="00B5693B" w:rsidRPr="000D10E5">
              <w:rPr>
                <w:rStyle w:val="Hipervnculo"/>
                <w:noProof/>
                <w:sz w:val="18"/>
                <w:szCs w:val="18"/>
                <w:u w:val="none"/>
              </w:rPr>
              <w:t>Apartado II. Desarrollo o justificación de la decisión</w:t>
            </w:r>
            <w:r w:rsidR="00B5693B" w:rsidRPr="000D10E5">
              <w:rPr>
                <w:noProof/>
                <w:webHidden/>
                <w:sz w:val="18"/>
                <w:szCs w:val="18"/>
                <w:u w:val="none"/>
              </w:rPr>
              <w:tab/>
            </w:r>
            <w:r w:rsidR="00B5693B" w:rsidRPr="000D10E5">
              <w:rPr>
                <w:noProof/>
                <w:webHidden/>
                <w:sz w:val="18"/>
                <w:szCs w:val="18"/>
                <w:u w:val="none"/>
              </w:rPr>
              <w:fldChar w:fldCharType="begin"/>
            </w:r>
            <w:r w:rsidR="00B5693B" w:rsidRPr="000D10E5">
              <w:rPr>
                <w:noProof/>
                <w:webHidden/>
                <w:sz w:val="18"/>
                <w:szCs w:val="18"/>
                <w:u w:val="none"/>
              </w:rPr>
              <w:instrText xml:space="preserve"> PAGEREF _Toc71533632 \h </w:instrText>
            </w:r>
            <w:r w:rsidR="00B5693B" w:rsidRPr="000D10E5">
              <w:rPr>
                <w:noProof/>
                <w:webHidden/>
                <w:sz w:val="18"/>
                <w:szCs w:val="18"/>
                <w:u w:val="none"/>
              </w:rPr>
            </w:r>
            <w:r w:rsidR="00B5693B" w:rsidRPr="000D10E5">
              <w:rPr>
                <w:noProof/>
                <w:webHidden/>
                <w:sz w:val="18"/>
                <w:szCs w:val="18"/>
                <w:u w:val="none"/>
              </w:rPr>
              <w:fldChar w:fldCharType="separate"/>
            </w:r>
            <w:r w:rsidR="00226454">
              <w:rPr>
                <w:noProof/>
                <w:webHidden/>
                <w:sz w:val="18"/>
                <w:szCs w:val="18"/>
                <w:u w:val="none"/>
              </w:rPr>
              <w:t>6</w:t>
            </w:r>
            <w:r w:rsidR="00B5693B" w:rsidRPr="000D10E5">
              <w:rPr>
                <w:noProof/>
                <w:webHidden/>
                <w:sz w:val="18"/>
                <w:szCs w:val="18"/>
                <w:u w:val="none"/>
              </w:rPr>
              <w:fldChar w:fldCharType="end"/>
            </w:r>
          </w:hyperlink>
        </w:p>
        <w:p w:rsidR="00B5693B" w:rsidRPr="000D10E5" w:rsidRDefault="008B2A81" w:rsidP="000D10E5">
          <w:pPr>
            <w:pStyle w:val="TDC1"/>
            <w:spacing w:after="0" w:line="240" w:lineRule="auto"/>
            <w:rPr>
              <w:rFonts w:asciiTheme="minorHAnsi" w:eastAsiaTheme="minorEastAsia" w:hAnsiTheme="minorHAnsi" w:cstheme="minorBidi"/>
              <w:noProof/>
              <w:sz w:val="18"/>
              <w:szCs w:val="18"/>
              <w:lang w:val="es-MX" w:eastAsia="es-MX"/>
            </w:rPr>
          </w:pPr>
          <w:hyperlink w:anchor="_Toc71533633" w:history="1">
            <w:r w:rsidR="00B5693B" w:rsidRPr="000D10E5">
              <w:rPr>
                <w:rStyle w:val="Hipervnculo"/>
                <w:b/>
                <w:noProof/>
                <w:sz w:val="18"/>
                <w:szCs w:val="18"/>
                <w:u w:val="none"/>
              </w:rPr>
              <w:t>Resuelve</w:t>
            </w:r>
            <w:r w:rsidR="00B5693B" w:rsidRPr="000D10E5">
              <w:rPr>
                <w:noProof/>
                <w:webHidden/>
                <w:sz w:val="18"/>
                <w:szCs w:val="18"/>
              </w:rPr>
              <w:tab/>
            </w:r>
            <w:r w:rsidR="00B5693B" w:rsidRPr="000D10E5">
              <w:rPr>
                <w:noProof/>
                <w:webHidden/>
                <w:sz w:val="18"/>
                <w:szCs w:val="18"/>
              </w:rPr>
              <w:fldChar w:fldCharType="begin"/>
            </w:r>
            <w:r w:rsidR="00B5693B" w:rsidRPr="000D10E5">
              <w:rPr>
                <w:noProof/>
                <w:webHidden/>
                <w:sz w:val="18"/>
                <w:szCs w:val="18"/>
              </w:rPr>
              <w:instrText xml:space="preserve"> PAGEREF _Toc71533633 \h </w:instrText>
            </w:r>
            <w:r w:rsidR="00B5693B" w:rsidRPr="000D10E5">
              <w:rPr>
                <w:noProof/>
                <w:webHidden/>
                <w:sz w:val="18"/>
                <w:szCs w:val="18"/>
              </w:rPr>
            </w:r>
            <w:r w:rsidR="00B5693B" w:rsidRPr="000D10E5">
              <w:rPr>
                <w:noProof/>
                <w:webHidden/>
                <w:sz w:val="18"/>
                <w:szCs w:val="18"/>
              </w:rPr>
              <w:fldChar w:fldCharType="separate"/>
            </w:r>
            <w:r w:rsidR="00226454">
              <w:rPr>
                <w:noProof/>
                <w:webHidden/>
                <w:sz w:val="18"/>
                <w:szCs w:val="18"/>
              </w:rPr>
              <w:t>10</w:t>
            </w:r>
            <w:r w:rsidR="00B5693B" w:rsidRPr="000D10E5">
              <w:rPr>
                <w:noProof/>
                <w:webHidden/>
                <w:sz w:val="18"/>
                <w:szCs w:val="18"/>
              </w:rPr>
              <w:fldChar w:fldCharType="end"/>
            </w:r>
          </w:hyperlink>
        </w:p>
        <w:p w:rsidR="00243172" w:rsidRPr="006B2745" w:rsidRDefault="007335F9" w:rsidP="000D10E5">
          <w:pPr>
            <w:pStyle w:val="Ttulo1"/>
            <w:tabs>
              <w:tab w:val="right" w:leader="dot" w:pos="8505"/>
            </w:tabs>
            <w:spacing w:before="0" w:beforeAutospacing="0" w:after="0" w:afterAutospacing="0" w:line="240" w:lineRule="auto"/>
            <w:rPr>
              <w:bCs w:val="0"/>
              <w:sz w:val="18"/>
              <w:szCs w:val="18"/>
              <w:lang w:val="es-ES"/>
            </w:rPr>
          </w:pPr>
          <w:r w:rsidRPr="00BF5DD2">
            <w:rPr>
              <w:rFonts w:eastAsia="Times New Roman" w:cs="Arial"/>
              <w:caps w:val="0"/>
              <w:noProof/>
              <w:kern w:val="0"/>
              <w:sz w:val="18"/>
              <w:szCs w:val="18"/>
              <w:lang w:val="es-MX" w:eastAsia="es-ES"/>
            </w:rPr>
            <w:fldChar w:fldCharType="end"/>
          </w:r>
        </w:p>
      </w:sdtContent>
    </w:sdt>
    <w:bookmarkStart w:id="4" w:name="_Toc19640897" w:displacedByCustomXml="prev"/>
    <w:p w:rsidR="00243172" w:rsidRPr="00216ACE" w:rsidRDefault="00243172" w:rsidP="00243172">
      <w:pPr>
        <w:pStyle w:val="Ttulo1"/>
        <w:spacing w:before="0" w:beforeAutospacing="0" w:after="0" w:afterAutospacing="0"/>
        <w:jc w:val="center"/>
        <w:rPr>
          <w:rFonts w:eastAsiaTheme="minorHAnsi" w:cs="Arial"/>
          <w:bCs w:val="0"/>
          <w:caps w:val="0"/>
          <w:kern w:val="0"/>
          <w:sz w:val="18"/>
          <w:szCs w:val="18"/>
        </w:rPr>
      </w:pPr>
      <w:bookmarkStart w:id="5" w:name="_Toc71533626"/>
      <w:r w:rsidRPr="00216ACE">
        <w:rPr>
          <w:rFonts w:eastAsiaTheme="minorHAnsi" w:cs="Arial"/>
          <w:bCs w:val="0"/>
          <w:caps w:val="0"/>
          <w:kern w:val="0"/>
          <w:sz w:val="18"/>
          <w:szCs w:val="18"/>
        </w:rPr>
        <w:t>Glosario</w:t>
      </w:r>
      <w:bookmarkEnd w:id="4"/>
      <w:bookmarkEnd w:id="5"/>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20"/>
      </w:tblGrid>
      <w:tr w:rsidR="00F033A1" w:rsidRPr="00216ACE" w:rsidTr="00A76C19">
        <w:trPr>
          <w:trHeight w:val="184"/>
        </w:trPr>
        <w:tc>
          <w:tcPr>
            <w:tcW w:w="2127" w:type="dxa"/>
          </w:tcPr>
          <w:p w:rsidR="00F033A1" w:rsidRPr="00CD6BD4" w:rsidRDefault="009E44EE" w:rsidP="0039541B">
            <w:pPr>
              <w:spacing w:after="0" w:line="240" w:lineRule="auto"/>
              <w:ind w:right="-23"/>
              <w:rPr>
                <w:b/>
                <w:bCs/>
                <w:sz w:val="18"/>
                <w:szCs w:val="18"/>
                <w:lang w:eastAsia="es-MX"/>
              </w:rPr>
            </w:pPr>
            <w:r>
              <w:rPr>
                <w:b/>
                <w:bCs/>
                <w:sz w:val="18"/>
                <w:szCs w:val="18"/>
                <w:lang w:eastAsia="es-MX"/>
              </w:rPr>
              <w:t>CEN:</w:t>
            </w:r>
          </w:p>
        </w:tc>
        <w:tc>
          <w:tcPr>
            <w:tcW w:w="6520" w:type="dxa"/>
          </w:tcPr>
          <w:p w:rsidR="00F033A1" w:rsidRPr="00CD6BD4" w:rsidRDefault="009E44EE" w:rsidP="0039541B">
            <w:pPr>
              <w:pStyle w:val="Default"/>
              <w:jc w:val="both"/>
              <w:rPr>
                <w:bCs/>
                <w:sz w:val="18"/>
                <w:szCs w:val="18"/>
                <w:lang w:eastAsia="es-MX"/>
              </w:rPr>
            </w:pPr>
            <w:r>
              <w:rPr>
                <w:bCs/>
                <w:sz w:val="18"/>
                <w:szCs w:val="18"/>
                <w:lang w:eastAsia="es-MX"/>
              </w:rPr>
              <w:t>Comité Ejecutivo Nacional del Partido Revolucionario Institucional.</w:t>
            </w:r>
          </w:p>
        </w:tc>
      </w:tr>
      <w:tr w:rsidR="00F033A1" w:rsidRPr="00216ACE" w:rsidTr="00A76C19">
        <w:trPr>
          <w:trHeight w:val="184"/>
        </w:trPr>
        <w:tc>
          <w:tcPr>
            <w:tcW w:w="2127" w:type="dxa"/>
          </w:tcPr>
          <w:p w:rsidR="00F033A1" w:rsidRDefault="009E44EE" w:rsidP="00F033A1">
            <w:pPr>
              <w:spacing w:after="0" w:line="240" w:lineRule="auto"/>
              <w:ind w:right="-23"/>
              <w:rPr>
                <w:b/>
                <w:bCs/>
                <w:sz w:val="18"/>
                <w:szCs w:val="18"/>
                <w:lang w:eastAsia="es-MX"/>
              </w:rPr>
            </w:pPr>
            <w:r>
              <w:rPr>
                <w:b/>
                <w:bCs/>
                <w:sz w:val="18"/>
                <w:szCs w:val="18"/>
                <w:lang w:eastAsia="es-MX"/>
              </w:rPr>
              <w:lastRenderedPageBreak/>
              <w:t>Comité Directivo Estatal:</w:t>
            </w:r>
          </w:p>
        </w:tc>
        <w:tc>
          <w:tcPr>
            <w:tcW w:w="6520" w:type="dxa"/>
          </w:tcPr>
          <w:p w:rsidR="00F033A1" w:rsidRDefault="009E44EE" w:rsidP="00F033A1">
            <w:pPr>
              <w:pStyle w:val="Default"/>
              <w:jc w:val="both"/>
              <w:rPr>
                <w:bCs/>
                <w:sz w:val="18"/>
                <w:szCs w:val="18"/>
                <w:lang w:eastAsia="es-MX"/>
              </w:rPr>
            </w:pPr>
            <w:r>
              <w:rPr>
                <w:bCs/>
                <w:sz w:val="18"/>
                <w:szCs w:val="18"/>
                <w:lang w:eastAsia="es-MX"/>
              </w:rPr>
              <w:t>Comité Directivo Estatal del Partido Revolucionario Institucional en el Estado de Guanajuato.</w:t>
            </w:r>
          </w:p>
        </w:tc>
      </w:tr>
      <w:tr w:rsidR="00F033A1" w:rsidRPr="00216ACE" w:rsidTr="00A76C19">
        <w:trPr>
          <w:trHeight w:val="128"/>
        </w:trPr>
        <w:tc>
          <w:tcPr>
            <w:tcW w:w="2127" w:type="dxa"/>
          </w:tcPr>
          <w:p w:rsidR="00F033A1" w:rsidRPr="0017798D" w:rsidRDefault="00F033A1" w:rsidP="00F033A1">
            <w:pPr>
              <w:spacing w:after="0" w:line="240" w:lineRule="auto"/>
              <w:ind w:right="-23"/>
              <w:rPr>
                <w:b/>
                <w:bCs/>
                <w:sz w:val="18"/>
                <w:szCs w:val="18"/>
                <w:lang w:eastAsia="es-MX"/>
              </w:rPr>
            </w:pPr>
            <w:r>
              <w:rPr>
                <w:b/>
                <w:bCs/>
                <w:sz w:val="18"/>
                <w:szCs w:val="18"/>
                <w:lang w:eastAsia="es-MX"/>
              </w:rPr>
              <w:t>PRI:</w:t>
            </w:r>
          </w:p>
        </w:tc>
        <w:tc>
          <w:tcPr>
            <w:tcW w:w="6520" w:type="dxa"/>
          </w:tcPr>
          <w:p w:rsidR="00F033A1" w:rsidRPr="00F337FF" w:rsidRDefault="00F033A1" w:rsidP="00F033A1">
            <w:pPr>
              <w:pStyle w:val="Default"/>
              <w:jc w:val="both"/>
              <w:rPr>
                <w:bCs/>
                <w:sz w:val="18"/>
                <w:szCs w:val="18"/>
                <w:lang w:eastAsia="es-MX"/>
              </w:rPr>
            </w:pPr>
            <w:r>
              <w:rPr>
                <w:bCs/>
                <w:sz w:val="18"/>
                <w:szCs w:val="18"/>
                <w:lang w:eastAsia="es-MX"/>
              </w:rPr>
              <w:t>Partido Revolucionario Institucional.</w:t>
            </w:r>
          </w:p>
        </w:tc>
      </w:tr>
      <w:tr w:rsidR="00F033A1" w:rsidRPr="00216ACE" w:rsidTr="00A76C19">
        <w:trPr>
          <w:trHeight w:val="253"/>
        </w:trPr>
        <w:tc>
          <w:tcPr>
            <w:tcW w:w="2127" w:type="dxa"/>
          </w:tcPr>
          <w:p w:rsidR="00F033A1" w:rsidRDefault="00F033A1" w:rsidP="00F033A1">
            <w:pPr>
              <w:spacing w:after="0" w:line="240" w:lineRule="auto"/>
              <w:ind w:right="-23"/>
              <w:rPr>
                <w:b/>
                <w:bCs/>
                <w:sz w:val="18"/>
                <w:szCs w:val="18"/>
                <w:lang w:eastAsia="es-MX"/>
              </w:rPr>
            </w:pPr>
            <w:r>
              <w:rPr>
                <w:b/>
                <w:bCs/>
                <w:sz w:val="18"/>
                <w:szCs w:val="18"/>
                <w:lang w:eastAsia="es-MX"/>
              </w:rPr>
              <w:t xml:space="preserve">Tribunal de </w:t>
            </w:r>
            <w:r w:rsidR="0056133E">
              <w:rPr>
                <w:b/>
                <w:bCs/>
                <w:sz w:val="18"/>
                <w:szCs w:val="18"/>
                <w:lang w:eastAsia="es-MX"/>
              </w:rPr>
              <w:t>Guanajuato</w:t>
            </w:r>
            <w:r>
              <w:rPr>
                <w:b/>
                <w:bCs/>
                <w:sz w:val="18"/>
                <w:szCs w:val="18"/>
                <w:lang w:eastAsia="es-MX"/>
              </w:rPr>
              <w:t>/ Local:</w:t>
            </w:r>
          </w:p>
        </w:tc>
        <w:tc>
          <w:tcPr>
            <w:tcW w:w="6520" w:type="dxa"/>
          </w:tcPr>
          <w:p w:rsidR="00F033A1" w:rsidRDefault="00F033A1" w:rsidP="00F033A1">
            <w:pPr>
              <w:pStyle w:val="Default"/>
              <w:jc w:val="both"/>
              <w:rPr>
                <w:bCs/>
                <w:sz w:val="18"/>
                <w:szCs w:val="18"/>
                <w:lang w:eastAsia="es-MX"/>
              </w:rPr>
            </w:pPr>
            <w:r w:rsidRPr="000E73AD">
              <w:rPr>
                <w:bCs/>
                <w:sz w:val="18"/>
                <w:szCs w:val="18"/>
                <w:lang w:eastAsia="es-MX"/>
              </w:rPr>
              <w:t>Tribunal E</w:t>
            </w:r>
            <w:r w:rsidR="0056133E">
              <w:rPr>
                <w:bCs/>
                <w:sz w:val="18"/>
                <w:szCs w:val="18"/>
                <w:lang w:eastAsia="es-MX"/>
              </w:rPr>
              <w:t>statal Electoral de Guanajuato.</w:t>
            </w:r>
          </w:p>
        </w:tc>
      </w:tr>
    </w:tbl>
    <w:p w:rsidR="00D8177A" w:rsidRPr="00216ACE" w:rsidRDefault="00D8177A" w:rsidP="00940FEB">
      <w:pPr>
        <w:spacing w:line="240" w:lineRule="auto"/>
      </w:pPr>
    </w:p>
    <w:p w:rsidR="00243172" w:rsidRPr="00216ACE" w:rsidRDefault="00243172" w:rsidP="001B3C29">
      <w:pPr>
        <w:pStyle w:val="Ttulo1"/>
        <w:spacing w:before="0" w:beforeAutospacing="0" w:after="0" w:afterAutospacing="0" w:line="240" w:lineRule="auto"/>
        <w:jc w:val="center"/>
        <w:rPr>
          <w:rFonts w:eastAsia="BatangChe" w:cs="Arial"/>
          <w:szCs w:val="24"/>
        </w:rPr>
      </w:pPr>
      <w:bookmarkStart w:id="6" w:name="_Toc45621481"/>
      <w:bookmarkStart w:id="7" w:name="_Toc71533627"/>
      <w:r w:rsidRPr="00216ACE">
        <w:rPr>
          <w:rFonts w:eastAsia="Times New Roman" w:cs="Arial"/>
          <w:caps w:val="0"/>
          <w:szCs w:val="24"/>
        </w:rPr>
        <w:t>Competenci</w:t>
      </w:r>
      <w:bookmarkEnd w:id="6"/>
      <w:r w:rsidRPr="00216ACE">
        <w:rPr>
          <w:rFonts w:eastAsia="Times New Roman" w:cs="Arial"/>
          <w:caps w:val="0"/>
          <w:szCs w:val="24"/>
        </w:rPr>
        <w:t>a</w:t>
      </w:r>
      <w:r w:rsidR="0010056F">
        <w:rPr>
          <w:rFonts w:eastAsia="Times New Roman" w:cs="Arial"/>
          <w:caps w:val="0"/>
          <w:szCs w:val="24"/>
        </w:rPr>
        <w:t xml:space="preserve"> </w:t>
      </w:r>
      <w:r w:rsidRPr="00216ACE">
        <w:rPr>
          <w:rFonts w:eastAsia="Times New Roman" w:cs="Arial"/>
          <w:caps w:val="0"/>
          <w:szCs w:val="24"/>
        </w:rPr>
        <w:t>y procedencia</w:t>
      </w:r>
      <w:bookmarkEnd w:id="7"/>
    </w:p>
    <w:p w:rsidR="00243172" w:rsidRPr="00216ACE" w:rsidRDefault="00243172" w:rsidP="00151947">
      <w:pPr>
        <w:spacing w:after="0" w:line="240" w:lineRule="auto"/>
        <w:jc w:val="center"/>
        <w:rPr>
          <w:rFonts w:eastAsia="BatangChe"/>
          <w:b/>
        </w:rPr>
      </w:pPr>
    </w:p>
    <w:p w:rsidR="00003AB7" w:rsidRPr="000E73AD" w:rsidRDefault="00E43B48" w:rsidP="00003AB7">
      <w:pPr>
        <w:spacing w:after="0" w:line="360" w:lineRule="auto"/>
        <w:jc w:val="both"/>
        <w:rPr>
          <w:rFonts w:eastAsia="Calibri"/>
        </w:rPr>
      </w:pPr>
      <w:r w:rsidRPr="00E43B48">
        <w:rPr>
          <w:b/>
          <w:bCs/>
        </w:rPr>
        <w:t>1.</w:t>
      </w:r>
      <w:r>
        <w:t xml:space="preserve"> </w:t>
      </w:r>
      <w:r w:rsidR="00003AB7" w:rsidRPr="00216ACE">
        <w:t xml:space="preserve">Esta Sala Monterrey es </w:t>
      </w:r>
      <w:r w:rsidR="00003AB7" w:rsidRPr="00737A63">
        <w:rPr>
          <w:b/>
          <w:bCs/>
        </w:rPr>
        <w:t>competente</w:t>
      </w:r>
      <w:r w:rsidR="00003AB7" w:rsidRPr="00216ACE">
        <w:t xml:space="preserve"> para conocer el presente juicio ciudadano promovido por </w:t>
      </w:r>
      <w:r w:rsidR="00436836">
        <w:t xml:space="preserve">los </w:t>
      </w:r>
      <w:r w:rsidR="00312D9C">
        <w:t>impugnantes</w:t>
      </w:r>
      <w:r w:rsidR="00436836">
        <w:t xml:space="preserve"> </w:t>
      </w:r>
      <w:r w:rsidR="00003AB7" w:rsidRPr="00216ACE">
        <w:t xml:space="preserve">contra </w:t>
      </w:r>
      <w:r w:rsidR="00003AB7" w:rsidRPr="00A751AE">
        <w:t>l</w:t>
      </w:r>
      <w:r w:rsidR="00003AB7" w:rsidRPr="00A751AE">
        <w:rPr>
          <w:rFonts w:eastAsia="Calibri"/>
        </w:rPr>
        <w:t xml:space="preserve">a </w:t>
      </w:r>
      <w:r w:rsidR="00003AB7">
        <w:rPr>
          <w:rFonts w:eastAsia="Calibri"/>
        </w:rPr>
        <w:t xml:space="preserve">resolución del </w:t>
      </w:r>
      <w:r w:rsidR="00003AB7" w:rsidRPr="0076113F">
        <w:rPr>
          <w:rFonts w:eastAsia="Calibri"/>
        </w:rPr>
        <w:t xml:space="preserve">Tribunal </w:t>
      </w:r>
      <w:r w:rsidR="00312D9C">
        <w:rPr>
          <w:rFonts w:eastAsia="Calibri"/>
        </w:rPr>
        <w:t>de Guanajuato</w:t>
      </w:r>
      <w:r w:rsidR="00003AB7">
        <w:rPr>
          <w:rFonts w:eastAsia="Calibri"/>
        </w:rPr>
        <w:t>, que</w:t>
      </w:r>
      <w:r w:rsidR="004C470C">
        <w:rPr>
          <w:rFonts w:eastAsia="Calibri"/>
        </w:rPr>
        <w:t xml:space="preserve"> </w:t>
      </w:r>
      <w:r w:rsidR="00436836">
        <w:rPr>
          <w:rFonts w:eastAsia="Calibri"/>
        </w:rPr>
        <w:t xml:space="preserve">confirmó la resolución de la Comisión de Justicia que a su vez confirmó el acuerdo por el cual se autorizó una </w:t>
      </w:r>
      <w:r w:rsidR="00C85D86">
        <w:rPr>
          <w:rFonts w:eastAsia="Calibri"/>
        </w:rPr>
        <w:t>prórroga</w:t>
      </w:r>
      <w:r w:rsidR="00436836">
        <w:rPr>
          <w:rFonts w:eastAsia="Calibri"/>
        </w:rPr>
        <w:t xml:space="preserve"> a la vigencia de la dirigencia del PRI en el estado</w:t>
      </w:r>
      <w:r>
        <w:rPr>
          <w:rFonts w:eastAsia="Calibri"/>
          <w:bCs/>
        </w:rPr>
        <w:t>,</w:t>
      </w:r>
      <w:r w:rsidRPr="00003AB7">
        <w:rPr>
          <w:lang w:val="es-ES"/>
        </w:rPr>
        <w:t xml:space="preserve"> </w:t>
      </w:r>
      <w:r w:rsidRPr="00A751AE">
        <w:t>entidad federativa</w:t>
      </w:r>
      <w:r w:rsidR="00003AB7" w:rsidRPr="00A751AE">
        <w:rPr>
          <w:lang w:val="es-ES"/>
        </w:rPr>
        <w:t xml:space="preserve"> </w:t>
      </w:r>
      <w:r w:rsidR="00003AB7" w:rsidRPr="00A751AE">
        <w:t>que forma parte de la Segunda Circunscripción Electoral Plurinominal, en la que esta Sala ejerce jurisdicción</w:t>
      </w:r>
      <w:r w:rsidR="00003AB7" w:rsidRPr="00216ACE">
        <w:rPr>
          <w:rStyle w:val="Refdenotaalpie"/>
        </w:rPr>
        <w:footnoteReference w:id="2"/>
      </w:r>
      <w:r w:rsidR="00003AB7" w:rsidRPr="00216ACE">
        <w:t>.</w:t>
      </w:r>
    </w:p>
    <w:p w:rsidR="0054664D" w:rsidRDefault="0054664D" w:rsidP="00003AB7">
      <w:pPr>
        <w:spacing w:after="0" w:line="360" w:lineRule="auto"/>
        <w:jc w:val="both"/>
        <w:rPr>
          <w:rFonts w:eastAsia="Calibri"/>
          <w:bCs/>
        </w:rPr>
      </w:pPr>
    </w:p>
    <w:p w:rsidR="0054664D" w:rsidRPr="00C5409A" w:rsidRDefault="00C5409A" w:rsidP="0054664D">
      <w:pPr>
        <w:spacing w:after="0" w:line="360" w:lineRule="auto"/>
        <w:jc w:val="both"/>
        <w:rPr>
          <w:rStyle w:val="FontStyle19"/>
          <w:b w:val="0"/>
          <w:lang w:eastAsia="es-ES_tradnl"/>
        </w:rPr>
      </w:pPr>
      <w:r>
        <w:rPr>
          <w:rStyle w:val="FontStyle19"/>
          <w:lang w:eastAsia="es-ES_tradnl"/>
        </w:rPr>
        <w:t>2</w:t>
      </w:r>
      <w:r w:rsidR="0054664D">
        <w:rPr>
          <w:rStyle w:val="FontStyle19"/>
          <w:lang w:eastAsia="es-ES_tradnl"/>
        </w:rPr>
        <w:t xml:space="preserve">. Causales de improcedencia. </w:t>
      </w:r>
      <w:r w:rsidR="0054664D" w:rsidRPr="00C5409A">
        <w:rPr>
          <w:rStyle w:val="FontStyle19"/>
          <w:b w:val="0"/>
          <w:lang w:eastAsia="es-ES_tradnl"/>
        </w:rPr>
        <w:t xml:space="preserve">No tiene razón </w:t>
      </w:r>
      <w:r w:rsidR="00EE1DEB">
        <w:rPr>
          <w:rStyle w:val="FontStyle19"/>
          <w:b w:val="0"/>
          <w:lang w:eastAsia="es-ES_tradnl"/>
        </w:rPr>
        <w:t xml:space="preserve">el Tribunal Local </w:t>
      </w:r>
      <w:r w:rsidR="0054664D" w:rsidRPr="00C5409A">
        <w:rPr>
          <w:rStyle w:val="FontStyle19"/>
          <w:b w:val="0"/>
          <w:lang w:eastAsia="es-ES_tradnl"/>
        </w:rPr>
        <w:t>en cuanto a que la demanda se presentó de manera extemporánea,</w:t>
      </w:r>
      <w:r w:rsidR="00AC4954">
        <w:rPr>
          <w:rStyle w:val="FontStyle19"/>
          <w:b w:val="0"/>
          <w:lang w:eastAsia="es-ES_tradnl"/>
        </w:rPr>
        <w:t xml:space="preserve"> porque </w:t>
      </w:r>
      <w:r w:rsidR="000D5CEC">
        <w:rPr>
          <w:rStyle w:val="FontStyle19"/>
          <w:b w:val="0"/>
          <w:lang w:eastAsia="es-ES_tradnl"/>
        </w:rPr>
        <w:t>si bien la notificación de la sentencia impugnada se realizó el 28 de abril</w:t>
      </w:r>
      <w:r w:rsidR="002A5965">
        <w:rPr>
          <w:rStyle w:val="FontStyle19"/>
          <w:b w:val="0"/>
          <w:lang w:eastAsia="es-ES_tradnl"/>
        </w:rPr>
        <w:t xml:space="preserve">, </w:t>
      </w:r>
      <w:r w:rsidR="000D5CEC">
        <w:rPr>
          <w:rStyle w:val="FontStyle19"/>
          <w:b w:val="0"/>
          <w:lang w:eastAsia="es-ES_tradnl"/>
        </w:rPr>
        <w:t xml:space="preserve">tanto por estrados como de forma personal a los impugnantes, el </w:t>
      </w:r>
      <w:r w:rsidR="00582CDD">
        <w:rPr>
          <w:rStyle w:val="FontStyle19"/>
          <w:b w:val="0"/>
          <w:lang w:eastAsia="es-ES_tradnl"/>
        </w:rPr>
        <w:t xml:space="preserve">plazo para promover el presente juicio corrió del 29 </w:t>
      </w:r>
      <w:r w:rsidR="00AD53FE">
        <w:rPr>
          <w:rStyle w:val="FontStyle19"/>
          <w:b w:val="0"/>
          <w:lang w:eastAsia="es-ES_tradnl"/>
        </w:rPr>
        <w:t>de abril al 4 de mayo</w:t>
      </w:r>
      <w:r w:rsidR="00AD53FE">
        <w:rPr>
          <w:rStyle w:val="Refdenotaalpie"/>
          <w:bCs/>
          <w:lang w:eastAsia="es-ES_tradnl"/>
        </w:rPr>
        <w:footnoteReference w:id="3"/>
      </w:r>
      <w:r w:rsidR="00AD53FE">
        <w:rPr>
          <w:rStyle w:val="FontStyle19"/>
          <w:b w:val="0"/>
          <w:lang w:eastAsia="es-ES_tradnl"/>
        </w:rPr>
        <w:t>.</w:t>
      </w:r>
    </w:p>
    <w:p w:rsidR="0054664D" w:rsidRPr="00C5409A" w:rsidRDefault="0054664D" w:rsidP="0054664D">
      <w:pPr>
        <w:spacing w:after="0" w:line="360" w:lineRule="auto"/>
        <w:jc w:val="both"/>
        <w:rPr>
          <w:rStyle w:val="FontStyle19"/>
          <w:b w:val="0"/>
          <w:lang w:eastAsia="es-ES_tradnl"/>
        </w:rPr>
      </w:pPr>
    </w:p>
    <w:p w:rsidR="0054664D" w:rsidRPr="00C5409A" w:rsidRDefault="0054664D" w:rsidP="0054664D">
      <w:pPr>
        <w:spacing w:after="0" w:line="360" w:lineRule="auto"/>
        <w:jc w:val="both"/>
        <w:rPr>
          <w:rStyle w:val="FontStyle19"/>
          <w:b w:val="0"/>
          <w:lang w:eastAsia="es-ES_tradnl"/>
        </w:rPr>
      </w:pPr>
      <w:r w:rsidRPr="00C5409A">
        <w:rPr>
          <w:rStyle w:val="FontStyle19"/>
          <w:b w:val="0"/>
          <w:lang w:eastAsia="es-ES_tradnl"/>
        </w:rPr>
        <w:t xml:space="preserve">Esto, porque, </w:t>
      </w:r>
      <w:r w:rsidR="00A40A40">
        <w:rPr>
          <w:rStyle w:val="FontStyle19"/>
          <w:b w:val="0"/>
          <w:lang w:eastAsia="es-ES_tradnl"/>
        </w:rPr>
        <w:t>s</w:t>
      </w:r>
      <w:r w:rsidR="00A40A40" w:rsidRPr="006B3315">
        <w:t>e deben d</w:t>
      </w:r>
      <w:r w:rsidR="00A40A40" w:rsidRPr="006B3315">
        <w:rPr>
          <w:lang w:eastAsia="es-MX"/>
        </w:rPr>
        <w:t xml:space="preserve">escontar del cómputo respectivo los días </w:t>
      </w:r>
      <w:r w:rsidR="00470CF7">
        <w:rPr>
          <w:lang w:eastAsia="es-MX"/>
        </w:rPr>
        <w:t xml:space="preserve">1 </w:t>
      </w:r>
      <w:r w:rsidR="00A40A40" w:rsidRPr="006B3315">
        <w:rPr>
          <w:lang w:eastAsia="es-MX"/>
        </w:rPr>
        <w:t xml:space="preserve">y </w:t>
      </w:r>
      <w:r w:rsidR="00470CF7">
        <w:rPr>
          <w:lang w:eastAsia="es-MX"/>
        </w:rPr>
        <w:t>2</w:t>
      </w:r>
      <w:r w:rsidR="00A40A40" w:rsidRPr="006B3315">
        <w:rPr>
          <w:lang w:eastAsia="es-MX"/>
        </w:rPr>
        <w:t xml:space="preserve"> de ma</w:t>
      </w:r>
      <w:r w:rsidR="00470CF7">
        <w:rPr>
          <w:lang w:eastAsia="es-MX"/>
        </w:rPr>
        <w:t>y</w:t>
      </w:r>
      <w:r w:rsidR="00A40A40" w:rsidRPr="006B3315">
        <w:rPr>
          <w:lang w:eastAsia="es-MX"/>
        </w:rPr>
        <w:t xml:space="preserve">o por ser sábado y domingo y por lo tanto inhábiles </w:t>
      </w:r>
      <w:r w:rsidR="00470CF7">
        <w:rPr>
          <w:lang w:eastAsia="es-MX"/>
        </w:rPr>
        <w:t xml:space="preserve">de conformidad con </w:t>
      </w:r>
      <w:r w:rsidR="00A40A40" w:rsidRPr="006B3315">
        <w:rPr>
          <w:lang w:eastAsia="es-MX"/>
        </w:rPr>
        <w:t xml:space="preserve">el artículo 7, párrafo 2, de la </w:t>
      </w:r>
      <w:r w:rsidR="00470CF7">
        <w:rPr>
          <w:lang w:eastAsia="es-MX"/>
        </w:rPr>
        <w:t>Ley de Medios</w:t>
      </w:r>
      <w:r w:rsidR="00470CF7" w:rsidRPr="006B3315">
        <w:rPr>
          <w:rStyle w:val="Refdenotaalpie"/>
          <w:lang w:eastAsia="es-MX"/>
        </w:rPr>
        <w:footnoteReference w:id="4"/>
      </w:r>
      <w:r w:rsidR="00A40A40" w:rsidRPr="006B3315">
        <w:rPr>
          <w:lang w:eastAsia="es-MX"/>
        </w:rPr>
        <w:t>.</w:t>
      </w:r>
      <w:r w:rsidR="00A40A40" w:rsidRPr="006B3315">
        <w:t xml:space="preserve"> </w:t>
      </w:r>
      <w:r w:rsidR="00F868BF" w:rsidRPr="006B3315">
        <w:t>Además,</w:t>
      </w:r>
      <w:r w:rsidR="00A40A40" w:rsidRPr="006B3315">
        <w:t xml:space="preserve"> el acto reclamado no está vinculado a un proceso electoral local que se desarrolle actualmente en el </w:t>
      </w:r>
      <w:r w:rsidR="00B644AE">
        <w:t>e</w:t>
      </w:r>
      <w:r w:rsidR="00A40A40" w:rsidRPr="006B3315">
        <w:t>stado de</w:t>
      </w:r>
      <w:r w:rsidR="00470CF7">
        <w:t xml:space="preserve"> Guanajuato</w:t>
      </w:r>
      <w:r w:rsidR="00A40A40" w:rsidRPr="006B3315">
        <w:rPr>
          <w:rStyle w:val="Refdenotaalpie"/>
        </w:rPr>
        <w:footnoteReference w:id="5"/>
      </w:r>
      <w:r w:rsidR="00A40A40" w:rsidRPr="006B3315">
        <w:t>.</w:t>
      </w:r>
    </w:p>
    <w:p w:rsidR="0054664D" w:rsidRPr="00C5409A" w:rsidRDefault="0054664D" w:rsidP="0054664D">
      <w:pPr>
        <w:spacing w:after="0" w:line="360" w:lineRule="auto"/>
        <w:jc w:val="both"/>
        <w:rPr>
          <w:rStyle w:val="FontStyle19"/>
          <w:b w:val="0"/>
          <w:lang w:eastAsia="es-ES_tradnl"/>
        </w:rPr>
      </w:pPr>
    </w:p>
    <w:p w:rsidR="0054664D" w:rsidRDefault="0054664D" w:rsidP="0054664D">
      <w:pPr>
        <w:spacing w:after="0" w:line="360" w:lineRule="auto"/>
        <w:jc w:val="both"/>
        <w:rPr>
          <w:rStyle w:val="FontStyle19"/>
          <w:b w:val="0"/>
          <w:lang w:eastAsia="es-ES_tradnl"/>
        </w:rPr>
      </w:pPr>
      <w:r>
        <w:rPr>
          <w:bCs/>
          <w:lang w:eastAsia="es-ES_tradnl"/>
        </w:rPr>
        <w:lastRenderedPageBreak/>
        <w:t xml:space="preserve">De manera que, si la demanda se presentó el </w:t>
      </w:r>
      <w:r w:rsidR="00737EF9">
        <w:rPr>
          <w:bCs/>
          <w:lang w:eastAsia="es-ES_tradnl"/>
        </w:rPr>
        <w:t xml:space="preserve">3 </w:t>
      </w:r>
      <w:r>
        <w:rPr>
          <w:bCs/>
          <w:lang w:eastAsia="es-ES_tradnl"/>
        </w:rPr>
        <w:t>de</w:t>
      </w:r>
      <w:r w:rsidR="00737EF9">
        <w:rPr>
          <w:bCs/>
          <w:lang w:eastAsia="es-ES_tradnl"/>
        </w:rPr>
        <w:t xml:space="preserve"> mayo</w:t>
      </w:r>
      <w:r>
        <w:rPr>
          <w:bCs/>
          <w:lang w:eastAsia="es-ES_tradnl"/>
        </w:rPr>
        <w:t xml:space="preserve">, su presentación es oportuna. </w:t>
      </w:r>
      <w:r w:rsidR="00737EF9">
        <w:rPr>
          <w:bCs/>
          <w:lang w:eastAsia="es-ES_tradnl"/>
        </w:rPr>
        <w:t xml:space="preserve"> </w:t>
      </w:r>
      <w:r>
        <w:rPr>
          <w:bCs/>
          <w:lang w:eastAsia="es-ES_tradnl"/>
        </w:rPr>
        <w:t xml:space="preserve">En ese sentido, se desestima la causal de improcedencia </w:t>
      </w:r>
      <w:r w:rsidR="00533455">
        <w:rPr>
          <w:bCs/>
          <w:lang w:eastAsia="es-ES_tradnl"/>
        </w:rPr>
        <w:t>que hace valer la responsable</w:t>
      </w:r>
      <w:r>
        <w:rPr>
          <w:bCs/>
          <w:lang w:eastAsia="es-ES_tradnl"/>
        </w:rPr>
        <w:t>.</w:t>
      </w:r>
    </w:p>
    <w:p w:rsidR="0054664D" w:rsidRPr="00551F38" w:rsidRDefault="0054664D" w:rsidP="0054664D">
      <w:pPr>
        <w:spacing w:after="0" w:line="360" w:lineRule="auto"/>
        <w:jc w:val="both"/>
        <w:rPr>
          <w:rStyle w:val="FontStyle19"/>
          <w:b w:val="0"/>
          <w:lang w:eastAsia="es-ES_tradnl"/>
        </w:rPr>
      </w:pPr>
    </w:p>
    <w:p w:rsidR="0054664D" w:rsidRPr="00551F38" w:rsidRDefault="00A425E4" w:rsidP="0054664D">
      <w:pPr>
        <w:spacing w:after="0" w:line="360" w:lineRule="auto"/>
        <w:jc w:val="both"/>
        <w:rPr>
          <w:rStyle w:val="FontStyle19"/>
          <w:b w:val="0"/>
          <w:lang w:eastAsia="es-ES_tradnl"/>
        </w:rPr>
      </w:pPr>
      <w:r>
        <w:rPr>
          <w:rStyle w:val="FontStyle19"/>
          <w:lang w:eastAsia="es-ES_tradnl"/>
        </w:rPr>
        <w:t>3</w:t>
      </w:r>
      <w:r w:rsidR="0054664D" w:rsidRPr="004E69A3">
        <w:rPr>
          <w:rStyle w:val="FontStyle19"/>
          <w:lang w:eastAsia="es-ES_tradnl"/>
        </w:rPr>
        <w:t>. Requisitos procesales</w:t>
      </w:r>
      <w:r w:rsidR="0054664D" w:rsidRPr="004E69A3">
        <w:rPr>
          <w:vertAlign w:val="superscript"/>
        </w:rPr>
        <w:footnoteReference w:id="6"/>
      </w:r>
      <w:r w:rsidR="0054664D" w:rsidRPr="004E69A3">
        <w:rPr>
          <w:rStyle w:val="FontStyle19"/>
          <w:lang w:eastAsia="es-ES_tradnl"/>
        </w:rPr>
        <w:t>.</w:t>
      </w:r>
      <w:r w:rsidR="0054664D" w:rsidRPr="00551F38">
        <w:rPr>
          <w:rStyle w:val="FontStyle19"/>
          <w:b w:val="0"/>
          <w:lang w:eastAsia="es-ES_tradnl"/>
        </w:rPr>
        <w:t xml:space="preserve"> Esta Sala Monterrey considera que la demanda reúne los requisitos previstos en la Ley de Medios, en atención a las siguientes consideraciones: </w:t>
      </w:r>
    </w:p>
    <w:p w:rsidR="0054664D" w:rsidRPr="00551F38" w:rsidRDefault="0054664D" w:rsidP="0054664D">
      <w:pPr>
        <w:spacing w:after="0" w:line="360" w:lineRule="auto"/>
        <w:jc w:val="both"/>
        <w:rPr>
          <w:rStyle w:val="FontStyle19"/>
          <w:b w:val="0"/>
          <w:lang w:eastAsia="es-ES_tradnl"/>
        </w:rPr>
      </w:pPr>
    </w:p>
    <w:p w:rsidR="0054664D" w:rsidRPr="00551F38" w:rsidRDefault="0054664D" w:rsidP="0054664D">
      <w:pPr>
        <w:spacing w:after="0" w:line="360" w:lineRule="auto"/>
        <w:jc w:val="both"/>
        <w:rPr>
          <w:rStyle w:val="FontStyle19"/>
          <w:b w:val="0"/>
          <w:lang w:eastAsia="es-ES_tradnl"/>
        </w:rPr>
      </w:pPr>
      <w:r w:rsidRPr="009A7806">
        <w:rPr>
          <w:rStyle w:val="FontStyle19"/>
          <w:lang w:eastAsia="es-ES_tradnl"/>
        </w:rPr>
        <w:t>a.</w:t>
      </w:r>
      <w:r w:rsidRPr="00551F38">
        <w:rPr>
          <w:rStyle w:val="FontStyle19"/>
          <w:b w:val="0"/>
          <w:lang w:eastAsia="es-ES_tradnl"/>
        </w:rPr>
        <w:t xml:space="preserve"> Cumple con el requisito de forma, porque en la demanda consta el nombre y firma de</w:t>
      </w:r>
      <w:r w:rsidR="009A7806">
        <w:rPr>
          <w:rStyle w:val="FontStyle19"/>
          <w:b w:val="0"/>
          <w:lang w:eastAsia="es-ES_tradnl"/>
        </w:rPr>
        <w:t xml:space="preserve"> </w:t>
      </w:r>
      <w:r w:rsidR="009136EF">
        <w:rPr>
          <w:rStyle w:val="FontStyle19"/>
          <w:b w:val="0"/>
          <w:lang w:eastAsia="es-ES_tradnl"/>
        </w:rPr>
        <w:t>los</w:t>
      </w:r>
      <w:r w:rsidRPr="00551F38">
        <w:rPr>
          <w:rStyle w:val="FontStyle19"/>
          <w:b w:val="0"/>
          <w:lang w:eastAsia="es-ES_tradnl"/>
        </w:rPr>
        <w:t xml:space="preserve"> promovente</w:t>
      </w:r>
      <w:r w:rsidR="009136EF">
        <w:rPr>
          <w:rStyle w:val="FontStyle19"/>
          <w:b w:val="0"/>
          <w:lang w:eastAsia="es-ES_tradnl"/>
        </w:rPr>
        <w:t>s</w:t>
      </w:r>
      <w:r w:rsidRPr="00551F38">
        <w:rPr>
          <w:rStyle w:val="FontStyle19"/>
          <w:b w:val="0"/>
          <w:lang w:eastAsia="es-ES_tradnl"/>
        </w:rPr>
        <w:t>.</w:t>
      </w:r>
    </w:p>
    <w:p w:rsidR="0054664D" w:rsidRPr="00551F38" w:rsidRDefault="0054664D" w:rsidP="0054664D">
      <w:pPr>
        <w:spacing w:after="0" w:line="360" w:lineRule="auto"/>
        <w:jc w:val="both"/>
        <w:rPr>
          <w:rStyle w:val="FontStyle19"/>
          <w:b w:val="0"/>
          <w:lang w:eastAsia="es-ES_tradnl"/>
        </w:rPr>
      </w:pPr>
    </w:p>
    <w:p w:rsidR="0054664D" w:rsidRPr="00551F38" w:rsidRDefault="0054664D" w:rsidP="0054664D">
      <w:pPr>
        <w:spacing w:after="0" w:line="360" w:lineRule="auto"/>
        <w:jc w:val="both"/>
        <w:rPr>
          <w:rStyle w:val="FontStyle19"/>
          <w:b w:val="0"/>
          <w:lang w:eastAsia="es-ES_tradnl"/>
        </w:rPr>
      </w:pPr>
      <w:r w:rsidRPr="009A7806">
        <w:rPr>
          <w:rStyle w:val="FontStyle19"/>
          <w:lang w:eastAsia="es-ES_tradnl"/>
        </w:rPr>
        <w:t>b.</w:t>
      </w:r>
      <w:r w:rsidRPr="00551F38">
        <w:rPr>
          <w:rStyle w:val="FontStyle19"/>
          <w:b w:val="0"/>
          <w:lang w:eastAsia="es-ES_tradnl"/>
        </w:rPr>
        <w:t xml:space="preserve"> El juicio se promovió de manera oportuna, de conformidad con las consideraciones que se señalaron en el apartado anterior. </w:t>
      </w:r>
    </w:p>
    <w:p w:rsidR="0054664D" w:rsidRPr="00551F38" w:rsidRDefault="0054664D" w:rsidP="0054664D">
      <w:pPr>
        <w:spacing w:after="0" w:line="360" w:lineRule="auto"/>
        <w:jc w:val="both"/>
        <w:rPr>
          <w:rStyle w:val="FontStyle19"/>
          <w:b w:val="0"/>
          <w:lang w:eastAsia="es-ES_tradnl"/>
        </w:rPr>
      </w:pPr>
    </w:p>
    <w:p w:rsidR="0054664D" w:rsidRPr="00551F38" w:rsidRDefault="0054664D" w:rsidP="0054664D">
      <w:pPr>
        <w:spacing w:after="0" w:line="360" w:lineRule="auto"/>
        <w:jc w:val="both"/>
        <w:rPr>
          <w:rStyle w:val="FontStyle19"/>
          <w:b w:val="0"/>
          <w:lang w:eastAsia="es-ES_tradnl"/>
        </w:rPr>
      </w:pPr>
      <w:r w:rsidRPr="009A7806">
        <w:rPr>
          <w:rStyle w:val="FontStyle19"/>
          <w:lang w:eastAsia="es-ES_tradnl"/>
        </w:rPr>
        <w:t>c.</w:t>
      </w:r>
      <w:r w:rsidRPr="00551F38">
        <w:rPr>
          <w:rStyle w:val="FontStyle19"/>
          <w:b w:val="0"/>
          <w:lang w:eastAsia="es-ES_tradnl"/>
        </w:rPr>
        <w:t xml:space="preserve"> </w:t>
      </w:r>
      <w:r w:rsidR="009136EF">
        <w:rPr>
          <w:rStyle w:val="FontStyle19"/>
          <w:b w:val="0"/>
          <w:lang w:eastAsia="es-ES_tradnl"/>
        </w:rPr>
        <w:t>Los</w:t>
      </w:r>
      <w:r w:rsidRPr="00551F38">
        <w:rPr>
          <w:rStyle w:val="FontStyle19"/>
          <w:b w:val="0"/>
          <w:lang w:eastAsia="es-ES_tradnl"/>
        </w:rPr>
        <w:t xml:space="preserve"> promovente</w:t>
      </w:r>
      <w:r w:rsidR="009136EF">
        <w:rPr>
          <w:rStyle w:val="FontStyle19"/>
          <w:b w:val="0"/>
          <w:lang w:eastAsia="es-ES_tradnl"/>
        </w:rPr>
        <w:t>s</w:t>
      </w:r>
      <w:r w:rsidRPr="00551F38">
        <w:rPr>
          <w:rStyle w:val="FontStyle19"/>
          <w:b w:val="0"/>
          <w:lang w:eastAsia="es-ES_tradnl"/>
        </w:rPr>
        <w:t xml:space="preserve"> está</w:t>
      </w:r>
      <w:r w:rsidR="009136EF">
        <w:rPr>
          <w:rStyle w:val="FontStyle19"/>
          <w:b w:val="0"/>
          <w:lang w:eastAsia="es-ES_tradnl"/>
        </w:rPr>
        <w:t>n</w:t>
      </w:r>
      <w:r w:rsidRPr="00551F38">
        <w:rPr>
          <w:rStyle w:val="FontStyle19"/>
          <w:b w:val="0"/>
          <w:lang w:eastAsia="es-ES_tradnl"/>
        </w:rPr>
        <w:t xml:space="preserve"> </w:t>
      </w:r>
      <w:r w:rsidR="00010476" w:rsidRPr="00551F38">
        <w:rPr>
          <w:rStyle w:val="FontStyle19"/>
          <w:b w:val="0"/>
          <w:lang w:eastAsia="es-ES_tradnl"/>
        </w:rPr>
        <w:t>legitimados</w:t>
      </w:r>
      <w:r w:rsidRPr="00551F38">
        <w:rPr>
          <w:rStyle w:val="FontStyle19"/>
          <w:b w:val="0"/>
          <w:lang w:eastAsia="es-ES_tradnl"/>
        </w:rPr>
        <w:t xml:space="preserve">, por tratarse </w:t>
      </w:r>
      <w:r w:rsidR="00010476">
        <w:rPr>
          <w:rStyle w:val="FontStyle19"/>
          <w:b w:val="0"/>
          <w:lang w:eastAsia="es-ES_tradnl"/>
        </w:rPr>
        <w:t xml:space="preserve">de ciudadanos </w:t>
      </w:r>
      <w:r w:rsidR="00010476" w:rsidRPr="00010476">
        <w:rPr>
          <w:rStyle w:val="FontStyle19"/>
          <w:b w:val="0"/>
          <w:lang w:eastAsia="es-ES_tradnl"/>
        </w:rPr>
        <w:t>que acude</w:t>
      </w:r>
      <w:r w:rsidR="00010476">
        <w:rPr>
          <w:rStyle w:val="FontStyle19"/>
          <w:b w:val="0"/>
          <w:lang w:eastAsia="es-ES_tradnl"/>
        </w:rPr>
        <w:t>n</w:t>
      </w:r>
      <w:r w:rsidR="00010476" w:rsidRPr="00010476">
        <w:rPr>
          <w:rStyle w:val="FontStyle19"/>
          <w:b w:val="0"/>
          <w:lang w:eastAsia="es-ES_tradnl"/>
        </w:rPr>
        <w:t xml:space="preserve"> por sí mismo</w:t>
      </w:r>
      <w:r w:rsidR="00010476">
        <w:rPr>
          <w:rStyle w:val="FontStyle19"/>
          <w:b w:val="0"/>
          <w:lang w:eastAsia="es-ES_tradnl"/>
        </w:rPr>
        <w:t>s</w:t>
      </w:r>
      <w:r w:rsidR="00010476" w:rsidRPr="00010476">
        <w:rPr>
          <w:rStyle w:val="FontStyle19"/>
          <w:b w:val="0"/>
          <w:lang w:eastAsia="es-ES_tradnl"/>
        </w:rPr>
        <w:t xml:space="preserve"> a ejercer su derecho de defensa por presuntas violaciones a sus derechos político-electorales</w:t>
      </w:r>
      <w:r w:rsidRPr="00551F38">
        <w:rPr>
          <w:rStyle w:val="FontStyle19"/>
          <w:b w:val="0"/>
          <w:lang w:eastAsia="es-ES_tradnl"/>
        </w:rPr>
        <w:t xml:space="preserve"> </w:t>
      </w:r>
    </w:p>
    <w:p w:rsidR="0054664D" w:rsidRPr="00551F38" w:rsidRDefault="0054664D" w:rsidP="0054664D">
      <w:pPr>
        <w:spacing w:after="0" w:line="360" w:lineRule="auto"/>
        <w:jc w:val="both"/>
        <w:rPr>
          <w:rStyle w:val="FontStyle19"/>
          <w:b w:val="0"/>
          <w:lang w:eastAsia="es-ES_tradnl"/>
        </w:rPr>
      </w:pPr>
    </w:p>
    <w:p w:rsidR="0054664D" w:rsidRPr="00551F38" w:rsidRDefault="0054664D" w:rsidP="0054664D">
      <w:pPr>
        <w:spacing w:after="0" w:line="360" w:lineRule="auto"/>
        <w:jc w:val="both"/>
        <w:rPr>
          <w:rStyle w:val="FontStyle19"/>
          <w:b w:val="0"/>
          <w:lang w:eastAsia="es-ES_tradnl"/>
        </w:rPr>
      </w:pPr>
      <w:r w:rsidRPr="009A7806">
        <w:rPr>
          <w:rStyle w:val="FontStyle19"/>
          <w:lang w:eastAsia="es-ES_tradnl"/>
        </w:rPr>
        <w:t>d.</w:t>
      </w:r>
      <w:r w:rsidRPr="00551F38">
        <w:rPr>
          <w:rStyle w:val="FontStyle19"/>
          <w:b w:val="0"/>
          <w:lang w:eastAsia="es-ES_tradnl"/>
        </w:rPr>
        <w:t xml:space="preserve"> Cuenta</w:t>
      </w:r>
      <w:r w:rsidR="00010476">
        <w:rPr>
          <w:rStyle w:val="FontStyle19"/>
          <w:b w:val="0"/>
          <w:lang w:eastAsia="es-ES_tradnl"/>
        </w:rPr>
        <w:t>n</w:t>
      </w:r>
      <w:r w:rsidRPr="00551F38">
        <w:rPr>
          <w:rStyle w:val="FontStyle19"/>
          <w:b w:val="0"/>
          <w:lang w:eastAsia="es-ES_tradnl"/>
        </w:rPr>
        <w:t xml:space="preserve"> con interés jurídico, porque impugna</w:t>
      </w:r>
      <w:r w:rsidR="00010476">
        <w:rPr>
          <w:rStyle w:val="FontStyle19"/>
          <w:b w:val="0"/>
          <w:lang w:eastAsia="es-ES_tradnl"/>
        </w:rPr>
        <w:t>n</w:t>
      </w:r>
      <w:r w:rsidRPr="00551F38">
        <w:rPr>
          <w:rStyle w:val="FontStyle19"/>
          <w:b w:val="0"/>
          <w:lang w:eastAsia="es-ES_tradnl"/>
        </w:rPr>
        <w:t xml:space="preserve"> una resolución emitida por el Tribunal de </w:t>
      </w:r>
      <w:r w:rsidR="00010476">
        <w:rPr>
          <w:rStyle w:val="FontStyle19"/>
          <w:b w:val="0"/>
          <w:lang w:eastAsia="es-ES_tradnl"/>
        </w:rPr>
        <w:t>Guanajuato</w:t>
      </w:r>
      <w:r w:rsidRPr="00551F38">
        <w:rPr>
          <w:rStyle w:val="FontStyle19"/>
          <w:b w:val="0"/>
          <w:lang w:eastAsia="es-ES_tradnl"/>
        </w:rPr>
        <w:t>, en un juicio en el que fue</w:t>
      </w:r>
      <w:r w:rsidR="00010476">
        <w:rPr>
          <w:rStyle w:val="FontStyle19"/>
          <w:b w:val="0"/>
          <w:lang w:eastAsia="es-ES_tradnl"/>
        </w:rPr>
        <w:t>ron</w:t>
      </w:r>
      <w:r w:rsidRPr="00551F38">
        <w:rPr>
          <w:rStyle w:val="FontStyle19"/>
          <w:b w:val="0"/>
          <w:lang w:eastAsia="es-ES_tradnl"/>
        </w:rPr>
        <w:t xml:space="preserve"> parte y considera</w:t>
      </w:r>
      <w:r w:rsidR="00010476">
        <w:rPr>
          <w:rStyle w:val="FontStyle19"/>
          <w:b w:val="0"/>
          <w:lang w:eastAsia="es-ES_tradnl"/>
        </w:rPr>
        <w:t>n</w:t>
      </w:r>
      <w:r w:rsidRPr="00551F38">
        <w:rPr>
          <w:rStyle w:val="FontStyle19"/>
          <w:b w:val="0"/>
          <w:lang w:eastAsia="es-ES_tradnl"/>
        </w:rPr>
        <w:t xml:space="preserve"> adversa a sus intereses. </w:t>
      </w:r>
    </w:p>
    <w:p w:rsidR="0054664D" w:rsidRPr="00551F38" w:rsidRDefault="0054664D" w:rsidP="0054664D">
      <w:pPr>
        <w:spacing w:after="0" w:line="360" w:lineRule="auto"/>
        <w:jc w:val="both"/>
        <w:rPr>
          <w:rStyle w:val="FontStyle19"/>
          <w:b w:val="0"/>
          <w:lang w:eastAsia="es-ES_tradnl"/>
        </w:rPr>
      </w:pPr>
    </w:p>
    <w:p w:rsidR="003E7A54" w:rsidRDefault="0054664D" w:rsidP="007C146E">
      <w:pPr>
        <w:spacing w:after="0" w:line="360" w:lineRule="auto"/>
        <w:jc w:val="both"/>
        <w:rPr>
          <w:bCs/>
          <w:lang w:eastAsia="es-ES_tradnl"/>
        </w:rPr>
      </w:pPr>
      <w:r w:rsidRPr="009A7806">
        <w:rPr>
          <w:rStyle w:val="FontStyle19"/>
          <w:lang w:eastAsia="es-ES_tradnl"/>
        </w:rPr>
        <w:t>e.</w:t>
      </w:r>
      <w:r w:rsidRPr="00551F38">
        <w:rPr>
          <w:rStyle w:val="FontStyle19"/>
          <w:b w:val="0"/>
          <w:lang w:eastAsia="es-ES_tradnl"/>
        </w:rPr>
        <w:t xml:space="preserve"> Se satisface la definitividad porque conforme a la legislación aplicable, no procede algún otro medio de defensa que pudiera confirmar, modificar o revocar la resolución impugnada. </w:t>
      </w:r>
    </w:p>
    <w:p w:rsidR="003E7A54" w:rsidRPr="00216ACE" w:rsidRDefault="003E7A54" w:rsidP="00B87F74">
      <w:pPr>
        <w:shd w:val="clear" w:color="auto" w:fill="FFFFFF" w:themeFill="background1"/>
        <w:spacing w:after="0" w:line="240" w:lineRule="auto"/>
        <w:contextualSpacing/>
        <w:jc w:val="both"/>
        <w:rPr>
          <w:bCs/>
        </w:rPr>
      </w:pPr>
    </w:p>
    <w:p w:rsidR="00F47CAB" w:rsidRPr="00216ACE" w:rsidRDefault="00F47CAB" w:rsidP="001B3C29">
      <w:pPr>
        <w:pStyle w:val="Ttulo1"/>
        <w:spacing w:before="0" w:beforeAutospacing="0" w:after="0" w:afterAutospacing="0" w:line="240" w:lineRule="auto"/>
        <w:jc w:val="center"/>
        <w:rPr>
          <w:rFonts w:eastAsia="Times New Roman" w:cs="Arial"/>
          <w:caps w:val="0"/>
          <w:szCs w:val="24"/>
        </w:rPr>
      </w:pPr>
      <w:bookmarkStart w:id="8" w:name="_Toc71533628"/>
      <w:r w:rsidRPr="00216ACE">
        <w:rPr>
          <w:rFonts w:eastAsia="Times New Roman" w:cs="Arial"/>
          <w:caps w:val="0"/>
          <w:szCs w:val="24"/>
        </w:rPr>
        <w:t>Antecedentes</w:t>
      </w:r>
      <w:r w:rsidR="001328B3" w:rsidRPr="00216ACE">
        <w:rPr>
          <w:rStyle w:val="Refdenotaalpie"/>
          <w:caps w:val="0"/>
          <w:szCs w:val="24"/>
        </w:rPr>
        <w:footnoteReference w:id="7"/>
      </w:r>
      <w:bookmarkEnd w:id="8"/>
    </w:p>
    <w:p w:rsidR="00F47CAB" w:rsidRPr="00216ACE" w:rsidRDefault="00F47CAB" w:rsidP="00F033A1">
      <w:pPr>
        <w:spacing w:after="0" w:line="240" w:lineRule="auto"/>
      </w:pPr>
    </w:p>
    <w:p w:rsidR="00D11B35" w:rsidRPr="00546D33" w:rsidRDefault="00D11B35" w:rsidP="00F033A1">
      <w:pPr>
        <w:shd w:val="clear" w:color="auto" w:fill="FFFFFF" w:themeFill="background1"/>
        <w:spacing w:after="0" w:line="240" w:lineRule="auto"/>
        <w:jc w:val="both"/>
        <w:rPr>
          <w:b/>
          <w:bCs/>
          <w:strike/>
        </w:rPr>
      </w:pPr>
      <w:r>
        <w:rPr>
          <w:b/>
          <w:bCs/>
        </w:rPr>
        <w:t>I.</w:t>
      </w:r>
      <w:r w:rsidRPr="00546D33">
        <w:rPr>
          <w:b/>
          <w:bCs/>
        </w:rPr>
        <w:t xml:space="preserve"> Hechos contextuales y origen de la controversia  </w:t>
      </w:r>
    </w:p>
    <w:p w:rsidR="00D11B35" w:rsidRDefault="00D11B35" w:rsidP="00F033A1">
      <w:pPr>
        <w:spacing w:after="0" w:line="240" w:lineRule="auto"/>
        <w:jc w:val="both"/>
        <w:rPr>
          <w:b/>
          <w:bCs/>
        </w:rPr>
      </w:pPr>
    </w:p>
    <w:p w:rsidR="002C0325" w:rsidRDefault="006B038E" w:rsidP="00F033A1">
      <w:pPr>
        <w:spacing w:after="0" w:line="360" w:lineRule="auto"/>
        <w:jc w:val="both"/>
        <w:rPr>
          <w:rFonts w:eastAsia="Cambria"/>
        </w:rPr>
      </w:pPr>
      <w:r w:rsidRPr="006B038E">
        <w:rPr>
          <w:rFonts w:eastAsia="Cambria"/>
          <w:b/>
        </w:rPr>
        <w:t>1</w:t>
      </w:r>
      <w:r w:rsidR="00535FAA">
        <w:t xml:space="preserve">. El 16 de octubre de 2019, el </w:t>
      </w:r>
      <w:r w:rsidR="00535FAA" w:rsidRPr="004A4FA2">
        <w:rPr>
          <w:b/>
        </w:rPr>
        <w:t xml:space="preserve">CEN del PRI </w:t>
      </w:r>
      <w:r w:rsidR="004A4FA2" w:rsidRPr="00DD54B2">
        <w:rPr>
          <w:b/>
        </w:rPr>
        <w:t>designó</w:t>
      </w:r>
      <w:r w:rsidR="00535FAA">
        <w:t xml:space="preserve"> a </w:t>
      </w:r>
      <w:bookmarkStart w:id="9" w:name="_Hlk71210280"/>
      <w:r w:rsidR="00535FAA">
        <w:t xml:space="preserve">Ruth Noemí Tiscareño </w:t>
      </w:r>
      <w:proofErr w:type="spellStart"/>
      <w:r w:rsidR="00535FAA">
        <w:t>Agoitia</w:t>
      </w:r>
      <w:proofErr w:type="spellEnd"/>
      <w:r w:rsidR="00535FAA">
        <w:t xml:space="preserve"> como presidenta y Alejandro Arias Ávila como secretario general del Comité Directivo Estatal con carácter provisional</w:t>
      </w:r>
      <w:bookmarkEnd w:id="9"/>
      <w:r w:rsidR="00535FAA">
        <w:t>.</w:t>
      </w:r>
    </w:p>
    <w:p w:rsidR="002C0325" w:rsidRDefault="002C0325" w:rsidP="00F033A1">
      <w:pPr>
        <w:spacing w:after="0" w:line="360" w:lineRule="auto"/>
        <w:jc w:val="both"/>
        <w:rPr>
          <w:rFonts w:eastAsia="Cambria"/>
        </w:rPr>
      </w:pPr>
    </w:p>
    <w:p w:rsidR="002103C9" w:rsidRDefault="00C62D3E" w:rsidP="00F033A1">
      <w:pPr>
        <w:spacing w:after="0" w:line="360" w:lineRule="auto"/>
        <w:jc w:val="both"/>
        <w:rPr>
          <w:rFonts w:eastAsia="Cambria"/>
        </w:rPr>
      </w:pPr>
      <w:r w:rsidRPr="00C62D3E">
        <w:rPr>
          <w:rFonts w:eastAsia="Cambria"/>
          <w:b/>
        </w:rPr>
        <w:lastRenderedPageBreak/>
        <w:t>2.</w:t>
      </w:r>
      <w:r>
        <w:rPr>
          <w:rFonts w:eastAsia="Cambria"/>
        </w:rPr>
        <w:t xml:space="preserve"> </w:t>
      </w:r>
      <w:r w:rsidR="002103C9">
        <w:rPr>
          <w:rFonts w:eastAsia="Cambria"/>
        </w:rPr>
        <w:t xml:space="preserve">El </w:t>
      </w:r>
      <w:r w:rsidR="00535FAA">
        <w:rPr>
          <w:rFonts w:eastAsia="Cambria"/>
        </w:rPr>
        <w:t>9 de agosto</w:t>
      </w:r>
      <w:r w:rsidR="00E14474">
        <w:rPr>
          <w:rFonts w:eastAsia="Cambria"/>
        </w:rPr>
        <w:t xml:space="preserve"> de 2020</w:t>
      </w:r>
      <w:r w:rsidR="00535FAA">
        <w:rPr>
          <w:rFonts w:eastAsia="Cambria"/>
        </w:rPr>
        <w:t xml:space="preserve">, </w:t>
      </w:r>
      <w:r w:rsidR="007A5256" w:rsidRPr="00BF3B54">
        <w:rPr>
          <w:rFonts w:eastAsia="Cambria"/>
          <w:b/>
        </w:rPr>
        <w:t xml:space="preserve">diversos integrantes del PRI </w:t>
      </w:r>
      <w:r w:rsidR="00134FB2" w:rsidRPr="00BF3B54">
        <w:rPr>
          <w:rFonts w:eastAsia="Cambria"/>
          <w:b/>
          <w:bCs/>
        </w:rPr>
        <w:t xml:space="preserve">convocaron </w:t>
      </w:r>
      <w:r w:rsidR="003E09AD">
        <w:rPr>
          <w:rFonts w:eastAsia="Cambria"/>
          <w:b/>
          <w:bCs/>
        </w:rPr>
        <w:t xml:space="preserve">a </w:t>
      </w:r>
      <w:r w:rsidR="00134FB2" w:rsidRPr="00BF3B54">
        <w:rPr>
          <w:rFonts w:eastAsia="Cambria"/>
          <w:b/>
          <w:bCs/>
        </w:rPr>
        <w:t>una</w:t>
      </w:r>
      <w:r w:rsidR="007A5256" w:rsidRPr="00BF3B54">
        <w:rPr>
          <w:rFonts w:eastAsia="Cambria"/>
          <w:b/>
        </w:rPr>
        <w:t xml:space="preserve"> sesión extraordinaria</w:t>
      </w:r>
      <w:r w:rsidR="007A5256">
        <w:rPr>
          <w:rFonts w:eastAsia="Cambria"/>
        </w:rPr>
        <w:t xml:space="preserve">, </w:t>
      </w:r>
      <w:r w:rsidR="00134FB2">
        <w:rPr>
          <w:rFonts w:eastAsia="Cambria"/>
        </w:rPr>
        <w:t xml:space="preserve">en la que, </w:t>
      </w:r>
      <w:r w:rsidR="00134FB2" w:rsidRPr="00BF3B54">
        <w:rPr>
          <w:rFonts w:eastAsia="Cambria"/>
          <w:u w:val="single"/>
        </w:rPr>
        <w:t>supuestamente</w:t>
      </w:r>
      <w:r w:rsidR="00134FB2">
        <w:rPr>
          <w:rFonts w:eastAsia="Cambria"/>
        </w:rPr>
        <w:t xml:space="preserve">, nombraron </w:t>
      </w:r>
      <w:r w:rsidR="00BF3B54">
        <w:rPr>
          <w:rFonts w:eastAsia="Cambria"/>
        </w:rPr>
        <w:t xml:space="preserve">a </w:t>
      </w:r>
      <w:r w:rsidR="00BF3B54">
        <w:t xml:space="preserve">Armando de la Cruz Uribe </w:t>
      </w:r>
      <w:r w:rsidR="007A5256">
        <w:rPr>
          <w:rFonts w:eastAsia="Cambria"/>
        </w:rPr>
        <w:t xml:space="preserve">como presidente del </w:t>
      </w:r>
      <w:r w:rsidR="007A5256">
        <w:t>Comité Directivo Estatal</w:t>
      </w:r>
      <w:r w:rsidR="00BF3B54">
        <w:t>, y a Laura Chávez López</w:t>
      </w:r>
      <w:r w:rsidR="007A5256">
        <w:t xml:space="preserve"> como secretaria general</w:t>
      </w:r>
      <w:r w:rsidR="00E14474">
        <w:rPr>
          <w:rStyle w:val="Refdenotaalpie"/>
        </w:rPr>
        <w:footnoteReference w:id="8"/>
      </w:r>
      <w:r w:rsidR="002103C9">
        <w:rPr>
          <w:rFonts w:eastAsia="Cambria"/>
        </w:rPr>
        <w:t>.</w:t>
      </w:r>
    </w:p>
    <w:p w:rsidR="00F033A1" w:rsidRPr="00CA661A" w:rsidRDefault="00F033A1" w:rsidP="00F033A1">
      <w:pPr>
        <w:spacing w:after="0" w:line="360" w:lineRule="auto"/>
        <w:jc w:val="both"/>
        <w:rPr>
          <w:b/>
          <w:bCs/>
        </w:rPr>
      </w:pPr>
    </w:p>
    <w:p w:rsidR="00150205" w:rsidRDefault="00E14474" w:rsidP="00F033A1">
      <w:pPr>
        <w:spacing w:after="0" w:line="360" w:lineRule="auto"/>
        <w:jc w:val="both"/>
        <w:rPr>
          <w:rFonts w:eastAsia="Calibri"/>
          <w:bCs/>
        </w:rPr>
      </w:pPr>
      <w:r>
        <w:rPr>
          <w:rFonts w:eastAsia="Calibri"/>
          <w:b/>
          <w:bCs/>
        </w:rPr>
        <w:t>3</w:t>
      </w:r>
      <w:r w:rsidR="006B038E" w:rsidRPr="006B038E">
        <w:rPr>
          <w:rFonts w:eastAsia="Calibri"/>
          <w:b/>
          <w:bCs/>
        </w:rPr>
        <w:t>.</w:t>
      </w:r>
      <w:r w:rsidR="006B038E">
        <w:rPr>
          <w:rFonts w:eastAsia="Calibri"/>
          <w:bCs/>
        </w:rPr>
        <w:t xml:space="preserve"> </w:t>
      </w:r>
      <w:r>
        <w:rPr>
          <w:rFonts w:eastAsia="Calibri"/>
          <w:bCs/>
        </w:rPr>
        <w:t xml:space="preserve">El 7 de septiembre, </w:t>
      </w:r>
      <w:r w:rsidR="005F3407">
        <w:rPr>
          <w:rFonts w:eastAsia="Calibri"/>
          <w:bCs/>
        </w:rPr>
        <w:t xml:space="preserve">inició </w:t>
      </w:r>
      <w:r>
        <w:rPr>
          <w:rFonts w:eastAsia="Calibri"/>
          <w:bCs/>
        </w:rPr>
        <w:t xml:space="preserve">el proceso electoral </w:t>
      </w:r>
      <w:r w:rsidR="00150205">
        <w:rPr>
          <w:rFonts w:eastAsia="Calibri"/>
          <w:bCs/>
        </w:rPr>
        <w:t>en el estado de Guanajuato</w:t>
      </w:r>
      <w:r w:rsidR="00244D07">
        <w:rPr>
          <w:rFonts w:eastAsia="Calibri"/>
          <w:bCs/>
        </w:rPr>
        <w:t xml:space="preserve"> 2020-2021</w:t>
      </w:r>
      <w:r w:rsidR="00150205">
        <w:rPr>
          <w:rFonts w:eastAsia="Calibri"/>
          <w:bCs/>
        </w:rPr>
        <w:t xml:space="preserve">, </w:t>
      </w:r>
      <w:r>
        <w:rPr>
          <w:rFonts w:eastAsia="Calibri"/>
          <w:bCs/>
        </w:rPr>
        <w:t xml:space="preserve">para </w:t>
      </w:r>
      <w:r w:rsidR="005F3407">
        <w:rPr>
          <w:rFonts w:eastAsia="Calibri"/>
          <w:bCs/>
        </w:rPr>
        <w:t xml:space="preserve">renovar </w:t>
      </w:r>
      <w:r w:rsidR="00150205">
        <w:rPr>
          <w:rFonts w:eastAsia="Calibri"/>
          <w:bCs/>
        </w:rPr>
        <w:t xml:space="preserve">los cargos </w:t>
      </w:r>
      <w:r w:rsidR="00244D07">
        <w:rPr>
          <w:rFonts w:eastAsia="Calibri"/>
          <w:bCs/>
        </w:rPr>
        <w:t>del</w:t>
      </w:r>
      <w:r w:rsidR="00150205">
        <w:rPr>
          <w:rFonts w:eastAsia="Calibri"/>
          <w:bCs/>
        </w:rPr>
        <w:t xml:space="preserve"> </w:t>
      </w:r>
      <w:r>
        <w:rPr>
          <w:rFonts w:eastAsia="Calibri"/>
          <w:bCs/>
        </w:rPr>
        <w:t xml:space="preserve">congreso y </w:t>
      </w:r>
      <w:r w:rsidR="00244D07">
        <w:rPr>
          <w:rFonts w:eastAsia="Calibri"/>
          <w:bCs/>
        </w:rPr>
        <w:t xml:space="preserve">los </w:t>
      </w:r>
      <w:r>
        <w:rPr>
          <w:rFonts w:eastAsia="Calibri"/>
          <w:bCs/>
        </w:rPr>
        <w:t>ayuntamientos de</w:t>
      </w:r>
      <w:r w:rsidR="00150205">
        <w:rPr>
          <w:rFonts w:eastAsia="Calibri"/>
          <w:bCs/>
        </w:rPr>
        <w:t xml:space="preserve"> </w:t>
      </w:r>
      <w:r>
        <w:rPr>
          <w:rFonts w:eastAsia="Calibri"/>
          <w:bCs/>
        </w:rPr>
        <w:t>l</w:t>
      </w:r>
      <w:r w:rsidR="00150205">
        <w:rPr>
          <w:rFonts w:eastAsia="Calibri"/>
          <w:bCs/>
        </w:rPr>
        <w:t>a referida entidad.</w:t>
      </w:r>
    </w:p>
    <w:p w:rsidR="00E14474" w:rsidRDefault="00E14474" w:rsidP="00F033A1">
      <w:pPr>
        <w:spacing w:after="0" w:line="360" w:lineRule="auto"/>
        <w:jc w:val="both"/>
        <w:rPr>
          <w:rFonts w:eastAsia="Calibri"/>
          <w:bCs/>
        </w:rPr>
      </w:pPr>
    </w:p>
    <w:p w:rsidR="00052E94" w:rsidRDefault="00E14474" w:rsidP="00E14474">
      <w:pPr>
        <w:spacing w:after="0" w:line="360" w:lineRule="auto"/>
        <w:jc w:val="both"/>
        <w:rPr>
          <w:rFonts w:eastAsia="Calibri"/>
          <w:bCs/>
        </w:rPr>
      </w:pPr>
      <w:r w:rsidRPr="00E14474">
        <w:rPr>
          <w:rFonts w:eastAsia="Calibri"/>
          <w:b/>
          <w:bCs/>
        </w:rPr>
        <w:t>4</w:t>
      </w:r>
      <w:r>
        <w:rPr>
          <w:rFonts w:eastAsia="Calibri"/>
          <w:bCs/>
        </w:rPr>
        <w:t xml:space="preserve">. El 9 siguiente, el </w:t>
      </w:r>
      <w:r w:rsidRPr="00150205">
        <w:rPr>
          <w:rFonts w:eastAsia="Calibri"/>
          <w:b/>
        </w:rPr>
        <w:t>CEN</w:t>
      </w:r>
      <w:r>
        <w:rPr>
          <w:rFonts w:eastAsia="Calibri"/>
          <w:bCs/>
        </w:rPr>
        <w:t xml:space="preserve"> </w:t>
      </w:r>
      <w:r w:rsidRPr="00DD54B2">
        <w:rPr>
          <w:rFonts w:eastAsia="Calibri"/>
          <w:b/>
        </w:rPr>
        <w:t>autorizó una prórroga a la vigencia de la dirigencia estatal</w:t>
      </w:r>
      <w:r w:rsidRPr="00E14474">
        <w:rPr>
          <w:rFonts w:eastAsia="Calibri"/>
          <w:bCs/>
        </w:rPr>
        <w:t xml:space="preserve"> de Ruth Noemí Tiscareño </w:t>
      </w:r>
      <w:proofErr w:type="spellStart"/>
      <w:r w:rsidRPr="00E14474">
        <w:rPr>
          <w:rFonts w:eastAsia="Calibri"/>
          <w:bCs/>
        </w:rPr>
        <w:t>Agoitia</w:t>
      </w:r>
      <w:proofErr w:type="spellEnd"/>
      <w:r w:rsidRPr="00E14474">
        <w:rPr>
          <w:rFonts w:eastAsia="Calibri"/>
          <w:bCs/>
        </w:rPr>
        <w:t xml:space="preserve"> y Alejandro</w:t>
      </w:r>
      <w:r>
        <w:rPr>
          <w:rFonts w:eastAsia="Calibri"/>
          <w:bCs/>
        </w:rPr>
        <w:t xml:space="preserve"> </w:t>
      </w:r>
      <w:r w:rsidRPr="00E14474">
        <w:rPr>
          <w:rFonts w:eastAsia="Calibri"/>
          <w:bCs/>
        </w:rPr>
        <w:t xml:space="preserve">Arias Ávila </w:t>
      </w:r>
      <w:r w:rsidR="00597AB4">
        <w:rPr>
          <w:rFonts w:eastAsia="Calibri"/>
          <w:bCs/>
        </w:rPr>
        <w:t xml:space="preserve">como </w:t>
      </w:r>
      <w:r w:rsidRPr="00E14474">
        <w:rPr>
          <w:rFonts w:eastAsia="Calibri"/>
          <w:bCs/>
        </w:rPr>
        <w:t>preside</w:t>
      </w:r>
      <w:r w:rsidR="00597AB4">
        <w:rPr>
          <w:rFonts w:eastAsia="Calibri"/>
          <w:bCs/>
        </w:rPr>
        <w:t>nta</w:t>
      </w:r>
      <w:r w:rsidRPr="00E14474">
        <w:rPr>
          <w:rFonts w:eastAsia="Calibri"/>
          <w:bCs/>
        </w:rPr>
        <w:t xml:space="preserve"> y secretar</w:t>
      </w:r>
      <w:r w:rsidR="00597AB4">
        <w:rPr>
          <w:rFonts w:eastAsia="Calibri"/>
          <w:bCs/>
        </w:rPr>
        <w:t>io</w:t>
      </w:r>
      <w:r w:rsidRPr="00E14474">
        <w:rPr>
          <w:rFonts w:eastAsia="Calibri"/>
          <w:bCs/>
        </w:rPr>
        <w:t xml:space="preserve"> general del</w:t>
      </w:r>
      <w:r>
        <w:rPr>
          <w:rFonts w:eastAsia="Calibri"/>
          <w:bCs/>
        </w:rPr>
        <w:t xml:space="preserve"> </w:t>
      </w:r>
      <w:r w:rsidRPr="00E14474">
        <w:rPr>
          <w:rFonts w:eastAsia="Calibri"/>
          <w:bCs/>
        </w:rPr>
        <w:t>Comité</w:t>
      </w:r>
      <w:r w:rsidR="00597AB4">
        <w:rPr>
          <w:rFonts w:eastAsia="Calibri"/>
          <w:bCs/>
        </w:rPr>
        <w:t xml:space="preserve"> Directivo Estatal</w:t>
      </w:r>
      <w:r w:rsidRPr="00E14474">
        <w:rPr>
          <w:rFonts w:eastAsia="Calibri"/>
          <w:bCs/>
        </w:rPr>
        <w:t xml:space="preserve">, </w:t>
      </w:r>
      <w:r w:rsidR="00B02A3F">
        <w:rPr>
          <w:rFonts w:eastAsia="Calibri"/>
          <w:bCs/>
        </w:rPr>
        <w:t>porque</w:t>
      </w:r>
      <w:r w:rsidR="00052E94">
        <w:rPr>
          <w:rFonts w:eastAsia="Calibri"/>
          <w:bCs/>
        </w:rPr>
        <w:t xml:space="preserve"> </w:t>
      </w:r>
      <w:r w:rsidR="003747C0">
        <w:rPr>
          <w:rFonts w:eastAsia="Calibri"/>
          <w:bCs/>
        </w:rPr>
        <w:t>no era po</w:t>
      </w:r>
      <w:r w:rsidR="00F06377">
        <w:rPr>
          <w:rFonts w:eastAsia="Calibri"/>
          <w:bCs/>
        </w:rPr>
        <w:t>sible iniciar</w:t>
      </w:r>
      <w:r w:rsidR="00A82FFB">
        <w:rPr>
          <w:rFonts w:eastAsia="Calibri"/>
          <w:bCs/>
        </w:rPr>
        <w:t xml:space="preserve"> el proceso de renovación de la dirigencia</w:t>
      </w:r>
      <w:r w:rsidR="00052E94">
        <w:rPr>
          <w:rFonts w:eastAsia="Calibri"/>
          <w:bCs/>
        </w:rPr>
        <w:t xml:space="preserve">, en atención a que inició el proceso electoral </w:t>
      </w:r>
      <w:r w:rsidR="00052E94" w:rsidRPr="00E14474">
        <w:rPr>
          <w:rFonts w:eastAsia="Calibri"/>
          <w:bCs/>
        </w:rPr>
        <w:t>constitucional 2020-2021</w:t>
      </w:r>
      <w:r w:rsidR="00052E94">
        <w:rPr>
          <w:rFonts w:eastAsia="Calibri"/>
          <w:bCs/>
        </w:rPr>
        <w:t>.</w:t>
      </w:r>
    </w:p>
    <w:p w:rsidR="00597AB4" w:rsidRDefault="00597AB4" w:rsidP="00E14474">
      <w:pPr>
        <w:spacing w:after="0" w:line="360" w:lineRule="auto"/>
        <w:jc w:val="both"/>
        <w:rPr>
          <w:rFonts w:eastAsia="Calibri"/>
          <w:bCs/>
        </w:rPr>
      </w:pPr>
    </w:p>
    <w:p w:rsidR="00597AB4" w:rsidRPr="00E661EC" w:rsidRDefault="00597AB4" w:rsidP="00E14474">
      <w:pPr>
        <w:spacing w:after="0" w:line="360" w:lineRule="auto"/>
        <w:jc w:val="both"/>
        <w:rPr>
          <w:rFonts w:eastAsia="Calibri"/>
          <w:b/>
          <w:bCs/>
        </w:rPr>
      </w:pPr>
      <w:r w:rsidRPr="00E661EC">
        <w:rPr>
          <w:rFonts w:eastAsia="Calibri"/>
          <w:b/>
          <w:bCs/>
        </w:rPr>
        <w:t>II. Impugnación partidista</w:t>
      </w:r>
    </w:p>
    <w:p w:rsidR="00E14474" w:rsidRDefault="00E14474" w:rsidP="00052E94">
      <w:pPr>
        <w:spacing w:after="0" w:line="240" w:lineRule="auto"/>
        <w:jc w:val="both"/>
        <w:rPr>
          <w:rFonts w:eastAsia="Calibri"/>
          <w:bCs/>
        </w:rPr>
      </w:pPr>
    </w:p>
    <w:p w:rsidR="001D28E7" w:rsidRDefault="00030D45" w:rsidP="00E661EC">
      <w:pPr>
        <w:spacing w:after="0" w:line="360" w:lineRule="auto"/>
        <w:jc w:val="both"/>
        <w:rPr>
          <w:rFonts w:eastAsia="Calibri"/>
          <w:bCs/>
        </w:rPr>
      </w:pPr>
      <w:r>
        <w:rPr>
          <w:rFonts w:eastAsia="Calibri"/>
          <w:bCs/>
        </w:rPr>
        <w:t>Inconforme</w:t>
      </w:r>
      <w:r w:rsidR="00597AB4">
        <w:rPr>
          <w:rFonts w:eastAsia="Calibri"/>
          <w:bCs/>
        </w:rPr>
        <w:t>s</w:t>
      </w:r>
      <w:r>
        <w:rPr>
          <w:rFonts w:eastAsia="Calibri"/>
          <w:bCs/>
        </w:rPr>
        <w:t xml:space="preserve">, </w:t>
      </w:r>
      <w:r w:rsidR="00E661EC" w:rsidRPr="00E661EC">
        <w:rPr>
          <w:rFonts w:eastAsia="Calibri"/>
          <w:bCs/>
        </w:rPr>
        <w:t>el 15 de septiembre del 2020 los</w:t>
      </w:r>
      <w:r w:rsidR="00E661EC">
        <w:rPr>
          <w:rFonts w:eastAsia="Calibri"/>
          <w:bCs/>
        </w:rPr>
        <w:t xml:space="preserve"> </w:t>
      </w:r>
      <w:r w:rsidR="00E661EC" w:rsidRPr="008038D6">
        <w:rPr>
          <w:rFonts w:eastAsia="Calibri"/>
          <w:b/>
        </w:rPr>
        <w:t>impugnantes</w:t>
      </w:r>
      <w:r w:rsidR="00E661EC">
        <w:rPr>
          <w:rFonts w:eastAsia="Calibri"/>
          <w:bCs/>
        </w:rPr>
        <w:t xml:space="preserve"> </w:t>
      </w:r>
      <w:r w:rsidR="00E661EC" w:rsidRPr="00B61E9C">
        <w:rPr>
          <w:rFonts w:eastAsia="Calibri"/>
          <w:b/>
          <w:bCs/>
        </w:rPr>
        <w:t>presentaron</w:t>
      </w:r>
      <w:r w:rsidR="00E661EC">
        <w:rPr>
          <w:rFonts w:eastAsia="Calibri"/>
          <w:bCs/>
        </w:rPr>
        <w:t xml:space="preserve"> </w:t>
      </w:r>
      <w:r w:rsidR="00E661EC" w:rsidRPr="005C280A">
        <w:rPr>
          <w:rFonts w:eastAsia="Calibri"/>
          <w:b/>
          <w:bCs/>
        </w:rPr>
        <w:t xml:space="preserve">demanda </w:t>
      </w:r>
      <w:proofErr w:type="spellStart"/>
      <w:r w:rsidR="00E661EC" w:rsidRPr="005C280A">
        <w:rPr>
          <w:rFonts w:eastAsia="Calibri"/>
          <w:b/>
          <w:bCs/>
        </w:rPr>
        <w:t>intrapartidista</w:t>
      </w:r>
      <w:proofErr w:type="spellEnd"/>
      <w:r w:rsidR="00E661EC">
        <w:rPr>
          <w:rFonts w:eastAsia="Calibri"/>
          <w:bCs/>
        </w:rPr>
        <w:t xml:space="preserve">, </w:t>
      </w:r>
      <w:r w:rsidR="008038D6">
        <w:rPr>
          <w:rFonts w:eastAsia="Calibri"/>
          <w:bCs/>
        </w:rPr>
        <w:t>en su oportunidad,</w:t>
      </w:r>
      <w:r w:rsidR="00E661EC">
        <w:rPr>
          <w:rFonts w:eastAsia="Calibri"/>
          <w:bCs/>
        </w:rPr>
        <w:t xml:space="preserve"> </w:t>
      </w:r>
      <w:r w:rsidR="00E661EC" w:rsidRPr="00040F5C">
        <w:rPr>
          <w:rFonts w:eastAsia="Calibri"/>
        </w:rPr>
        <w:t>la Comisión de Justicia</w:t>
      </w:r>
      <w:r w:rsidR="008038D6">
        <w:rPr>
          <w:rFonts w:eastAsia="Calibri"/>
          <w:b/>
        </w:rPr>
        <w:t xml:space="preserve"> </w:t>
      </w:r>
      <w:r w:rsidR="008038D6" w:rsidRPr="00040F5C">
        <w:rPr>
          <w:rFonts w:eastAsia="Calibri"/>
          <w:b/>
          <w:bCs/>
        </w:rPr>
        <w:t>confirmó</w:t>
      </w:r>
      <w:r w:rsidR="00E661EC">
        <w:rPr>
          <w:rFonts w:eastAsia="Calibri"/>
          <w:bCs/>
        </w:rPr>
        <w:t xml:space="preserve"> el acuerdo impugnado</w:t>
      </w:r>
      <w:r w:rsidR="00B61E9C">
        <w:rPr>
          <w:rFonts w:eastAsia="Calibri"/>
          <w:bCs/>
        </w:rPr>
        <w:t>, porque</w:t>
      </w:r>
      <w:r w:rsidR="00222749">
        <w:rPr>
          <w:rFonts w:eastAsia="Calibri"/>
          <w:bCs/>
        </w:rPr>
        <w:t xml:space="preserve">, </w:t>
      </w:r>
      <w:r w:rsidR="00222749" w:rsidRPr="00BB6A9B">
        <w:rPr>
          <w:rFonts w:eastAsia="Calibri"/>
          <w:u w:val="single"/>
        </w:rPr>
        <w:t>por un lado</w:t>
      </w:r>
      <w:r w:rsidR="00222749">
        <w:rPr>
          <w:rFonts w:eastAsia="Calibri"/>
          <w:bCs/>
        </w:rPr>
        <w:t>,</w:t>
      </w:r>
      <w:r w:rsidR="00B61E9C">
        <w:rPr>
          <w:rFonts w:eastAsia="Calibri"/>
          <w:bCs/>
        </w:rPr>
        <w:t xml:space="preserve"> </w:t>
      </w:r>
      <w:r w:rsidR="00EB37DD">
        <w:rPr>
          <w:rFonts w:eastAsia="Calibri"/>
          <w:bCs/>
        </w:rPr>
        <w:t xml:space="preserve">consideró que </w:t>
      </w:r>
      <w:r w:rsidR="00B61E9C">
        <w:rPr>
          <w:rFonts w:eastAsia="Calibri"/>
          <w:bCs/>
        </w:rPr>
        <w:t xml:space="preserve">la </w:t>
      </w:r>
      <w:r w:rsidR="00AE3EE7" w:rsidRPr="00FB5242">
        <w:rPr>
          <w:rFonts w:eastAsia="Calibri"/>
          <w:bCs/>
        </w:rPr>
        <w:t>pr</w:t>
      </w:r>
      <w:r w:rsidR="00AE3EE7">
        <w:rPr>
          <w:rFonts w:eastAsia="Calibri"/>
          <w:bCs/>
        </w:rPr>
        <w:t>ó</w:t>
      </w:r>
      <w:r w:rsidR="00AE3EE7" w:rsidRPr="00FB5242">
        <w:rPr>
          <w:rFonts w:eastAsia="Calibri"/>
          <w:bCs/>
        </w:rPr>
        <w:t xml:space="preserve">rroga </w:t>
      </w:r>
      <w:r w:rsidR="00EB37DD">
        <w:rPr>
          <w:rFonts w:eastAsia="Calibri"/>
          <w:bCs/>
        </w:rPr>
        <w:t xml:space="preserve">otorgada </w:t>
      </w:r>
      <w:r w:rsidR="006E6573">
        <w:rPr>
          <w:rFonts w:eastAsia="Calibri"/>
          <w:bCs/>
        </w:rPr>
        <w:t>a</w:t>
      </w:r>
      <w:r w:rsidR="00B61E9C">
        <w:rPr>
          <w:rFonts w:eastAsia="Calibri"/>
          <w:bCs/>
        </w:rPr>
        <w:t xml:space="preserve"> la dirigencia del Comité Directiv</w:t>
      </w:r>
      <w:r w:rsidR="00472F68">
        <w:rPr>
          <w:rFonts w:eastAsia="Calibri"/>
          <w:bCs/>
        </w:rPr>
        <w:t>o</w:t>
      </w:r>
      <w:r w:rsidR="00B61E9C">
        <w:rPr>
          <w:rFonts w:eastAsia="Calibri"/>
          <w:bCs/>
        </w:rPr>
        <w:t xml:space="preserve"> Estatal era conforme al estatuto del PRI y</w:t>
      </w:r>
      <w:r w:rsidR="00222749">
        <w:rPr>
          <w:rFonts w:eastAsia="Calibri"/>
          <w:bCs/>
        </w:rPr>
        <w:t xml:space="preserve">, </w:t>
      </w:r>
      <w:r w:rsidR="00222749" w:rsidRPr="00BB6A9B">
        <w:rPr>
          <w:rFonts w:eastAsia="Calibri"/>
          <w:u w:val="single"/>
        </w:rPr>
        <w:t>por otro lado</w:t>
      </w:r>
      <w:r w:rsidR="00222749">
        <w:rPr>
          <w:rFonts w:eastAsia="Calibri"/>
          <w:bCs/>
        </w:rPr>
        <w:t xml:space="preserve">, </w:t>
      </w:r>
      <w:r w:rsidR="00BB6A9B">
        <w:rPr>
          <w:rFonts w:eastAsia="Calibri"/>
          <w:bCs/>
        </w:rPr>
        <w:t>determinó que no eran válidos los supuestos nombramientos</w:t>
      </w:r>
      <w:r w:rsidR="00B61E9C">
        <w:rPr>
          <w:rFonts w:eastAsia="Calibri"/>
          <w:bCs/>
        </w:rPr>
        <w:t xml:space="preserve"> de </w:t>
      </w:r>
      <w:r w:rsidR="00BB6A9B">
        <w:t>Armando de la Cruz Uribe</w:t>
      </w:r>
      <w:r w:rsidR="00B61E9C">
        <w:rPr>
          <w:rFonts w:eastAsia="Cambria"/>
        </w:rPr>
        <w:t xml:space="preserve"> como presidente del </w:t>
      </w:r>
      <w:r w:rsidR="00B61E9C">
        <w:t>Comité Directivo Estatal</w:t>
      </w:r>
      <w:r w:rsidR="00BB6A9B">
        <w:t xml:space="preserve">, y a Laura Chávez López como secretaria general, porque no </w:t>
      </w:r>
      <w:r w:rsidR="00BB6A9B">
        <w:rPr>
          <w:rFonts w:eastAsia="Calibri"/>
          <w:bCs/>
        </w:rPr>
        <w:t>se realizaron</w:t>
      </w:r>
      <w:r w:rsidR="00B61E9C">
        <w:t xml:space="preserve"> </w:t>
      </w:r>
      <w:r w:rsidR="00EB37DD">
        <w:t xml:space="preserve">de acuerdo a las </w:t>
      </w:r>
      <w:r w:rsidR="00BB6A9B">
        <w:t>normas estatutarias</w:t>
      </w:r>
      <w:r w:rsidR="002103C9" w:rsidRPr="00CA661A">
        <w:rPr>
          <w:rFonts w:eastAsia="Calibri"/>
          <w:bCs/>
        </w:rPr>
        <w:t>.</w:t>
      </w:r>
    </w:p>
    <w:p w:rsidR="00B61E9C" w:rsidRDefault="00B61E9C" w:rsidP="00E661EC">
      <w:pPr>
        <w:spacing w:after="0" w:line="360" w:lineRule="auto"/>
        <w:jc w:val="both"/>
        <w:rPr>
          <w:rFonts w:eastAsia="Calibri"/>
          <w:bCs/>
        </w:rPr>
      </w:pPr>
    </w:p>
    <w:p w:rsidR="00B61E9C" w:rsidRPr="00B61E9C" w:rsidRDefault="00B61E9C" w:rsidP="00E661EC">
      <w:pPr>
        <w:spacing w:after="0" w:line="360" w:lineRule="auto"/>
        <w:jc w:val="both"/>
        <w:rPr>
          <w:rFonts w:eastAsia="Calibri"/>
          <w:b/>
          <w:bCs/>
        </w:rPr>
      </w:pPr>
      <w:r w:rsidRPr="00B61E9C">
        <w:rPr>
          <w:rFonts w:eastAsia="Calibri"/>
          <w:b/>
          <w:bCs/>
        </w:rPr>
        <w:t>III. Juicio ciudadano local</w:t>
      </w:r>
    </w:p>
    <w:p w:rsidR="00B61E9C" w:rsidRDefault="00B61E9C" w:rsidP="00E661EC">
      <w:pPr>
        <w:spacing w:after="0" w:line="360" w:lineRule="auto"/>
        <w:jc w:val="both"/>
        <w:rPr>
          <w:rFonts w:eastAsia="Calibri"/>
          <w:bCs/>
        </w:rPr>
      </w:pPr>
    </w:p>
    <w:p w:rsidR="006E6573" w:rsidRPr="006E6573" w:rsidRDefault="00EB37DD" w:rsidP="00F033A1">
      <w:pPr>
        <w:spacing w:after="0" w:line="360" w:lineRule="auto"/>
        <w:jc w:val="both"/>
      </w:pPr>
      <w:r w:rsidRPr="00EB37DD">
        <w:rPr>
          <w:rFonts w:eastAsia="Calibri"/>
          <w:b/>
          <w:bCs/>
        </w:rPr>
        <w:t>1</w:t>
      </w:r>
      <w:r w:rsidR="00E14474">
        <w:rPr>
          <w:rFonts w:eastAsia="Calibri"/>
          <w:bCs/>
        </w:rPr>
        <w:t>. E</w:t>
      </w:r>
      <w:r w:rsidR="00E60D96">
        <w:rPr>
          <w:rFonts w:eastAsia="Calibri"/>
          <w:bCs/>
        </w:rPr>
        <w:t>n</w:t>
      </w:r>
      <w:r w:rsidR="00B61E9C">
        <w:rPr>
          <w:rFonts w:eastAsia="Calibri"/>
          <w:bCs/>
        </w:rPr>
        <w:t xml:space="preserve"> desacuerdo</w:t>
      </w:r>
      <w:r w:rsidR="00605BC4">
        <w:rPr>
          <w:rFonts w:eastAsia="Calibri"/>
          <w:bCs/>
        </w:rPr>
        <w:t xml:space="preserve">, </w:t>
      </w:r>
      <w:r w:rsidR="00B61E9C">
        <w:rPr>
          <w:rFonts w:eastAsia="Calibri"/>
          <w:bCs/>
        </w:rPr>
        <w:t xml:space="preserve">los </w:t>
      </w:r>
      <w:r w:rsidR="00B61E9C" w:rsidRPr="00605BC4">
        <w:rPr>
          <w:rFonts w:eastAsia="Calibri"/>
          <w:b/>
        </w:rPr>
        <w:t>impugnantes</w:t>
      </w:r>
      <w:r w:rsidR="00B61E9C">
        <w:rPr>
          <w:rFonts w:eastAsia="Calibri"/>
          <w:bCs/>
        </w:rPr>
        <w:t xml:space="preserve"> </w:t>
      </w:r>
      <w:r w:rsidR="00B61E9C" w:rsidRPr="005C280A">
        <w:rPr>
          <w:rFonts w:eastAsia="Calibri"/>
          <w:b/>
          <w:bCs/>
        </w:rPr>
        <w:t>promovieron</w:t>
      </w:r>
      <w:r w:rsidR="00B61E9C">
        <w:rPr>
          <w:rFonts w:eastAsia="Calibri"/>
          <w:bCs/>
        </w:rPr>
        <w:t xml:space="preserve"> </w:t>
      </w:r>
      <w:r w:rsidR="00B61E9C" w:rsidRPr="005C280A">
        <w:rPr>
          <w:rFonts w:eastAsia="Calibri"/>
          <w:b/>
          <w:bCs/>
        </w:rPr>
        <w:t xml:space="preserve">juicio ciudadano </w:t>
      </w:r>
      <w:r w:rsidR="006E6573">
        <w:rPr>
          <w:rFonts w:eastAsia="Calibri"/>
          <w:bCs/>
        </w:rPr>
        <w:t>ante el Tribunal de Guanajuato, porque</w:t>
      </w:r>
      <w:r w:rsidR="00605BC4">
        <w:rPr>
          <w:rFonts w:eastAsia="Calibri"/>
          <w:bCs/>
        </w:rPr>
        <w:t>,</w:t>
      </w:r>
      <w:r w:rsidR="006E6573">
        <w:rPr>
          <w:rFonts w:eastAsia="Calibri"/>
          <w:bCs/>
        </w:rPr>
        <w:t xml:space="preserve"> en su concepto, </w:t>
      </w:r>
      <w:r w:rsidR="00F37844">
        <w:rPr>
          <w:rFonts w:eastAsia="Calibri"/>
          <w:bCs/>
        </w:rPr>
        <w:t xml:space="preserve">la Comisión de Justicia </w:t>
      </w:r>
      <w:r w:rsidR="007930B6">
        <w:rPr>
          <w:rFonts w:eastAsia="Calibri"/>
          <w:bCs/>
        </w:rPr>
        <w:t xml:space="preserve">debió determinar, </w:t>
      </w:r>
      <w:r w:rsidR="006E6573">
        <w:rPr>
          <w:rFonts w:eastAsia="Calibri"/>
          <w:bCs/>
        </w:rPr>
        <w:t>entre otras cuestiones</w:t>
      </w:r>
      <w:r w:rsidR="007F7983">
        <w:rPr>
          <w:rFonts w:eastAsia="Calibri"/>
          <w:bCs/>
        </w:rPr>
        <w:t>, que</w:t>
      </w:r>
      <w:r w:rsidR="00A7163D">
        <w:rPr>
          <w:rFonts w:eastAsia="Calibri"/>
          <w:bCs/>
        </w:rPr>
        <w:t xml:space="preserve">: </w:t>
      </w:r>
      <w:r w:rsidR="00A7163D">
        <w:rPr>
          <w:rFonts w:eastAsia="Calibri"/>
          <w:b/>
        </w:rPr>
        <w:t xml:space="preserve">i. </w:t>
      </w:r>
      <w:r w:rsidR="007F7983">
        <w:rPr>
          <w:rFonts w:eastAsia="Calibri"/>
          <w:bCs/>
        </w:rPr>
        <w:t xml:space="preserve">no se expresaron las causas o supuesto que ocasionaron la autorización de la </w:t>
      </w:r>
      <w:r w:rsidR="00AE3EE7">
        <w:rPr>
          <w:rFonts w:eastAsia="Calibri"/>
          <w:bCs/>
        </w:rPr>
        <w:t>prórroga</w:t>
      </w:r>
      <w:r w:rsidR="007F7983">
        <w:rPr>
          <w:rFonts w:eastAsia="Calibri"/>
          <w:bCs/>
        </w:rPr>
        <w:t xml:space="preserve"> </w:t>
      </w:r>
      <w:r w:rsidR="007930B6">
        <w:rPr>
          <w:rFonts w:eastAsia="Calibri"/>
          <w:bCs/>
        </w:rPr>
        <w:t xml:space="preserve">de </w:t>
      </w:r>
      <w:r w:rsidR="005E3AE1" w:rsidRPr="00E14474">
        <w:rPr>
          <w:rFonts w:eastAsia="Calibri"/>
          <w:bCs/>
        </w:rPr>
        <w:t>vigencia</w:t>
      </w:r>
      <w:r w:rsidR="005E3AE1">
        <w:rPr>
          <w:rFonts w:eastAsia="Calibri"/>
          <w:bCs/>
        </w:rPr>
        <w:t xml:space="preserve"> </w:t>
      </w:r>
      <w:r w:rsidR="005E3AE1" w:rsidRPr="00E14474">
        <w:rPr>
          <w:rFonts w:eastAsia="Calibri"/>
          <w:bCs/>
        </w:rPr>
        <w:t>de la dirigencia estatal</w:t>
      </w:r>
      <w:r w:rsidR="007F7983">
        <w:rPr>
          <w:rFonts w:eastAsia="Calibri"/>
          <w:bCs/>
        </w:rPr>
        <w:t xml:space="preserve">, </w:t>
      </w:r>
      <w:r w:rsidR="009C22A1">
        <w:rPr>
          <w:rFonts w:eastAsia="Calibri"/>
          <w:b/>
        </w:rPr>
        <w:t>ii.</w:t>
      </w:r>
      <w:r w:rsidR="006E6573">
        <w:rPr>
          <w:rFonts w:eastAsia="Calibri"/>
          <w:b/>
        </w:rPr>
        <w:t xml:space="preserve"> </w:t>
      </w:r>
      <w:r w:rsidR="00F437B1">
        <w:rPr>
          <w:rFonts w:eastAsia="Calibri"/>
          <w:bCs/>
        </w:rPr>
        <w:t xml:space="preserve">el nombramiento </w:t>
      </w:r>
      <w:r w:rsidR="00BF17EC">
        <w:rPr>
          <w:rFonts w:eastAsia="Calibri"/>
          <w:bCs/>
        </w:rPr>
        <w:t>de</w:t>
      </w:r>
      <w:r w:rsidR="007C1EE2">
        <w:rPr>
          <w:rFonts w:eastAsia="Calibri"/>
          <w:bCs/>
        </w:rPr>
        <w:t xml:space="preserve"> </w:t>
      </w:r>
      <w:r w:rsidR="007C1EE2">
        <w:t>Armando de la Cruz Uribe</w:t>
      </w:r>
      <w:r w:rsidR="007C1EE2">
        <w:rPr>
          <w:rFonts w:eastAsia="Cambria"/>
        </w:rPr>
        <w:t xml:space="preserve"> como presidente del </w:t>
      </w:r>
      <w:r w:rsidR="007C1EE2">
        <w:t xml:space="preserve">Comité Directivo Estatal, y a Laura Chávez López como secretaria general, </w:t>
      </w:r>
      <w:r w:rsidR="00F437B1">
        <w:t>era</w:t>
      </w:r>
      <w:r w:rsidR="007C1EE2">
        <w:t>n</w:t>
      </w:r>
      <w:r w:rsidR="00F437B1">
        <w:t xml:space="preserve"> válido</w:t>
      </w:r>
      <w:r w:rsidR="007C1EE2">
        <w:t xml:space="preserve">s, porque no fueron controvertidos, y </w:t>
      </w:r>
      <w:r w:rsidR="007C1EE2">
        <w:rPr>
          <w:b/>
          <w:bCs/>
        </w:rPr>
        <w:t xml:space="preserve">iii. </w:t>
      </w:r>
      <w:r w:rsidR="00C82EAF">
        <w:t xml:space="preserve">finalmente, en todo </w:t>
      </w:r>
      <w:r w:rsidR="00C82EAF">
        <w:lastRenderedPageBreak/>
        <w:t xml:space="preserve">caso, </w:t>
      </w:r>
      <w:r w:rsidR="006E6573">
        <w:t xml:space="preserve">no les fue notificado personalmente el nombramiento de Ruth Noemí Tiscareño </w:t>
      </w:r>
      <w:proofErr w:type="spellStart"/>
      <w:r w:rsidR="006E6573">
        <w:t>Agoitia</w:t>
      </w:r>
      <w:proofErr w:type="spellEnd"/>
      <w:r w:rsidR="006E6573">
        <w:t xml:space="preserve"> como presidenta y Alejandro Arias Ávila como secretario general del Comité Directivo Estatal.</w:t>
      </w:r>
    </w:p>
    <w:p w:rsidR="00F033A1" w:rsidRPr="006B038E" w:rsidRDefault="00F033A1" w:rsidP="00F033A1">
      <w:pPr>
        <w:spacing w:after="0" w:line="360" w:lineRule="auto"/>
        <w:jc w:val="both"/>
        <w:rPr>
          <w:rFonts w:eastAsia="Calibri"/>
          <w:bCs/>
        </w:rPr>
      </w:pPr>
    </w:p>
    <w:p w:rsidR="00C62D3E" w:rsidRDefault="00D11B35" w:rsidP="00D11B35">
      <w:pPr>
        <w:spacing w:after="0" w:line="360" w:lineRule="auto"/>
        <w:jc w:val="both"/>
        <w:rPr>
          <w:bCs/>
          <w:lang w:val="es-ES"/>
        </w:rPr>
      </w:pPr>
      <w:r w:rsidRPr="00F57102">
        <w:rPr>
          <w:b/>
          <w:lang w:val="es-ES"/>
        </w:rPr>
        <w:t>2.</w:t>
      </w:r>
      <w:r>
        <w:rPr>
          <w:bCs/>
          <w:lang w:val="es-ES"/>
        </w:rPr>
        <w:t xml:space="preserve"> El </w:t>
      </w:r>
      <w:r w:rsidR="00592258">
        <w:rPr>
          <w:bCs/>
          <w:lang w:val="es-ES"/>
        </w:rPr>
        <w:t>2</w:t>
      </w:r>
      <w:r w:rsidR="001634AC">
        <w:rPr>
          <w:bCs/>
          <w:lang w:val="es-ES"/>
        </w:rPr>
        <w:t>8</w:t>
      </w:r>
      <w:r>
        <w:rPr>
          <w:bCs/>
          <w:lang w:val="es-ES"/>
        </w:rPr>
        <w:t xml:space="preserve"> de abril, el </w:t>
      </w:r>
      <w:r w:rsidRPr="00EF6E1D">
        <w:rPr>
          <w:b/>
          <w:lang w:val="es-ES"/>
        </w:rPr>
        <w:t>Tribunal de</w:t>
      </w:r>
      <w:r w:rsidR="00EB37DD">
        <w:rPr>
          <w:b/>
          <w:lang w:val="es-ES"/>
        </w:rPr>
        <w:t xml:space="preserve"> Guanajuato</w:t>
      </w:r>
      <w:r w:rsidR="00724B64">
        <w:rPr>
          <w:bCs/>
          <w:lang w:val="es-ES"/>
        </w:rPr>
        <w:t xml:space="preserve"> </w:t>
      </w:r>
      <w:r w:rsidR="00EB37DD">
        <w:rPr>
          <w:b/>
          <w:lang w:val="es-ES"/>
        </w:rPr>
        <w:t xml:space="preserve">confirmó </w:t>
      </w:r>
      <w:r w:rsidR="00EB37DD" w:rsidRPr="00EB37DD">
        <w:rPr>
          <w:lang w:val="es-ES"/>
        </w:rPr>
        <w:t xml:space="preserve">la resolución de la Comisión de Justicia </w:t>
      </w:r>
      <w:r w:rsidR="00AA4B49" w:rsidRPr="00EB37DD">
        <w:rPr>
          <w:lang w:val="es-ES"/>
        </w:rPr>
        <w:t>que,</w:t>
      </w:r>
      <w:r w:rsidR="00EB37DD" w:rsidRPr="00EB37DD">
        <w:rPr>
          <w:lang w:val="es-ES"/>
        </w:rPr>
        <w:t xml:space="preserve"> a su vez, confirmó el acuerdo que</w:t>
      </w:r>
      <w:r w:rsidR="00EB37DD" w:rsidRPr="00EB37DD">
        <w:rPr>
          <w:rFonts w:eastAsia="Calibri"/>
          <w:bCs/>
        </w:rPr>
        <w:t xml:space="preserve"> </w:t>
      </w:r>
      <w:r w:rsidR="00EB37DD" w:rsidRPr="00E14474">
        <w:rPr>
          <w:rFonts w:eastAsia="Calibri"/>
          <w:bCs/>
        </w:rPr>
        <w:t>autorizó una prórroga a la vigencia</w:t>
      </w:r>
      <w:r w:rsidR="00EB37DD">
        <w:rPr>
          <w:rFonts w:eastAsia="Calibri"/>
          <w:bCs/>
        </w:rPr>
        <w:t xml:space="preserve"> </w:t>
      </w:r>
      <w:r w:rsidR="00EB37DD" w:rsidRPr="00E14474">
        <w:rPr>
          <w:rFonts w:eastAsia="Calibri"/>
          <w:bCs/>
        </w:rPr>
        <w:t xml:space="preserve">de la dirigencia estatal de Ruth Noemí Tiscareño </w:t>
      </w:r>
      <w:proofErr w:type="spellStart"/>
      <w:r w:rsidR="00EB37DD" w:rsidRPr="00E14474">
        <w:rPr>
          <w:rFonts w:eastAsia="Calibri"/>
          <w:bCs/>
        </w:rPr>
        <w:t>Agoitia</w:t>
      </w:r>
      <w:proofErr w:type="spellEnd"/>
      <w:r w:rsidR="00EB37DD" w:rsidRPr="00E14474">
        <w:rPr>
          <w:rFonts w:eastAsia="Calibri"/>
          <w:bCs/>
        </w:rPr>
        <w:t xml:space="preserve"> y Alejandro</w:t>
      </w:r>
      <w:r w:rsidR="00EB37DD">
        <w:rPr>
          <w:rFonts w:eastAsia="Calibri"/>
          <w:bCs/>
        </w:rPr>
        <w:t xml:space="preserve"> </w:t>
      </w:r>
      <w:r w:rsidR="00EB37DD" w:rsidRPr="00E14474">
        <w:rPr>
          <w:rFonts w:eastAsia="Calibri"/>
          <w:bCs/>
        </w:rPr>
        <w:t xml:space="preserve">Arias Ávila </w:t>
      </w:r>
      <w:r w:rsidR="00EB37DD">
        <w:rPr>
          <w:rFonts w:eastAsia="Calibri"/>
          <w:bCs/>
        </w:rPr>
        <w:t xml:space="preserve">como </w:t>
      </w:r>
      <w:r w:rsidR="00EB37DD" w:rsidRPr="00E14474">
        <w:rPr>
          <w:rFonts w:eastAsia="Calibri"/>
          <w:bCs/>
        </w:rPr>
        <w:t>preside</w:t>
      </w:r>
      <w:r w:rsidR="00EB37DD">
        <w:rPr>
          <w:rFonts w:eastAsia="Calibri"/>
          <w:bCs/>
        </w:rPr>
        <w:t>nta</w:t>
      </w:r>
      <w:r w:rsidR="00EB37DD" w:rsidRPr="00E14474">
        <w:rPr>
          <w:rFonts w:eastAsia="Calibri"/>
          <w:bCs/>
        </w:rPr>
        <w:t xml:space="preserve"> y secretar</w:t>
      </w:r>
      <w:r w:rsidR="00EB37DD">
        <w:rPr>
          <w:rFonts w:eastAsia="Calibri"/>
          <w:bCs/>
        </w:rPr>
        <w:t>io</w:t>
      </w:r>
      <w:r w:rsidR="00EB37DD" w:rsidRPr="00E14474">
        <w:rPr>
          <w:rFonts w:eastAsia="Calibri"/>
          <w:bCs/>
        </w:rPr>
        <w:t xml:space="preserve"> general del</w:t>
      </w:r>
      <w:r w:rsidR="00EB37DD">
        <w:rPr>
          <w:rFonts w:eastAsia="Calibri"/>
          <w:bCs/>
        </w:rPr>
        <w:t xml:space="preserve"> </w:t>
      </w:r>
      <w:r w:rsidR="00EB37DD" w:rsidRPr="00E14474">
        <w:rPr>
          <w:rFonts w:eastAsia="Calibri"/>
          <w:bCs/>
        </w:rPr>
        <w:t>Comité</w:t>
      </w:r>
      <w:r w:rsidR="00EB37DD">
        <w:rPr>
          <w:rFonts w:eastAsia="Calibri"/>
          <w:bCs/>
        </w:rPr>
        <w:t xml:space="preserve"> Directivo Estatal</w:t>
      </w:r>
      <w:r w:rsidR="00724B64" w:rsidRPr="00592258">
        <w:rPr>
          <w:bCs/>
          <w:lang w:val="es-ES"/>
        </w:rPr>
        <w:t xml:space="preserve">, </w:t>
      </w:r>
      <w:r w:rsidR="00724B64" w:rsidRPr="00724B64">
        <w:rPr>
          <w:bCs/>
          <w:lang w:val="es-ES"/>
        </w:rPr>
        <w:t>en los términos que se precisan al inicio del apartado siguiente, el cual constituye la determinación impugnada en el actual juicio.</w:t>
      </w:r>
    </w:p>
    <w:p w:rsidR="00225086" w:rsidRPr="00216ACE" w:rsidRDefault="00225086" w:rsidP="00474FF6">
      <w:pPr>
        <w:pStyle w:val="Prrafodelista"/>
        <w:tabs>
          <w:tab w:val="left" w:pos="5461"/>
        </w:tabs>
        <w:spacing w:after="0" w:line="240" w:lineRule="auto"/>
        <w:ind w:left="0"/>
        <w:jc w:val="both"/>
        <w:rPr>
          <w:bCs/>
        </w:rPr>
      </w:pPr>
    </w:p>
    <w:p w:rsidR="00225086" w:rsidRPr="00216ACE" w:rsidRDefault="00225086" w:rsidP="00225086">
      <w:pPr>
        <w:pStyle w:val="Ttulo1"/>
        <w:spacing w:before="0" w:beforeAutospacing="0" w:after="0" w:afterAutospacing="0" w:line="240" w:lineRule="auto"/>
        <w:jc w:val="center"/>
        <w:rPr>
          <w:rFonts w:eastAsia="BatangChe" w:cs="Arial"/>
          <w:szCs w:val="24"/>
        </w:rPr>
      </w:pPr>
      <w:bookmarkStart w:id="10" w:name="_Toc71533629"/>
      <w:r w:rsidRPr="00216ACE">
        <w:rPr>
          <w:rFonts w:eastAsia="Times New Roman" w:cs="Arial"/>
          <w:caps w:val="0"/>
          <w:szCs w:val="24"/>
        </w:rPr>
        <w:t>Estudio de fondo</w:t>
      </w:r>
      <w:bookmarkEnd w:id="10"/>
    </w:p>
    <w:p w:rsidR="00225086" w:rsidRPr="00216ACE" w:rsidRDefault="00225086" w:rsidP="00225086">
      <w:pPr>
        <w:spacing w:after="0" w:line="240" w:lineRule="auto"/>
        <w:contextualSpacing/>
        <w:rPr>
          <w:lang w:eastAsia="es-MX"/>
        </w:rPr>
      </w:pPr>
    </w:p>
    <w:p w:rsidR="00225086" w:rsidRPr="00216ACE" w:rsidRDefault="00225086" w:rsidP="00225086">
      <w:pPr>
        <w:pStyle w:val="Ttulo2"/>
        <w:spacing w:before="0" w:line="240" w:lineRule="auto"/>
        <w:contextualSpacing/>
        <w:rPr>
          <w:rFonts w:ascii="Arial" w:hAnsi="Arial" w:cs="Arial"/>
          <w:color w:val="auto"/>
          <w:sz w:val="24"/>
          <w:szCs w:val="24"/>
        </w:rPr>
      </w:pPr>
      <w:bookmarkStart w:id="11" w:name="_Toc55305688"/>
      <w:bookmarkStart w:id="12" w:name="_Toc56220983"/>
      <w:bookmarkStart w:id="13" w:name="_Toc71533630"/>
      <w:r w:rsidRPr="00216ACE">
        <w:rPr>
          <w:rFonts w:ascii="Arial" w:hAnsi="Arial" w:cs="Arial"/>
          <w:color w:val="auto"/>
          <w:sz w:val="24"/>
          <w:szCs w:val="24"/>
          <w:u w:val="single"/>
        </w:rPr>
        <w:t>Apartado preliminar</w:t>
      </w:r>
      <w:r w:rsidRPr="00731CBA">
        <w:rPr>
          <w:rFonts w:ascii="Arial" w:hAnsi="Arial" w:cs="Arial"/>
          <w:color w:val="auto"/>
          <w:sz w:val="24"/>
          <w:szCs w:val="24"/>
        </w:rPr>
        <w:t xml:space="preserve">. </w:t>
      </w:r>
      <w:r>
        <w:rPr>
          <w:rFonts w:ascii="Arial" w:hAnsi="Arial" w:cs="Arial"/>
          <w:color w:val="auto"/>
          <w:sz w:val="24"/>
          <w:szCs w:val="24"/>
        </w:rPr>
        <w:t>M</w:t>
      </w:r>
      <w:r w:rsidRPr="00216ACE">
        <w:rPr>
          <w:rFonts w:ascii="Arial" w:hAnsi="Arial" w:cs="Arial"/>
          <w:color w:val="auto"/>
          <w:sz w:val="24"/>
          <w:szCs w:val="24"/>
        </w:rPr>
        <w:t xml:space="preserve">ateria de </w:t>
      </w:r>
      <w:r w:rsidR="00EF6E1D">
        <w:rPr>
          <w:rFonts w:ascii="Arial" w:hAnsi="Arial" w:cs="Arial"/>
          <w:color w:val="auto"/>
          <w:sz w:val="24"/>
          <w:szCs w:val="24"/>
        </w:rPr>
        <w:t xml:space="preserve">la </w:t>
      </w:r>
      <w:r w:rsidRPr="00216ACE">
        <w:rPr>
          <w:rFonts w:ascii="Arial" w:hAnsi="Arial" w:cs="Arial"/>
          <w:color w:val="auto"/>
          <w:sz w:val="24"/>
          <w:szCs w:val="24"/>
        </w:rPr>
        <w:t>controversia</w:t>
      </w:r>
      <w:bookmarkEnd w:id="11"/>
      <w:bookmarkEnd w:id="12"/>
      <w:bookmarkEnd w:id="13"/>
    </w:p>
    <w:p w:rsidR="00225086" w:rsidRPr="00216ACE" w:rsidRDefault="00225086" w:rsidP="00225086">
      <w:pPr>
        <w:pStyle w:val="Prrafodelista"/>
        <w:tabs>
          <w:tab w:val="left" w:pos="5461"/>
        </w:tabs>
        <w:spacing w:after="0" w:line="240" w:lineRule="auto"/>
        <w:ind w:left="0"/>
        <w:jc w:val="both"/>
        <w:rPr>
          <w:bCs/>
        </w:rPr>
      </w:pPr>
    </w:p>
    <w:p w:rsidR="00466E8C" w:rsidRDefault="00225086" w:rsidP="00225086">
      <w:pPr>
        <w:spacing w:after="0" w:line="360" w:lineRule="auto"/>
        <w:jc w:val="both"/>
        <w:rPr>
          <w:lang w:val="es-ES"/>
        </w:rPr>
      </w:pPr>
      <w:r>
        <w:rPr>
          <w:b/>
          <w:bCs/>
        </w:rPr>
        <w:t>1</w:t>
      </w:r>
      <w:r w:rsidRPr="00216ACE">
        <w:rPr>
          <w:b/>
        </w:rPr>
        <w:t xml:space="preserve">. </w:t>
      </w:r>
      <w:r>
        <w:rPr>
          <w:b/>
        </w:rPr>
        <w:t>En la resolución</w:t>
      </w:r>
      <w:r w:rsidRPr="00216ACE">
        <w:rPr>
          <w:b/>
        </w:rPr>
        <w:t xml:space="preserve"> </w:t>
      </w:r>
      <w:r w:rsidRPr="00A01F83">
        <w:rPr>
          <w:b/>
        </w:rPr>
        <w:t>impugnada</w:t>
      </w:r>
      <w:r w:rsidR="00A44404" w:rsidRPr="00EF6E1D">
        <w:rPr>
          <w:bCs/>
        </w:rPr>
        <w:t>,</w:t>
      </w:r>
      <w:r w:rsidRPr="00EF6E1D">
        <w:rPr>
          <w:bCs/>
        </w:rPr>
        <w:t xml:space="preserve"> </w:t>
      </w:r>
      <w:r w:rsidR="00C14847">
        <w:rPr>
          <w:bCs/>
        </w:rPr>
        <w:t xml:space="preserve">el </w:t>
      </w:r>
      <w:r w:rsidR="000D2F9E" w:rsidRPr="0076113F">
        <w:rPr>
          <w:rFonts w:eastAsia="Calibri"/>
        </w:rPr>
        <w:t xml:space="preserve">Tribunal </w:t>
      </w:r>
      <w:r w:rsidR="000D2F9E">
        <w:rPr>
          <w:rFonts w:eastAsia="Calibri"/>
        </w:rPr>
        <w:t>d</w:t>
      </w:r>
      <w:r w:rsidR="000D2F9E" w:rsidRPr="0076113F">
        <w:rPr>
          <w:rFonts w:eastAsia="Calibri"/>
        </w:rPr>
        <w:t xml:space="preserve">e </w:t>
      </w:r>
      <w:r w:rsidR="000D2F9E">
        <w:rPr>
          <w:rFonts w:eastAsia="Calibri"/>
        </w:rPr>
        <w:t xml:space="preserve">Guanajuato </w:t>
      </w:r>
      <w:r w:rsidR="000D2F9E" w:rsidRPr="0026172D">
        <w:rPr>
          <w:bCs/>
        </w:rPr>
        <w:t>confirmó</w:t>
      </w:r>
      <w:r w:rsidR="000D2F9E">
        <w:rPr>
          <w:b/>
          <w:bCs/>
        </w:rPr>
        <w:t xml:space="preserve"> </w:t>
      </w:r>
      <w:r w:rsidR="000D2F9E" w:rsidRPr="00EB37DD">
        <w:rPr>
          <w:lang w:val="es-ES"/>
        </w:rPr>
        <w:t>la resolución de la Comisión de Justicia</w:t>
      </w:r>
      <w:r w:rsidR="000D2F9E">
        <w:rPr>
          <w:lang w:val="es-ES"/>
        </w:rPr>
        <w:t xml:space="preserve"> del PRI</w:t>
      </w:r>
      <w:r w:rsidR="000D2F9E" w:rsidRPr="00EB37DD">
        <w:rPr>
          <w:lang w:val="es-ES"/>
        </w:rPr>
        <w:t>, que a su vez confirmó</w:t>
      </w:r>
      <w:r w:rsidR="000D2F9E">
        <w:rPr>
          <w:lang w:val="es-ES"/>
        </w:rPr>
        <w:t xml:space="preserve"> la determinación del Comité Ejecutivo Nacional </w:t>
      </w:r>
      <w:r w:rsidR="000D2F9E" w:rsidRPr="00EB37DD">
        <w:rPr>
          <w:lang w:val="es-ES"/>
        </w:rPr>
        <w:t>que</w:t>
      </w:r>
      <w:r w:rsidR="000D2F9E" w:rsidRPr="00EB37DD">
        <w:rPr>
          <w:rFonts w:eastAsia="Calibri"/>
          <w:bCs/>
        </w:rPr>
        <w:t xml:space="preserve"> </w:t>
      </w:r>
      <w:r w:rsidR="000D2F9E" w:rsidRPr="00E14474">
        <w:rPr>
          <w:rFonts w:eastAsia="Calibri"/>
          <w:bCs/>
        </w:rPr>
        <w:t>autorizó una prórroga a la vigencia</w:t>
      </w:r>
      <w:r w:rsidR="000D2F9E">
        <w:rPr>
          <w:rFonts w:eastAsia="Calibri"/>
          <w:bCs/>
        </w:rPr>
        <w:t xml:space="preserve"> </w:t>
      </w:r>
      <w:r w:rsidR="000D2F9E" w:rsidRPr="00E14474">
        <w:rPr>
          <w:rFonts w:eastAsia="Calibri"/>
          <w:bCs/>
        </w:rPr>
        <w:t>de la dirigencia estatal del</w:t>
      </w:r>
      <w:r w:rsidR="000D2F9E">
        <w:rPr>
          <w:rFonts w:eastAsia="Calibri"/>
          <w:bCs/>
        </w:rPr>
        <w:t xml:space="preserve"> </w:t>
      </w:r>
      <w:r w:rsidR="000D2F9E" w:rsidRPr="00E14474">
        <w:rPr>
          <w:rFonts w:eastAsia="Calibri"/>
          <w:bCs/>
        </w:rPr>
        <w:t>Comité</w:t>
      </w:r>
      <w:r w:rsidR="000D2F9E">
        <w:rPr>
          <w:rFonts w:eastAsia="Calibri"/>
          <w:bCs/>
        </w:rPr>
        <w:t xml:space="preserve"> Directivo Estatal del PRI en Guanajuato</w:t>
      </w:r>
      <w:r w:rsidR="0076590B">
        <w:rPr>
          <w:rFonts w:eastAsia="Calibri"/>
          <w:bCs/>
        </w:rPr>
        <w:t xml:space="preserve">, </w:t>
      </w:r>
      <w:r w:rsidR="00CA4875">
        <w:rPr>
          <w:rFonts w:eastAsia="Calibri"/>
          <w:bCs/>
        </w:rPr>
        <w:t>porque</w:t>
      </w:r>
      <w:r w:rsidR="009F1A7D">
        <w:rPr>
          <w:rFonts w:eastAsia="Calibri"/>
          <w:bCs/>
        </w:rPr>
        <w:t xml:space="preserve">, </w:t>
      </w:r>
      <w:r w:rsidR="005863EB" w:rsidRPr="005863EB">
        <w:rPr>
          <w:rFonts w:eastAsia="Calibri"/>
          <w:bCs/>
          <w:u w:val="single"/>
        </w:rPr>
        <w:t>por un lado</w:t>
      </w:r>
      <w:r w:rsidR="005863EB">
        <w:rPr>
          <w:rFonts w:eastAsia="Calibri"/>
          <w:bCs/>
        </w:rPr>
        <w:t xml:space="preserve">, los inconformes </w:t>
      </w:r>
      <w:r w:rsidR="005863EB">
        <w:rPr>
          <w:lang w:val="es-ES"/>
        </w:rPr>
        <w:t xml:space="preserve">no tenían razón en cuanto a que no se precisaron cuáles fueron las causas que llevaron a ampliar el período de la dirigencia estatal del PRI en Guanajuato, </w:t>
      </w:r>
      <w:r w:rsidR="004C5EAD">
        <w:rPr>
          <w:lang w:val="es-ES"/>
        </w:rPr>
        <w:t xml:space="preserve">y, </w:t>
      </w:r>
      <w:r w:rsidR="004C5EAD" w:rsidRPr="004C5EAD">
        <w:rPr>
          <w:u w:val="single"/>
          <w:lang w:val="es-ES"/>
        </w:rPr>
        <w:t>por otro lado</w:t>
      </w:r>
      <w:r w:rsidR="004C5EAD">
        <w:rPr>
          <w:lang w:val="es-ES"/>
        </w:rPr>
        <w:t xml:space="preserve">, </w:t>
      </w:r>
      <w:r w:rsidR="000C794B">
        <w:rPr>
          <w:lang w:val="es-ES"/>
        </w:rPr>
        <w:t>declaró la ineficacia</w:t>
      </w:r>
      <w:r w:rsidR="009C561A">
        <w:rPr>
          <w:lang w:val="es-ES"/>
        </w:rPr>
        <w:t>, entre otras cuestiones,</w:t>
      </w:r>
      <w:r w:rsidR="000C794B">
        <w:rPr>
          <w:lang w:val="es-ES"/>
        </w:rPr>
        <w:t xml:space="preserve"> del argumento relacionado </w:t>
      </w:r>
      <w:r w:rsidR="00562389">
        <w:rPr>
          <w:lang w:val="es-ES"/>
        </w:rPr>
        <w:t>con</w:t>
      </w:r>
      <w:r w:rsidR="009C561A">
        <w:rPr>
          <w:lang w:val="es-ES"/>
        </w:rPr>
        <w:t xml:space="preserve"> que </w:t>
      </w:r>
      <w:r w:rsidR="0090150F">
        <w:rPr>
          <w:rFonts w:eastAsia="Calibri"/>
          <w:bCs/>
        </w:rPr>
        <w:t xml:space="preserve">el CEN vulneró su garantía de audiencia, porque no les notificó </w:t>
      </w:r>
      <w:r w:rsidR="00562389">
        <w:rPr>
          <w:rFonts w:eastAsia="Calibri"/>
          <w:bCs/>
        </w:rPr>
        <w:t>el nombramiento de la dirigencia provisional del Comité Estatal</w:t>
      </w:r>
      <w:r w:rsidR="0090150F">
        <w:rPr>
          <w:rFonts w:eastAsia="Calibri"/>
          <w:bCs/>
        </w:rPr>
        <w:t xml:space="preserve">, </w:t>
      </w:r>
      <w:r w:rsidR="00562389">
        <w:rPr>
          <w:rFonts w:eastAsia="Calibri"/>
          <w:bCs/>
        </w:rPr>
        <w:t xml:space="preserve">ya que </w:t>
      </w:r>
      <w:r w:rsidR="00C23799">
        <w:rPr>
          <w:rFonts w:eastAsia="Calibri"/>
          <w:bCs/>
        </w:rPr>
        <w:t xml:space="preserve">el </w:t>
      </w:r>
      <w:proofErr w:type="spellStart"/>
      <w:r w:rsidR="00F86014">
        <w:rPr>
          <w:rFonts w:eastAsia="Calibri"/>
          <w:bCs/>
        </w:rPr>
        <w:t>planteamient</w:t>
      </w:r>
      <w:proofErr w:type="spellEnd"/>
      <w:r w:rsidR="00C23799">
        <w:rPr>
          <w:lang w:val="es-ES"/>
        </w:rPr>
        <w:t xml:space="preserve">o era una </w:t>
      </w:r>
      <w:r w:rsidR="00E53FE7">
        <w:rPr>
          <w:lang w:val="es-ES"/>
        </w:rPr>
        <w:t>transcripción</w:t>
      </w:r>
      <w:r w:rsidR="00466E8C">
        <w:rPr>
          <w:lang w:val="es-ES"/>
        </w:rPr>
        <w:t xml:space="preserve"> literal </w:t>
      </w:r>
      <w:r w:rsidR="00E53FE7">
        <w:rPr>
          <w:lang w:val="es-ES"/>
        </w:rPr>
        <w:t>de lo expuesto ante la Comisión de Justicia</w:t>
      </w:r>
      <w:r w:rsidR="00466E8C">
        <w:rPr>
          <w:lang w:val="es-ES"/>
        </w:rPr>
        <w:t>.</w:t>
      </w:r>
    </w:p>
    <w:p w:rsidR="00225086" w:rsidRPr="001222FC" w:rsidRDefault="00225086" w:rsidP="00940FEB">
      <w:pPr>
        <w:spacing w:after="0" w:line="240" w:lineRule="auto"/>
        <w:jc w:val="both"/>
        <w:rPr>
          <w:bCs/>
        </w:rPr>
      </w:pPr>
      <w:bookmarkStart w:id="14" w:name="_Hlk51922322"/>
    </w:p>
    <w:p w:rsidR="00225086" w:rsidRPr="001222FC" w:rsidRDefault="00225086" w:rsidP="00225086">
      <w:pPr>
        <w:spacing w:after="0" w:line="360" w:lineRule="auto"/>
        <w:jc w:val="both"/>
        <w:rPr>
          <w:i/>
        </w:rPr>
      </w:pPr>
      <w:r w:rsidRPr="001222FC">
        <w:rPr>
          <w:b/>
        </w:rPr>
        <w:t>2. Pretensión y planteamientos</w:t>
      </w:r>
      <w:r w:rsidRPr="001222FC">
        <w:rPr>
          <w:rStyle w:val="Refdenotaalpie"/>
        </w:rPr>
        <w:footnoteReference w:id="9"/>
      </w:r>
      <w:r w:rsidRPr="001222FC">
        <w:t>.</w:t>
      </w:r>
      <w:r w:rsidRPr="001222FC">
        <w:rPr>
          <w:bCs/>
        </w:rPr>
        <w:t xml:space="preserve"> </w:t>
      </w:r>
      <w:r w:rsidR="001459B9">
        <w:t>Los</w:t>
      </w:r>
      <w:r>
        <w:t xml:space="preserve"> impugnante</w:t>
      </w:r>
      <w:r w:rsidR="001459B9">
        <w:t>s</w:t>
      </w:r>
      <w:r>
        <w:t xml:space="preserve"> </w:t>
      </w:r>
      <w:r w:rsidRPr="001222FC">
        <w:t>pretende</w:t>
      </w:r>
      <w:r w:rsidR="001459B9">
        <w:t>n</w:t>
      </w:r>
      <w:r w:rsidRPr="001222FC">
        <w:t xml:space="preserve"> que se revoque la resolución del Tribunal de</w:t>
      </w:r>
      <w:r>
        <w:t xml:space="preserve"> </w:t>
      </w:r>
      <w:r w:rsidR="001459B9">
        <w:t xml:space="preserve">Guanajuato </w:t>
      </w:r>
      <w:r w:rsidRPr="001222FC">
        <w:t>porque,</w:t>
      </w:r>
      <w:r>
        <w:t xml:space="preserve"> </w:t>
      </w:r>
      <w:r w:rsidRPr="001222FC">
        <w:t xml:space="preserve">desde su perspectiva: </w:t>
      </w:r>
      <w:r w:rsidR="00C62D3E" w:rsidRPr="00C62D3E">
        <w:rPr>
          <w:b/>
        </w:rPr>
        <w:t>i)</w:t>
      </w:r>
      <w:r w:rsidR="00C62D3E" w:rsidRPr="00C05050">
        <w:t xml:space="preserve"> </w:t>
      </w:r>
      <w:r w:rsidR="00A171C5">
        <w:t>sus agravios</w:t>
      </w:r>
      <w:r w:rsidR="001459B9">
        <w:t xml:space="preserve"> no fueron meras reiteraciones, porque</w:t>
      </w:r>
      <w:r w:rsidR="00C23799">
        <w:t xml:space="preserve"> en el </w:t>
      </w:r>
      <w:r w:rsidR="001459B9">
        <w:t xml:space="preserve">segundo de sus agravios, expusieron que no se acreditó cuáles fueron las circunstancias extraordinarias que impidieron la renovación del Comité Directivo Estatal </w:t>
      </w:r>
      <w:r w:rsidR="00C62D3E">
        <w:rPr>
          <w:bCs/>
        </w:rPr>
        <w:t>y</w:t>
      </w:r>
      <w:r w:rsidR="00521450">
        <w:rPr>
          <w:bCs/>
        </w:rPr>
        <w:t>,</w:t>
      </w:r>
      <w:r w:rsidR="00C62D3E">
        <w:rPr>
          <w:bCs/>
        </w:rPr>
        <w:t xml:space="preserve"> </w:t>
      </w:r>
      <w:r w:rsidR="00C62D3E" w:rsidRPr="00C62D3E">
        <w:rPr>
          <w:b/>
          <w:bCs/>
        </w:rPr>
        <w:t>ii)</w:t>
      </w:r>
      <w:r w:rsidR="00F636F1">
        <w:rPr>
          <w:b/>
          <w:bCs/>
        </w:rPr>
        <w:t xml:space="preserve"> </w:t>
      </w:r>
      <w:r w:rsidR="00F636F1" w:rsidRPr="00F636F1">
        <w:rPr>
          <w:bCs/>
        </w:rPr>
        <w:t xml:space="preserve">que </w:t>
      </w:r>
      <w:r w:rsidR="00A15D21">
        <w:rPr>
          <w:bCs/>
        </w:rPr>
        <w:t xml:space="preserve">sí expresaron que </w:t>
      </w:r>
      <w:r w:rsidR="00F636F1" w:rsidRPr="00F636F1">
        <w:rPr>
          <w:bCs/>
        </w:rPr>
        <w:t>se</w:t>
      </w:r>
      <w:r w:rsidR="001459B9" w:rsidRPr="00F636F1">
        <w:rPr>
          <w:bCs/>
        </w:rPr>
        <w:t xml:space="preserve"> </w:t>
      </w:r>
      <w:r w:rsidR="00F636F1" w:rsidRPr="00F636F1">
        <w:rPr>
          <w:rFonts w:eastAsia="Calibri"/>
          <w:bCs/>
        </w:rPr>
        <w:t>vulneró su</w:t>
      </w:r>
      <w:r w:rsidR="00F636F1">
        <w:rPr>
          <w:rFonts w:eastAsia="Calibri"/>
          <w:bCs/>
        </w:rPr>
        <w:t xml:space="preserve"> garantía de audiencia, porque no se les notificó el nombramiento de la dirigencia provisional del Comité Estatal</w:t>
      </w:r>
      <w:r w:rsidR="001459B9" w:rsidRPr="001459B9">
        <w:rPr>
          <w:bCs/>
        </w:rPr>
        <w:t>.</w:t>
      </w:r>
    </w:p>
    <w:p w:rsidR="00225086" w:rsidRPr="001222FC" w:rsidRDefault="00225086" w:rsidP="00940FEB">
      <w:pPr>
        <w:pStyle w:val="Prrafodelista"/>
        <w:tabs>
          <w:tab w:val="left" w:pos="5461"/>
        </w:tabs>
        <w:spacing w:after="0" w:line="240" w:lineRule="auto"/>
        <w:ind w:left="0"/>
        <w:jc w:val="both"/>
        <w:rPr>
          <w:b/>
        </w:rPr>
      </w:pPr>
    </w:p>
    <w:p w:rsidR="00225086" w:rsidRPr="00216ACE" w:rsidRDefault="00225086" w:rsidP="00225086">
      <w:pPr>
        <w:spacing w:after="0" w:line="360" w:lineRule="auto"/>
        <w:jc w:val="both"/>
      </w:pPr>
      <w:r w:rsidRPr="001222FC">
        <w:rPr>
          <w:b/>
        </w:rPr>
        <w:t xml:space="preserve">3. Cuestiones a resolver. </w:t>
      </w:r>
      <w:r w:rsidRPr="001222FC">
        <w:rPr>
          <w:bCs/>
        </w:rPr>
        <w:t xml:space="preserve">Determinar </w:t>
      </w:r>
      <w:r w:rsidR="00B46F40">
        <w:rPr>
          <w:bCs/>
        </w:rPr>
        <w:t>si</w:t>
      </w:r>
      <w:r w:rsidR="00C05050">
        <w:t xml:space="preserve"> </w:t>
      </w:r>
      <w:r>
        <w:t>¿</w:t>
      </w:r>
      <w:r w:rsidR="0003429C">
        <w:t>fue cor</w:t>
      </w:r>
      <w:r w:rsidR="001459B9">
        <w:t>recto que el Tribunal de Guanajuato calificara como ineficaces los agravios de los impugnantes</w:t>
      </w:r>
      <w:r>
        <w:t xml:space="preserve">? </w:t>
      </w:r>
      <w:bookmarkStart w:id="15" w:name="_Toc483300362"/>
      <w:bookmarkStart w:id="16" w:name="_Toc11874847"/>
      <w:bookmarkEnd w:id="14"/>
    </w:p>
    <w:p w:rsidR="00225086" w:rsidRDefault="00225086" w:rsidP="00225086">
      <w:pPr>
        <w:pStyle w:val="Ttulo1"/>
        <w:spacing w:before="0" w:beforeAutospacing="0" w:after="0" w:afterAutospacing="0" w:line="240" w:lineRule="auto"/>
        <w:rPr>
          <w:rFonts w:eastAsia="Times New Roman" w:cs="Arial"/>
          <w:caps w:val="0"/>
          <w:szCs w:val="24"/>
          <w:u w:val="single"/>
          <w:lang w:eastAsia="es-MX"/>
        </w:rPr>
      </w:pPr>
    </w:p>
    <w:p w:rsidR="00225086" w:rsidRDefault="00225086" w:rsidP="00225086">
      <w:pPr>
        <w:pStyle w:val="Ttulo1"/>
        <w:spacing w:before="0" w:beforeAutospacing="0" w:after="0" w:afterAutospacing="0" w:line="240" w:lineRule="auto"/>
        <w:rPr>
          <w:rFonts w:cs="Arial"/>
          <w:caps w:val="0"/>
          <w:szCs w:val="24"/>
        </w:rPr>
      </w:pPr>
      <w:bookmarkStart w:id="17" w:name="_Toc71533631"/>
      <w:r w:rsidRPr="00216ACE">
        <w:rPr>
          <w:rFonts w:eastAsia="Times New Roman" w:cs="Arial"/>
          <w:caps w:val="0"/>
          <w:szCs w:val="24"/>
          <w:u w:val="single"/>
          <w:lang w:eastAsia="es-MX"/>
        </w:rPr>
        <w:t>Apartado I</w:t>
      </w:r>
      <w:r w:rsidRPr="00216ACE">
        <w:rPr>
          <w:rFonts w:eastAsia="Times New Roman" w:cs="Arial"/>
          <w:caps w:val="0"/>
          <w:szCs w:val="24"/>
          <w:lang w:eastAsia="es-MX"/>
        </w:rPr>
        <w:t>.</w:t>
      </w:r>
      <w:r w:rsidRPr="00216ACE">
        <w:rPr>
          <w:rFonts w:cs="Arial"/>
          <w:szCs w:val="24"/>
        </w:rPr>
        <w:t xml:space="preserve"> </w:t>
      </w:r>
      <w:r w:rsidRPr="00216ACE">
        <w:rPr>
          <w:rFonts w:cs="Arial"/>
          <w:caps w:val="0"/>
          <w:szCs w:val="24"/>
        </w:rPr>
        <w:t>Decisión</w:t>
      </w:r>
      <w:bookmarkEnd w:id="15"/>
      <w:bookmarkEnd w:id="16"/>
      <w:r w:rsidRPr="00216ACE">
        <w:rPr>
          <w:rFonts w:cs="Arial"/>
          <w:caps w:val="0"/>
          <w:szCs w:val="24"/>
        </w:rPr>
        <w:t xml:space="preserve"> general</w:t>
      </w:r>
      <w:bookmarkEnd w:id="17"/>
      <w:r>
        <w:rPr>
          <w:rFonts w:cs="Arial"/>
          <w:caps w:val="0"/>
          <w:szCs w:val="24"/>
        </w:rPr>
        <w:t xml:space="preserve"> </w:t>
      </w:r>
    </w:p>
    <w:p w:rsidR="00225086" w:rsidRDefault="00225086" w:rsidP="0041594C">
      <w:pPr>
        <w:spacing w:after="0" w:line="240" w:lineRule="auto"/>
      </w:pPr>
    </w:p>
    <w:p w:rsidR="00AA4B49" w:rsidRDefault="00225086" w:rsidP="00027290">
      <w:pPr>
        <w:spacing w:before="100" w:beforeAutospacing="1" w:line="360" w:lineRule="auto"/>
        <w:jc w:val="both"/>
      </w:pPr>
      <w:r w:rsidRPr="00B87F74">
        <w:t>Esta</w:t>
      </w:r>
      <w:r w:rsidRPr="00A751AE">
        <w:rPr>
          <w:bCs/>
        </w:rPr>
        <w:t xml:space="preserve"> Sala Monterrey </w:t>
      </w:r>
      <w:r>
        <w:rPr>
          <w:bCs/>
        </w:rPr>
        <w:t>considera que debe</w:t>
      </w:r>
      <w:r w:rsidRPr="00A751AE">
        <w:rPr>
          <w:bCs/>
        </w:rPr>
        <w:t xml:space="preserve"> </w:t>
      </w:r>
      <w:r w:rsidR="00AA4B49">
        <w:rPr>
          <w:b/>
        </w:rPr>
        <w:t xml:space="preserve">confirmarse </w:t>
      </w:r>
      <w:r w:rsidR="00FB5242" w:rsidRPr="00FB5242">
        <w:t>l</w:t>
      </w:r>
      <w:r w:rsidR="00FB5242" w:rsidRPr="00FB5242">
        <w:rPr>
          <w:rFonts w:eastAsia="Calibri"/>
        </w:rPr>
        <w:t xml:space="preserve">a del Tribunal de Guanajuato que </w:t>
      </w:r>
      <w:r w:rsidR="00FB5242" w:rsidRPr="00FB5242">
        <w:rPr>
          <w:bCs/>
        </w:rPr>
        <w:t>confirmó</w:t>
      </w:r>
      <w:r w:rsidR="00FB5242" w:rsidRPr="00FB5242">
        <w:rPr>
          <w:b/>
          <w:bCs/>
        </w:rPr>
        <w:t xml:space="preserve"> </w:t>
      </w:r>
      <w:r w:rsidR="00FB5242" w:rsidRPr="00FB5242">
        <w:rPr>
          <w:lang w:val="es-ES"/>
        </w:rPr>
        <w:t xml:space="preserve">la resolución de la Comisión de Justicia del PRI, que a su vez confirmó la determinación del Comité Ejecutivo Nacional de dicho partido, de </w:t>
      </w:r>
      <w:r w:rsidR="00FB5242" w:rsidRPr="00FB5242">
        <w:rPr>
          <w:rFonts w:eastAsia="Calibri"/>
          <w:bCs/>
        </w:rPr>
        <w:t>autorizar una prórroga a la vigencia de la dirigencia estatal del Comité Directivo Estatal del PRI en Guanajuato</w:t>
      </w:r>
      <w:r w:rsidR="00FB5242" w:rsidRPr="00FB5242">
        <w:rPr>
          <w:rFonts w:eastAsia="Calibri"/>
        </w:rPr>
        <w:t>;</w:t>
      </w:r>
      <w:r w:rsidR="00FB5242" w:rsidRPr="00FB5242">
        <w:rPr>
          <w:rFonts w:eastAsia="Calibri"/>
          <w:bCs/>
        </w:rPr>
        <w:t xml:space="preserve"> </w:t>
      </w:r>
      <w:r w:rsidR="00FB5242" w:rsidRPr="00FB5242">
        <w:rPr>
          <w:rFonts w:eastAsia="Calibri"/>
          <w:b/>
        </w:rPr>
        <w:t xml:space="preserve">porque esta Sala </w:t>
      </w:r>
      <w:r w:rsidR="00FB5242" w:rsidRPr="00FB5242">
        <w:rPr>
          <w:rFonts w:eastAsia="Calibri"/>
          <w:bCs/>
        </w:rPr>
        <w:t>considera que d</w:t>
      </w:r>
      <w:r w:rsidR="00FB5242" w:rsidRPr="00FB5242">
        <w:rPr>
          <w:rFonts w:eastAsia="Arial"/>
          <w:bCs/>
        </w:rPr>
        <w:t xml:space="preserve">ebe quedar firme lo considerado por el Tribunal Local, en cuanto a que la Comisión de Justicia válidamente estableció que el </w:t>
      </w:r>
      <w:r w:rsidR="00FB5242" w:rsidRPr="00FB5242">
        <w:rPr>
          <w:lang w:val="es-ES"/>
        </w:rPr>
        <w:t xml:space="preserve">Comité Ejecutivo Nacional tiene facultades para establecer una </w:t>
      </w:r>
      <w:r w:rsidR="00FB5242" w:rsidRPr="00FB5242">
        <w:rPr>
          <w:rFonts w:eastAsia="Calibri"/>
          <w:bCs/>
        </w:rPr>
        <w:t xml:space="preserve">prórroga a la vigencia de la dirigencia estatal, porque, </w:t>
      </w:r>
      <w:r w:rsidR="00FB5242" w:rsidRPr="00FB5242">
        <w:rPr>
          <w:rFonts w:eastAsia="Calibri"/>
          <w:bCs/>
          <w:u w:val="single"/>
        </w:rPr>
        <w:t>por una parte</w:t>
      </w:r>
      <w:r w:rsidR="00FB5242" w:rsidRPr="00FB5242">
        <w:rPr>
          <w:rFonts w:eastAsia="Calibri"/>
          <w:bCs/>
        </w:rPr>
        <w:t>, la responsable sí se pronunció respecto a la acreditación de las causas o supuesto extraordinarios que ocasionaron la autorización de la pr</w:t>
      </w:r>
      <w:r w:rsidR="00AE3EE7">
        <w:rPr>
          <w:rFonts w:eastAsia="Calibri"/>
          <w:bCs/>
        </w:rPr>
        <w:t>ó</w:t>
      </w:r>
      <w:r w:rsidR="00FB5242" w:rsidRPr="00FB5242">
        <w:rPr>
          <w:rFonts w:eastAsia="Calibri"/>
          <w:bCs/>
        </w:rPr>
        <w:t xml:space="preserve">rroga en cuestión, sin que los inconformes controviertan esas consideraciones, aunado a que, </w:t>
      </w:r>
      <w:r w:rsidR="00FB5242" w:rsidRPr="00FB5242">
        <w:rPr>
          <w:rFonts w:eastAsia="Calibri"/>
          <w:bCs/>
          <w:u w:val="single"/>
        </w:rPr>
        <w:t>por otro lado</w:t>
      </w:r>
      <w:r w:rsidR="00FB5242" w:rsidRPr="00FB5242">
        <w:rPr>
          <w:rFonts w:eastAsia="Calibri"/>
          <w:bCs/>
        </w:rPr>
        <w:t xml:space="preserve">, con independencia de las razones expresadas por el Tribunal Local, a diferencia de lo que sostiene el impugnante, es ineficaz lo alegado en cuanto a que el Comité Nacional debió notificarles la autorización de la prórroga del comité estatal del partido, porque dicho planteamiento lo hace depender de su supuesta calidad de nuevo </w:t>
      </w:r>
      <w:r w:rsidR="00FB5242" w:rsidRPr="00FB5242">
        <w:rPr>
          <w:rFonts w:eastAsia="Cambria"/>
        </w:rPr>
        <w:t>presidente</w:t>
      </w:r>
      <w:r w:rsidR="00FB5242" w:rsidRPr="00FB5242">
        <w:t>, sin embargo, la Comisión de Justicia la desestimó, sin que esto hubiera sido cuestionado ante el Tribunal Local ni ante esta Sala Monterrey.</w:t>
      </w:r>
      <w:bookmarkStart w:id="18" w:name="_Toc11874848"/>
    </w:p>
    <w:p w:rsidR="00225086" w:rsidRDefault="00225086" w:rsidP="0061282D">
      <w:pPr>
        <w:pStyle w:val="Ttulo2"/>
        <w:spacing w:before="0" w:line="360" w:lineRule="auto"/>
        <w:contextualSpacing/>
        <w:rPr>
          <w:rFonts w:ascii="Arial" w:hAnsi="Arial" w:cs="Arial"/>
          <w:color w:val="auto"/>
          <w:sz w:val="24"/>
          <w:szCs w:val="24"/>
        </w:rPr>
      </w:pPr>
      <w:bookmarkStart w:id="19" w:name="_Toc71533632"/>
      <w:r w:rsidRPr="0003429C">
        <w:rPr>
          <w:rFonts w:ascii="Arial" w:hAnsi="Arial" w:cs="Arial"/>
          <w:color w:val="auto"/>
          <w:sz w:val="24"/>
          <w:szCs w:val="24"/>
          <w:u w:val="single"/>
        </w:rPr>
        <w:t>Apartado II</w:t>
      </w:r>
      <w:r w:rsidRPr="0003429C">
        <w:rPr>
          <w:rFonts w:ascii="Arial" w:hAnsi="Arial" w:cs="Arial"/>
          <w:color w:val="auto"/>
          <w:sz w:val="24"/>
          <w:szCs w:val="24"/>
        </w:rPr>
        <w:t>. Desarrollo o justificación de la decisión</w:t>
      </w:r>
      <w:bookmarkStart w:id="20" w:name="_Toc34815727"/>
      <w:bookmarkEnd w:id="18"/>
      <w:bookmarkEnd w:id="19"/>
    </w:p>
    <w:bookmarkEnd w:id="20"/>
    <w:p w:rsidR="00225086" w:rsidRDefault="00225086" w:rsidP="00225086">
      <w:pPr>
        <w:spacing w:after="0" w:line="240" w:lineRule="auto"/>
        <w:jc w:val="both"/>
      </w:pPr>
    </w:p>
    <w:p w:rsidR="00F636F1" w:rsidRDefault="00702CE4" w:rsidP="00F636F1">
      <w:pPr>
        <w:spacing w:after="0" w:line="360" w:lineRule="auto"/>
        <w:jc w:val="both"/>
        <w:rPr>
          <w:lang w:val="es-ES"/>
        </w:rPr>
      </w:pPr>
      <w:r>
        <w:rPr>
          <w:bCs/>
        </w:rPr>
        <w:t xml:space="preserve">En el caso, </w:t>
      </w:r>
      <w:r w:rsidR="000966AF">
        <w:rPr>
          <w:bCs/>
        </w:rPr>
        <w:t xml:space="preserve">el </w:t>
      </w:r>
      <w:r w:rsidR="00F636F1" w:rsidRPr="0076113F">
        <w:rPr>
          <w:rFonts w:eastAsia="Calibri"/>
        </w:rPr>
        <w:t xml:space="preserve">Tribunal </w:t>
      </w:r>
      <w:r w:rsidR="00F636F1">
        <w:rPr>
          <w:rFonts w:eastAsia="Calibri"/>
        </w:rPr>
        <w:t>d</w:t>
      </w:r>
      <w:r w:rsidR="00F636F1" w:rsidRPr="0076113F">
        <w:rPr>
          <w:rFonts w:eastAsia="Calibri"/>
        </w:rPr>
        <w:t xml:space="preserve">e </w:t>
      </w:r>
      <w:r w:rsidR="00F636F1">
        <w:rPr>
          <w:rFonts w:eastAsia="Calibri"/>
        </w:rPr>
        <w:t xml:space="preserve">Guanajuato que </w:t>
      </w:r>
      <w:r w:rsidR="00F636F1" w:rsidRPr="00F636F1">
        <w:rPr>
          <w:b/>
          <w:bCs/>
        </w:rPr>
        <w:t>confirmó</w:t>
      </w:r>
      <w:r w:rsidR="00F636F1">
        <w:rPr>
          <w:b/>
          <w:bCs/>
        </w:rPr>
        <w:t xml:space="preserve"> </w:t>
      </w:r>
      <w:r w:rsidR="00F636F1" w:rsidRPr="00EB37DD">
        <w:rPr>
          <w:lang w:val="es-ES"/>
        </w:rPr>
        <w:t>la resolución de la Comisión de Justicia</w:t>
      </w:r>
      <w:r w:rsidR="00F636F1">
        <w:rPr>
          <w:lang w:val="es-ES"/>
        </w:rPr>
        <w:t xml:space="preserve"> del PRI</w:t>
      </w:r>
      <w:r w:rsidR="00F636F1" w:rsidRPr="00EB37DD">
        <w:rPr>
          <w:lang w:val="es-ES"/>
        </w:rPr>
        <w:t>, que a su vez confirmó</w:t>
      </w:r>
      <w:r w:rsidR="00F636F1">
        <w:rPr>
          <w:lang w:val="es-ES"/>
        </w:rPr>
        <w:t xml:space="preserve"> la determinación del Comité Ejecutivo Nacional </w:t>
      </w:r>
      <w:r w:rsidR="00F636F1" w:rsidRPr="00EB37DD">
        <w:rPr>
          <w:lang w:val="es-ES"/>
        </w:rPr>
        <w:t>que</w:t>
      </w:r>
      <w:r w:rsidR="00F636F1" w:rsidRPr="00EB37DD">
        <w:rPr>
          <w:rFonts w:eastAsia="Calibri"/>
          <w:bCs/>
        </w:rPr>
        <w:t xml:space="preserve"> </w:t>
      </w:r>
      <w:r w:rsidR="00F636F1" w:rsidRPr="00E14474">
        <w:rPr>
          <w:rFonts w:eastAsia="Calibri"/>
          <w:bCs/>
        </w:rPr>
        <w:t>autorizó una prórroga a la vigencia</w:t>
      </w:r>
      <w:r w:rsidR="00F636F1">
        <w:rPr>
          <w:rFonts w:eastAsia="Calibri"/>
          <w:bCs/>
        </w:rPr>
        <w:t xml:space="preserve"> </w:t>
      </w:r>
      <w:r w:rsidR="00F636F1" w:rsidRPr="00E14474">
        <w:rPr>
          <w:rFonts w:eastAsia="Calibri"/>
          <w:bCs/>
        </w:rPr>
        <w:t>de la dirigencia estatal del</w:t>
      </w:r>
      <w:r w:rsidR="00F636F1">
        <w:rPr>
          <w:rFonts w:eastAsia="Calibri"/>
          <w:bCs/>
        </w:rPr>
        <w:t xml:space="preserve"> </w:t>
      </w:r>
      <w:r w:rsidR="00F636F1" w:rsidRPr="00E14474">
        <w:rPr>
          <w:rFonts w:eastAsia="Calibri"/>
          <w:bCs/>
        </w:rPr>
        <w:t>Comité</w:t>
      </w:r>
      <w:r w:rsidR="00F636F1">
        <w:rPr>
          <w:rFonts w:eastAsia="Calibri"/>
          <w:bCs/>
        </w:rPr>
        <w:t xml:space="preserve"> Directivo Estatal del PRI en Guanajuato, porque, </w:t>
      </w:r>
      <w:r w:rsidR="00F636F1" w:rsidRPr="005863EB">
        <w:rPr>
          <w:rFonts w:eastAsia="Calibri"/>
          <w:bCs/>
          <w:u w:val="single"/>
        </w:rPr>
        <w:t>por un lado</w:t>
      </w:r>
      <w:r w:rsidR="00F636F1">
        <w:rPr>
          <w:rFonts w:eastAsia="Calibri"/>
          <w:bCs/>
        </w:rPr>
        <w:t xml:space="preserve">, los inconformes </w:t>
      </w:r>
      <w:r w:rsidR="00F636F1">
        <w:rPr>
          <w:lang w:val="es-ES"/>
        </w:rPr>
        <w:t xml:space="preserve">no tenían razón en cuanto a que no se precisaron cuáles fueron las causas que llevaron a ampliar el período de la dirigencia estatal del PRI en Guanajuato, y, </w:t>
      </w:r>
      <w:r w:rsidR="00F636F1" w:rsidRPr="004C5EAD">
        <w:rPr>
          <w:u w:val="single"/>
          <w:lang w:val="es-ES"/>
        </w:rPr>
        <w:t>por otro lado</w:t>
      </w:r>
      <w:r w:rsidR="00F636F1">
        <w:rPr>
          <w:lang w:val="es-ES"/>
        </w:rPr>
        <w:t xml:space="preserve">, declaró la ineficacia, entre otras cuestiones, del argumento relacionado con que </w:t>
      </w:r>
      <w:r w:rsidR="00F636F1">
        <w:rPr>
          <w:rFonts w:eastAsia="Calibri"/>
          <w:bCs/>
        </w:rPr>
        <w:t xml:space="preserve">el CEN vulneró su garantía de audiencia, porque no les notificó el nombramiento de la dirigencia provisional del Comité Estatal, ya que el </w:t>
      </w:r>
      <w:proofErr w:type="spellStart"/>
      <w:r w:rsidR="00F636F1">
        <w:rPr>
          <w:rFonts w:eastAsia="Calibri"/>
          <w:bCs/>
        </w:rPr>
        <w:t>planteamient</w:t>
      </w:r>
      <w:proofErr w:type="spellEnd"/>
      <w:r w:rsidR="00F636F1">
        <w:rPr>
          <w:lang w:val="es-ES"/>
        </w:rPr>
        <w:t>o era una transcripción literal de lo expuesto ante la Comisión de Justicia.</w:t>
      </w:r>
    </w:p>
    <w:p w:rsidR="00C914CE" w:rsidRDefault="00C914CE" w:rsidP="00474FF6">
      <w:pPr>
        <w:spacing w:after="0" w:line="360" w:lineRule="auto"/>
        <w:jc w:val="both"/>
        <w:rPr>
          <w:bCs/>
        </w:rPr>
      </w:pPr>
    </w:p>
    <w:p w:rsidR="00CC1650" w:rsidRDefault="00225086" w:rsidP="00ED42A5">
      <w:pPr>
        <w:spacing w:after="0" w:line="360" w:lineRule="auto"/>
        <w:jc w:val="both"/>
        <w:rPr>
          <w:i/>
        </w:rPr>
      </w:pPr>
      <w:r>
        <w:rPr>
          <w:bCs/>
        </w:rPr>
        <w:t xml:space="preserve">Al respecto, </w:t>
      </w:r>
      <w:r w:rsidR="001501EF">
        <w:rPr>
          <w:bCs/>
        </w:rPr>
        <w:t xml:space="preserve">los impugnantes </w:t>
      </w:r>
      <w:r w:rsidRPr="006B5D77">
        <w:rPr>
          <w:b/>
          <w:bCs/>
        </w:rPr>
        <w:t>pretende</w:t>
      </w:r>
      <w:r w:rsidR="001501EF">
        <w:rPr>
          <w:b/>
          <w:bCs/>
        </w:rPr>
        <w:t>n</w:t>
      </w:r>
      <w:r w:rsidRPr="006B5D77">
        <w:rPr>
          <w:b/>
          <w:bCs/>
        </w:rPr>
        <w:t xml:space="preserve"> </w:t>
      </w:r>
      <w:r w:rsidRPr="001222FC">
        <w:rPr>
          <w:b/>
          <w:bCs/>
        </w:rPr>
        <w:t>que esta Sala Monterrey revoque la resolución del Tribunal</w:t>
      </w:r>
      <w:r w:rsidR="001501EF">
        <w:rPr>
          <w:b/>
          <w:bCs/>
        </w:rPr>
        <w:t xml:space="preserve"> de Guanajuato</w:t>
      </w:r>
      <w:r w:rsidRPr="001222FC">
        <w:t>, porque</w:t>
      </w:r>
      <w:r>
        <w:t xml:space="preserve"> </w:t>
      </w:r>
      <w:r w:rsidRPr="001222FC">
        <w:t>desde su perspectiva</w:t>
      </w:r>
      <w:r w:rsidR="00C914CE">
        <w:t>,</w:t>
      </w:r>
      <w:r w:rsidRPr="008374D7">
        <w:rPr>
          <w:bCs/>
        </w:rPr>
        <w:t xml:space="preserve"> </w:t>
      </w:r>
      <w:r w:rsidR="001501EF" w:rsidRPr="00C62D3E">
        <w:rPr>
          <w:b/>
        </w:rPr>
        <w:t>i)</w:t>
      </w:r>
      <w:r w:rsidR="001501EF" w:rsidRPr="00C05050">
        <w:t xml:space="preserve"> </w:t>
      </w:r>
      <w:r w:rsidR="001501EF">
        <w:t>su</w:t>
      </w:r>
      <w:r w:rsidR="000966AF">
        <w:t>s</w:t>
      </w:r>
      <w:r w:rsidR="001501EF">
        <w:t xml:space="preserve"> </w:t>
      </w:r>
      <w:r w:rsidR="001501EF">
        <w:lastRenderedPageBreak/>
        <w:t xml:space="preserve">agravios no fueron meras reiteraciones, porque al final del segundo de sus agravios, expusieron que no se acreditó cuáles fueron las circunstancias extraordinarias que impidieron la renovación del  Comité Directivo Estatal </w:t>
      </w:r>
      <w:r w:rsidR="001501EF">
        <w:rPr>
          <w:bCs/>
        </w:rPr>
        <w:t xml:space="preserve">y </w:t>
      </w:r>
      <w:r w:rsidR="001501EF" w:rsidRPr="00C62D3E">
        <w:rPr>
          <w:b/>
          <w:bCs/>
        </w:rPr>
        <w:t>ii)</w:t>
      </w:r>
      <w:r w:rsidR="001501EF">
        <w:rPr>
          <w:b/>
          <w:bCs/>
        </w:rPr>
        <w:t xml:space="preserve">  </w:t>
      </w:r>
      <w:r w:rsidR="001501EF" w:rsidRPr="001459B9">
        <w:rPr>
          <w:bCs/>
        </w:rPr>
        <w:t xml:space="preserve">señalaron que el nombramiento de Ruth Noemí Tiscareño </w:t>
      </w:r>
      <w:proofErr w:type="spellStart"/>
      <w:r w:rsidR="001501EF" w:rsidRPr="001459B9">
        <w:rPr>
          <w:bCs/>
        </w:rPr>
        <w:t>Agoitia</w:t>
      </w:r>
      <w:proofErr w:type="spellEnd"/>
      <w:r w:rsidR="001501EF" w:rsidRPr="001459B9">
        <w:rPr>
          <w:bCs/>
        </w:rPr>
        <w:t xml:space="preserve"> como presidenta y Alejandro Arias Ávila como secretario general del Comité Directivo Estatal afectó su derecho de audiencia, ya que existe una diversa dirigencia estatal que se encuentra vigente y no fue impugnada en cuanto a su legalidad.</w:t>
      </w:r>
    </w:p>
    <w:p w:rsidR="001501EF" w:rsidRPr="00B87F74" w:rsidRDefault="001501EF" w:rsidP="00ED42A5">
      <w:pPr>
        <w:spacing w:after="0" w:line="360" w:lineRule="auto"/>
        <w:jc w:val="both"/>
        <w:rPr>
          <w:i/>
        </w:rPr>
      </w:pPr>
    </w:p>
    <w:p w:rsidR="00225086" w:rsidRPr="000162C8" w:rsidRDefault="00225086" w:rsidP="004B3AFD">
      <w:pPr>
        <w:pStyle w:val="Prrafodelista"/>
        <w:tabs>
          <w:tab w:val="left" w:pos="5461"/>
        </w:tabs>
        <w:spacing w:after="0" w:line="240" w:lineRule="auto"/>
        <w:ind w:left="0"/>
        <w:jc w:val="both"/>
      </w:pPr>
      <w:bookmarkStart w:id="21" w:name="_Hlk70541185"/>
      <w:r>
        <w:rPr>
          <w:rFonts w:eastAsia="Times New Roman"/>
          <w:b/>
          <w:lang w:eastAsia="es-MX"/>
        </w:rPr>
        <w:t xml:space="preserve">3. </w:t>
      </w:r>
      <w:r w:rsidRPr="00D80082">
        <w:rPr>
          <w:rFonts w:eastAsia="Times New Roman"/>
          <w:b/>
          <w:lang w:eastAsia="es-MX"/>
        </w:rPr>
        <w:t>Valoración</w:t>
      </w:r>
    </w:p>
    <w:p w:rsidR="00225086" w:rsidRDefault="00225086" w:rsidP="00474FF6">
      <w:pPr>
        <w:spacing w:after="0" w:line="240" w:lineRule="auto"/>
        <w:jc w:val="both"/>
        <w:rPr>
          <w:bCs/>
        </w:rPr>
      </w:pPr>
    </w:p>
    <w:p w:rsidR="00987E13" w:rsidRDefault="00225086" w:rsidP="00987E13">
      <w:pPr>
        <w:spacing w:after="0" w:line="360" w:lineRule="auto"/>
        <w:jc w:val="both"/>
      </w:pPr>
      <w:r w:rsidRPr="00720E23">
        <w:rPr>
          <w:rFonts w:eastAsia="Times New Roman"/>
          <w:b/>
          <w:lang w:eastAsia="es-MX"/>
        </w:rPr>
        <w:t>3.1</w:t>
      </w:r>
      <w:r>
        <w:rPr>
          <w:rFonts w:eastAsia="Times New Roman"/>
          <w:b/>
          <w:lang w:eastAsia="es-MX"/>
        </w:rPr>
        <w:t>.</w:t>
      </w:r>
      <w:r>
        <w:rPr>
          <w:rFonts w:eastAsia="Times New Roman"/>
          <w:bCs/>
          <w:lang w:eastAsia="es-MX"/>
        </w:rPr>
        <w:t xml:space="preserve"> Esta Sala Monterrey </w:t>
      </w:r>
      <w:r w:rsidRPr="001222FC">
        <w:rPr>
          <w:rFonts w:eastAsia="Times New Roman"/>
          <w:bCs/>
          <w:lang w:eastAsia="es-MX"/>
        </w:rPr>
        <w:t xml:space="preserve">considera </w:t>
      </w:r>
      <w:r>
        <w:rPr>
          <w:rFonts w:eastAsia="Times New Roman"/>
          <w:bCs/>
          <w:lang w:eastAsia="es-MX"/>
        </w:rPr>
        <w:t xml:space="preserve">que </w:t>
      </w:r>
      <w:r w:rsidR="001501EF">
        <w:rPr>
          <w:rFonts w:eastAsia="Times New Roman"/>
          <w:bCs/>
          <w:lang w:eastAsia="es-MX"/>
        </w:rPr>
        <w:t xml:space="preserve">los impugnantes </w:t>
      </w:r>
      <w:r w:rsidR="001501EF" w:rsidRPr="001501EF">
        <w:rPr>
          <w:rFonts w:eastAsia="Times New Roman"/>
          <w:b/>
          <w:bCs/>
          <w:lang w:eastAsia="es-MX"/>
        </w:rPr>
        <w:t>no</w:t>
      </w:r>
      <w:r w:rsidR="001501EF">
        <w:rPr>
          <w:rFonts w:eastAsia="Times New Roman"/>
          <w:bCs/>
          <w:lang w:eastAsia="es-MX"/>
        </w:rPr>
        <w:t xml:space="preserve"> </w:t>
      </w:r>
      <w:r w:rsidR="001501EF" w:rsidRPr="004D224B">
        <w:rPr>
          <w:rFonts w:eastAsia="Times New Roman"/>
          <w:b/>
          <w:bCs/>
          <w:lang w:eastAsia="es-MX"/>
        </w:rPr>
        <w:t>tienen</w:t>
      </w:r>
      <w:r w:rsidRPr="004D224B">
        <w:rPr>
          <w:rFonts w:eastAsia="Times New Roman"/>
          <w:b/>
          <w:bCs/>
          <w:lang w:eastAsia="es-MX"/>
        </w:rPr>
        <w:t xml:space="preserve"> razón</w:t>
      </w:r>
      <w:r w:rsidRPr="001222FC">
        <w:rPr>
          <w:rFonts w:eastAsia="Times New Roman"/>
          <w:bCs/>
          <w:lang w:eastAsia="es-MX"/>
        </w:rPr>
        <w:t xml:space="preserve">, en cuanto a que </w:t>
      </w:r>
      <w:r w:rsidR="003B7CE4">
        <w:rPr>
          <w:rFonts w:eastAsia="Calibri"/>
          <w:bCs/>
        </w:rPr>
        <w:t>el Tribunal Local</w:t>
      </w:r>
      <w:r w:rsidR="006D1047">
        <w:rPr>
          <w:rFonts w:eastAsia="Calibri"/>
          <w:bCs/>
        </w:rPr>
        <w:t xml:space="preserve">, </w:t>
      </w:r>
      <w:r w:rsidR="001501EF">
        <w:rPr>
          <w:rFonts w:eastAsia="Calibri"/>
          <w:bCs/>
        </w:rPr>
        <w:t>incorrectamente consideró que sus agravios eran ineficaces al tratarse de meras transcripciones de su demanda presentada ante la Comisión de Justicia</w:t>
      </w:r>
      <w:r w:rsidR="009A1B9A">
        <w:rPr>
          <w:rFonts w:eastAsia="Calibri"/>
          <w:bCs/>
        </w:rPr>
        <w:t xml:space="preserve">, </w:t>
      </w:r>
      <w:r w:rsidR="00987E13">
        <w:rPr>
          <w:rFonts w:eastAsia="Calibri"/>
          <w:bCs/>
        </w:rPr>
        <w:t xml:space="preserve">porque, </w:t>
      </w:r>
      <w:r w:rsidR="00987E13" w:rsidRPr="009A1B9A">
        <w:rPr>
          <w:rFonts w:eastAsia="Calibri"/>
          <w:bCs/>
          <w:u w:val="single"/>
        </w:rPr>
        <w:t>por una parte</w:t>
      </w:r>
      <w:r w:rsidR="00987E13">
        <w:rPr>
          <w:rFonts w:eastAsia="Calibri"/>
          <w:bCs/>
        </w:rPr>
        <w:t xml:space="preserve">, la responsable sí se pronunció respecto a la acreditación de las causas o supuesto extraordinarios que ocasionaron la autorización de la </w:t>
      </w:r>
      <w:r w:rsidR="00AE3EE7" w:rsidRPr="00FB5242">
        <w:rPr>
          <w:rFonts w:eastAsia="Calibri"/>
          <w:bCs/>
        </w:rPr>
        <w:t>pr</w:t>
      </w:r>
      <w:r w:rsidR="00AE3EE7">
        <w:rPr>
          <w:rFonts w:eastAsia="Calibri"/>
          <w:bCs/>
        </w:rPr>
        <w:t>ó</w:t>
      </w:r>
      <w:r w:rsidR="00AE3EE7" w:rsidRPr="00FB5242">
        <w:rPr>
          <w:rFonts w:eastAsia="Calibri"/>
          <w:bCs/>
        </w:rPr>
        <w:t xml:space="preserve">rroga </w:t>
      </w:r>
      <w:r w:rsidR="00987E13">
        <w:rPr>
          <w:rFonts w:eastAsia="Calibri"/>
          <w:bCs/>
        </w:rPr>
        <w:t xml:space="preserve">en cuestión, sin que los inconformes controviertan esas consideraciones, aunado a que, </w:t>
      </w:r>
      <w:r w:rsidR="00987E13" w:rsidRPr="00163C81">
        <w:rPr>
          <w:rFonts w:eastAsia="Calibri"/>
          <w:bCs/>
          <w:u w:val="single"/>
        </w:rPr>
        <w:t>por otro lado</w:t>
      </w:r>
      <w:r w:rsidR="00987E13">
        <w:rPr>
          <w:rFonts w:eastAsia="Calibri"/>
          <w:bCs/>
        </w:rPr>
        <w:t xml:space="preserve">, en cuanto a que el CEN vulneró su garantía de audiencia, porque no les notificó la autorización de la prórroga, con independencia de las razones expresadas por el Tribunal Local, se desestiman sus planteamientos, porque lo hacen depender de que, en su calidad de supuesto </w:t>
      </w:r>
      <w:r w:rsidR="00987E13">
        <w:rPr>
          <w:rFonts w:eastAsia="Cambria"/>
        </w:rPr>
        <w:t xml:space="preserve">presidente del </w:t>
      </w:r>
      <w:r w:rsidR="00987E13">
        <w:t>Comité Directivo Estatal, tenían el derecho de que se les notificara, sin embargo la Comisión de Justicia, al analizar los supuestos nombramientos, determinó que no eran válidos y que, por tal motivo, no tenían derecho a que se les notificara la prórroga en cuestión; razonamientos que no fueron controvertidos ante el Tribunal Local ni ante esta Sala Monterrey.</w:t>
      </w:r>
    </w:p>
    <w:p w:rsidR="001501EF" w:rsidRDefault="001501EF" w:rsidP="00474FF6">
      <w:pPr>
        <w:spacing w:after="0" w:line="360" w:lineRule="auto"/>
        <w:contextualSpacing/>
        <w:jc w:val="both"/>
        <w:rPr>
          <w:rFonts w:eastAsia="Calibri"/>
          <w:bCs/>
        </w:rPr>
      </w:pPr>
    </w:p>
    <w:p w:rsidR="00ED42A5" w:rsidRDefault="00BE5690" w:rsidP="00474FF6">
      <w:pPr>
        <w:spacing w:after="0" w:line="360" w:lineRule="auto"/>
        <w:contextualSpacing/>
        <w:jc w:val="both"/>
        <w:rPr>
          <w:rFonts w:eastAsia="Calibri"/>
          <w:bCs/>
        </w:rPr>
      </w:pPr>
      <w:r w:rsidRPr="00BE5690">
        <w:rPr>
          <w:rFonts w:eastAsia="Calibri"/>
          <w:b/>
          <w:bCs/>
        </w:rPr>
        <w:t>3.2.</w:t>
      </w:r>
      <w:r>
        <w:rPr>
          <w:rFonts w:eastAsia="Calibri"/>
          <w:bCs/>
        </w:rPr>
        <w:t xml:space="preserve"> </w:t>
      </w:r>
      <w:r w:rsidR="009A1B9A" w:rsidRPr="0025062B">
        <w:rPr>
          <w:rFonts w:eastAsia="Calibri"/>
          <w:bCs/>
        </w:rPr>
        <w:t xml:space="preserve">En efecto, </w:t>
      </w:r>
      <w:r w:rsidR="009A1B9A" w:rsidRPr="0025062B">
        <w:rPr>
          <w:rFonts w:eastAsia="Calibri"/>
          <w:bCs/>
          <w:u w:val="single"/>
        </w:rPr>
        <w:t>en primer lugar</w:t>
      </w:r>
      <w:r w:rsidR="009A1B9A" w:rsidRPr="0025062B">
        <w:rPr>
          <w:rFonts w:eastAsia="Calibri"/>
          <w:bCs/>
        </w:rPr>
        <w:t>, los impugnantes señalan que el Tribunal Local incorrectamente consideró que sus alegatos eran ineficaces</w:t>
      </w:r>
      <w:r w:rsidR="00B046D9" w:rsidRPr="0025062B">
        <w:rPr>
          <w:rFonts w:eastAsia="Calibri"/>
          <w:bCs/>
        </w:rPr>
        <w:t xml:space="preserve"> al tratarse de una reiteración de lo argumenta</w:t>
      </w:r>
      <w:r w:rsidR="00294E81">
        <w:rPr>
          <w:rFonts w:eastAsia="Calibri"/>
          <w:bCs/>
        </w:rPr>
        <w:t xml:space="preserve">do ante la Comisión de Justicia, y refieren que </w:t>
      </w:r>
      <w:r w:rsidR="00C61036">
        <w:rPr>
          <w:rFonts w:eastAsia="Calibri"/>
          <w:bCs/>
        </w:rPr>
        <w:t xml:space="preserve">en </w:t>
      </w:r>
      <w:r w:rsidR="00294E81">
        <w:rPr>
          <w:rFonts w:eastAsia="Calibri"/>
          <w:bCs/>
        </w:rPr>
        <w:t xml:space="preserve">su </w:t>
      </w:r>
      <w:r w:rsidR="00294E81" w:rsidRPr="00294E81">
        <w:rPr>
          <w:rFonts w:eastAsia="Calibri"/>
          <w:bCs/>
          <w:i/>
        </w:rPr>
        <w:t>segundo agravi</w:t>
      </w:r>
      <w:r w:rsidR="00294E81">
        <w:rPr>
          <w:rFonts w:eastAsia="Calibri"/>
          <w:bCs/>
          <w:i/>
        </w:rPr>
        <w:t xml:space="preserve">o </w:t>
      </w:r>
      <w:r w:rsidR="00453610">
        <w:rPr>
          <w:rFonts w:eastAsia="Calibri"/>
          <w:bCs/>
        </w:rPr>
        <w:t xml:space="preserve">sí se controvirtió </w:t>
      </w:r>
      <w:r w:rsidR="00B5690E">
        <w:rPr>
          <w:rFonts w:eastAsia="Calibri"/>
          <w:bCs/>
        </w:rPr>
        <w:t xml:space="preserve">que no se expresaron cuáles fueron las causas extraordinarias que </w:t>
      </w:r>
      <w:r w:rsidR="00552423">
        <w:rPr>
          <w:rFonts w:eastAsia="Calibri"/>
          <w:bCs/>
        </w:rPr>
        <w:t>impidieron</w:t>
      </w:r>
      <w:r w:rsidR="00B5690E">
        <w:rPr>
          <w:rFonts w:eastAsia="Calibri"/>
          <w:bCs/>
        </w:rPr>
        <w:t xml:space="preserve"> </w:t>
      </w:r>
      <w:r w:rsidR="00552423">
        <w:rPr>
          <w:rFonts w:eastAsia="Calibri"/>
          <w:bCs/>
        </w:rPr>
        <w:t>la renovación del Comité Directivo Estatal</w:t>
      </w:r>
      <w:r w:rsidR="00EE0384">
        <w:rPr>
          <w:rFonts w:eastAsia="Calibri"/>
          <w:bCs/>
        </w:rPr>
        <w:t>.</w:t>
      </w:r>
    </w:p>
    <w:p w:rsidR="00EE0384" w:rsidRDefault="00EE0384" w:rsidP="00474FF6">
      <w:pPr>
        <w:spacing w:after="0" w:line="360" w:lineRule="auto"/>
        <w:contextualSpacing/>
        <w:jc w:val="both"/>
        <w:rPr>
          <w:rFonts w:eastAsia="Calibri"/>
          <w:bCs/>
        </w:rPr>
      </w:pPr>
    </w:p>
    <w:p w:rsidR="00AA16E9" w:rsidRDefault="00EE0384" w:rsidP="00474FF6">
      <w:pPr>
        <w:spacing w:after="0" w:line="360" w:lineRule="auto"/>
        <w:contextualSpacing/>
        <w:jc w:val="both"/>
        <w:rPr>
          <w:rFonts w:eastAsia="Calibri"/>
          <w:bCs/>
        </w:rPr>
      </w:pPr>
      <w:r>
        <w:rPr>
          <w:rFonts w:eastAsia="Calibri"/>
          <w:bCs/>
        </w:rPr>
        <w:t xml:space="preserve">Ahora, del </w:t>
      </w:r>
      <w:r w:rsidR="00284C16">
        <w:rPr>
          <w:rFonts w:eastAsia="Calibri"/>
          <w:bCs/>
        </w:rPr>
        <w:t xml:space="preserve">análisis de la sentencia controvertida se advierte que el Tribunal de Guanajuato dividió el estudio de los planteamientos de los impugnantes en 2 </w:t>
      </w:r>
      <w:r w:rsidR="006A2B6A">
        <w:rPr>
          <w:rFonts w:eastAsia="Calibri"/>
          <w:bCs/>
        </w:rPr>
        <w:t>temas, el primer</w:t>
      </w:r>
      <w:r w:rsidR="00CA16D7">
        <w:rPr>
          <w:rFonts w:eastAsia="Calibri"/>
          <w:bCs/>
        </w:rPr>
        <w:t>o</w:t>
      </w:r>
      <w:r w:rsidR="006A2B6A">
        <w:rPr>
          <w:rFonts w:eastAsia="Calibri"/>
          <w:bCs/>
        </w:rPr>
        <w:t xml:space="preserve"> de ellos respecto de los agravios que consideró </w:t>
      </w:r>
      <w:r w:rsidR="00545A83">
        <w:rPr>
          <w:rFonts w:eastAsia="Calibri"/>
          <w:bCs/>
        </w:rPr>
        <w:t xml:space="preserve">que se trataban </w:t>
      </w:r>
      <w:r w:rsidR="00545A83">
        <w:rPr>
          <w:rFonts w:eastAsia="Calibri"/>
          <w:bCs/>
        </w:rPr>
        <w:lastRenderedPageBreak/>
        <w:t xml:space="preserve">de reiteraciones y no </w:t>
      </w:r>
      <w:r w:rsidR="00AA16E9">
        <w:rPr>
          <w:rFonts w:eastAsia="Calibri"/>
          <w:bCs/>
        </w:rPr>
        <w:t>combatían</w:t>
      </w:r>
      <w:r w:rsidR="00545A83">
        <w:rPr>
          <w:rFonts w:eastAsia="Calibri"/>
          <w:bCs/>
        </w:rPr>
        <w:t xml:space="preserve"> las razones de la Comisión de Justicia</w:t>
      </w:r>
      <w:r w:rsidR="00CA16D7">
        <w:rPr>
          <w:rStyle w:val="Refdenotaalpie"/>
          <w:rFonts w:eastAsia="Calibri"/>
          <w:bCs/>
        </w:rPr>
        <w:footnoteReference w:id="10"/>
      </w:r>
      <w:r w:rsidR="00545A83">
        <w:rPr>
          <w:rFonts w:eastAsia="Calibri"/>
          <w:bCs/>
        </w:rPr>
        <w:t xml:space="preserve">, y </w:t>
      </w:r>
      <w:r w:rsidR="00D200A3">
        <w:rPr>
          <w:rFonts w:eastAsia="Calibri"/>
          <w:bCs/>
        </w:rPr>
        <w:t>el segundo de ellos, en relación a</w:t>
      </w:r>
      <w:r w:rsidR="00C57DBF">
        <w:rPr>
          <w:rFonts w:eastAsia="Calibri"/>
          <w:bCs/>
        </w:rPr>
        <w:t xml:space="preserve"> que presuntamente la Comisión de Justicia no había expresado cuáles fueron las causas extraordinarias que impidieron la renovación de la dirigencia del Comité Directivo Estatal</w:t>
      </w:r>
      <w:r w:rsidR="009A43A7">
        <w:rPr>
          <w:rStyle w:val="Refdenotaalpie"/>
          <w:rFonts w:eastAsia="Calibri"/>
          <w:bCs/>
        </w:rPr>
        <w:footnoteReference w:id="11"/>
      </w:r>
      <w:r w:rsidR="00C57DBF">
        <w:rPr>
          <w:rFonts w:eastAsia="Calibri"/>
          <w:bCs/>
        </w:rPr>
        <w:t>.</w:t>
      </w:r>
    </w:p>
    <w:p w:rsidR="002A0443" w:rsidRDefault="002A0443" w:rsidP="00474FF6">
      <w:pPr>
        <w:spacing w:after="0" w:line="360" w:lineRule="auto"/>
        <w:contextualSpacing/>
        <w:jc w:val="both"/>
        <w:rPr>
          <w:rFonts w:eastAsia="Calibri"/>
          <w:bCs/>
        </w:rPr>
      </w:pPr>
    </w:p>
    <w:p w:rsidR="002A0443" w:rsidRDefault="008A16E2" w:rsidP="00474FF6">
      <w:pPr>
        <w:spacing w:after="0" w:line="360" w:lineRule="auto"/>
        <w:contextualSpacing/>
        <w:jc w:val="both"/>
      </w:pPr>
      <w:r>
        <w:rPr>
          <w:rFonts w:eastAsia="Calibri"/>
          <w:bCs/>
        </w:rPr>
        <w:lastRenderedPageBreak/>
        <w:t>En relación a esta segunda cuestión,</w:t>
      </w:r>
      <w:r w:rsidR="00533389">
        <w:rPr>
          <w:rFonts w:eastAsia="Calibri"/>
          <w:bCs/>
        </w:rPr>
        <w:t xml:space="preserve"> la responsable señaló que </w:t>
      </w:r>
      <w:r w:rsidR="0062794C" w:rsidRPr="00AC5C2F">
        <w:rPr>
          <w:i/>
        </w:rPr>
        <w:t>la Comisión de Justicia sí realizó tal especificación en su resolución</w:t>
      </w:r>
      <w:r w:rsidR="00AC5C2F">
        <w:t xml:space="preserve">, porque </w:t>
      </w:r>
      <w:r w:rsidR="00DF5795">
        <w:t xml:space="preserve">argumentó </w:t>
      </w:r>
      <w:r w:rsidR="00AC5C2F">
        <w:t xml:space="preserve">que </w:t>
      </w:r>
      <w:r w:rsidR="0062794C" w:rsidRPr="00AC5C2F">
        <w:rPr>
          <w:i/>
        </w:rPr>
        <w:t>de acuerdo al artículo 173 de los Estatutos, el proceso de renovación de las dirigencias de los Comités Directivos de las entidades federativas, por término de periodo, no debía coincidir con ningún proceso interno para la postulación de candidaturas a cargos de elección popular, ni entre el inicio del proceso y hasta el día de la calificación del cómputo de la elección que se trate</w:t>
      </w:r>
      <w:r w:rsidR="00AC5C2F">
        <w:t>, a</w:t>
      </w:r>
      <w:r w:rsidR="0062794C">
        <w:t xml:space="preserve">demás, </w:t>
      </w:r>
      <w:r w:rsidR="00AC5C2F">
        <w:t>agregó que</w:t>
      </w:r>
      <w:r w:rsidR="0062794C">
        <w:t xml:space="preserve">, </w:t>
      </w:r>
      <w:r w:rsidR="0062794C" w:rsidRPr="00AC5C2F">
        <w:rPr>
          <w:i/>
        </w:rPr>
        <w:t>la superposición de tiempos electorales constituía la causa justificada para que el Comité Nacional acordara una prórroga al periodo estatutario de los Comités Directivos de los estados, hasta el día de la calificación del cómputo de la elección que se trate</w:t>
      </w:r>
      <w:r w:rsidR="00F453DF">
        <w:rPr>
          <w:rStyle w:val="Refdenotaalpie"/>
          <w:i/>
        </w:rPr>
        <w:footnoteReference w:id="12"/>
      </w:r>
      <w:r w:rsidR="0062794C">
        <w:t>.</w:t>
      </w:r>
    </w:p>
    <w:p w:rsidR="00F453DF" w:rsidRDefault="00F453DF" w:rsidP="00474FF6">
      <w:pPr>
        <w:spacing w:after="0" w:line="360" w:lineRule="auto"/>
        <w:contextualSpacing/>
        <w:jc w:val="both"/>
        <w:rPr>
          <w:rFonts w:eastAsia="Calibri"/>
          <w:bCs/>
        </w:rPr>
      </w:pPr>
    </w:p>
    <w:p w:rsidR="00AC5C2F" w:rsidRDefault="00AC5C2F" w:rsidP="00474FF6">
      <w:pPr>
        <w:spacing w:after="0" w:line="360" w:lineRule="auto"/>
        <w:contextualSpacing/>
        <w:jc w:val="both"/>
        <w:rPr>
          <w:rFonts w:eastAsia="Calibri"/>
          <w:bCs/>
        </w:rPr>
      </w:pPr>
      <w:r>
        <w:rPr>
          <w:rFonts w:eastAsia="Calibri"/>
          <w:bCs/>
        </w:rPr>
        <w:t xml:space="preserve">En ese sentido, </w:t>
      </w:r>
      <w:r w:rsidR="00C622F5">
        <w:rPr>
          <w:rFonts w:eastAsia="Calibri"/>
          <w:bCs/>
        </w:rPr>
        <w:t>esta Sala advierte que la responsable</w:t>
      </w:r>
      <w:r w:rsidR="005D47DF">
        <w:rPr>
          <w:rFonts w:eastAsia="Calibri"/>
          <w:bCs/>
        </w:rPr>
        <w:t>, no calificó el agravio como ineficaz, sino que</w:t>
      </w:r>
      <w:r w:rsidR="00C622F5">
        <w:rPr>
          <w:rFonts w:eastAsia="Calibri"/>
          <w:bCs/>
        </w:rPr>
        <w:t xml:space="preserve"> </w:t>
      </w:r>
      <w:r w:rsidR="00C622F5" w:rsidRPr="00E87715">
        <w:rPr>
          <w:rFonts w:eastAsia="Calibri"/>
          <w:b/>
          <w:bCs/>
        </w:rPr>
        <w:t>sí se pronunció</w:t>
      </w:r>
      <w:r w:rsidR="00C622F5">
        <w:rPr>
          <w:rFonts w:eastAsia="Calibri"/>
          <w:bCs/>
        </w:rPr>
        <w:t xml:space="preserve"> </w:t>
      </w:r>
      <w:r w:rsidR="00A75CE1">
        <w:rPr>
          <w:rFonts w:eastAsia="Calibri"/>
          <w:bCs/>
        </w:rPr>
        <w:t>al respe</w:t>
      </w:r>
      <w:r w:rsidR="00687559">
        <w:rPr>
          <w:rFonts w:eastAsia="Calibri"/>
          <w:bCs/>
        </w:rPr>
        <w:t xml:space="preserve">cto sin que los impugnantes </w:t>
      </w:r>
      <w:r w:rsidR="00F453DF">
        <w:rPr>
          <w:rFonts w:eastAsia="Calibri"/>
          <w:bCs/>
        </w:rPr>
        <w:t xml:space="preserve">controviertan </w:t>
      </w:r>
      <w:r w:rsidR="00687559">
        <w:rPr>
          <w:rFonts w:eastAsia="Calibri"/>
          <w:bCs/>
        </w:rPr>
        <w:t xml:space="preserve">las </w:t>
      </w:r>
      <w:r w:rsidR="00F453DF">
        <w:rPr>
          <w:rFonts w:eastAsia="Calibri"/>
          <w:bCs/>
        </w:rPr>
        <w:t>razones</w:t>
      </w:r>
      <w:r w:rsidR="00687559">
        <w:rPr>
          <w:rFonts w:eastAsia="Calibri"/>
          <w:bCs/>
        </w:rPr>
        <w:t xml:space="preserve"> que fueron expresadas</w:t>
      </w:r>
      <w:r w:rsidR="00F453DF">
        <w:rPr>
          <w:rFonts w:eastAsia="Calibri"/>
          <w:bCs/>
        </w:rPr>
        <w:t>.</w:t>
      </w:r>
    </w:p>
    <w:p w:rsidR="00AA16E9" w:rsidRDefault="00AA16E9" w:rsidP="00474FF6">
      <w:pPr>
        <w:spacing w:after="0" w:line="360" w:lineRule="auto"/>
        <w:contextualSpacing/>
        <w:jc w:val="both"/>
        <w:rPr>
          <w:rFonts w:eastAsia="Calibri"/>
          <w:bCs/>
        </w:rPr>
      </w:pPr>
    </w:p>
    <w:p w:rsidR="00AA16E9" w:rsidRDefault="00BE5690" w:rsidP="00474FF6">
      <w:pPr>
        <w:spacing w:after="0" w:line="360" w:lineRule="auto"/>
        <w:contextualSpacing/>
        <w:jc w:val="both"/>
      </w:pPr>
      <w:r w:rsidRPr="008A44C0">
        <w:rPr>
          <w:rFonts w:eastAsia="Calibri"/>
          <w:b/>
          <w:bCs/>
        </w:rPr>
        <w:t>3.3.</w:t>
      </w:r>
      <w:r>
        <w:rPr>
          <w:rFonts w:eastAsia="Calibri"/>
          <w:bCs/>
        </w:rPr>
        <w:t xml:space="preserve"> </w:t>
      </w:r>
      <w:r w:rsidR="00C41881">
        <w:rPr>
          <w:rFonts w:eastAsia="Calibri"/>
          <w:bCs/>
        </w:rPr>
        <w:t xml:space="preserve">Por otro lado, </w:t>
      </w:r>
      <w:r w:rsidR="003310A8">
        <w:rPr>
          <w:rFonts w:eastAsia="Calibri"/>
          <w:bCs/>
        </w:rPr>
        <w:t xml:space="preserve">los impugnantes </w:t>
      </w:r>
      <w:r w:rsidR="00C61036">
        <w:rPr>
          <w:rFonts w:eastAsia="Calibri"/>
          <w:bCs/>
        </w:rPr>
        <w:t xml:space="preserve">señalan que </w:t>
      </w:r>
      <w:r w:rsidR="00752069">
        <w:rPr>
          <w:rFonts w:eastAsia="Calibri"/>
          <w:bCs/>
        </w:rPr>
        <w:t xml:space="preserve">sí atacaron </w:t>
      </w:r>
      <w:r w:rsidR="003310A8">
        <w:rPr>
          <w:rFonts w:eastAsia="Calibri"/>
          <w:bCs/>
        </w:rPr>
        <w:t xml:space="preserve">la falta de notificación del </w:t>
      </w:r>
      <w:r w:rsidR="00C25619">
        <w:rPr>
          <w:rFonts w:eastAsia="Calibri"/>
          <w:bCs/>
        </w:rPr>
        <w:t xml:space="preserve">nombramiento de </w:t>
      </w:r>
      <w:r w:rsidR="00C25619">
        <w:t xml:space="preserve">Ruth Noemí Tiscareño </w:t>
      </w:r>
      <w:proofErr w:type="spellStart"/>
      <w:r w:rsidR="00C25619">
        <w:t>Agoitia</w:t>
      </w:r>
      <w:proofErr w:type="spellEnd"/>
      <w:r w:rsidR="00C25619">
        <w:t xml:space="preserve"> como presidenta y Alejandro Arias Ávila como secretario general del Comité Directivo Estatal</w:t>
      </w:r>
      <w:r w:rsidR="004F2A03">
        <w:t xml:space="preserve">, </w:t>
      </w:r>
      <w:r w:rsidR="003310A8">
        <w:t xml:space="preserve">e incorrectamente la responsable consideró </w:t>
      </w:r>
      <w:r w:rsidR="004F2A03">
        <w:t xml:space="preserve">su agravio como </w:t>
      </w:r>
      <w:r w:rsidR="003310A8">
        <w:t>reiterativo.</w:t>
      </w:r>
    </w:p>
    <w:p w:rsidR="00DE0FA5" w:rsidRDefault="00DE0FA5" w:rsidP="00474FF6">
      <w:pPr>
        <w:spacing w:after="0" w:line="360" w:lineRule="auto"/>
        <w:contextualSpacing/>
        <w:jc w:val="both"/>
        <w:rPr>
          <w:rFonts w:eastAsia="Calibri"/>
          <w:bCs/>
        </w:rPr>
      </w:pPr>
    </w:p>
    <w:p w:rsidR="00AA2146" w:rsidRDefault="00DE0FA5" w:rsidP="00AA2146">
      <w:pPr>
        <w:spacing w:after="0" w:line="360" w:lineRule="auto"/>
        <w:jc w:val="both"/>
      </w:pPr>
      <w:r>
        <w:rPr>
          <w:rFonts w:eastAsia="Calibri"/>
          <w:bCs/>
        </w:rPr>
        <w:t xml:space="preserve">Sin embargo, esta Sala considera que </w:t>
      </w:r>
      <w:r w:rsidRPr="003310A8">
        <w:rPr>
          <w:rFonts w:eastAsia="Calibri"/>
          <w:b/>
          <w:bCs/>
        </w:rPr>
        <w:t>no tienen razón</w:t>
      </w:r>
      <w:r>
        <w:rPr>
          <w:rFonts w:eastAsia="Calibri"/>
          <w:bCs/>
        </w:rPr>
        <w:t xml:space="preserve">, </w:t>
      </w:r>
      <w:r w:rsidR="00AA2146">
        <w:rPr>
          <w:rFonts w:eastAsia="Calibri"/>
          <w:bCs/>
        </w:rPr>
        <w:t xml:space="preserve">con independencia de las razones expresadas por el Tribunal Local, se desestiman sus planteamientos, porque lo hacen depender de que, en su calidad de supuesto </w:t>
      </w:r>
      <w:r w:rsidR="00AA2146">
        <w:rPr>
          <w:rFonts w:eastAsia="Cambria"/>
        </w:rPr>
        <w:t xml:space="preserve">presidente del </w:t>
      </w:r>
      <w:r w:rsidR="00AA2146">
        <w:t xml:space="preserve">Comité Directivo Estatal, tenían el derecho de que se les notificara, sin embargo la Comisión de Justicia, al analizar los supuestos nombramientos, determinó que no eran válidos y que, por tal motivo, no tenían derecho a que se les notificara la </w:t>
      </w:r>
      <w:r w:rsidR="00AA2146">
        <w:lastRenderedPageBreak/>
        <w:t>prórroga en cuestión; razonamientos que no fueron controvertidos ante el Tribunal Local ni ante esta Sala Monterrey.</w:t>
      </w:r>
    </w:p>
    <w:p w:rsidR="004F2A03" w:rsidRDefault="004F2A03" w:rsidP="00DE0FA5">
      <w:pPr>
        <w:spacing w:after="0" w:line="360" w:lineRule="auto"/>
        <w:contextualSpacing/>
        <w:jc w:val="both"/>
        <w:rPr>
          <w:rFonts w:eastAsia="Calibri"/>
          <w:bCs/>
        </w:rPr>
      </w:pPr>
    </w:p>
    <w:p w:rsidR="004F2A03" w:rsidRDefault="004F2A03" w:rsidP="00DE0FA5">
      <w:pPr>
        <w:spacing w:after="0" w:line="360" w:lineRule="auto"/>
        <w:contextualSpacing/>
        <w:jc w:val="both"/>
      </w:pPr>
      <w:r>
        <w:rPr>
          <w:rFonts w:eastAsia="Calibri"/>
          <w:bCs/>
        </w:rPr>
        <w:t>En ese sentido,</w:t>
      </w:r>
      <w:r w:rsidR="00D2717D">
        <w:rPr>
          <w:rFonts w:eastAsia="Calibri"/>
          <w:bCs/>
        </w:rPr>
        <w:t xml:space="preserve"> </w:t>
      </w:r>
      <w:r w:rsidR="00AF7BCF">
        <w:rPr>
          <w:rFonts w:eastAsia="Calibri"/>
          <w:bCs/>
        </w:rPr>
        <w:t>si ante la responsable no controvirti</w:t>
      </w:r>
      <w:r w:rsidR="003B009D">
        <w:rPr>
          <w:rFonts w:eastAsia="Calibri"/>
          <w:bCs/>
        </w:rPr>
        <w:t xml:space="preserve">eron los argumentos sobre la </w:t>
      </w:r>
      <w:r w:rsidR="00E41A11">
        <w:rPr>
          <w:rFonts w:eastAsia="Calibri"/>
          <w:bCs/>
        </w:rPr>
        <w:t>falta</w:t>
      </w:r>
      <w:r w:rsidR="003B009D">
        <w:rPr>
          <w:rFonts w:eastAsia="Calibri"/>
          <w:bCs/>
        </w:rPr>
        <w:t xml:space="preserve"> de validez jurídica del acto donde presuntamente se </w:t>
      </w:r>
      <w:r w:rsidR="00EE4FB3">
        <w:rPr>
          <w:rFonts w:eastAsia="Calibri"/>
          <w:bCs/>
        </w:rPr>
        <w:t xml:space="preserve">nombró </w:t>
      </w:r>
      <w:r w:rsidR="00EE4FB3">
        <w:rPr>
          <w:rFonts w:eastAsia="Cambria"/>
        </w:rPr>
        <w:t>presidente</w:t>
      </w:r>
      <w:r w:rsidR="003B009D">
        <w:rPr>
          <w:rFonts w:eastAsia="Cambria"/>
        </w:rPr>
        <w:t xml:space="preserve"> del </w:t>
      </w:r>
      <w:r w:rsidR="003B009D">
        <w:t xml:space="preserve">Comité Directivo Estatal a Armando de la Cruz Uribe, </w:t>
      </w:r>
      <w:r w:rsidR="00C05BD1">
        <w:t xml:space="preserve">resulta evidente que </w:t>
      </w:r>
      <w:r w:rsidR="00BC79B2">
        <w:t xml:space="preserve">a ningún fin practico llevaría el análisis de la supuesta </w:t>
      </w:r>
      <w:r w:rsidR="006B6033">
        <w:t xml:space="preserve">vulneración al derecho de audiencia, pues los impugnantes </w:t>
      </w:r>
      <w:r w:rsidR="00074FB3">
        <w:t>no adquirieron un derecho</w:t>
      </w:r>
      <w:r w:rsidR="00545BBA">
        <w:t xml:space="preserve"> que pudiera verse afectado.</w:t>
      </w:r>
    </w:p>
    <w:p w:rsidR="0072227A" w:rsidRDefault="0072227A" w:rsidP="00DE0FA5">
      <w:pPr>
        <w:spacing w:after="0" w:line="360" w:lineRule="auto"/>
        <w:contextualSpacing/>
        <w:jc w:val="both"/>
      </w:pPr>
    </w:p>
    <w:p w:rsidR="00545BBA" w:rsidRDefault="002B1C22" w:rsidP="00DE0FA5">
      <w:pPr>
        <w:spacing w:after="0" w:line="360" w:lineRule="auto"/>
        <w:contextualSpacing/>
        <w:jc w:val="both"/>
        <w:rPr>
          <w:rFonts w:eastAsia="Calibri"/>
          <w:bCs/>
        </w:rPr>
      </w:pPr>
      <w:r w:rsidRPr="002F0B95">
        <w:rPr>
          <w:rFonts w:eastAsia="Calibri"/>
          <w:b/>
          <w:bCs/>
        </w:rPr>
        <w:t>3.4.</w:t>
      </w:r>
      <w:r w:rsidRPr="002F0B95">
        <w:rPr>
          <w:rFonts w:eastAsia="Calibri"/>
          <w:bCs/>
        </w:rPr>
        <w:t xml:space="preserve"> </w:t>
      </w:r>
      <w:r w:rsidR="0072227A" w:rsidRPr="002F0B95">
        <w:t>De ahí que</w:t>
      </w:r>
      <w:r w:rsidR="00047648" w:rsidRPr="002F0B95">
        <w:t>, por similar razón, resulta ineficaz lo alegado sobre la falta de análisis de</w:t>
      </w:r>
      <w:r w:rsidR="00F46200" w:rsidRPr="002F0B95">
        <w:t xml:space="preserve"> sus planteamientos, incongrue</w:t>
      </w:r>
      <w:r w:rsidR="00047648" w:rsidRPr="002F0B95">
        <w:t>ncia</w:t>
      </w:r>
      <w:r w:rsidR="00F46200" w:rsidRPr="002F0B95">
        <w:t xml:space="preserve"> y </w:t>
      </w:r>
      <w:r w:rsidR="00047648" w:rsidRPr="002F0B95">
        <w:t xml:space="preserve">las consecuencias que a ello atribuye, como la supuesta </w:t>
      </w:r>
      <w:r w:rsidR="00F46200" w:rsidRPr="002F0B95">
        <w:t>revictimi</w:t>
      </w:r>
      <w:r w:rsidR="00047648" w:rsidRPr="002F0B95">
        <w:t>zación</w:t>
      </w:r>
      <w:r w:rsidR="00F46200" w:rsidRPr="002F0B95">
        <w:t xml:space="preserve">, </w:t>
      </w:r>
      <w:r w:rsidR="004F6DA0" w:rsidRPr="002F0B95">
        <w:t>porque</w:t>
      </w:r>
      <w:r w:rsidR="00047648" w:rsidRPr="002F0B95">
        <w:t>, finalmente, conforme a lo señalado, no podría acogerse la pretensión del impugnante.</w:t>
      </w:r>
    </w:p>
    <w:p w:rsidR="002B1C22" w:rsidRDefault="002B1C22" w:rsidP="00DE0FA5">
      <w:pPr>
        <w:spacing w:after="0" w:line="360" w:lineRule="auto"/>
        <w:contextualSpacing/>
        <w:jc w:val="both"/>
        <w:rPr>
          <w:rFonts w:eastAsia="Calibri"/>
          <w:bCs/>
        </w:rPr>
      </w:pPr>
    </w:p>
    <w:p w:rsidR="00ED4289" w:rsidRDefault="00545BBA" w:rsidP="00DE0FA5">
      <w:pPr>
        <w:spacing w:after="0" w:line="360" w:lineRule="auto"/>
        <w:contextualSpacing/>
        <w:jc w:val="both"/>
        <w:rPr>
          <w:rFonts w:eastAsia="Calibri"/>
          <w:bCs/>
        </w:rPr>
      </w:pPr>
      <w:r w:rsidRPr="00F16397">
        <w:rPr>
          <w:rFonts w:eastAsia="Calibri"/>
          <w:b/>
          <w:bCs/>
        </w:rPr>
        <w:t>3.</w:t>
      </w:r>
      <w:r w:rsidR="002B1C22" w:rsidRPr="002B1C22">
        <w:rPr>
          <w:rFonts w:eastAsia="Calibri"/>
          <w:b/>
        </w:rPr>
        <w:t>5</w:t>
      </w:r>
      <w:r>
        <w:rPr>
          <w:rFonts w:eastAsia="Calibri"/>
          <w:bCs/>
        </w:rPr>
        <w:t xml:space="preserve"> </w:t>
      </w:r>
      <w:r w:rsidR="00F16397">
        <w:rPr>
          <w:rFonts w:eastAsia="Calibri"/>
          <w:bCs/>
        </w:rPr>
        <w:t xml:space="preserve">Finalmente, </w:t>
      </w:r>
      <w:r w:rsidR="00ED4289" w:rsidRPr="00ED4289">
        <w:rPr>
          <w:rFonts w:eastAsia="Calibri"/>
          <w:b/>
          <w:bCs/>
        </w:rPr>
        <w:t>es ineficaz</w:t>
      </w:r>
      <w:r w:rsidR="00ED4289">
        <w:rPr>
          <w:rFonts w:eastAsia="Calibri"/>
          <w:bCs/>
        </w:rPr>
        <w:t xml:space="preserve"> el argumento de </w:t>
      </w:r>
      <w:r w:rsidR="00DC2E7E">
        <w:rPr>
          <w:rFonts w:eastAsia="Calibri"/>
          <w:bCs/>
        </w:rPr>
        <w:t xml:space="preserve">los impugnantes </w:t>
      </w:r>
      <w:r w:rsidR="00ED4289">
        <w:rPr>
          <w:rFonts w:eastAsia="Calibri"/>
          <w:bCs/>
        </w:rPr>
        <w:t xml:space="preserve">en el cual argumentan </w:t>
      </w:r>
      <w:r w:rsidR="00DC2E7E">
        <w:rPr>
          <w:rFonts w:eastAsia="Calibri"/>
          <w:bCs/>
        </w:rPr>
        <w:t>que</w:t>
      </w:r>
      <w:r w:rsidR="00BA6BDA">
        <w:rPr>
          <w:rFonts w:eastAsia="Calibri"/>
          <w:bCs/>
        </w:rPr>
        <w:t xml:space="preserve"> el Tribunal Local omitió analizar en su sentencia los agravios que se hicieron valer en un diverso juicio que fue sobreseído (</w:t>
      </w:r>
      <w:proofErr w:type="spellStart"/>
      <w:r w:rsidR="00BF3472">
        <w:rPr>
          <w:rFonts w:eastAsia="Calibri"/>
          <w:bCs/>
        </w:rPr>
        <w:t>TEEG</w:t>
      </w:r>
      <w:proofErr w:type="spellEnd"/>
      <w:r w:rsidR="00BF3472">
        <w:rPr>
          <w:rFonts w:eastAsia="Calibri"/>
          <w:bCs/>
        </w:rPr>
        <w:t>-</w:t>
      </w:r>
      <w:proofErr w:type="spellStart"/>
      <w:r w:rsidR="00BF3472">
        <w:rPr>
          <w:rFonts w:eastAsia="Calibri"/>
          <w:bCs/>
        </w:rPr>
        <w:t>JPDC</w:t>
      </w:r>
      <w:proofErr w:type="spellEnd"/>
      <w:r w:rsidR="00BF3472">
        <w:rPr>
          <w:rFonts w:eastAsia="Calibri"/>
          <w:bCs/>
        </w:rPr>
        <w:t xml:space="preserve">-60/2020), siendo </w:t>
      </w:r>
      <w:r w:rsidR="006416C6">
        <w:rPr>
          <w:rFonts w:eastAsia="Calibri"/>
          <w:bCs/>
        </w:rPr>
        <w:t xml:space="preserve">que la responsable </w:t>
      </w:r>
      <w:r w:rsidR="00ED4289">
        <w:rPr>
          <w:rFonts w:eastAsia="Calibri"/>
          <w:bCs/>
        </w:rPr>
        <w:t xml:space="preserve">estableció que estos </w:t>
      </w:r>
      <w:r w:rsidR="000966AF">
        <w:rPr>
          <w:rFonts w:eastAsia="Calibri"/>
          <w:bCs/>
        </w:rPr>
        <w:t>serían</w:t>
      </w:r>
      <w:r w:rsidR="00ED4289">
        <w:rPr>
          <w:rFonts w:eastAsia="Calibri"/>
          <w:bCs/>
        </w:rPr>
        <w:t xml:space="preserve"> analizados en el juicio que ahora se revisa.</w:t>
      </w:r>
    </w:p>
    <w:p w:rsidR="00555BD6" w:rsidRDefault="00555BD6" w:rsidP="00DE0FA5">
      <w:pPr>
        <w:spacing w:after="0" w:line="360" w:lineRule="auto"/>
        <w:contextualSpacing/>
        <w:jc w:val="both"/>
        <w:rPr>
          <w:rFonts w:eastAsia="Calibri"/>
          <w:bCs/>
        </w:rPr>
      </w:pPr>
    </w:p>
    <w:p w:rsidR="00555BD6" w:rsidRDefault="00555BD6" w:rsidP="00DE0FA5">
      <w:pPr>
        <w:spacing w:after="0" w:line="360" w:lineRule="auto"/>
        <w:contextualSpacing/>
        <w:jc w:val="both"/>
        <w:rPr>
          <w:rFonts w:eastAsia="Calibri"/>
          <w:bCs/>
        </w:rPr>
      </w:pPr>
      <w:r>
        <w:rPr>
          <w:rFonts w:eastAsia="Calibri"/>
          <w:bCs/>
        </w:rPr>
        <w:t xml:space="preserve">Lo anterior, porque </w:t>
      </w:r>
      <w:r w:rsidR="00310D79">
        <w:rPr>
          <w:rFonts w:eastAsia="Calibri"/>
          <w:bCs/>
        </w:rPr>
        <w:t>su argumento se trata de una mera afirmación sin sustento</w:t>
      </w:r>
      <w:r w:rsidR="0032085F">
        <w:rPr>
          <w:rFonts w:eastAsia="Calibri"/>
          <w:bCs/>
        </w:rPr>
        <w:t>,</w:t>
      </w:r>
      <w:r w:rsidR="00310D79">
        <w:rPr>
          <w:rFonts w:eastAsia="Calibri"/>
          <w:bCs/>
        </w:rPr>
        <w:t xml:space="preserve"> además, </w:t>
      </w:r>
      <w:r w:rsidR="00527596">
        <w:rPr>
          <w:rFonts w:eastAsia="Calibri"/>
          <w:bCs/>
        </w:rPr>
        <w:t xml:space="preserve">de que la responsable sólo está obligada a estudiar los agravios que </w:t>
      </w:r>
      <w:r w:rsidR="0032085F">
        <w:rPr>
          <w:rFonts w:eastAsia="Calibri"/>
          <w:bCs/>
        </w:rPr>
        <w:t xml:space="preserve">se presentan en la demanda a través de la cual se </w:t>
      </w:r>
      <w:r w:rsidR="00184E02">
        <w:rPr>
          <w:rFonts w:eastAsia="Calibri"/>
          <w:bCs/>
        </w:rPr>
        <w:t xml:space="preserve">combate el acto reclamado, </w:t>
      </w:r>
      <w:r w:rsidR="0032085F">
        <w:rPr>
          <w:rFonts w:eastAsia="Calibri"/>
          <w:bCs/>
        </w:rPr>
        <w:t xml:space="preserve">sin que pueda </w:t>
      </w:r>
      <w:r w:rsidR="00EE553C">
        <w:rPr>
          <w:rFonts w:eastAsia="Calibri"/>
          <w:bCs/>
        </w:rPr>
        <w:t>traer a la causa aquellos que se hicieron valer en un diverso juicio.</w:t>
      </w:r>
    </w:p>
    <w:p w:rsidR="00ED4289" w:rsidRDefault="00ED4289" w:rsidP="00DE0FA5">
      <w:pPr>
        <w:spacing w:after="0" w:line="360" w:lineRule="auto"/>
        <w:contextualSpacing/>
        <w:jc w:val="both"/>
        <w:rPr>
          <w:rFonts w:eastAsia="Calibri"/>
          <w:bCs/>
        </w:rPr>
      </w:pPr>
    </w:p>
    <w:p w:rsidR="00025F45" w:rsidRPr="00EE553C" w:rsidRDefault="00BA6BDA" w:rsidP="00EE553C">
      <w:pPr>
        <w:spacing w:after="0" w:line="360" w:lineRule="auto"/>
        <w:contextualSpacing/>
        <w:jc w:val="both"/>
        <w:rPr>
          <w:rFonts w:eastAsia="Calibri"/>
          <w:bCs/>
        </w:rPr>
      </w:pPr>
      <w:r>
        <w:rPr>
          <w:rFonts w:eastAsia="Calibri"/>
          <w:bCs/>
        </w:rPr>
        <w:t xml:space="preserve"> </w:t>
      </w:r>
      <w:bookmarkEnd w:id="21"/>
      <w:r w:rsidR="00025F45" w:rsidRPr="00216ACE">
        <w:t>Por lo expuesto y fundado se:</w:t>
      </w:r>
    </w:p>
    <w:p w:rsidR="00025F45" w:rsidRPr="00216ACE" w:rsidRDefault="00025F45" w:rsidP="00025F45">
      <w:pPr>
        <w:shd w:val="clear" w:color="auto" w:fill="FFFFFF" w:themeFill="background1"/>
        <w:spacing w:after="0" w:line="240" w:lineRule="auto"/>
        <w:jc w:val="both"/>
      </w:pPr>
    </w:p>
    <w:p w:rsidR="00025F45" w:rsidRPr="00216ACE" w:rsidRDefault="00025F45" w:rsidP="00025F45">
      <w:pPr>
        <w:pStyle w:val="Ttulo1"/>
        <w:shd w:val="clear" w:color="auto" w:fill="FFFFFF" w:themeFill="background1"/>
        <w:spacing w:before="0" w:beforeAutospacing="0" w:after="0" w:afterAutospacing="0" w:line="240" w:lineRule="auto"/>
        <w:jc w:val="center"/>
        <w:rPr>
          <w:szCs w:val="24"/>
        </w:rPr>
      </w:pPr>
      <w:bookmarkStart w:id="22" w:name="_Toc483300366"/>
      <w:bookmarkStart w:id="23" w:name="_Toc70425548"/>
      <w:bookmarkStart w:id="24" w:name="_Toc71533633"/>
      <w:r w:rsidRPr="00216ACE">
        <w:rPr>
          <w:caps w:val="0"/>
          <w:szCs w:val="24"/>
        </w:rPr>
        <w:t>Resuelve</w:t>
      </w:r>
      <w:bookmarkEnd w:id="22"/>
      <w:bookmarkEnd w:id="23"/>
      <w:bookmarkEnd w:id="24"/>
    </w:p>
    <w:p w:rsidR="00025F45" w:rsidRPr="00216ACE" w:rsidRDefault="00025F45" w:rsidP="00025F45">
      <w:pPr>
        <w:shd w:val="clear" w:color="auto" w:fill="FFFFFF" w:themeFill="background1"/>
        <w:spacing w:after="0" w:line="240" w:lineRule="auto"/>
        <w:jc w:val="both"/>
        <w:rPr>
          <w:b/>
          <w:bCs/>
          <w:lang w:val="it-IT"/>
        </w:rPr>
      </w:pPr>
    </w:p>
    <w:p w:rsidR="00025F45" w:rsidRDefault="00025F45" w:rsidP="00025F45">
      <w:pPr>
        <w:shd w:val="clear" w:color="auto" w:fill="FFFFFF" w:themeFill="background1"/>
        <w:tabs>
          <w:tab w:val="left" w:pos="5653"/>
        </w:tabs>
        <w:spacing w:after="0" w:line="360" w:lineRule="auto"/>
        <w:jc w:val="both"/>
        <w:rPr>
          <w:bCs/>
          <w:lang w:val="it-IT"/>
        </w:rPr>
      </w:pPr>
      <w:r w:rsidRPr="00216ACE">
        <w:rPr>
          <w:b/>
          <w:bCs/>
          <w:lang w:val="it-IT"/>
        </w:rPr>
        <w:t>ÚNICO.</w:t>
      </w:r>
      <w:r w:rsidRPr="00216ACE">
        <w:rPr>
          <w:bCs/>
          <w:lang w:val="it-IT"/>
        </w:rPr>
        <w:t xml:space="preserve"> Se </w:t>
      </w:r>
      <w:r w:rsidR="00EE553C">
        <w:rPr>
          <w:b/>
          <w:lang w:val="it-IT"/>
        </w:rPr>
        <w:t xml:space="preserve">confirma </w:t>
      </w:r>
      <w:r w:rsidRPr="00216ACE">
        <w:rPr>
          <w:bCs/>
          <w:lang w:val="it-IT"/>
        </w:rPr>
        <w:t xml:space="preserve">la resolución </w:t>
      </w:r>
      <w:r w:rsidRPr="00EF764A">
        <w:rPr>
          <w:bCs/>
          <w:lang w:val="it-IT"/>
        </w:rPr>
        <w:t>impugnada</w:t>
      </w:r>
      <w:r w:rsidR="00EE553C">
        <w:rPr>
          <w:bCs/>
          <w:lang w:val="it-IT"/>
        </w:rPr>
        <w:t>.</w:t>
      </w:r>
    </w:p>
    <w:p w:rsidR="00A34E50" w:rsidRPr="00216ACE" w:rsidRDefault="00A34E50" w:rsidP="00025F45">
      <w:pPr>
        <w:shd w:val="clear" w:color="auto" w:fill="FFFFFF" w:themeFill="background1"/>
        <w:tabs>
          <w:tab w:val="left" w:pos="5653"/>
        </w:tabs>
        <w:spacing w:after="0" w:line="360" w:lineRule="auto"/>
        <w:jc w:val="both"/>
        <w:rPr>
          <w:bCs/>
          <w:lang w:val="it-IT"/>
        </w:rPr>
      </w:pPr>
    </w:p>
    <w:p w:rsidR="00225086" w:rsidRPr="00216ACE" w:rsidRDefault="00225086" w:rsidP="00474FF6">
      <w:pPr>
        <w:shd w:val="clear" w:color="auto" w:fill="FFFFFF" w:themeFill="background1"/>
        <w:spacing w:after="0" w:line="360" w:lineRule="auto"/>
        <w:jc w:val="both"/>
      </w:pPr>
      <w:r w:rsidRPr="00216ACE">
        <w:t>En su oportunidad, archívese el expediente como asunto concluido; en su caso, devuélvase la documentación que en original haya exhibido la responsable.</w:t>
      </w:r>
    </w:p>
    <w:p w:rsidR="00225086" w:rsidRPr="00216ACE" w:rsidRDefault="00225086" w:rsidP="00474FF6">
      <w:pPr>
        <w:shd w:val="clear" w:color="auto" w:fill="FFFFFF" w:themeFill="background1"/>
        <w:spacing w:after="0" w:line="240" w:lineRule="auto"/>
        <w:jc w:val="both"/>
      </w:pPr>
    </w:p>
    <w:p w:rsidR="00225086" w:rsidRPr="00216ACE" w:rsidRDefault="00225086" w:rsidP="00474FF6">
      <w:pPr>
        <w:shd w:val="clear" w:color="auto" w:fill="FFFFFF" w:themeFill="background1"/>
        <w:spacing w:after="0" w:line="360" w:lineRule="auto"/>
        <w:jc w:val="both"/>
        <w:rPr>
          <w:lang w:eastAsia="es-MX"/>
        </w:rPr>
      </w:pPr>
      <w:r w:rsidRPr="00216ACE">
        <w:rPr>
          <w:b/>
          <w:bCs/>
          <w:lang w:eastAsia="es-MX"/>
        </w:rPr>
        <w:t>Notifíquese</w:t>
      </w:r>
      <w:r w:rsidRPr="00216ACE">
        <w:rPr>
          <w:lang w:eastAsia="es-MX"/>
        </w:rPr>
        <w:t>, como en Derecho corresponda.</w:t>
      </w:r>
    </w:p>
    <w:p w:rsidR="00225086" w:rsidRPr="00216ACE" w:rsidRDefault="00225086" w:rsidP="00225086">
      <w:pPr>
        <w:shd w:val="clear" w:color="auto" w:fill="FFFFFF" w:themeFill="background1"/>
        <w:spacing w:after="0" w:line="240" w:lineRule="auto"/>
        <w:jc w:val="both"/>
        <w:rPr>
          <w:lang w:eastAsia="es-MX"/>
        </w:rPr>
      </w:pPr>
    </w:p>
    <w:p w:rsidR="00225086" w:rsidRPr="00216ACE" w:rsidRDefault="00225086" w:rsidP="00225086">
      <w:pPr>
        <w:shd w:val="clear" w:color="auto" w:fill="FFFFFF" w:themeFill="background1"/>
        <w:spacing w:after="0" w:line="360" w:lineRule="auto"/>
        <w:jc w:val="both"/>
        <w:rPr>
          <w:rFonts w:eastAsia="Calibri"/>
          <w:lang w:eastAsia="es-MX"/>
        </w:rPr>
      </w:pPr>
      <w:r w:rsidRPr="00216ACE">
        <w:rPr>
          <w:rFonts w:eastAsia="Calibri"/>
          <w:lang w:eastAsia="es-MX"/>
        </w:rPr>
        <w:lastRenderedPageBreak/>
        <w:t xml:space="preserve">Así lo resolvieron, por </w:t>
      </w:r>
      <w:r w:rsidR="005E0F30">
        <w:rPr>
          <w:rFonts w:eastAsia="Calibri"/>
          <w:b/>
          <w:lang w:eastAsia="es-MX"/>
        </w:rPr>
        <w:t>unanimidad</w:t>
      </w:r>
      <w:r>
        <w:rPr>
          <w:rFonts w:eastAsia="Calibri"/>
          <w:b/>
          <w:lang w:eastAsia="es-MX"/>
        </w:rPr>
        <w:t xml:space="preserve"> </w:t>
      </w:r>
      <w:r w:rsidRPr="00216ACE">
        <w:rPr>
          <w:rFonts w:eastAsia="Calibri"/>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rsidR="00225086" w:rsidRPr="00216ACE" w:rsidRDefault="00225086" w:rsidP="00225086">
      <w:pPr>
        <w:spacing w:after="0"/>
        <w:jc w:val="both"/>
        <w:rPr>
          <w:bCs/>
          <w:i/>
          <w:iCs/>
          <w:sz w:val="22"/>
          <w:szCs w:val="22"/>
        </w:rPr>
      </w:pPr>
    </w:p>
    <w:p w:rsidR="00225086" w:rsidRPr="00F37625" w:rsidRDefault="00225086" w:rsidP="00225086">
      <w:pPr>
        <w:spacing w:after="0"/>
        <w:jc w:val="both"/>
        <w:rPr>
          <w:rFonts w:eastAsia="Calibri"/>
          <w:lang w:eastAsia="es-MX"/>
        </w:rPr>
      </w:pPr>
      <w:r w:rsidRPr="00216ACE">
        <w:rPr>
          <w:bCs/>
          <w:i/>
          <w:iCs/>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rsidR="000E122C" w:rsidRPr="00F37625" w:rsidRDefault="000E122C" w:rsidP="00225086">
      <w:pPr>
        <w:pStyle w:val="Prrafodelista"/>
        <w:tabs>
          <w:tab w:val="left" w:pos="5461"/>
        </w:tabs>
        <w:spacing w:after="0" w:line="240" w:lineRule="auto"/>
        <w:ind w:left="0"/>
        <w:jc w:val="both"/>
        <w:rPr>
          <w:rFonts w:eastAsia="Calibri"/>
          <w:lang w:eastAsia="es-MX"/>
        </w:rPr>
      </w:pPr>
    </w:p>
    <w:sectPr w:rsidR="000E122C" w:rsidRPr="00F37625" w:rsidSect="00226454">
      <w:headerReference w:type="even" r:id="rId11"/>
      <w:headerReference w:type="default" r:id="rId12"/>
      <w:footerReference w:type="even" r:id="rId13"/>
      <w:footerReference w:type="default" r:id="rId14"/>
      <w:headerReference w:type="first" r:id="rId15"/>
      <w:footerReference w:type="first" r:id="rId16"/>
      <w:pgSz w:w="12242" w:h="19295" w:code="128"/>
      <w:pgMar w:top="1985" w:right="1134" w:bottom="1985" w:left="2552" w:header="851"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3660" w16cex:dateUtc="2021-05-06T14: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81" w:rsidRDefault="008B2A81" w:rsidP="00243172">
      <w:pPr>
        <w:spacing w:after="0" w:line="240" w:lineRule="auto"/>
      </w:pPr>
      <w:r>
        <w:separator/>
      </w:r>
    </w:p>
  </w:endnote>
  <w:endnote w:type="continuationSeparator" w:id="0">
    <w:p w:rsidR="008B2A81" w:rsidRDefault="008B2A81" w:rsidP="00243172">
      <w:pPr>
        <w:spacing w:after="0" w:line="240" w:lineRule="auto"/>
      </w:pPr>
      <w:r>
        <w:continuationSeparator/>
      </w:r>
    </w:p>
  </w:endnote>
  <w:endnote w:type="continuationNotice" w:id="1">
    <w:p w:rsidR="008B2A81" w:rsidRDefault="008B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TheSansOsF SemiLight">
    <w:altName w:val="Times New Roman"/>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7D" w:rsidRDefault="002924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7D" w:rsidRDefault="002924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7D" w:rsidRDefault="002924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81" w:rsidRDefault="008B2A81" w:rsidP="00243172">
      <w:pPr>
        <w:spacing w:after="0" w:line="240" w:lineRule="auto"/>
      </w:pPr>
      <w:r>
        <w:separator/>
      </w:r>
    </w:p>
  </w:footnote>
  <w:footnote w:type="continuationSeparator" w:id="0">
    <w:p w:rsidR="008B2A81" w:rsidRDefault="008B2A81" w:rsidP="00243172">
      <w:pPr>
        <w:spacing w:after="0" w:line="240" w:lineRule="auto"/>
      </w:pPr>
      <w:r>
        <w:continuationSeparator/>
      </w:r>
    </w:p>
  </w:footnote>
  <w:footnote w:type="continuationNotice" w:id="1">
    <w:p w:rsidR="008B2A81" w:rsidRDefault="008B2A81">
      <w:pPr>
        <w:spacing w:after="0" w:line="240" w:lineRule="auto"/>
      </w:pPr>
    </w:p>
  </w:footnote>
  <w:footnote w:id="2">
    <w:p w:rsidR="001459B9" w:rsidRPr="007C146E" w:rsidRDefault="001459B9" w:rsidP="003B39C1">
      <w:pPr>
        <w:tabs>
          <w:tab w:val="left" w:pos="708"/>
        </w:tabs>
        <w:spacing w:after="0" w:line="240" w:lineRule="auto"/>
        <w:contextualSpacing/>
        <w:jc w:val="both"/>
        <w:rPr>
          <w:sz w:val="16"/>
          <w:szCs w:val="16"/>
          <w:shd w:val="clear" w:color="auto" w:fill="FFFFFF"/>
        </w:rPr>
      </w:pPr>
      <w:r w:rsidRPr="007C146E">
        <w:rPr>
          <w:rStyle w:val="Refdenotaalpie"/>
          <w:sz w:val="16"/>
          <w:szCs w:val="16"/>
        </w:rPr>
        <w:footnoteRef/>
      </w:r>
      <w:r w:rsidRPr="007C146E">
        <w:rPr>
          <w:sz w:val="16"/>
          <w:szCs w:val="16"/>
        </w:rPr>
        <w:t xml:space="preserve"> </w:t>
      </w:r>
      <w:r w:rsidRPr="007C146E">
        <w:rPr>
          <w:rFonts w:eastAsia="Times New Roman"/>
          <w:sz w:val="16"/>
          <w:szCs w:val="16"/>
          <w:lang w:eastAsia="es-MX"/>
        </w:rPr>
        <w:t>Lo anterior, con fundamento en lo dispuesto por los artículos 195, fracción IV, inciso d), de la Ley Orgánica del Poder Judicial de la Federación y 83, párrafo 1, inciso b), fracción IV, de la Ley General del Sistema de Medios de Impugnación en Materia Electoral.</w:t>
      </w:r>
    </w:p>
  </w:footnote>
  <w:footnote w:id="3">
    <w:p w:rsidR="00707F3B" w:rsidRPr="007C146E" w:rsidRDefault="00AD53FE">
      <w:pPr>
        <w:pStyle w:val="Textonotapie"/>
        <w:rPr>
          <w:sz w:val="16"/>
          <w:szCs w:val="16"/>
          <w:lang w:val="es-MX"/>
        </w:rPr>
      </w:pPr>
      <w:r w:rsidRPr="007C146E">
        <w:rPr>
          <w:rStyle w:val="Refdenotaalpie"/>
          <w:sz w:val="16"/>
          <w:szCs w:val="16"/>
        </w:rPr>
        <w:footnoteRef/>
      </w:r>
      <w:r w:rsidRPr="007C146E">
        <w:rPr>
          <w:sz w:val="16"/>
          <w:szCs w:val="16"/>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600" w:firstRow="0" w:lastRow="0" w:firstColumn="0" w:lastColumn="0" w:noHBand="1" w:noVBand="1"/>
      </w:tblPr>
      <w:tblGrid>
        <w:gridCol w:w="1159"/>
        <w:gridCol w:w="1466"/>
        <w:gridCol w:w="1466"/>
        <w:gridCol w:w="1171"/>
        <w:gridCol w:w="1175"/>
        <w:gridCol w:w="1028"/>
        <w:gridCol w:w="1061"/>
      </w:tblGrid>
      <w:tr w:rsidR="00707F3B" w:rsidRPr="007C146E" w:rsidTr="000A5E56">
        <w:trPr>
          <w:trHeight w:val="57"/>
          <w:tblHeader/>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3703C9" w:rsidP="00707F3B">
            <w:pPr>
              <w:spacing w:after="0" w:line="240" w:lineRule="auto"/>
              <w:jc w:val="center"/>
              <w:rPr>
                <w:b/>
                <w:bCs/>
                <w:sz w:val="14"/>
                <w:szCs w:val="14"/>
              </w:rPr>
            </w:pPr>
            <w:r w:rsidRPr="007C146E">
              <w:rPr>
                <w:b/>
                <w:bCs/>
                <w:sz w:val="14"/>
                <w:szCs w:val="14"/>
              </w:rPr>
              <w:t xml:space="preserve">Abril y Mayo </w:t>
            </w:r>
            <w:proofErr w:type="spellStart"/>
            <w:r w:rsidR="00707F3B" w:rsidRPr="007C146E">
              <w:rPr>
                <w:b/>
                <w:bCs/>
                <w:sz w:val="14"/>
                <w:szCs w:val="14"/>
              </w:rPr>
              <w:t>202</w:t>
            </w:r>
            <w:r w:rsidRPr="007C146E">
              <w:rPr>
                <w:b/>
                <w:bCs/>
                <w:sz w:val="14"/>
                <w:szCs w:val="14"/>
              </w:rPr>
              <w:t>a</w:t>
            </w:r>
            <w:proofErr w:type="spellEnd"/>
          </w:p>
        </w:tc>
      </w:tr>
      <w:tr w:rsidR="00707F3B" w:rsidRPr="007C146E" w:rsidTr="000A5E56">
        <w:trPr>
          <w:trHeight w:val="57"/>
          <w:tblHeader/>
          <w:jc w:val="center"/>
        </w:trPr>
        <w:tc>
          <w:tcPr>
            <w:tcW w:w="679"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Lunes</w:t>
            </w:r>
          </w:p>
        </w:tc>
        <w:tc>
          <w:tcPr>
            <w:tcW w:w="860"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Martes</w:t>
            </w:r>
          </w:p>
        </w:tc>
        <w:tc>
          <w:tcPr>
            <w:tcW w:w="860"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Miércoles</w:t>
            </w:r>
          </w:p>
        </w:tc>
        <w:tc>
          <w:tcPr>
            <w:tcW w:w="687"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Jueves</w:t>
            </w:r>
          </w:p>
        </w:tc>
        <w:tc>
          <w:tcPr>
            <w:tcW w:w="689"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Viernes</w:t>
            </w:r>
          </w:p>
        </w:tc>
        <w:tc>
          <w:tcPr>
            <w:tcW w:w="603"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Sábado</w:t>
            </w:r>
          </w:p>
        </w:tc>
        <w:tc>
          <w:tcPr>
            <w:tcW w:w="622"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Domingo</w:t>
            </w:r>
          </w:p>
        </w:tc>
      </w:tr>
      <w:tr w:rsidR="00707F3B" w:rsidRPr="007C146E" w:rsidTr="000A5E56">
        <w:trPr>
          <w:trHeight w:val="57"/>
          <w:jc w:val="center"/>
        </w:trPr>
        <w:tc>
          <w:tcPr>
            <w:tcW w:w="679" w:type="pct"/>
            <w:tcBorders>
              <w:top w:val="double" w:sz="4" w:space="0" w:color="auto"/>
              <w:left w:val="double" w:sz="4" w:space="0" w:color="auto"/>
              <w:bottom w:val="double" w:sz="4" w:space="0" w:color="auto"/>
              <w:right w:val="double" w:sz="4" w:space="0" w:color="auto"/>
            </w:tcBorders>
            <w:hideMark/>
          </w:tcPr>
          <w:p w:rsidR="00707F3B" w:rsidRPr="007C146E" w:rsidRDefault="00707F3B" w:rsidP="00707F3B">
            <w:pPr>
              <w:spacing w:after="0" w:line="240" w:lineRule="auto"/>
              <w:jc w:val="both"/>
              <w:rPr>
                <w:b/>
                <w:bCs/>
                <w:sz w:val="14"/>
                <w:szCs w:val="14"/>
              </w:rPr>
            </w:pPr>
            <w:r w:rsidRPr="007C146E">
              <w:rPr>
                <w:b/>
                <w:bCs/>
                <w:sz w:val="14"/>
                <w:szCs w:val="14"/>
              </w:rPr>
              <w:t>26</w:t>
            </w:r>
          </w:p>
        </w:tc>
        <w:tc>
          <w:tcPr>
            <w:tcW w:w="860" w:type="pct"/>
            <w:tcBorders>
              <w:top w:val="double" w:sz="4" w:space="0" w:color="auto"/>
              <w:left w:val="double" w:sz="4" w:space="0" w:color="auto"/>
              <w:bottom w:val="double" w:sz="4" w:space="0" w:color="auto"/>
              <w:right w:val="double" w:sz="4" w:space="0" w:color="auto"/>
            </w:tcBorders>
            <w:hideMark/>
          </w:tcPr>
          <w:p w:rsidR="00707F3B" w:rsidRPr="007C146E" w:rsidRDefault="00707F3B" w:rsidP="00707F3B">
            <w:pPr>
              <w:spacing w:after="0" w:line="240" w:lineRule="auto"/>
              <w:jc w:val="both"/>
              <w:rPr>
                <w:b/>
                <w:bCs/>
                <w:sz w:val="14"/>
                <w:szCs w:val="14"/>
              </w:rPr>
            </w:pPr>
            <w:r w:rsidRPr="007C146E">
              <w:rPr>
                <w:b/>
                <w:bCs/>
                <w:sz w:val="14"/>
                <w:szCs w:val="14"/>
              </w:rPr>
              <w:t>27</w:t>
            </w:r>
          </w:p>
        </w:tc>
        <w:tc>
          <w:tcPr>
            <w:tcW w:w="860" w:type="pct"/>
            <w:tcBorders>
              <w:top w:val="double" w:sz="4" w:space="0" w:color="auto"/>
              <w:left w:val="double" w:sz="4" w:space="0" w:color="auto"/>
              <w:bottom w:val="double" w:sz="4" w:space="0" w:color="auto"/>
              <w:right w:val="double" w:sz="4" w:space="0" w:color="auto"/>
            </w:tcBorders>
            <w:hideMark/>
          </w:tcPr>
          <w:p w:rsidR="00707F3B" w:rsidRPr="007C146E" w:rsidRDefault="00707F3B" w:rsidP="00707F3B">
            <w:pPr>
              <w:spacing w:after="0" w:line="240" w:lineRule="auto"/>
              <w:jc w:val="both"/>
              <w:rPr>
                <w:b/>
                <w:bCs/>
                <w:sz w:val="14"/>
                <w:szCs w:val="14"/>
              </w:rPr>
            </w:pPr>
            <w:r w:rsidRPr="007C146E">
              <w:rPr>
                <w:b/>
                <w:bCs/>
                <w:sz w:val="14"/>
                <w:szCs w:val="14"/>
              </w:rPr>
              <w:t>28</w:t>
            </w:r>
          </w:p>
          <w:p w:rsidR="00707F3B" w:rsidRPr="007C146E" w:rsidRDefault="00707F3B" w:rsidP="00707F3B">
            <w:pPr>
              <w:spacing w:after="0" w:line="240" w:lineRule="auto"/>
              <w:jc w:val="both"/>
              <w:rPr>
                <w:sz w:val="14"/>
                <w:szCs w:val="14"/>
              </w:rPr>
            </w:pPr>
            <w:r w:rsidRPr="007C146E">
              <w:rPr>
                <w:sz w:val="14"/>
                <w:szCs w:val="14"/>
              </w:rPr>
              <w:t>Notificación por estrados y personal a los actores</w:t>
            </w:r>
          </w:p>
        </w:tc>
        <w:tc>
          <w:tcPr>
            <w:tcW w:w="687" w:type="pct"/>
            <w:tcBorders>
              <w:top w:val="double" w:sz="4" w:space="0" w:color="auto"/>
              <w:left w:val="double" w:sz="4" w:space="0" w:color="auto"/>
              <w:bottom w:val="double" w:sz="4" w:space="0" w:color="auto"/>
              <w:right w:val="double" w:sz="4" w:space="0" w:color="auto"/>
            </w:tcBorders>
            <w:hideMark/>
          </w:tcPr>
          <w:p w:rsidR="00707F3B" w:rsidRPr="007C146E" w:rsidRDefault="00707F3B" w:rsidP="00707F3B">
            <w:pPr>
              <w:spacing w:after="0" w:line="240" w:lineRule="auto"/>
              <w:jc w:val="both"/>
              <w:rPr>
                <w:b/>
                <w:bCs/>
                <w:sz w:val="14"/>
                <w:szCs w:val="14"/>
              </w:rPr>
            </w:pPr>
            <w:r w:rsidRPr="007C146E">
              <w:rPr>
                <w:b/>
                <w:bCs/>
                <w:sz w:val="14"/>
                <w:szCs w:val="14"/>
              </w:rPr>
              <w:t>29</w:t>
            </w:r>
          </w:p>
          <w:p w:rsidR="00707F3B" w:rsidRPr="007C146E" w:rsidRDefault="00707F3B" w:rsidP="00707F3B">
            <w:pPr>
              <w:spacing w:after="0" w:line="240" w:lineRule="auto"/>
              <w:jc w:val="center"/>
              <w:rPr>
                <w:b/>
                <w:sz w:val="14"/>
                <w:szCs w:val="14"/>
              </w:rPr>
            </w:pPr>
            <w:r w:rsidRPr="007C146E">
              <w:rPr>
                <w:b/>
                <w:sz w:val="14"/>
                <w:szCs w:val="14"/>
              </w:rPr>
              <w:t>(1)</w:t>
            </w:r>
          </w:p>
          <w:p w:rsidR="00707F3B" w:rsidRPr="007C146E" w:rsidRDefault="00707F3B" w:rsidP="00707F3B">
            <w:pPr>
              <w:spacing w:after="0" w:line="240" w:lineRule="auto"/>
              <w:jc w:val="both"/>
              <w:rPr>
                <w:sz w:val="14"/>
                <w:szCs w:val="14"/>
              </w:rPr>
            </w:pPr>
            <w:r w:rsidRPr="007C146E">
              <w:rPr>
                <w:b/>
                <w:sz w:val="14"/>
                <w:szCs w:val="14"/>
              </w:rPr>
              <w:t>Inicia plazo</w:t>
            </w:r>
          </w:p>
        </w:tc>
        <w:tc>
          <w:tcPr>
            <w:tcW w:w="689"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707F3B" w:rsidRPr="007C146E" w:rsidRDefault="003703C9" w:rsidP="00707F3B">
            <w:pPr>
              <w:spacing w:after="0" w:line="240" w:lineRule="auto"/>
              <w:jc w:val="both"/>
              <w:rPr>
                <w:b/>
                <w:sz w:val="14"/>
                <w:szCs w:val="14"/>
              </w:rPr>
            </w:pPr>
            <w:r w:rsidRPr="007C146E">
              <w:rPr>
                <w:b/>
                <w:sz w:val="14"/>
                <w:szCs w:val="14"/>
              </w:rPr>
              <w:t>30</w:t>
            </w:r>
          </w:p>
          <w:p w:rsidR="00707F3B" w:rsidRPr="007C146E" w:rsidRDefault="00707F3B" w:rsidP="00707F3B">
            <w:pPr>
              <w:spacing w:after="0" w:line="240" w:lineRule="auto"/>
              <w:jc w:val="center"/>
              <w:rPr>
                <w:b/>
                <w:sz w:val="14"/>
                <w:szCs w:val="14"/>
              </w:rPr>
            </w:pPr>
            <w:r w:rsidRPr="007C146E">
              <w:rPr>
                <w:b/>
                <w:sz w:val="14"/>
                <w:szCs w:val="14"/>
              </w:rPr>
              <w:t>(2)</w:t>
            </w:r>
          </w:p>
        </w:tc>
        <w:tc>
          <w:tcPr>
            <w:tcW w:w="603"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3703C9" w:rsidP="00707F3B">
            <w:pPr>
              <w:spacing w:after="0" w:line="240" w:lineRule="auto"/>
              <w:jc w:val="both"/>
              <w:rPr>
                <w:b/>
                <w:sz w:val="14"/>
                <w:szCs w:val="14"/>
              </w:rPr>
            </w:pPr>
            <w:r w:rsidRPr="007C146E">
              <w:rPr>
                <w:b/>
                <w:sz w:val="14"/>
                <w:szCs w:val="14"/>
              </w:rPr>
              <w:t xml:space="preserve">1 de </w:t>
            </w:r>
            <w:proofErr w:type="gramStart"/>
            <w:r w:rsidRPr="007C146E">
              <w:rPr>
                <w:b/>
                <w:sz w:val="14"/>
                <w:szCs w:val="14"/>
              </w:rPr>
              <w:t>Mayo</w:t>
            </w:r>
            <w:proofErr w:type="gramEnd"/>
          </w:p>
          <w:p w:rsidR="00707F3B" w:rsidRPr="007C146E" w:rsidRDefault="00707F3B" w:rsidP="00707F3B">
            <w:pPr>
              <w:spacing w:after="0" w:line="240" w:lineRule="auto"/>
              <w:jc w:val="center"/>
              <w:rPr>
                <w:b/>
                <w:sz w:val="14"/>
                <w:szCs w:val="14"/>
              </w:rPr>
            </w:pPr>
            <w:r w:rsidRPr="007C146E">
              <w:rPr>
                <w:b/>
                <w:sz w:val="14"/>
                <w:szCs w:val="14"/>
              </w:rPr>
              <w:t>Inhábil</w:t>
            </w:r>
          </w:p>
        </w:tc>
        <w:tc>
          <w:tcPr>
            <w:tcW w:w="622"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07F3B" w:rsidP="00707F3B">
            <w:pPr>
              <w:spacing w:after="0" w:line="240" w:lineRule="auto"/>
              <w:jc w:val="both"/>
              <w:rPr>
                <w:b/>
                <w:sz w:val="14"/>
                <w:szCs w:val="14"/>
              </w:rPr>
            </w:pPr>
            <w:r w:rsidRPr="007C146E">
              <w:rPr>
                <w:b/>
                <w:sz w:val="14"/>
                <w:szCs w:val="14"/>
              </w:rPr>
              <w:t>2</w:t>
            </w:r>
            <w:r w:rsidR="003703C9" w:rsidRPr="007C146E">
              <w:rPr>
                <w:b/>
                <w:sz w:val="14"/>
                <w:szCs w:val="14"/>
              </w:rPr>
              <w:t xml:space="preserve"> de </w:t>
            </w:r>
            <w:proofErr w:type="gramStart"/>
            <w:r w:rsidR="003703C9" w:rsidRPr="007C146E">
              <w:rPr>
                <w:b/>
                <w:sz w:val="14"/>
                <w:szCs w:val="14"/>
              </w:rPr>
              <w:t>Mayo</w:t>
            </w:r>
            <w:proofErr w:type="gramEnd"/>
          </w:p>
          <w:p w:rsidR="00707F3B" w:rsidRPr="007C146E" w:rsidRDefault="00707F3B" w:rsidP="00707F3B">
            <w:pPr>
              <w:spacing w:after="0" w:line="240" w:lineRule="auto"/>
              <w:jc w:val="center"/>
              <w:rPr>
                <w:b/>
                <w:sz w:val="14"/>
                <w:szCs w:val="14"/>
              </w:rPr>
            </w:pPr>
            <w:r w:rsidRPr="007C146E">
              <w:rPr>
                <w:b/>
                <w:sz w:val="14"/>
                <w:szCs w:val="14"/>
              </w:rPr>
              <w:t>Inhábil</w:t>
            </w:r>
          </w:p>
        </w:tc>
      </w:tr>
      <w:tr w:rsidR="00707F3B" w:rsidRPr="007C146E" w:rsidTr="004E69A3">
        <w:trPr>
          <w:trHeight w:val="57"/>
          <w:jc w:val="center"/>
        </w:trPr>
        <w:tc>
          <w:tcPr>
            <w:tcW w:w="679" w:type="pct"/>
            <w:tcBorders>
              <w:top w:val="double" w:sz="4" w:space="0" w:color="auto"/>
              <w:left w:val="double" w:sz="4" w:space="0" w:color="auto"/>
              <w:bottom w:val="double" w:sz="4" w:space="0" w:color="auto"/>
              <w:right w:val="double" w:sz="4" w:space="0" w:color="auto"/>
            </w:tcBorders>
            <w:shd w:val="clear" w:color="auto" w:fill="C5E0B3" w:themeFill="accent6" w:themeFillTint="66"/>
            <w:hideMark/>
          </w:tcPr>
          <w:p w:rsidR="00707F3B" w:rsidRPr="007C146E" w:rsidRDefault="003703C9" w:rsidP="00707F3B">
            <w:pPr>
              <w:spacing w:after="0" w:line="240" w:lineRule="auto"/>
              <w:jc w:val="both"/>
              <w:rPr>
                <w:b/>
                <w:sz w:val="14"/>
                <w:szCs w:val="14"/>
              </w:rPr>
            </w:pPr>
            <w:r w:rsidRPr="007C146E">
              <w:rPr>
                <w:b/>
                <w:sz w:val="14"/>
                <w:szCs w:val="14"/>
              </w:rPr>
              <w:t xml:space="preserve">3 de </w:t>
            </w:r>
            <w:proofErr w:type="gramStart"/>
            <w:r w:rsidRPr="007C146E">
              <w:rPr>
                <w:b/>
                <w:sz w:val="14"/>
                <w:szCs w:val="14"/>
              </w:rPr>
              <w:t>Mayo</w:t>
            </w:r>
            <w:proofErr w:type="gramEnd"/>
          </w:p>
          <w:p w:rsidR="00707F3B" w:rsidRPr="007C146E" w:rsidRDefault="00707F3B" w:rsidP="00707F3B">
            <w:pPr>
              <w:spacing w:after="0" w:line="240" w:lineRule="auto"/>
              <w:jc w:val="center"/>
              <w:rPr>
                <w:b/>
                <w:sz w:val="14"/>
                <w:szCs w:val="14"/>
              </w:rPr>
            </w:pPr>
            <w:r w:rsidRPr="007C146E">
              <w:rPr>
                <w:b/>
                <w:sz w:val="14"/>
                <w:szCs w:val="14"/>
              </w:rPr>
              <w:t>(3)</w:t>
            </w:r>
          </w:p>
          <w:p w:rsidR="00A527BD" w:rsidRPr="007C146E" w:rsidRDefault="00A527BD" w:rsidP="00707F3B">
            <w:pPr>
              <w:spacing w:after="0" w:line="240" w:lineRule="auto"/>
              <w:jc w:val="center"/>
              <w:rPr>
                <w:b/>
                <w:sz w:val="14"/>
                <w:szCs w:val="14"/>
              </w:rPr>
            </w:pPr>
            <w:r w:rsidRPr="007C146E">
              <w:rPr>
                <w:b/>
                <w:sz w:val="14"/>
                <w:szCs w:val="14"/>
              </w:rPr>
              <w:t>Presentación de demanda SM-J</w:t>
            </w:r>
            <w:r w:rsidR="0079724B" w:rsidRPr="007C146E">
              <w:rPr>
                <w:b/>
                <w:sz w:val="14"/>
                <w:szCs w:val="14"/>
              </w:rPr>
              <w:t>DC</w:t>
            </w:r>
            <w:r w:rsidRPr="007C146E">
              <w:rPr>
                <w:b/>
                <w:sz w:val="14"/>
                <w:szCs w:val="14"/>
              </w:rPr>
              <w:t>-</w:t>
            </w:r>
            <w:r w:rsidR="0079724B" w:rsidRPr="007C146E">
              <w:rPr>
                <w:b/>
                <w:sz w:val="14"/>
                <w:szCs w:val="14"/>
              </w:rPr>
              <w:t>356</w:t>
            </w:r>
            <w:r w:rsidRPr="007C146E">
              <w:rPr>
                <w:b/>
                <w:sz w:val="14"/>
                <w:szCs w:val="14"/>
              </w:rPr>
              <w:t>/202</w:t>
            </w:r>
            <w:r w:rsidR="0079724B" w:rsidRPr="007C146E">
              <w:rPr>
                <w:b/>
                <w:sz w:val="14"/>
                <w:szCs w:val="14"/>
              </w:rPr>
              <w:t>1</w:t>
            </w:r>
          </w:p>
        </w:tc>
        <w:tc>
          <w:tcPr>
            <w:tcW w:w="860" w:type="pct"/>
            <w:tcBorders>
              <w:top w:val="double" w:sz="4" w:space="0" w:color="auto"/>
              <w:left w:val="double" w:sz="4" w:space="0" w:color="auto"/>
              <w:bottom w:val="double" w:sz="4" w:space="0" w:color="auto"/>
              <w:right w:val="double" w:sz="4" w:space="0" w:color="auto"/>
            </w:tcBorders>
            <w:shd w:val="clear" w:color="auto" w:fill="auto"/>
            <w:hideMark/>
          </w:tcPr>
          <w:p w:rsidR="00707F3B" w:rsidRPr="007C146E" w:rsidRDefault="003703C9" w:rsidP="00707F3B">
            <w:pPr>
              <w:spacing w:after="0" w:line="240" w:lineRule="auto"/>
              <w:rPr>
                <w:b/>
                <w:sz w:val="14"/>
                <w:szCs w:val="14"/>
              </w:rPr>
            </w:pPr>
            <w:r w:rsidRPr="007C146E">
              <w:rPr>
                <w:b/>
                <w:sz w:val="14"/>
                <w:szCs w:val="14"/>
              </w:rPr>
              <w:t xml:space="preserve">4 de </w:t>
            </w:r>
            <w:proofErr w:type="gramStart"/>
            <w:r w:rsidRPr="007C146E">
              <w:rPr>
                <w:b/>
                <w:sz w:val="14"/>
                <w:szCs w:val="14"/>
              </w:rPr>
              <w:t>Mayo</w:t>
            </w:r>
            <w:proofErr w:type="gramEnd"/>
            <w:r w:rsidRPr="007C146E">
              <w:rPr>
                <w:b/>
                <w:sz w:val="14"/>
                <w:szCs w:val="14"/>
              </w:rPr>
              <w:t xml:space="preserve"> </w:t>
            </w:r>
          </w:p>
          <w:p w:rsidR="00707F3B" w:rsidRPr="007C146E" w:rsidRDefault="00707F3B" w:rsidP="00707F3B">
            <w:pPr>
              <w:spacing w:after="0" w:line="240" w:lineRule="auto"/>
              <w:jc w:val="center"/>
              <w:rPr>
                <w:b/>
                <w:sz w:val="14"/>
                <w:szCs w:val="14"/>
              </w:rPr>
            </w:pPr>
            <w:r w:rsidRPr="007C146E">
              <w:rPr>
                <w:b/>
                <w:sz w:val="14"/>
                <w:szCs w:val="14"/>
              </w:rPr>
              <w:t>(4)</w:t>
            </w:r>
          </w:p>
          <w:p w:rsidR="00707F3B" w:rsidRPr="007C146E" w:rsidRDefault="00707F3B" w:rsidP="00707F3B">
            <w:pPr>
              <w:spacing w:after="0" w:line="240" w:lineRule="auto"/>
              <w:jc w:val="both"/>
              <w:rPr>
                <w:b/>
                <w:sz w:val="14"/>
                <w:szCs w:val="14"/>
              </w:rPr>
            </w:pPr>
          </w:p>
        </w:tc>
        <w:tc>
          <w:tcPr>
            <w:tcW w:w="860" w:type="pct"/>
            <w:tcBorders>
              <w:top w:val="double" w:sz="4" w:space="0" w:color="auto"/>
              <w:left w:val="double" w:sz="4" w:space="0" w:color="auto"/>
              <w:bottom w:val="double" w:sz="4" w:space="0" w:color="auto"/>
              <w:right w:val="double" w:sz="4" w:space="0" w:color="auto"/>
            </w:tcBorders>
            <w:hideMark/>
          </w:tcPr>
          <w:p w:rsidR="00707F3B" w:rsidRPr="007C146E" w:rsidRDefault="0079724B" w:rsidP="00707F3B">
            <w:pPr>
              <w:spacing w:after="0" w:line="240" w:lineRule="auto"/>
              <w:jc w:val="both"/>
              <w:rPr>
                <w:b/>
                <w:bCs/>
                <w:sz w:val="14"/>
                <w:szCs w:val="14"/>
              </w:rPr>
            </w:pPr>
            <w:r w:rsidRPr="007C146E">
              <w:rPr>
                <w:b/>
                <w:bCs/>
                <w:sz w:val="14"/>
                <w:szCs w:val="14"/>
              </w:rPr>
              <w:t>5</w:t>
            </w:r>
          </w:p>
        </w:tc>
        <w:tc>
          <w:tcPr>
            <w:tcW w:w="687"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707F3B" w:rsidRPr="007C146E" w:rsidRDefault="0079724B" w:rsidP="00707F3B">
            <w:pPr>
              <w:spacing w:after="0" w:line="240" w:lineRule="auto"/>
              <w:jc w:val="both"/>
              <w:rPr>
                <w:b/>
                <w:sz w:val="14"/>
                <w:szCs w:val="14"/>
              </w:rPr>
            </w:pPr>
            <w:r w:rsidRPr="007C146E">
              <w:rPr>
                <w:b/>
                <w:sz w:val="14"/>
                <w:szCs w:val="14"/>
              </w:rPr>
              <w:t>6</w:t>
            </w:r>
          </w:p>
        </w:tc>
        <w:tc>
          <w:tcPr>
            <w:tcW w:w="689"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707F3B" w:rsidRPr="007C146E" w:rsidRDefault="0079724B" w:rsidP="00707F3B">
            <w:pPr>
              <w:spacing w:after="0" w:line="240" w:lineRule="auto"/>
              <w:jc w:val="both"/>
              <w:rPr>
                <w:b/>
                <w:sz w:val="14"/>
                <w:szCs w:val="14"/>
              </w:rPr>
            </w:pPr>
            <w:r w:rsidRPr="007C146E">
              <w:rPr>
                <w:b/>
                <w:sz w:val="14"/>
                <w:szCs w:val="14"/>
              </w:rPr>
              <w:t>7</w:t>
            </w:r>
          </w:p>
        </w:tc>
        <w:tc>
          <w:tcPr>
            <w:tcW w:w="603"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9724B" w:rsidP="00707F3B">
            <w:pPr>
              <w:spacing w:after="0" w:line="240" w:lineRule="auto"/>
              <w:jc w:val="both"/>
              <w:rPr>
                <w:b/>
                <w:sz w:val="14"/>
                <w:szCs w:val="14"/>
              </w:rPr>
            </w:pPr>
            <w:r w:rsidRPr="007C146E">
              <w:rPr>
                <w:b/>
                <w:sz w:val="14"/>
                <w:szCs w:val="14"/>
              </w:rPr>
              <w:t>8</w:t>
            </w:r>
          </w:p>
        </w:tc>
        <w:tc>
          <w:tcPr>
            <w:tcW w:w="622" w:type="pc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707F3B" w:rsidRPr="007C146E" w:rsidRDefault="0079724B" w:rsidP="00707F3B">
            <w:pPr>
              <w:spacing w:after="0" w:line="240" w:lineRule="auto"/>
              <w:jc w:val="both"/>
              <w:rPr>
                <w:b/>
                <w:sz w:val="14"/>
                <w:szCs w:val="14"/>
              </w:rPr>
            </w:pPr>
            <w:r w:rsidRPr="007C146E">
              <w:rPr>
                <w:b/>
                <w:sz w:val="14"/>
                <w:szCs w:val="14"/>
              </w:rPr>
              <w:t>9</w:t>
            </w:r>
          </w:p>
        </w:tc>
      </w:tr>
    </w:tbl>
    <w:p w:rsidR="00AD53FE" w:rsidRPr="007C146E" w:rsidRDefault="00AD53FE">
      <w:pPr>
        <w:pStyle w:val="Textonotapie"/>
        <w:rPr>
          <w:sz w:val="16"/>
          <w:szCs w:val="16"/>
          <w:lang w:val="es-MX"/>
        </w:rPr>
      </w:pPr>
    </w:p>
  </w:footnote>
  <w:footnote w:id="4">
    <w:p w:rsidR="00470CF7" w:rsidRPr="007C146E" w:rsidRDefault="00470CF7" w:rsidP="00470CF7">
      <w:pPr>
        <w:pStyle w:val="NormalWeb"/>
        <w:spacing w:before="0" w:beforeAutospacing="0" w:after="0" w:afterAutospacing="0"/>
        <w:jc w:val="both"/>
        <w:rPr>
          <w:rFonts w:ascii="Arial" w:hAnsi="Arial"/>
          <w:sz w:val="16"/>
          <w:szCs w:val="16"/>
        </w:rPr>
      </w:pPr>
      <w:r w:rsidRPr="007C146E">
        <w:rPr>
          <w:rStyle w:val="Refdenotaalpie"/>
          <w:rFonts w:ascii="Arial" w:eastAsiaTheme="majorEastAsia" w:hAnsi="Arial"/>
          <w:sz w:val="16"/>
          <w:szCs w:val="16"/>
        </w:rPr>
        <w:footnoteRef/>
      </w:r>
      <w:r w:rsidRPr="007C146E">
        <w:rPr>
          <w:rFonts w:ascii="Arial" w:hAnsi="Arial"/>
          <w:sz w:val="16"/>
          <w:szCs w:val="16"/>
        </w:rPr>
        <w:t xml:space="preserve"> “</w:t>
      </w:r>
      <w:r w:rsidRPr="007C146E">
        <w:rPr>
          <w:rFonts w:ascii="Arial" w:hAnsi="Arial"/>
          <w:b/>
          <w:bCs/>
          <w:sz w:val="16"/>
          <w:szCs w:val="16"/>
        </w:rPr>
        <w:t>Artículo 7.  1</w:t>
      </w:r>
      <w:r w:rsidRPr="007C146E">
        <w:rPr>
          <w:rFonts w:ascii="Arial" w:hAnsi="Arial"/>
          <w:sz w:val="16"/>
          <w:szCs w:val="16"/>
        </w:rPr>
        <w:t xml:space="preserve">. (…) </w:t>
      </w:r>
      <w:r w:rsidRPr="007C146E">
        <w:rPr>
          <w:rFonts w:ascii="Arial" w:hAnsi="Arial"/>
          <w:b/>
          <w:sz w:val="16"/>
          <w:szCs w:val="16"/>
        </w:rPr>
        <w:t>2.</w:t>
      </w:r>
      <w:r w:rsidRPr="007C146E">
        <w:rPr>
          <w:rFonts w:ascii="Arial" w:hAnsi="Arial"/>
          <w:sz w:val="16"/>
          <w:szCs w:val="16"/>
        </w:rPr>
        <w:t xml:space="preserve"> Cuando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footnote>
  <w:footnote w:id="5">
    <w:p w:rsidR="00A40A40" w:rsidRPr="007C146E" w:rsidRDefault="00A40A40" w:rsidP="00A40A40">
      <w:pPr>
        <w:pStyle w:val="Textonotapie"/>
        <w:jc w:val="both"/>
        <w:rPr>
          <w:i/>
          <w:sz w:val="16"/>
          <w:szCs w:val="16"/>
        </w:rPr>
      </w:pPr>
      <w:r w:rsidRPr="007C146E">
        <w:rPr>
          <w:rStyle w:val="Refdenotaalpie"/>
          <w:sz w:val="16"/>
          <w:szCs w:val="16"/>
        </w:rPr>
        <w:footnoteRef/>
      </w:r>
      <w:r w:rsidRPr="007C146E">
        <w:rPr>
          <w:sz w:val="16"/>
          <w:szCs w:val="16"/>
        </w:rPr>
        <w:t xml:space="preserve"> Véase la jurisprudencia </w:t>
      </w:r>
      <w:r w:rsidRPr="007C146E">
        <w:rPr>
          <w:b/>
          <w:sz w:val="16"/>
          <w:szCs w:val="16"/>
        </w:rPr>
        <w:t>1/2009</w:t>
      </w:r>
      <w:r w:rsidRPr="007C146E">
        <w:rPr>
          <w:sz w:val="16"/>
          <w:szCs w:val="16"/>
        </w:rPr>
        <w:t xml:space="preserve">, de rubro: </w:t>
      </w:r>
      <w:r w:rsidRPr="007C146E">
        <w:rPr>
          <w:b/>
          <w:sz w:val="16"/>
          <w:szCs w:val="16"/>
        </w:rPr>
        <w:t>“PLAZO PARA IMPUGNAR ACTOS EMITIDOS DURANTE EL DESARROLLO DE UN PROCESO ELECTORAL, QUE NO ESTÉN VINCULADOS A ÉSTE. NO DEBEN COMPUTARSE TODOS LOS DÍAS Y HORAS COMO HÁBILES”</w:t>
      </w:r>
      <w:r w:rsidRPr="007C146E">
        <w:rPr>
          <w:sz w:val="16"/>
          <w:szCs w:val="16"/>
        </w:rPr>
        <w:t xml:space="preserve">. Consultable en la página de internet </w:t>
      </w:r>
      <w:r w:rsidRPr="007C146E">
        <w:rPr>
          <w:i/>
          <w:sz w:val="16"/>
          <w:szCs w:val="16"/>
        </w:rPr>
        <w:t>http://</w:t>
      </w:r>
      <w:proofErr w:type="spellStart"/>
      <w:r w:rsidRPr="007C146E">
        <w:rPr>
          <w:i/>
          <w:sz w:val="16"/>
          <w:szCs w:val="16"/>
        </w:rPr>
        <w:t>www.te.gob.mx</w:t>
      </w:r>
      <w:proofErr w:type="spellEnd"/>
      <w:r w:rsidRPr="007C146E">
        <w:rPr>
          <w:i/>
          <w:sz w:val="16"/>
          <w:szCs w:val="16"/>
        </w:rPr>
        <w:t>.</w:t>
      </w:r>
    </w:p>
  </w:footnote>
  <w:footnote w:id="6">
    <w:p w:rsidR="0054664D" w:rsidRPr="007C146E" w:rsidRDefault="0054664D" w:rsidP="0054664D">
      <w:pPr>
        <w:pStyle w:val="Textonotapie"/>
        <w:jc w:val="both"/>
        <w:rPr>
          <w:sz w:val="16"/>
          <w:szCs w:val="16"/>
        </w:rPr>
      </w:pPr>
      <w:r w:rsidRPr="007C146E">
        <w:rPr>
          <w:rStyle w:val="Refdenotaalpie"/>
          <w:sz w:val="16"/>
          <w:szCs w:val="16"/>
        </w:rPr>
        <w:footnoteRef/>
      </w:r>
      <w:r w:rsidRPr="007C146E">
        <w:rPr>
          <w:sz w:val="16"/>
          <w:szCs w:val="16"/>
        </w:rPr>
        <w:t xml:space="preserve"> Artículos 7, párrafo 8; 9, párrafo 1; 13, párrafo 1, inciso a); </w:t>
      </w:r>
      <w:r w:rsidR="002E4808" w:rsidRPr="007C146E">
        <w:rPr>
          <w:sz w:val="16"/>
          <w:szCs w:val="16"/>
        </w:rPr>
        <w:t>79</w:t>
      </w:r>
      <w:r w:rsidRPr="007C146E">
        <w:rPr>
          <w:sz w:val="16"/>
          <w:szCs w:val="16"/>
        </w:rPr>
        <w:t xml:space="preserve"> y </w:t>
      </w:r>
      <w:r w:rsidR="002E4808" w:rsidRPr="007C146E">
        <w:rPr>
          <w:sz w:val="16"/>
          <w:szCs w:val="16"/>
        </w:rPr>
        <w:t>80</w:t>
      </w:r>
      <w:r w:rsidRPr="007C146E">
        <w:rPr>
          <w:sz w:val="16"/>
          <w:szCs w:val="16"/>
        </w:rPr>
        <w:t xml:space="preserve"> de la Ley de Medios.</w:t>
      </w:r>
    </w:p>
  </w:footnote>
  <w:footnote w:id="7">
    <w:p w:rsidR="001459B9" w:rsidRPr="007C146E" w:rsidRDefault="001459B9" w:rsidP="003B39C1">
      <w:pPr>
        <w:pStyle w:val="Textonotapie"/>
        <w:jc w:val="both"/>
        <w:rPr>
          <w:sz w:val="16"/>
          <w:szCs w:val="16"/>
        </w:rPr>
      </w:pPr>
      <w:r w:rsidRPr="007C146E">
        <w:rPr>
          <w:rStyle w:val="Refdenotaalpie"/>
          <w:sz w:val="16"/>
          <w:szCs w:val="16"/>
        </w:rPr>
        <w:footnoteRef/>
      </w:r>
      <w:r w:rsidRPr="007C146E">
        <w:rPr>
          <w:sz w:val="16"/>
          <w:szCs w:val="16"/>
        </w:rPr>
        <w:t xml:space="preserve"> Hechos relevantes que se advierten de las constancias de autos y afirmaciones realizadas por las partes.</w:t>
      </w:r>
    </w:p>
  </w:footnote>
  <w:footnote w:id="8">
    <w:p w:rsidR="001459B9" w:rsidRPr="007C146E" w:rsidRDefault="001459B9" w:rsidP="00DD54B2">
      <w:pPr>
        <w:pStyle w:val="Textonotapie"/>
        <w:jc w:val="both"/>
        <w:rPr>
          <w:sz w:val="16"/>
          <w:szCs w:val="16"/>
          <w:lang w:val="es-MX"/>
        </w:rPr>
      </w:pPr>
      <w:r w:rsidRPr="007C146E">
        <w:rPr>
          <w:rStyle w:val="Refdenotaalpie"/>
          <w:sz w:val="16"/>
          <w:szCs w:val="16"/>
        </w:rPr>
        <w:footnoteRef/>
      </w:r>
      <w:r w:rsidRPr="007C146E">
        <w:rPr>
          <w:sz w:val="16"/>
          <w:szCs w:val="16"/>
        </w:rPr>
        <w:t xml:space="preserve"> </w:t>
      </w:r>
      <w:r w:rsidRPr="007C146E">
        <w:rPr>
          <w:sz w:val="16"/>
          <w:szCs w:val="16"/>
          <w:lang w:val="es-MX"/>
        </w:rPr>
        <w:t>Lo cual se advierte del instrumento notarial 3855, que obra a foja 46 del cuaderno accesorio 2 del expediente en que se actúa.</w:t>
      </w:r>
    </w:p>
  </w:footnote>
  <w:footnote w:id="9">
    <w:p w:rsidR="001459B9" w:rsidRPr="007C146E" w:rsidRDefault="001459B9" w:rsidP="003B39C1">
      <w:pPr>
        <w:pStyle w:val="Textonotapie"/>
        <w:jc w:val="both"/>
        <w:rPr>
          <w:sz w:val="16"/>
          <w:szCs w:val="16"/>
          <w:lang w:val="es-MX"/>
        </w:rPr>
      </w:pPr>
      <w:r w:rsidRPr="007C146E">
        <w:rPr>
          <w:rStyle w:val="Refdenotaalpie"/>
          <w:sz w:val="16"/>
          <w:szCs w:val="16"/>
        </w:rPr>
        <w:footnoteRef/>
      </w:r>
      <w:r w:rsidRPr="007C146E">
        <w:rPr>
          <w:sz w:val="16"/>
          <w:szCs w:val="16"/>
        </w:rPr>
        <w:t xml:space="preserve"> </w:t>
      </w:r>
      <w:r w:rsidRPr="007C146E">
        <w:rPr>
          <w:sz w:val="16"/>
          <w:szCs w:val="16"/>
          <w:lang w:val="es-MX"/>
        </w:rPr>
        <w:t>Conforme con la demanda presentada el 22 de abril</w:t>
      </w:r>
      <w:r w:rsidRPr="007C146E">
        <w:rPr>
          <w:sz w:val="16"/>
          <w:szCs w:val="16"/>
        </w:rPr>
        <w:t>. En su oportunidad, el Magistrado instructor radicó el expediente, admitió la demanda y, al no existir trámite pendiente por realizar, cerró la instrucción.</w:t>
      </w:r>
    </w:p>
  </w:footnote>
  <w:footnote w:id="10">
    <w:p w:rsidR="00CA16D7" w:rsidRPr="007C146E" w:rsidRDefault="00CA16D7" w:rsidP="009A43A7">
      <w:pPr>
        <w:pStyle w:val="Textonotapie"/>
        <w:jc w:val="both"/>
        <w:rPr>
          <w:i/>
          <w:sz w:val="16"/>
          <w:szCs w:val="16"/>
          <w:lang w:val="es-MX"/>
        </w:rPr>
      </w:pPr>
      <w:r w:rsidRPr="007C146E">
        <w:rPr>
          <w:rStyle w:val="Refdenotaalpie"/>
          <w:sz w:val="16"/>
          <w:szCs w:val="16"/>
        </w:rPr>
        <w:footnoteRef/>
      </w:r>
      <w:r w:rsidRPr="007C146E">
        <w:rPr>
          <w:sz w:val="16"/>
          <w:szCs w:val="16"/>
        </w:rPr>
        <w:t xml:space="preserve"> </w:t>
      </w:r>
      <w:r w:rsidRPr="007C146E">
        <w:rPr>
          <w:sz w:val="16"/>
          <w:szCs w:val="16"/>
          <w:lang w:val="es-MX"/>
        </w:rPr>
        <w:t xml:space="preserve">El Tribunal de Guanajuato al respecto señaló: </w:t>
      </w:r>
      <w:r w:rsidRPr="007C146E">
        <w:rPr>
          <w:i/>
          <w:sz w:val="16"/>
          <w:szCs w:val="16"/>
          <w:lang w:val="es-MX"/>
        </w:rPr>
        <w:t>[…]</w:t>
      </w:r>
    </w:p>
    <w:p w:rsidR="00CA16D7" w:rsidRPr="007C146E" w:rsidRDefault="00CA16D7" w:rsidP="009A43A7">
      <w:pPr>
        <w:pStyle w:val="Textonotapie"/>
        <w:jc w:val="both"/>
        <w:rPr>
          <w:i/>
          <w:sz w:val="16"/>
          <w:szCs w:val="16"/>
        </w:rPr>
      </w:pPr>
      <w:r w:rsidRPr="007C146E">
        <w:rPr>
          <w:i/>
          <w:sz w:val="16"/>
          <w:szCs w:val="16"/>
        </w:rPr>
        <w:t xml:space="preserve">4.3. Son inoperantes los agravios que reiteran los expuestos en el medio de defensa </w:t>
      </w:r>
      <w:proofErr w:type="spellStart"/>
      <w:r w:rsidRPr="007C146E">
        <w:rPr>
          <w:i/>
          <w:sz w:val="16"/>
          <w:szCs w:val="16"/>
        </w:rPr>
        <w:t>intrapartidario</w:t>
      </w:r>
      <w:proofErr w:type="spellEnd"/>
      <w:r w:rsidRPr="007C146E">
        <w:rPr>
          <w:i/>
          <w:sz w:val="16"/>
          <w:szCs w:val="16"/>
        </w:rPr>
        <w:t>. Inconformes con la resolución de la Comisión de Justicia, en su demanda los actores transcriben sus motivos de disenso expuestos en la primigenia hecha valer ante dicha comisión, siendo éstos:</w:t>
      </w:r>
    </w:p>
    <w:p w:rsidR="00F813F1" w:rsidRPr="007C146E" w:rsidRDefault="00F813F1" w:rsidP="009A43A7">
      <w:pPr>
        <w:pStyle w:val="Textonotapie"/>
        <w:jc w:val="both"/>
        <w:rPr>
          <w:i/>
          <w:sz w:val="16"/>
          <w:szCs w:val="16"/>
        </w:rPr>
      </w:pPr>
      <w:r w:rsidRPr="007C146E">
        <w:rPr>
          <w:i/>
          <w:sz w:val="16"/>
          <w:szCs w:val="16"/>
        </w:rPr>
        <w:t xml:space="preserve">• Que el acuerdo impugnado violó en su perjuicio lo dispuesto en los numerales 135, fracción III y 178 de los Estatutos, así como los artículos 14 y 16 Constitucionales por las siguientes razones: ▪ Que las personas que ocupan las dirigencias al concluir su periodo terminan de forma fulminante, esto es, que no se les puede ampliar el periodo, ya que incluso contempla las dirigencias provisionales que tienen la obligación de convocar en los 70 días siguientes para la renovación de la dirigencia, y que de manera extraordinaria se podrá ampliar el periodo de los comités directivos estatales o municipales hasta 90 días, pero no más. ▪ Que al haber sido nombrados Ruth Noemí Tiscareño </w:t>
      </w:r>
      <w:proofErr w:type="spellStart"/>
      <w:r w:rsidRPr="007C146E">
        <w:rPr>
          <w:i/>
          <w:sz w:val="16"/>
          <w:szCs w:val="16"/>
        </w:rPr>
        <w:t>Agoitia</w:t>
      </w:r>
      <w:proofErr w:type="spellEnd"/>
      <w:r w:rsidRPr="007C146E">
        <w:rPr>
          <w:i/>
          <w:sz w:val="16"/>
          <w:szCs w:val="16"/>
        </w:rPr>
        <w:t xml:space="preserve"> y Alejandro Arias Ávila el 16 de octubre de 2019, tenían a más tardar el 16 de diciembre de ese año, lo cual no hicieron y, es por lo que desde el 16 de enero del 2020 de conformidad con los estatutos quedó acéfala la dirigencia del PRI en Guanajuato, existiendo una total falta de atención y operación de la dirigencia nacional a la militancia del estado. ▪ Por tal razón el 7 de agosto del 2020, más de las dos terceras partes de los consejeros políticos estatales emitieron la convocatoria para tratar el tema de la dirigencia en el estado, por lo que en la sesión del 9 de agosto de ese año y de conformidad con el numeral 135, fracción III de los estatutos, se determinó elegir una nueva dirigencia, lo cual al no haber sido impugnado, con independencia de las posibles irregularidades que se pudieran haber desarrollado, se eligió un nuevo Comité Estatal, recayendo la responsabilidad en Armando de la Cruz Uribe Valle como presidente, a Laura Chávez López como secretaria general y a Jacobo Manríquez Romero como secretario de finanzas.</w:t>
      </w:r>
    </w:p>
    <w:p w:rsidR="00F813F1" w:rsidRPr="007C146E" w:rsidRDefault="00F813F1" w:rsidP="009A43A7">
      <w:pPr>
        <w:pStyle w:val="Textonotapie"/>
        <w:jc w:val="both"/>
        <w:rPr>
          <w:i/>
          <w:sz w:val="16"/>
          <w:szCs w:val="16"/>
        </w:rPr>
      </w:pPr>
      <w:r w:rsidRPr="007C146E">
        <w:rPr>
          <w:i/>
          <w:sz w:val="16"/>
          <w:szCs w:val="16"/>
        </w:rPr>
        <w:t xml:space="preserve">▪ Por lo anterior, consideran que el nombramiento de Ruth Noemí Tiscareño </w:t>
      </w:r>
      <w:proofErr w:type="spellStart"/>
      <w:r w:rsidRPr="007C146E">
        <w:rPr>
          <w:i/>
          <w:sz w:val="16"/>
          <w:szCs w:val="16"/>
        </w:rPr>
        <w:t>Agoitia</w:t>
      </w:r>
      <w:proofErr w:type="spellEnd"/>
      <w:r w:rsidRPr="007C146E">
        <w:rPr>
          <w:i/>
          <w:sz w:val="16"/>
          <w:szCs w:val="16"/>
        </w:rPr>
        <w:t xml:space="preserve"> y Alejandro Arias Ávila es totalmente ilegal, por </w:t>
      </w:r>
      <w:proofErr w:type="gramStart"/>
      <w:r w:rsidRPr="007C146E">
        <w:rPr>
          <w:i/>
          <w:sz w:val="16"/>
          <w:szCs w:val="16"/>
        </w:rPr>
        <w:t>tanto</w:t>
      </w:r>
      <w:proofErr w:type="gramEnd"/>
      <w:r w:rsidRPr="007C146E">
        <w:rPr>
          <w:i/>
          <w:sz w:val="16"/>
          <w:szCs w:val="16"/>
        </w:rPr>
        <w:t xml:space="preserve"> violatorio a su garantía de audiencia consagrada en el artículo 14 Constitucional. ▪ Que el Acuerdo no se encontraba debidamente fundado y motivado. Por su parte, la autoridad responsable al resolver el Juicio del militante analizó en su conjunto los citados conceptos de violación que esgrimió la parte actora y concluyó que resultaron infundados por los siguientes motivos: • Que de los artículos 135, fracción III y 178 de los estatutos, se desprende que el procedimiento para la elección y/o renovación de la dirigencia del Partido en todos su niveles, se trata de un acto jurídico complejo, entendiendo éste como aquel que está conformado por una serie sistematizada de hechos y actos jurídicos, que por sí mismos no son perfectos, sino que constituyen una de las dos o más etapas desde las cuales se desarrolla el todo, por lo que la unidad del acto jurídico complejo se integra por el correcto y sucesivo desenvolvimiento de todos esos actos. • Que no les asiste la razón a los actores respecto a que desde el 16 de enero del 2020 quedó acéfala la dirigencia del PRI en el estado de Guanajuato, debido a que el fenecimiento de periodos estatutarios de los órganos partidistas no invalida su actuación, puesto que la renovación democrática de estos obedece a circunstancias ajenas al ejercicio de sus atribuciones, sustentando además su decisión en la jurisprudencia 48/2013 de rubro “DIRIGENTES DE ÓRGANOS PARTIDISTAS. OPERA UNA PRÓRROGA IMPLÍCITA EN LA DURACIÓN DEL CARGO,</w:t>
      </w:r>
      <w:r w:rsidR="000F133E" w:rsidRPr="007C146E">
        <w:rPr>
          <w:i/>
          <w:sz w:val="16"/>
          <w:szCs w:val="16"/>
        </w:rPr>
        <w:t xml:space="preserve"> CUANDO NO SE HAYA PODIDO ELEGIR SUSTITUTOS, POR CAUSAS EXTRAORDINARIAS Y TRANSITORIAS”. • </w:t>
      </w:r>
      <w:proofErr w:type="gramStart"/>
      <w:r w:rsidR="000F133E" w:rsidRPr="007C146E">
        <w:rPr>
          <w:i/>
          <w:sz w:val="16"/>
          <w:szCs w:val="16"/>
        </w:rPr>
        <w:t>Que</w:t>
      </w:r>
      <w:proofErr w:type="gramEnd"/>
      <w:r w:rsidR="000F133E" w:rsidRPr="007C146E">
        <w:rPr>
          <w:i/>
          <w:sz w:val="16"/>
          <w:szCs w:val="16"/>
        </w:rPr>
        <w:t xml:space="preserve"> al ser de conocimiento público, que tanto el proceso electoral federal como el proceso electoral local de Guanajuato inició el 7 de septiembre del 2020, por lo que se actualiza la causal extraordinaria y transitoria establecida en el artículo 173 de los estatutos, sobre la cual el Comité Nacional puede acordar la prórroga a la vigencia del Comité Estatal. • Que en cuanto a la afirmación hecha por los actores a que desde el 9 de agosto del 2020 en el que diversos integrantes del Consejo Político Estatal nombraron una nueva dirigencia, la misma no se encontraba apegada a lo establecido en la normatividad interna del partido, pues dicha sesión no fue convocada por quien designó el Comité Nacional, es decir, no fue convocada por la presidenta del Comité Estatal quien a su vez es la titular del Consejo Político Estatal, por lo que dicho acto no tiene validez alguna. • Finalmente, en cuanto a que el nombramiento de la presidenta y secretario general del Comité Estatal viola su garantía de audiencia, igualmente lo consideró infundado debido a que el acuerdo impugnado no afectaba su esfera jurídica, pues ninguno de sus derechos sufrió menoscabo con la emisión del Acuerdo, pues como se estableció al resultar ilegal la sesión del 9 de agosto del 2020, trae como consecuencia que lo ahí acordado tampoco tiene ningún efecto legal, y que por lo tanto, los actores no adquirieron algún derecho que en su caso pueda considerarse vulnerando con la simple emisión del Acuerdo. Así las cosas, en el escrito impugnativo materia del Juicio ciudadano que nos ocupa, los actores no atacaron frontalmente todos los argumentos expuestos en la resolución combatida es decir, nada argumentaron contra las explicaciones de la responsable con las cuales confirmó el Acuerdo y tampoco explican cuál o cuáles de los planteamientos que expusieron en su demanda primigenia, consideran que fueron incorrectamente atendidos y por qué razones, pues en este apartado, únicamente reprodujeron los mismos conceptos de agravio en ambos recursos.</w:t>
      </w:r>
    </w:p>
    <w:p w:rsidR="000F133E" w:rsidRPr="007C146E" w:rsidRDefault="000F133E" w:rsidP="009A43A7">
      <w:pPr>
        <w:pStyle w:val="Textonotapie"/>
        <w:jc w:val="both"/>
        <w:rPr>
          <w:i/>
          <w:sz w:val="16"/>
          <w:szCs w:val="16"/>
          <w:lang w:val="es-MX"/>
        </w:rPr>
      </w:pPr>
      <w:r w:rsidRPr="007C146E">
        <w:rPr>
          <w:i/>
          <w:sz w:val="16"/>
          <w:szCs w:val="16"/>
          <w:lang w:val="es-MX"/>
        </w:rPr>
        <w:t>[…]</w:t>
      </w:r>
    </w:p>
  </w:footnote>
  <w:footnote w:id="11">
    <w:p w:rsidR="009A43A7" w:rsidRPr="007C146E" w:rsidRDefault="009A43A7" w:rsidP="009A43A7">
      <w:pPr>
        <w:pStyle w:val="Textonotapie"/>
        <w:jc w:val="both"/>
        <w:rPr>
          <w:i/>
          <w:sz w:val="16"/>
          <w:szCs w:val="16"/>
          <w:lang w:val="es-MX"/>
        </w:rPr>
      </w:pPr>
      <w:r w:rsidRPr="007C146E">
        <w:rPr>
          <w:rStyle w:val="Refdenotaalpie"/>
          <w:sz w:val="16"/>
          <w:szCs w:val="16"/>
        </w:rPr>
        <w:footnoteRef/>
      </w:r>
      <w:r w:rsidRPr="007C146E">
        <w:rPr>
          <w:sz w:val="16"/>
          <w:szCs w:val="16"/>
        </w:rPr>
        <w:t xml:space="preserve"> </w:t>
      </w:r>
      <w:r w:rsidRPr="007C146E">
        <w:rPr>
          <w:sz w:val="16"/>
          <w:szCs w:val="16"/>
          <w:lang w:val="es-MX"/>
        </w:rPr>
        <w:t xml:space="preserve">El Tribunal Local expresó lo siguiente: </w:t>
      </w:r>
      <w:r w:rsidRPr="007C146E">
        <w:rPr>
          <w:i/>
          <w:sz w:val="16"/>
          <w:szCs w:val="16"/>
          <w:lang w:val="es-MX"/>
        </w:rPr>
        <w:t xml:space="preserve">[…] </w:t>
      </w:r>
    </w:p>
    <w:p w:rsidR="009A43A7" w:rsidRPr="007C146E" w:rsidRDefault="009A43A7" w:rsidP="009A43A7">
      <w:pPr>
        <w:pStyle w:val="Textonotapie"/>
        <w:jc w:val="both"/>
        <w:rPr>
          <w:i/>
          <w:sz w:val="16"/>
          <w:szCs w:val="16"/>
        </w:rPr>
      </w:pPr>
      <w:r w:rsidRPr="007C146E">
        <w:rPr>
          <w:i/>
          <w:sz w:val="16"/>
          <w:szCs w:val="16"/>
        </w:rPr>
        <w:t xml:space="preserve">4.4. Es infundado el agravio respecto a que la Comisión de Justicia no señaló las causas extraordinarias que impidieron la renovación del Comité Estatal. Los accionantes señalaron que el órgano encargado de la justicia </w:t>
      </w:r>
      <w:proofErr w:type="spellStart"/>
      <w:r w:rsidRPr="007C146E">
        <w:rPr>
          <w:i/>
          <w:sz w:val="16"/>
          <w:szCs w:val="16"/>
        </w:rPr>
        <w:t>intrapartidaria</w:t>
      </w:r>
      <w:proofErr w:type="spellEnd"/>
      <w:r w:rsidRPr="007C146E">
        <w:rPr>
          <w:i/>
          <w:sz w:val="16"/>
          <w:szCs w:val="16"/>
        </w:rPr>
        <w:t xml:space="preserve"> no marcó cuáles fueron las causas extraordinarias por las que se validaba la actualización de la prórroga implícita respecto a los nombramientos de las personas que ocupan la presidencia y secretaría general del Comité Estatal, por lo que estimaron que con ello la resolución impugnada carecía de una debida fundamentación. En ese sentido y como ha quedado establecido, el agravio formulado por los accionantes resulta infundado dado que la Comisión de Justicia sí realizó tal especificación en su resolución. En efecto, la autoridad responsable resolvió en el apartado Sexto de la resolución impugnada, que el agravio resultaba inoperante porque de acuerdo al artículo 173 de los Estatutos, el proceso de renovación de las dirigencias de los Comités Directivos de las entidades federativas, por término de periodo, no debía coincidir con ningún proceso interno para la postulación de candidaturas a cargos de elección popular, ni entre el inicio del proceso y hasta el día de la calificación del cómputo de la elección que se trate. Además, citó con ese fundamento, que la superposición de tiempos electorales constituía la causa justificada para que el Comité Nacional acordara una prórroga al periodo estatutario de los Comités Directivos de los estados, hasta el día de la calificación del cómputo de la elección que se trate.</w:t>
      </w:r>
    </w:p>
    <w:p w:rsidR="009A43A7" w:rsidRPr="007C146E" w:rsidRDefault="009A43A7" w:rsidP="009A43A7">
      <w:pPr>
        <w:pStyle w:val="Textonotapie"/>
        <w:jc w:val="both"/>
        <w:rPr>
          <w:i/>
          <w:sz w:val="16"/>
          <w:szCs w:val="16"/>
          <w:lang w:val="es-MX"/>
        </w:rPr>
      </w:pPr>
      <w:r w:rsidRPr="007C146E">
        <w:rPr>
          <w:i/>
          <w:sz w:val="16"/>
          <w:szCs w:val="16"/>
          <w:lang w:val="es-MX"/>
        </w:rPr>
        <w:t>[…]</w:t>
      </w:r>
    </w:p>
  </w:footnote>
  <w:footnote w:id="12">
    <w:p w:rsidR="00F453DF" w:rsidRPr="007C146E" w:rsidRDefault="00F453DF" w:rsidP="00F453DF">
      <w:pPr>
        <w:pStyle w:val="Textonotapie"/>
        <w:jc w:val="both"/>
        <w:rPr>
          <w:i/>
          <w:sz w:val="16"/>
          <w:szCs w:val="16"/>
          <w:lang w:val="es-MX"/>
        </w:rPr>
      </w:pPr>
      <w:r w:rsidRPr="007C146E">
        <w:rPr>
          <w:rStyle w:val="Refdenotaalpie"/>
          <w:sz w:val="16"/>
          <w:szCs w:val="16"/>
        </w:rPr>
        <w:footnoteRef/>
      </w:r>
      <w:r w:rsidRPr="007C146E">
        <w:rPr>
          <w:sz w:val="16"/>
          <w:szCs w:val="16"/>
        </w:rPr>
        <w:t xml:space="preserve"> </w:t>
      </w:r>
      <w:r w:rsidRPr="007C146E">
        <w:rPr>
          <w:sz w:val="16"/>
          <w:szCs w:val="16"/>
          <w:lang w:val="es-MX"/>
        </w:rPr>
        <w:t xml:space="preserve">El Tribunal Local estableció lo siguiente: </w:t>
      </w:r>
      <w:r w:rsidRPr="007C146E">
        <w:rPr>
          <w:i/>
          <w:sz w:val="16"/>
          <w:szCs w:val="16"/>
          <w:lang w:val="es-MX"/>
        </w:rPr>
        <w:t xml:space="preserve">[…] </w:t>
      </w:r>
    </w:p>
    <w:p w:rsidR="00F453DF" w:rsidRPr="007C146E" w:rsidRDefault="00F453DF" w:rsidP="00F453DF">
      <w:pPr>
        <w:pStyle w:val="Textonotapie"/>
        <w:jc w:val="both"/>
        <w:rPr>
          <w:i/>
          <w:sz w:val="16"/>
          <w:szCs w:val="16"/>
        </w:rPr>
      </w:pPr>
      <w:r w:rsidRPr="007C146E">
        <w:rPr>
          <w:i/>
          <w:sz w:val="16"/>
          <w:szCs w:val="16"/>
        </w:rPr>
        <w:t xml:space="preserve">4.4. Es infundado el agravio respecto a que la Comisión de Justicia no señaló las causas extraordinarias que impidieron la renovación del Comité Estatal. Los accionantes señalaron que el órgano encargado de la justicia </w:t>
      </w:r>
      <w:proofErr w:type="spellStart"/>
      <w:r w:rsidRPr="007C146E">
        <w:rPr>
          <w:i/>
          <w:sz w:val="16"/>
          <w:szCs w:val="16"/>
        </w:rPr>
        <w:t>intrapartidaria</w:t>
      </w:r>
      <w:proofErr w:type="spellEnd"/>
      <w:r w:rsidRPr="007C146E">
        <w:rPr>
          <w:i/>
          <w:sz w:val="16"/>
          <w:szCs w:val="16"/>
        </w:rPr>
        <w:t xml:space="preserve"> no marcó cuáles fueron las causas extraordinarias por las que se validaba la actualización de la prórroga implícita respecto a los nombramientos de las personas que ocupan la presidencia y secretaría general del Comité Estatal, por lo que estimaron que con ello la resolución impugnada carecía de una debida fundamentación. En ese sentido y como ha quedado establecido, el agravio formulado por los accionantes resulta infundado dado que la Comisión de Justicia sí realizó tal especificación en su resolución. En efecto, la autoridad responsable resolvió en el apartado Sexto de la resolución impugnada, que el agravio resultaba inoperante porque de acuerdo al artículo 173 de los Estatutos, el proceso de renovación de las dirigencias de los Comités Directivos de las entidades federativas, por término de periodo, no debía coincidir con ningún proceso interno para la postulación de candidaturas a cargos de elección popular, ni entre el inicio del proceso y hasta el día de la calificación del cómputo de la elección que se trate. Además, citó con ese fundamento, que la superposición de tiempos electorales constituía la causa justificada para que el Comité Nacional acordara una prórroga al periodo estatutario de los Comités Directivos de los estados, hasta el día de la calificación del cómputo de la elección que se trate.</w:t>
      </w:r>
    </w:p>
    <w:p w:rsidR="00F453DF" w:rsidRPr="007C146E" w:rsidRDefault="00F453DF" w:rsidP="00F453DF">
      <w:pPr>
        <w:pStyle w:val="Textonotapie"/>
        <w:rPr>
          <w:sz w:val="16"/>
          <w:szCs w:val="16"/>
          <w:lang w:val="es-MX"/>
        </w:rPr>
      </w:pPr>
      <w:r w:rsidRPr="007C146E">
        <w:rPr>
          <w:i/>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9B9" w:rsidRDefault="008B2A81" w:rsidP="002F6BEE">
    <w:pPr>
      <w:pStyle w:val="Encabezado"/>
      <w:rPr>
        <w:b/>
        <w:noProof/>
        <w:sz w:val="22"/>
        <w:lang w:eastAsia="es-ES"/>
      </w:rPr>
    </w:pPr>
    <w:sdt>
      <w:sdtPr>
        <w:rPr>
          <w:b/>
          <w:noProof/>
          <w:sz w:val="22"/>
          <w:lang w:eastAsia="es-ES"/>
        </w:rPr>
        <w:id w:val="743077007"/>
        <w:docPartObj>
          <w:docPartGallery w:val="Page Numbers (Margins)"/>
          <w:docPartUnique/>
        </w:docPartObj>
      </w:sdtPr>
      <w:sdtEndPr/>
      <w:sdtContent>
        <w:r w:rsidR="001459B9" w:rsidRPr="007E63D5">
          <w:rPr>
            <w:b/>
            <w:noProof/>
            <w:sz w:val="22"/>
            <w:lang w:val="es-MX" w:eastAsia="es-MX"/>
          </w:rPr>
          <mc:AlternateContent>
            <mc:Choice Requires="wps">
              <w:drawing>
                <wp:anchor distT="0" distB="0" distL="114300" distR="114300" simplePos="0" relativeHeight="251658241" behindDoc="0" locked="0" layoutInCell="0" allowOverlap="1" wp14:anchorId="0F876A90" wp14:editId="590FCCC9">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rsidR="001459B9" w:rsidRDefault="001459B9">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6A90"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oOS2lOQIAADEEAAAOAAAAAAAAAAAAAAAA&#10;AC4CAABkcnMvZTJvRG9jLnhtbFBLAQItABQABgAIAAAAIQBs1R/T2QAAAAUBAAAPAAAAAAAAAAAA&#10;AAAAAJMEAABkcnMvZG93bnJldi54bWxQSwUGAAAAAAQABADzAAAAmQUAAAAA&#10;" o:allowincell="f" stroked="f">
                  <v:textbo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rsidR="001459B9" w:rsidRDefault="001459B9">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rsidR="001459B9" w:rsidRDefault="001459B9" w:rsidP="002F6BEE">
    <w:pPr>
      <w:pStyle w:val="Encabezado"/>
      <w:rPr>
        <w:b/>
        <w:noProof/>
        <w:sz w:val="22"/>
        <w:lang w:eastAsia="es-ES"/>
      </w:rPr>
    </w:pPr>
  </w:p>
  <w:p w:rsidR="001459B9" w:rsidRDefault="001459B9" w:rsidP="002F6BEE">
    <w:pPr>
      <w:pStyle w:val="Encabezado"/>
      <w:rPr>
        <w:b/>
        <w:noProof/>
        <w:sz w:val="22"/>
        <w:lang w:eastAsia="es-ES"/>
      </w:rPr>
    </w:pPr>
    <w:r w:rsidRPr="00DF1A6E">
      <w:rPr>
        <w:b/>
        <w:noProof/>
        <w:sz w:val="22"/>
        <w:lang w:eastAsia="es-ES"/>
      </w:rPr>
      <w:t>SM-J</w:t>
    </w:r>
    <w:r>
      <w:rPr>
        <w:b/>
        <w:noProof/>
        <w:sz w:val="22"/>
        <w:lang w:eastAsia="es-ES"/>
      </w:rPr>
      <w:t>DC</w:t>
    </w:r>
    <w:r w:rsidRPr="00DF1A6E">
      <w:rPr>
        <w:b/>
        <w:noProof/>
        <w:sz w:val="22"/>
        <w:lang w:eastAsia="es-ES"/>
      </w:rPr>
      <w:t>-</w:t>
    </w:r>
    <w:r>
      <w:rPr>
        <w:b/>
        <w:noProof/>
        <w:sz w:val="22"/>
        <w:lang w:eastAsia="es-ES"/>
      </w:rPr>
      <w:t>356</w:t>
    </w:r>
    <w:r w:rsidRPr="00DF1A6E">
      <w:rPr>
        <w:b/>
        <w:noProof/>
        <w:sz w:val="22"/>
        <w:lang w:eastAsia="es-ES"/>
      </w:rPr>
      <w:t>/20</w:t>
    </w:r>
    <w:r>
      <w:rPr>
        <w:b/>
        <w:noProof/>
        <w:sz w:val="22"/>
        <w:lang w:eastAsia="es-ES"/>
      </w:rPr>
      <w:t>21</w:t>
    </w:r>
  </w:p>
  <w:p w:rsidR="001459B9" w:rsidRDefault="001459B9" w:rsidP="002F6BEE">
    <w:pPr>
      <w:pStyle w:val="Encabezado"/>
      <w:rPr>
        <w:b/>
      </w:rPr>
    </w:pPr>
  </w:p>
  <w:p w:rsidR="001459B9" w:rsidRPr="003F46B4" w:rsidRDefault="001459B9"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9B9" w:rsidRDefault="001459B9" w:rsidP="002F6BEE">
    <w:pPr>
      <w:pStyle w:val="Encabezado"/>
      <w:jc w:val="right"/>
    </w:pPr>
    <w:r w:rsidRPr="00A324D6">
      <w:rPr>
        <w:b/>
        <w:noProof/>
        <w:sz w:val="22"/>
        <w:lang w:val="es-MX" w:eastAsia="es-MX"/>
      </w:rPr>
      <w:drawing>
        <wp:anchor distT="0" distB="0" distL="114300" distR="114300" simplePos="0" relativeHeight="251658243" behindDoc="0" locked="0" layoutInCell="1" allowOverlap="1" wp14:anchorId="4E3016E2" wp14:editId="25EAAA1B">
          <wp:simplePos x="0" y="0"/>
          <wp:positionH relativeFrom="column">
            <wp:posOffset>-1492250</wp:posOffset>
          </wp:positionH>
          <wp:positionV relativeFrom="paragraph">
            <wp:posOffset>-339090</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9B9" w:rsidRDefault="001459B9" w:rsidP="002F6BEE">
    <w:pPr>
      <w:pStyle w:val="Encabezado"/>
      <w:jc w:val="right"/>
    </w:pPr>
  </w:p>
  <w:p w:rsidR="001459B9" w:rsidRDefault="001459B9" w:rsidP="002F6BEE">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368C84A8" wp14:editId="47C9F95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rsidR="001459B9" w:rsidRPr="009F45DC" w:rsidRDefault="001459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84A8"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" o:allowincell="f" stroked="f">
              <v:textbox>
                <w:txbxContent>
                  <w:p w:rsidR="001459B9" w:rsidRPr="009F45DC" w:rsidRDefault="001459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JDC-356</w:t>
    </w:r>
    <w:r w:rsidRPr="00DF1A6E">
      <w:rPr>
        <w:b/>
        <w:noProof/>
        <w:sz w:val="22"/>
        <w:lang w:eastAsia="es-ES"/>
      </w:rPr>
      <w:t>/20</w:t>
    </w:r>
    <w:r>
      <w:rPr>
        <w:b/>
        <w:noProof/>
        <w:sz w:val="22"/>
        <w:lang w:eastAsia="es-ES"/>
      </w:rPr>
      <w:t>21</w:t>
    </w:r>
  </w:p>
  <w:p w:rsidR="001459B9" w:rsidRDefault="001459B9" w:rsidP="002F6BEE">
    <w:pPr>
      <w:pStyle w:val="Encabezado"/>
      <w:jc w:val="right"/>
    </w:pPr>
  </w:p>
  <w:p w:rsidR="001459B9" w:rsidRDefault="001459B9"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9B9" w:rsidRDefault="001459B9">
    <w:pPr>
      <w:pStyle w:val="Encabezado"/>
    </w:pPr>
    <w:r>
      <w:rPr>
        <w:noProof/>
        <w:lang w:val="es-MX" w:eastAsia="es-MX"/>
      </w:rPr>
      <w:drawing>
        <wp:anchor distT="0" distB="0" distL="114300" distR="114300" simplePos="0" relativeHeight="251658242" behindDoc="0" locked="0" layoutInCell="1" allowOverlap="1" wp14:anchorId="2A709146" wp14:editId="3B81E327">
          <wp:simplePos x="0" y="0"/>
          <wp:positionH relativeFrom="column">
            <wp:posOffset>-1438275</wp:posOffset>
          </wp:positionH>
          <wp:positionV relativeFrom="paragraph">
            <wp:posOffset>-314325</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9B9" w:rsidRDefault="001459B9">
    <w:pPr>
      <w:pStyle w:val="Encabezado"/>
    </w:pPr>
  </w:p>
  <w:p w:rsidR="001459B9" w:rsidRDefault="001459B9">
    <w:pPr>
      <w:pStyle w:val="Encabezado"/>
    </w:pPr>
  </w:p>
  <w:p w:rsidR="001459B9" w:rsidRDefault="001459B9">
    <w:pPr>
      <w:pStyle w:val="Encabezado"/>
    </w:pPr>
  </w:p>
  <w:p w:rsidR="001459B9" w:rsidRDefault="001459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74C353B"/>
    <w:multiLevelType w:val="hybridMultilevel"/>
    <w:tmpl w:val="8BA27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2370AC"/>
    <w:multiLevelType w:val="hybridMultilevel"/>
    <w:tmpl w:val="0FAEE15E"/>
    <w:lvl w:ilvl="0" w:tplc="4B820C3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6984309A"/>
    <w:multiLevelType w:val="hybridMultilevel"/>
    <w:tmpl w:val="C3F8A444"/>
    <w:lvl w:ilvl="0" w:tplc="565A1D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6E0D5F"/>
    <w:multiLevelType w:val="hybridMultilevel"/>
    <w:tmpl w:val="7B98EDB8"/>
    <w:lvl w:ilvl="0" w:tplc="A720F6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9E6FD0"/>
    <w:multiLevelType w:val="multilevel"/>
    <w:tmpl w:val="BB4ABC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842C1"/>
    <w:multiLevelType w:val="hybridMultilevel"/>
    <w:tmpl w:val="5C98B994"/>
    <w:lvl w:ilvl="0" w:tplc="A9C8DC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19"/>
  </w:num>
  <w:num w:numId="5">
    <w:abstractNumId w:val="21"/>
  </w:num>
  <w:num w:numId="6">
    <w:abstractNumId w:val="7"/>
  </w:num>
  <w:num w:numId="7">
    <w:abstractNumId w:val="5"/>
  </w:num>
  <w:num w:numId="8">
    <w:abstractNumId w:val="13"/>
  </w:num>
  <w:num w:numId="9">
    <w:abstractNumId w:val="11"/>
  </w:num>
  <w:num w:numId="10">
    <w:abstractNumId w:val="2"/>
  </w:num>
  <w:num w:numId="11">
    <w:abstractNumId w:val="9"/>
  </w:num>
  <w:num w:numId="12">
    <w:abstractNumId w:val="3"/>
  </w:num>
  <w:num w:numId="13">
    <w:abstractNumId w:val="20"/>
  </w:num>
  <w:num w:numId="14">
    <w:abstractNumId w:val="0"/>
  </w:num>
  <w:num w:numId="15">
    <w:abstractNumId w:val="10"/>
  </w:num>
  <w:num w:numId="16">
    <w:abstractNumId w:val="14"/>
  </w:num>
  <w:num w:numId="17">
    <w:abstractNumId w:val="18"/>
  </w:num>
  <w:num w:numId="18">
    <w:abstractNumId w:val="25"/>
  </w:num>
  <w:num w:numId="19">
    <w:abstractNumId w:val="4"/>
  </w:num>
  <w:num w:numId="20">
    <w:abstractNumId w:val="8"/>
  </w:num>
  <w:num w:numId="21">
    <w:abstractNumId w:val="12"/>
  </w:num>
  <w:num w:numId="22">
    <w:abstractNumId w:val="15"/>
  </w:num>
  <w:num w:numId="23">
    <w:abstractNumId w:val="23"/>
  </w:num>
  <w:num w:numId="24">
    <w:abstractNumId w:val="24"/>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0F30"/>
    <w:rsid w:val="00001797"/>
    <w:rsid w:val="00001A85"/>
    <w:rsid w:val="00002DB0"/>
    <w:rsid w:val="00003834"/>
    <w:rsid w:val="00003AB7"/>
    <w:rsid w:val="00003CA6"/>
    <w:rsid w:val="00003FC2"/>
    <w:rsid w:val="0000416A"/>
    <w:rsid w:val="00004738"/>
    <w:rsid w:val="0000473E"/>
    <w:rsid w:val="000049E5"/>
    <w:rsid w:val="00006800"/>
    <w:rsid w:val="000071BC"/>
    <w:rsid w:val="000073D7"/>
    <w:rsid w:val="00007C78"/>
    <w:rsid w:val="0001035B"/>
    <w:rsid w:val="00010476"/>
    <w:rsid w:val="0001051D"/>
    <w:rsid w:val="00010871"/>
    <w:rsid w:val="0001107B"/>
    <w:rsid w:val="00011440"/>
    <w:rsid w:val="00011900"/>
    <w:rsid w:val="000126D4"/>
    <w:rsid w:val="00013B28"/>
    <w:rsid w:val="00014605"/>
    <w:rsid w:val="000150B7"/>
    <w:rsid w:val="000154FF"/>
    <w:rsid w:val="000174EF"/>
    <w:rsid w:val="00017956"/>
    <w:rsid w:val="00017D65"/>
    <w:rsid w:val="00020688"/>
    <w:rsid w:val="000206EF"/>
    <w:rsid w:val="000209FB"/>
    <w:rsid w:val="00020D16"/>
    <w:rsid w:val="00021083"/>
    <w:rsid w:val="00021A03"/>
    <w:rsid w:val="00021A66"/>
    <w:rsid w:val="00021A6E"/>
    <w:rsid w:val="00022AAA"/>
    <w:rsid w:val="00023F2C"/>
    <w:rsid w:val="00024F52"/>
    <w:rsid w:val="00025F45"/>
    <w:rsid w:val="000261A4"/>
    <w:rsid w:val="00026340"/>
    <w:rsid w:val="00026755"/>
    <w:rsid w:val="00026BAA"/>
    <w:rsid w:val="00027290"/>
    <w:rsid w:val="000274B2"/>
    <w:rsid w:val="00027EEF"/>
    <w:rsid w:val="00030297"/>
    <w:rsid w:val="000305C9"/>
    <w:rsid w:val="000306CE"/>
    <w:rsid w:val="00030D45"/>
    <w:rsid w:val="0003167E"/>
    <w:rsid w:val="00031D6B"/>
    <w:rsid w:val="00032EE4"/>
    <w:rsid w:val="0003329E"/>
    <w:rsid w:val="00033415"/>
    <w:rsid w:val="00033E07"/>
    <w:rsid w:val="0003429C"/>
    <w:rsid w:val="00034BB8"/>
    <w:rsid w:val="000351C6"/>
    <w:rsid w:val="00035763"/>
    <w:rsid w:val="000372F6"/>
    <w:rsid w:val="0003748B"/>
    <w:rsid w:val="000374EC"/>
    <w:rsid w:val="000404DE"/>
    <w:rsid w:val="00040BA8"/>
    <w:rsid w:val="00040D4C"/>
    <w:rsid w:val="00040F5C"/>
    <w:rsid w:val="0004100F"/>
    <w:rsid w:val="00041D01"/>
    <w:rsid w:val="00042A18"/>
    <w:rsid w:val="000440E3"/>
    <w:rsid w:val="0004472C"/>
    <w:rsid w:val="00045390"/>
    <w:rsid w:val="00045D0F"/>
    <w:rsid w:val="0004632F"/>
    <w:rsid w:val="00047648"/>
    <w:rsid w:val="00047899"/>
    <w:rsid w:val="00047CF9"/>
    <w:rsid w:val="00050E64"/>
    <w:rsid w:val="00051582"/>
    <w:rsid w:val="00051B06"/>
    <w:rsid w:val="0005243D"/>
    <w:rsid w:val="00052E27"/>
    <w:rsid w:val="00052E94"/>
    <w:rsid w:val="000534AE"/>
    <w:rsid w:val="000536CD"/>
    <w:rsid w:val="00054040"/>
    <w:rsid w:val="000541CC"/>
    <w:rsid w:val="00054718"/>
    <w:rsid w:val="0005541D"/>
    <w:rsid w:val="00055CB7"/>
    <w:rsid w:val="0005617B"/>
    <w:rsid w:val="000565F2"/>
    <w:rsid w:val="00056FD5"/>
    <w:rsid w:val="00057440"/>
    <w:rsid w:val="00057A1D"/>
    <w:rsid w:val="00057B0D"/>
    <w:rsid w:val="00057E1A"/>
    <w:rsid w:val="00057F0C"/>
    <w:rsid w:val="00060738"/>
    <w:rsid w:val="000610AD"/>
    <w:rsid w:val="00061FAC"/>
    <w:rsid w:val="00063714"/>
    <w:rsid w:val="00064452"/>
    <w:rsid w:val="00064501"/>
    <w:rsid w:val="000653C5"/>
    <w:rsid w:val="0006635C"/>
    <w:rsid w:val="00066547"/>
    <w:rsid w:val="000667AD"/>
    <w:rsid w:val="00066F7B"/>
    <w:rsid w:val="000700F1"/>
    <w:rsid w:val="00071241"/>
    <w:rsid w:val="0007129B"/>
    <w:rsid w:val="0007157D"/>
    <w:rsid w:val="00074BC3"/>
    <w:rsid w:val="00074FB3"/>
    <w:rsid w:val="00075024"/>
    <w:rsid w:val="000754EB"/>
    <w:rsid w:val="00076615"/>
    <w:rsid w:val="000775E2"/>
    <w:rsid w:val="00077AE8"/>
    <w:rsid w:val="00077B56"/>
    <w:rsid w:val="00077C97"/>
    <w:rsid w:val="00080074"/>
    <w:rsid w:val="0008054E"/>
    <w:rsid w:val="00080771"/>
    <w:rsid w:val="0008192E"/>
    <w:rsid w:val="00082135"/>
    <w:rsid w:val="00082E3B"/>
    <w:rsid w:val="00083C37"/>
    <w:rsid w:val="00084AD4"/>
    <w:rsid w:val="00084EDC"/>
    <w:rsid w:val="00084FF1"/>
    <w:rsid w:val="000851D7"/>
    <w:rsid w:val="0008547B"/>
    <w:rsid w:val="00085AE9"/>
    <w:rsid w:val="00085BDF"/>
    <w:rsid w:val="0008716C"/>
    <w:rsid w:val="00090F6C"/>
    <w:rsid w:val="000917A6"/>
    <w:rsid w:val="000919DE"/>
    <w:rsid w:val="00091EB7"/>
    <w:rsid w:val="00093759"/>
    <w:rsid w:val="00094077"/>
    <w:rsid w:val="00094653"/>
    <w:rsid w:val="00094E9E"/>
    <w:rsid w:val="00095BA7"/>
    <w:rsid w:val="00095EFA"/>
    <w:rsid w:val="00095F32"/>
    <w:rsid w:val="00096028"/>
    <w:rsid w:val="00096261"/>
    <w:rsid w:val="000966AF"/>
    <w:rsid w:val="000972A5"/>
    <w:rsid w:val="000A063A"/>
    <w:rsid w:val="000A086F"/>
    <w:rsid w:val="000A0FBA"/>
    <w:rsid w:val="000A1007"/>
    <w:rsid w:val="000A1835"/>
    <w:rsid w:val="000A2446"/>
    <w:rsid w:val="000A42DA"/>
    <w:rsid w:val="000A485D"/>
    <w:rsid w:val="000A4A3A"/>
    <w:rsid w:val="000A4BCD"/>
    <w:rsid w:val="000A52F0"/>
    <w:rsid w:val="000A5A01"/>
    <w:rsid w:val="000A6013"/>
    <w:rsid w:val="000A70C6"/>
    <w:rsid w:val="000B083C"/>
    <w:rsid w:val="000B1154"/>
    <w:rsid w:val="000B1BCC"/>
    <w:rsid w:val="000B1E86"/>
    <w:rsid w:val="000B1F83"/>
    <w:rsid w:val="000B1F86"/>
    <w:rsid w:val="000B36E8"/>
    <w:rsid w:val="000B37FB"/>
    <w:rsid w:val="000B3F37"/>
    <w:rsid w:val="000B3F4F"/>
    <w:rsid w:val="000B407A"/>
    <w:rsid w:val="000B4329"/>
    <w:rsid w:val="000B47C6"/>
    <w:rsid w:val="000B4FA0"/>
    <w:rsid w:val="000B5170"/>
    <w:rsid w:val="000B5835"/>
    <w:rsid w:val="000B6776"/>
    <w:rsid w:val="000B6C92"/>
    <w:rsid w:val="000B6C9B"/>
    <w:rsid w:val="000B774C"/>
    <w:rsid w:val="000C1349"/>
    <w:rsid w:val="000C1456"/>
    <w:rsid w:val="000C183B"/>
    <w:rsid w:val="000C1CAB"/>
    <w:rsid w:val="000C29A2"/>
    <w:rsid w:val="000C2D9F"/>
    <w:rsid w:val="000C45FA"/>
    <w:rsid w:val="000C4A2F"/>
    <w:rsid w:val="000C4CE0"/>
    <w:rsid w:val="000C5336"/>
    <w:rsid w:val="000C575C"/>
    <w:rsid w:val="000C5AC0"/>
    <w:rsid w:val="000C5B6A"/>
    <w:rsid w:val="000C6676"/>
    <w:rsid w:val="000C6B97"/>
    <w:rsid w:val="000C794B"/>
    <w:rsid w:val="000D101F"/>
    <w:rsid w:val="000D10E5"/>
    <w:rsid w:val="000D1457"/>
    <w:rsid w:val="000D14D2"/>
    <w:rsid w:val="000D1576"/>
    <w:rsid w:val="000D1744"/>
    <w:rsid w:val="000D2143"/>
    <w:rsid w:val="000D2A2C"/>
    <w:rsid w:val="000D2F9E"/>
    <w:rsid w:val="000D307E"/>
    <w:rsid w:val="000D370D"/>
    <w:rsid w:val="000D3E61"/>
    <w:rsid w:val="000D409C"/>
    <w:rsid w:val="000D4734"/>
    <w:rsid w:val="000D4927"/>
    <w:rsid w:val="000D4D84"/>
    <w:rsid w:val="000D5CEC"/>
    <w:rsid w:val="000D6A7B"/>
    <w:rsid w:val="000D73D1"/>
    <w:rsid w:val="000D73EB"/>
    <w:rsid w:val="000D7621"/>
    <w:rsid w:val="000D7906"/>
    <w:rsid w:val="000E106D"/>
    <w:rsid w:val="000E122C"/>
    <w:rsid w:val="000E1895"/>
    <w:rsid w:val="000E1BA4"/>
    <w:rsid w:val="000E2601"/>
    <w:rsid w:val="000E31E2"/>
    <w:rsid w:val="000E32FC"/>
    <w:rsid w:val="000E36B5"/>
    <w:rsid w:val="000E40C1"/>
    <w:rsid w:val="000E419A"/>
    <w:rsid w:val="000E42FC"/>
    <w:rsid w:val="000E45BB"/>
    <w:rsid w:val="000E4A2E"/>
    <w:rsid w:val="000E5629"/>
    <w:rsid w:val="000E5D93"/>
    <w:rsid w:val="000E7242"/>
    <w:rsid w:val="000E73AD"/>
    <w:rsid w:val="000E7820"/>
    <w:rsid w:val="000E7EF7"/>
    <w:rsid w:val="000E7FC3"/>
    <w:rsid w:val="000F01BB"/>
    <w:rsid w:val="000F0C3F"/>
    <w:rsid w:val="000F133E"/>
    <w:rsid w:val="000F1623"/>
    <w:rsid w:val="000F1750"/>
    <w:rsid w:val="000F17AB"/>
    <w:rsid w:val="000F1813"/>
    <w:rsid w:val="000F1E06"/>
    <w:rsid w:val="000F2488"/>
    <w:rsid w:val="000F2B09"/>
    <w:rsid w:val="000F2EA8"/>
    <w:rsid w:val="000F3A2B"/>
    <w:rsid w:val="000F4181"/>
    <w:rsid w:val="000F4A90"/>
    <w:rsid w:val="000F4C92"/>
    <w:rsid w:val="000F57AF"/>
    <w:rsid w:val="000F59F3"/>
    <w:rsid w:val="000F7EF0"/>
    <w:rsid w:val="000F7F40"/>
    <w:rsid w:val="00100376"/>
    <w:rsid w:val="0010056F"/>
    <w:rsid w:val="00100F85"/>
    <w:rsid w:val="00102C2B"/>
    <w:rsid w:val="00103374"/>
    <w:rsid w:val="00104408"/>
    <w:rsid w:val="001057F6"/>
    <w:rsid w:val="001062D3"/>
    <w:rsid w:val="001070F9"/>
    <w:rsid w:val="00107825"/>
    <w:rsid w:val="00107B16"/>
    <w:rsid w:val="001108EF"/>
    <w:rsid w:val="00110DCA"/>
    <w:rsid w:val="00110FA7"/>
    <w:rsid w:val="00112410"/>
    <w:rsid w:val="00112610"/>
    <w:rsid w:val="00113795"/>
    <w:rsid w:val="0011389C"/>
    <w:rsid w:val="00113C96"/>
    <w:rsid w:val="001142CF"/>
    <w:rsid w:val="00114620"/>
    <w:rsid w:val="0011497D"/>
    <w:rsid w:val="001149BF"/>
    <w:rsid w:val="001156BB"/>
    <w:rsid w:val="0011578D"/>
    <w:rsid w:val="00115983"/>
    <w:rsid w:val="001162C2"/>
    <w:rsid w:val="001168B6"/>
    <w:rsid w:val="00116951"/>
    <w:rsid w:val="00120060"/>
    <w:rsid w:val="00120209"/>
    <w:rsid w:val="00120E01"/>
    <w:rsid w:val="001211CB"/>
    <w:rsid w:val="00121979"/>
    <w:rsid w:val="00121FDF"/>
    <w:rsid w:val="001222A8"/>
    <w:rsid w:val="001229B3"/>
    <w:rsid w:val="00122A35"/>
    <w:rsid w:val="00123D75"/>
    <w:rsid w:val="00123E1C"/>
    <w:rsid w:val="00125F84"/>
    <w:rsid w:val="00126674"/>
    <w:rsid w:val="001304B9"/>
    <w:rsid w:val="00130707"/>
    <w:rsid w:val="0013163D"/>
    <w:rsid w:val="00131AED"/>
    <w:rsid w:val="00132390"/>
    <w:rsid w:val="001325D2"/>
    <w:rsid w:val="001328B3"/>
    <w:rsid w:val="00132AE4"/>
    <w:rsid w:val="00133046"/>
    <w:rsid w:val="00133491"/>
    <w:rsid w:val="00133851"/>
    <w:rsid w:val="0013395A"/>
    <w:rsid w:val="00133B8B"/>
    <w:rsid w:val="00133C47"/>
    <w:rsid w:val="001341B8"/>
    <w:rsid w:val="00134631"/>
    <w:rsid w:val="00134B08"/>
    <w:rsid w:val="00134FB2"/>
    <w:rsid w:val="001360AF"/>
    <w:rsid w:val="001362ED"/>
    <w:rsid w:val="00137F7A"/>
    <w:rsid w:val="0014107B"/>
    <w:rsid w:val="0014142B"/>
    <w:rsid w:val="00141C2A"/>
    <w:rsid w:val="00142A9B"/>
    <w:rsid w:val="00143B4C"/>
    <w:rsid w:val="00144E0E"/>
    <w:rsid w:val="0014591E"/>
    <w:rsid w:val="001459B9"/>
    <w:rsid w:val="00145B54"/>
    <w:rsid w:val="00146D6E"/>
    <w:rsid w:val="00147172"/>
    <w:rsid w:val="001476A5"/>
    <w:rsid w:val="001477D3"/>
    <w:rsid w:val="001479BD"/>
    <w:rsid w:val="001501EF"/>
    <w:rsid w:val="00150205"/>
    <w:rsid w:val="0015087E"/>
    <w:rsid w:val="00150F3A"/>
    <w:rsid w:val="00151654"/>
    <w:rsid w:val="00151947"/>
    <w:rsid w:val="00152452"/>
    <w:rsid w:val="00152455"/>
    <w:rsid w:val="00152587"/>
    <w:rsid w:val="00152C9B"/>
    <w:rsid w:val="00152D22"/>
    <w:rsid w:val="00153444"/>
    <w:rsid w:val="00153458"/>
    <w:rsid w:val="00153A00"/>
    <w:rsid w:val="001541F4"/>
    <w:rsid w:val="00154B02"/>
    <w:rsid w:val="00154D65"/>
    <w:rsid w:val="00154EB5"/>
    <w:rsid w:val="00155E91"/>
    <w:rsid w:val="001566F5"/>
    <w:rsid w:val="00160214"/>
    <w:rsid w:val="0016084D"/>
    <w:rsid w:val="00161655"/>
    <w:rsid w:val="00162096"/>
    <w:rsid w:val="00163298"/>
    <w:rsid w:val="001634AC"/>
    <w:rsid w:val="0016388A"/>
    <w:rsid w:val="00163C81"/>
    <w:rsid w:val="00163D2D"/>
    <w:rsid w:val="00163D44"/>
    <w:rsid w:val="00164F58"/>
    <w:rsid w:val="00165ACD"/>
    <w:rsid w:val="0016792B"/>
    <w:rsid w:val="00170134"/>
    <w:rsid w:val="0017053C"/>
    <w:rsid w:val="00170900"/>
    <w:rsid w:val="001709EC"/>
    <w:rsid w:val="00171403"/>
    <w:rsid w:val="001716E4"/>
    <w:rsid w:val="00172550"/>
    <w:rsid w:val="00172CF9"/>
    <w:rsid w:val="00173E5B"/>
    <w:rsid w:val="00174B44"/>
    <w:rsid w:val="00175105"/>
    <w:rsid w:val="001752D6"/>
    <w:rsid w:val="00175618"/>
    <w:rsid w:val="00175881"/>
    <w:rsid w:val="00176550"/>
    <w:rsid w:val="001777A7"/>
    <w:rsid w:val="001777D5"/>
    <w:rsid w:val="0017783E"/>
    <w:rsid w:val="0017798D"/>
    <w:rsid w:val="0018004D"/>
    <w:rsid w:val="00180077"/>
    <w:rsid w:val="001800DC"/>
    <w:rsid w:val="00180B3E"/>
    <w:rsid w:val="00181126"/>
    <w:rsid w:val="001817EB"/>
    <w:rsid w:val="00181DE0"/>
    <w:rsid w:val="00182B5D"/>
    <w:rsid w:val="001843F4"/>
    <w:rsid w:val="00184832"/>
    <w:rsid w:val="00184AF9"/>
    <w:rsid w:val="00184B67"/>
    <w:rsid w:val="00184E02"/>
    <w:rsid w:val="001860A3"/>
    <w:rsid w:val="00186522"/>
    <w:rsid w:val="00186616"/>
    <w:rsid w:val="00186A81"/>
    <w:rsid w:val="00187016"/>
    <w:rsid w:val="0018741A"/>
    <w:rsid w:val="0018796A"/>
    <w:rsid w:val="001902DE"/>
    <w:rsid w:val="0019135F"/>
    <w:rsid w:val="00192638"/>
    <w:rsid w:val="001926CE"/>
    <w:rsid w:val="00192F05"/>
    <w:rsid w:val="00193B02"/>
    <w:rsid w:val="00193D97"/>
    <w:rsid w:val="00194AAE"/>
    <w:rsid w:val="00194AF5"/>
    <w:rsid w:val="00194BC7"/>
    <w:rsid w:val="001954C9"/>
    <w:rsid w:val="00195BF8"/>
    <w:rsid w:val="00196347"/>
    <w:rsid w:val="00196B2F"/>
    <w:rsid w:val="00196D50"/>
    <w:rsid w:val="001972A8"/>
    <w:rsid w:val="00197E51"/>
    <w:rsid w:val="001A0064"/>
    <w:rsid w:val="001A0169"/>
    <w:rsid w:val="001A0537"/>
    <w:rsid w:val="001A05ED"/>
    <w:rsid w:val="001A068B"/>
    <w:rsid w:val="001A3EF9"/>
    <w:rsid w:val="001A5521"/>
    <w:rsid w:val="001A6248"/>
    <w:rsid w:val="001A6400"/>
    <w:rsid w:val="001A740F"/>
    <w:rsid w:val="001B0DAB"/>
    <w:rsid w:val="001B1015"/>
    <w:rsid w:val="001B15D1"/>
    <w:rsid w:val="001B1DDF"/>
    <w:rsid w:val="001B25FD"/>
    <w:rsid w:val="001B2668"/>
    <w:rsid w:val="001B2E6A"/>
    <w:rsid w:val="001B3C29"/>
    <w:rsid w:val="001B3E83"/>
    <w:rsid w:val="001B4417"/>
    <w:rsid w:val="001B44C1"/>
    <w:rsid w:val="001B46AD"/>
    <w:rsid w:val="001B68B2"/>
    <w:rsid w:val="001C00E8"/>
    <w:rsid w:val="001C0152"/>
    <w:rsid w:val="001C13ED"/>
    <w:rsid w:val="001C1534"/>
    <w:rsid w:val="001C1BB5"/>
    <w:rsid w:val="001C1D78"/>
    <w:rsid w:val="001C3228"/>
    <w:rsid w:val="001C335E"/>
    <w:rsid w:val="001C347C"/>
    <w:rsid w:val="001C3CB7"/>
    <w:rsid w:val="001C40E9"/>
    <w:rsid w:val="001C4297"/>
    <w:rsid w:val="001C4930"/>
    <w:rsid w:val="001C5263"/>
    <w:rsid w:val="001C5E64"/>
    <w:rsid w:val="001C6141"/>
    <w:rsid w:val="001C6D7C"/>
    <w:rsid w:val="001C7744"/>
    <w:rsid w:val="001C7847"/>
    <w:rsid w:val="001D05CC"/>
    <w:rsid w:val="001D0BA8"/>
    <w:rsid w:val="001D19C4"/>
    <w:rsid w:val="001D1AA7"/>
    <w:rsid w:val="001D1E1E"/>
    <w:rsid w:val="001D28E7"/>
    <w:rsid w:val="001D292D"/>
    <w:rsid w:val="001D2DF6"/>
    <w:rsid w:val="001D31CF"/>
    <w:rsid w:val="001D3727"/>
    <w:rsid w:val="001D4696"/>
    <w:rsid w:val="001D4F89"/>
    <w:rsid w:val="001D5D11"/>
    <w:rsid w:val="001D6C8A"/>
    <w:rsid w:val="001D71A7"/>
    <w:rsid w:val="001E0127"/>
    <w:rsid w:val="001E02A4"/>
    <w:rsid w:val="001E128C"/>
    <w:rsid w:val="001E18C0"/>
    <w:rsid w:val="001E1F33"/>
    <w:rsid w:val="001E29FA"/>
    <w:rsid w:val="001E2ED4"/>
    <w:rsid w:val="001E3138"/>
    <w:rsid w:val="001E35EE"/>
    <w:rsid w:val="001E4588"/>
    <w:rsid w:val="001E50EA"/>
    <w:rsid w:val="001E651B"/>
    <w:rsid w:val="001E7742"/>
    <w:rsid w:val="001E7FCC"/>
    <w:rsid w:val="001F0E48"/>
    <w:rsid w:val="001F0F65"/>
    <w:rsid w:val="001F1AC3"/>
    <w:rsid w:val="001F1C31"/>
    <w:rsid w:val="001F1D02"/>
    <w:rsid w:val="001F279E"/>
    <w:rsid w:val="001F2AF8"/>
    <w:rsid w:val="001F3388"/>
    <w:rsid w:val="001F3606"/>
    <w:rsid w:val="001F37AB"/>
    <w:rsid w:val="001F38DA"/>
    <w:rsid w:val="001F42C3"/>
    <w:rsid w:val="001F44D3"/>
    <w:rsid w:val="001F46BD"/>
    <w:rsid w:val="001F51BC"/>
    <w:rsid w:val="001F52C9"/>
    <w:rsid w:val="001F5387"/>
    <w:rsid w:val="001F5956"/>
    <w:rsid w:val="001F671C"/>
    <w:rsid w:val="001F7E29"/>
    <w:rsid w:val="001F7E6D"/>
    <w:rsid w:val="00200392"/>
    <w:rsid w:val="002009E2"/>
    <w:rsid w:val="00200ADC"/>
    <w:rsid w:val="002012CA"/>
    <w:rsid w:val="0020146D"/>
    <w:rsid w:val="002020CF"/>
    <w:rsid w:val="00202865"/>
    <w:rsid w:val="002029C0"/>
    <w:rsid w:val="0020419A"/>
    <w:rsid w:val="00204727"/>
    <w:rsid w:val="00204896"/>
    <w:rsid w:val="00204F71"/>
    <w:rsid w:val="0020535B"/>
    <w:rsid w:val="002054E3"/>
    <w:rsid w:val="00206153"/>
    <w:rsid w:val="00206B30"/>
    <w:rsid w:val="00207186"/>
    <w:rsid w:val="0020720F"/>
    <w:rsid w:val="002072DA"/>
    <w:rsid w:val="00210180"/>
    <w:rsid w:val="002102B9"/>
    <w:rsid w:val="002103C9"/>
    <w:rsid w:val="00210B8F"/>
    <w:rsid w:val="00210DDF"/>
    <w:rsid w:val="00211343"/>
    <w:rsid w:val="00212F8D"/>
    <w:rsid w:val="0021391A"/>
    <w:rsid w:val="00214212"/>
    <w:rsid w:val="00214C5E"/>
    <w:rsid w:val="00214CB4"/>
    <w:rsid w:val="00216ACE"/>
    <w:rsid w:val="00217761"/>
    <w:rsid w:val="00217B68"/>
    <w:rsid w:val="00220AD5"/>
    <w:rsid w:val="002210C1"/>
    <w:rsid w:val="002213E7"/>
    <w:rsid w:val="0022141D"/>
    <w:rsid w:val="00222654"/>
    <w:rsid w:val="00222749"/>
    <w:rsid w:val="0022277D"/>
    <w:rsid w:val="00222CD0"/>
    <w:rsid w:val="00222DBC"/>
    <w:rsid w:val="002242A3"/>
    <w:rsid w:val="00225086"/>
    <w:rsid w:val="00225D6B"/>
    <w:rsid w:val="00226454"/>
    <w:rsid w:val="00226498"/>
    <w:rsid w:val="002264E2"/>
    <w:rsid w:val="002268DF"/>
    <w:rsid w:val="00230A89"/>
    <w:rsid w:val="00230B89"/>
    <w:rsid w:val="002323E6"/>
    <w:rsid w:val="0023281C"/>
    <w:rsid w:val="002329B0"/>
    <w:rsid w:val="002332ED"/>
    <w:rsid w:val="002333C7"/>
    <w:rsid w:val="00233DDC"/>
    <w:rsid w:val="00234037"/>
    <w:rsid w:val="002341FC"/>
    <w:rsid w:val="00234A27"/>
    <w:rsid w:val="00235553"/>
    <w:rsid w:val="0023568E"/>
    <w:rsid w:val="00235A9C"/>
    <w:rsid w:val="00235C86"/>
    <w:rsid w:val="00236771"/>
    <w:rsid w:val="002371DE"/>
    <w:rsid w:val="0023790F"/>
    <w:rsid w:val="00240021"/>
    <w:rsid w:val="0024077A"/>
    <w:rsid w:val="002410A3"/>
    <w:rsid w:val="00241ACB"/>
    <w:rsid w:val="00241F2E"/>
    <w:rsid w:val="00241FFC"/>
    <w:rsid w:val="0024222E"/>
    <w:rsid w:val="00242FD2"/>
    <w:rsid w:val="00243172"/>
    <w:rsid w:val="002444DB"/>
    <w:rsid w:val="002446D8"/>
    <w:rsid w:val="00244D07"/>
    <w:rsid w:val="00245365"/>
    <w:rsid w:val="00245923"/>
    <w:rsid w:val="00246D07"/>
    <w:rsid w:val="0024715E"/>
    <w:rsid w:val="002471EE"/>
    <w:rsid w:val="00247767"/>
    <w:rsid w:val="00247A0D"/>
    <w:rsid w:val="0025062B"/>
    <w:rsid w:val="00250A3A"/>
    <w:rsid w:val="00250BB0"/>
    <w:rsid w:val="00250F72"/>
    <w:rsid w:val="00251521"/>
    <w:rsid w:val="00252FD0"/>
    <w:rsid w:val="002535C8"/>
    <w:rsid w:val="00255047"/>
    <w:rsid w:val="00255367"/>
    <w:rsid w:val="00256E0B"/>
    <w:rsid w:val="00257488"/>
    <w:rsid w:val="00257BA8"/>
    <w:rsid w:val="0026016F"/>
    <w:rsid w:val="0026159A"/>
    <w:rsid w:val="0026172D"/>
    <w:rsid w:val="00261C35"/>
    <w:rsid w:val="002634E7"/>
    <w:rsid w:val="00264676"/>
    <w:rsid w:val="0026538A"/>
    <w:rsid w:val="00265B97"/>
    <w:rsid w:val="00265DC1"/>
    <w:rsid w:val="002663CC"/>
    <w:rsid w:val="00266AB4"/>
    <w:rsid w:val="00270969"/>
    <w:rsid w:val="0027134D"/>
    <w:rsid w:val="00272E55"/>
    <w:rsid w:val="00272F59"/>
    <w:rsid w:val="002731D4"/>
    <w:rsid w:val="0027376D"/>
    <w:rsid w:val="0027381F"/>
    <w:rsid w:val="002739DF"/>
    <w:rsid w:val="00273CBD"/>
    <w:rsid w:val="00275F40"/>
    <w:rsid w:val="00276040"/>
    <w:rsid w:val="0027608D"/>
    <w:rsid w:val="002762C8"/>
    <w:rsid w:val="00276512"/>
    <w:rsid w:val="00276A7A"/>
    <w:rsid w:val="00276D34"/>
    <w:rsid w:val="00277B94"/>
    <w:rsid w:val="00281300"/>
    <w:rsid w:val="00281ECA"/>
    <w:rsid w:val="00282E3A"/>
    <w:rsid w:val="0028341B"/>
    <w:rsid w:val="0028352F"/>
    <w:rsid w:val="00284C16"/>
    <w:rsid w:val="00284E69"/>
    <w:rsid w:val="00285427"/>
    <w:rsid w:val="002854AD"/>
    <w:rsid w:val="0028612D"/>
    <w:rsid w:val="002862F5"/>
    <w:rsid w:val="00286361"/>
    <w:rsid w:val="002864BC"/>
    <w:rsid w:val="00286519"/>
    <w:rsid w:val="00286B60"/>
    <w:rsid w:val="0028774F"/>
    <w:rsid w:val="00287BFA"/>
    <w:rsid w:val="002903C3"/>
    <w:rsid w:val="0029053A"/>
    <w:rsid w:val="00290682"/>
    <w:rsid w:val="00290BDF"/>
    <w:rsid w:val="0029110E"/>
    <w:rsid w:val="0029247D"/>
    <w:rsid w:val="002927E1"/>
    <w:rsid w:val="00292C26"/>
    <w:rsid w:val="002933BC"/>
    <w:rsid w:val="00293409"/>
    <w:rsid w:val="002934EB"/>
    <w:rsid w:val="00294E81"/>
    <w:rsid w:val="002954DB"/>
    <w:rsid w:val="002959F1"/>
    <w:rsid w:val="00296641"/>
    <w:rsid w:val="0029788A"/>
    <w:rsid w:val="002A0443"/>
    <w:rsid w:val="002A0619"/>
    <w:rsid w:val="002A06FA"/>
    <w:rsid w:val="002A0D85"/>
    <w:rsid w:val="002A1F84"/>
    <w:rsid w:val="002A27D4"/>
    <w:rsid w:val="002A2AD1"/>
    <w:rsid w:val="002A2F37"/>
    <w:rsid w:val="002A406E"/>
    <w:rsid w:val="002A4C1F"/>
    <w:rsid w:val="002A4EF6"/>
    <w:rsid w:val="002A5965"/>
    <w:rsid w:val="002A5DDA"/>
    <w:rsid w:val="002A6369"/>
    <w:rsid w:val="002A64E2"/>
    <w:rsid w:val="002A6796"/>
    <w:rsid w:val="002A6F13"/>
    <w:rsid w:val="002A79FA"/>
    <w:rsid w:val="002B0743"/>
    <w:rsid w:val="002B0F8D"/>
    <w:rsid w:val="002B14FD"/>
    <w:rsid w:val="002B167C"/>
    <w:rsid w:val="002B180A"/>
    <w:rsid w:val="002B1C22"/>
    <w:rsid w:val="002B2534"/>
    <w:rsid w:val="002B2A4F"/>
    <w:rsid w:val="002B2F21"/>
    <w:rsid w:val="002B394E"/>
    <w:rsid w:val="002B422A"/>
    <w:rsid w:val="002B4B20"/>
    <w:rsid w:val="002B527D"/>
    <w:rsid w:val="002B6F35"/>
    <w:rsid w:val="002B7721"/>
    <w:rsid w:val="002C0325"/>
    <w:rsid w:val="002C0336"/>
    <w:rsid w:val="002C0687"/>
    <w:rsid w:val="002C18BD"/>
    <w:rsid w:val="002C2017"/>
    <w:rsid w:val="002C21A4"/>
    <w:rsid w:val="002C2928"/>
    <w:rsid w:val="002C2B7B"/>
    <w:rsid w:val="002C2F1F"/>
    <w:rsid w:val="002C32A4"/>
    <w:rsid w:val="002C3656"/>
    <w:rsid w:val="002C36FA"/>
    <w:rsid w:val="002C37E6"/>
    <w:rsid w:val="002C38BE"/>
    <w:rsid w:val="002C3C94"/>
    <w:rsid w:val="002C40F8"/>
    <w:rsid w:val="002C4184"/>
    <w:rsid w:val="002C5CB0"/>
    <w:rsid w:val="002C5DD8"/>
    <w:rsid w:val="002C5EE3"/>
    <w:rsid w:val="002C5F36"/>
    <w:rsid w:val="002C655E"/>
    <w:rsid w:val="002C67BD"/>
    <w:rsid w:val="002C696C"/>
    <w:rsid w:val="002C6EEA"/>
    <w:rsid w:val="002C7138"/>
    <w:rsid w:val="002C7489"/>
    <w:rsid w:val="002C7886"/>
    <w:rsid w:val="002C7CDE"/>
    <w:rsid w:val="002C7FDA"/>
    <w:rsid w:val="002D02D9"/>
    <w:rsid w:val="002D043D"/>
    <w:rsid w:val="002D19AA"/>
    <w:rsid w:val="002D1A07"/>
    <w:rsid w:val="002D208B"/>
    <w:rsid w:val="002D2422"/>
    <w:rsid w:val="002D2EC1"/>
    <w:rsid w:val="002D3301"/>
    <w:rsid w:val="002D3932"/>
    <w:rsid w:val="002D46F2"/>
    <w:rsid w:val="002D5360"/>
    <w:rsid w:val="002D5C6A"/>
    <w:rsid w:val="002D627A"/>
    <w:rsid w:val="002D6DE9"/>
    <w:rsid w:val="002D7FCE"/>
    <w:rsid w:val="002E0C3B"/>
    <w:rsid w:val="002E0D17"/>
    <w:rsid w:val="002E1740"/>
    <w:rsid w:val="002E1C2C"/>
    <w:rsid w:val="002E1FFE"/>
    <w:rsid w:val="002E273D"/>
    <w:rsid w:val="002E289A"/>
    <w:rsid w:val="002E2A3D"/>
    <w:rsid w:val="002E3D6C"/>
    <w:rsid w:val="002E3E61"/>
    <w:rsid w:val="002E4808"/>
    <w:rsid w:val="002E51EF"/>
    <w:rsid w:val="002E56BD"/>
    <w:rsid w:val="002E617A"/>
    <w:rsid w:val="002E686E"/>
    <w:rsid w:val="002E6F99"/>
    <w:rsid w:val="002E7100"/>
    <w:rsid w:val="002E7328"/>
    <w:rsid w:val="002F0B95"/>
    <w:rsid w:val="002F0D3C"/>
    <w:rsid w:val="002F32FB"/>
    <w:rsid w:val="002F3763"/>
    <w:rsid w:val="002F38C8"/>
    <w:rsid w:val="002F3C10"/>
    <w:rsid w:val="002F45D2"/>
    <w:rsid w:val="002F4702"/>
    <w:rsid w:val="002F4EFB"/>
    <w:rsid w:val="002F570B"/>
    <w:rsid w:val="002F5A0E"/>
    <w:rsid w:val="002F5B09"/>
    <w:rsid w:val="002F5B31"/>
    <w:rsid w:val="002F5D4E"/>
    <w:rsid w:val="002F6BEE"/>
    <w:rsid w:val="002F6F04"/>
    <w:rsid w:val="002F71B6"/>
    <w:rsid w:val="002F7A14"/>
    <w:rsid w:val="002F7F83"/>
    <w:rsid w:val="003001C5"/>
    <w:rsid w:val="00300520"/>
    <w:rsid w:val="003006CE"/>
    <w:rsid w:val="003007A4"/>
    <w:rsid w:val="0030111E"/>
    <w:rsid w:val="0030148E"/>
    <w:rsid w:val="00302C44"/>
    <w:rsid w:val="00303218"/>
    <w:rsid w:val="003053B9"/>
    <w:rsid w:val="00305470"/>
    <w:rsid w:val="00306528"/>
    <w:rsid w:val="003068C2"/>
    <w:rsid w:val="003069CE"/>
    <w:rsid w:val="00307825"/>
    <w:rsid w:val="00307F9D"/>
    <w:rsid w:val="00310D79"/>
    <w:rsid w:val="00310DBD"/>
    <w:rsid w:val="003111D0"/>
    <w:rsid w:val="00311D0D"/>
    <w:rsid w:val="003120C6"/>
    <w:rsid w:val="00312431"/>
    <w:rsid w:val="003126A3"/>
    <w:rsid w:val="00312B48"/>
    <w:rsid w:val="00312B71"/>
    <w:rsid w:val="00312D9C"/>
    <w:rsid w:val="00313689"/>
    <w:rsid w:val="00313AFA"/>
    <w:rsid w:val="00313BD6"/>
    <w:rsid w:val="00314390"/>
    <w:rsid w:val="00314423"/>
    <w:rsid w:val="00314A86"/>
    <w:rsid w:val="00315094"/>
    <w:rsid w:val="00315667"/>
    <w:rsid w:val="00315B44"/>
    <w:rsid w:val="00316171"/>
    <w:rsid w:val="0031646B"/>
    <w:rsid w:val="00316AC2"/>
    <w:rsid w:val="00317932"/>
    <w:rsid w:val="0032085F"/>
    <w:rsid w:val="00322376"/>
    <w:rsid w:val="0032398C"/>
    <w:rsid w:val="00325EBF"/>
    <w:rsid w:val="003262E8"/>
    <w:rsid w:val="0032676A"/>
    <w:rsid w:val="00327DE1"/>
    <w:rsid w:val="00327FAB"/>
    <w:rsid w:val="00330440"/>
    <w:rsid w:val="003305E8"/>
    <w:rsid w:val="00330A39"/>
    <w:rsid w:val="00330D9B"/>
    <w:rsid w:val="003310A8"/>
    <w:rsid w:val="00331461"/>
    <w:rsid w:val="0033160D"/>
    <w:rsid w:val="00331D62"/>
    <w:rsid w:val="00331E57"/>
    <w:rsid w:val="00334329"/>
    <w:rsid w:val="003343C3"/>
    <w:rsid w:val="0033521A"/>
    <w:rsid w:val="00336924"/>
    <w:rsid w:val="003369C1"/>
    <w:rsid w:val="00336FDF"/>
    <w:rsid w:val="0033740A"/>
    <w:rsid w:val="003375ED"/>
    <w:rsid w:val="003402A4"/>
    <w:rsid w:val="0034166F"/>
    <w:rsid w:val="00341707"/>
    <w:rsid w:val="003435BC"/>
    <w:rsid w:val="00343BAE"/>
    <w:rsid w:val="00343F39"/>
    <w:rsid w:val="003442C3"/>
    <w:rsid w:val="0034446B"/>
    <w:rsid w:val="00344CA6"/>
    <w:rsid w:val="00345183"/>
    <w:rsid w:val="00345C18"/>
    <w:rsid w:val="00346A79"/>
    <w:rsid w:val="003472D0"/>
    <w:rsid w:val="003472F7"/>
    <w:rsid w:val="003479CA"/>
    <w:rsid w:val="003500AE"/>
    <w:rsid w:val="00350345"/>
    <w:rsid w:val="00350C05"/>
    <w:rsid w:val="003522A6"/>
    <w:rsid w:val="00352324"/>
    <w:rsid w:val="00352912"/>
    <w:rsid w:val="00353533"/>
    <w:rsid w:val="00353CD0"/>
    <w:rsid w:val="00353EA8"/>
    <w:rsid w:val="00354429"/>
    <w:rsid w:val="00354E1F"/>
    <w:rsid w:val="00354F24"/>
    <w:rsid w:val="00355CF3"/>
    <w:rsid w:val="00355ECF"/>
    <w:rsid w:val="0035701A"/>
    <w:rsid w:val="00357322"/>
    <w:rsid w:val="00357762"/>
    <w:rsid w:val="0035782F"/>
    <w:rsid w:val="00360287"/>
    <w:rsid w:val="0036066C"/>
    <w:rsid w:val="00361280"/>
    <w:rsid w:val="00361438"/>
    <w:rsid w:val="00363AB0"/>
    <w:rsid w:val="00364627"/>
    <w:rsid w:val="00364AC3"/>
    <w:rsid w:val="003653A4"/>
    <w:rsid w:val="0036547E"/>
    <w:rsid w:val="00366535"/>
    <w:rsid w:val="00366A2E"/>
    <w:rsid w:val="00366B77"/>
    <w:rsid w:val="00367ACB"/>
    <w:rsid w:val="00367C46"/>
    <w:rsid w:val="003703C9"/>
    <w:rsid w:val="0037080E"/>
    <w:rsid w:val="00370B94"/>
    <w:rsid w:val="00370C24"/>
    <w:rsid w:val="00370D55"/>
    <w:rsid w:val="003719A4"/>
    <w:rsid w:val="00371D51"/>
    <w:rsid w:val="00371DB6"/>
    <w:rsid w:val="00372827"/>
    <w:rsid w:val="003747C0"/>
    <w:rsid w:val="003751D8"/>
    <w:rsid w:val="00375ECD"/>
    <w:rsid w:val="003771F0"/>
    <w:rsid w:val="0037733A"/>
    <w:rsid w:val="0037783C"/>
    <w:rsid w:val="0038003B"/>
    <w:rsid w:val="00380C99"/>
    <w:rsid w:val="00380E1F"/>
    <w:rsid w:val="00381992"/>
    <w:rsid w:val="003820BD"/>
    <w:rsid w:val="00382C07"/>
    <w:rsid w:val="00383237"/>
    <w:rsid w:val="0038359D"/>
    <w:rsid w:val="00383D3D"/>
    <w:rsid w:val="0038469E"/>
    <w:rsid w:val="003846ED"/>
    <w:rsid w:val="00385AF3"/>
    <w:rsid w:val="0038640C"/>
    <w:rsid w:val="00386711"/>
    <w:rsid w:val="003873A2"/>
    <w:rsid w:val="00387A35"/>
    <w:rsid w:val="00390532"/>
    <w:rsid w:val="00390F87"/>
    <w:rsid w:val="00391222"/>
    <w:rsid w:val="0039165A"/>
    <w:rsid w:val="00391766"/>
    <w:rsid w:val="00391E42"/>
    <w:rsid w:val="003927BF"/>
    <w:rsid w:val="003934B6"/>
    <w:rsid w:val="00393767"/>
    <w:rsid w:val="00394C68"/>
    <w:rsid w:val="003952EF"/>
    <w:rsid w:val="0039541B"/>
    <w:rsid w:val="00396B40"/>
    <w:rsid w:val="00396B7A"/>
    <w:rsid w:val="00397607"/>
    <w:rsid w:val="00397C32"/>
    <w:rsid w:val="003A0318"/>
    <w:rsid w:val="003A1430"/>
    <w:rsid w:val="003A179E"/>
    <w:rsid w:val="003A1BA1"/>
    <w:rsid w:val="003A2951"/>
    <w:rsid w:val="003A3F6B"/>
    <w:rsid w:val="003A4931"/>
    <w:rsid w:val="003A4C15"/>
    <w:rsid w:val="003A5A97"/>
    <w:rsid w:val="003A5B15"/>
    <w:rsid w:val="003A693C"/>
    <w:rsid w:val="003A6B5D"/>
    <w:rsid w:val="003A793D"/>
    <w:rsid w:val="003B009D"/>
    <w:rsid w:val="003B0CA6"/>
    <w:rsid w:val="003B1694"/>
    <w:rsid w:val="003B1D73"/>
    <w:rsid w:val="003B1FFB"/>
    <w:rsid w:val="003B39C1"/>
    <w:rsid w:val="003B3F1B"/>
    <w:rsid w:val="003B40DA"/>
    <w:rsid w:val="003B5BB8"/>
    <w:rsid w:val="003B6337"/>
    <w:rsid w:val="003B6AB8"/>
    <w:rsid w:val="003B730C"/>
    <w:rsid w:val="003B7BC6"/>
    <w:rsid w:val="003B7CE4"/>
    <w:rsid w:val="003B7F7D"/>
    <w:rsid w:val="003C0130"/>
    <w:rsid w:val="003C0592"/>
    <w:rsid w:val="003C099D"/>
    <w:rsid w:val="003C23CB"/>
    <w:rsid w:val="003C3895"/>
    <w:rsid w:val="003C3B41"/>
    <w:rsid w:val="003C3FED"/>
    <w:rsid w:val="003C40DE"/>
    <w:rsid w:val="003C5830"/>
    <w:rsid w:val="003C6187"/>
    <w:rsid w:val="003C62E2"/>
    <w:rsid w:val="003C70D8"/>
    <w:rsid w:val="003C770F"/>
    <w:rsid w:val="003C7C6B"/>
    <w:rsid w:val="003D0004"/>
    <w:rsid w:val="003D069A"/>
    <w:rsid w:val="003D1017"/>
    <w:rsid w:val="003D1E5D"/>
    <w:rsid w:val="003D208E"/>
    <w:rsid w:val="003D26A2"/>
    <w:rsid w:val="003D42B6"/>
    <w:rsid w:val="003D4EA7"/>
    <w:rsid w:val="003D527F"/>
    <w:rsid w:val="003D5E1F"/>
    <w:rsid w:val="003D60E9"/>
    <w:rsid w:val="003D6849"/>
    <w:rsid w:val="003D712D"/>
    <w:rsid w:val="003D7B10"/>
    <w:rsid w:val="003E0012"/>
    <w:rsid w:val="003E09AD"/>
    <w:rsid w:val="003E0F42"/>
    <w:rsid w:val="003E0F9A"/>
    <w:rsid w:val="003E1D3B"/>
    <w:rsid w:val="003E2FCC"/>
    <w:rsid w:val="003E3409"/>
    <w:rsid w:val="003E44C0"/>
    <w:rsid w:val="003E4A0B"/>
    <w:rsid w:val="003E4D3B"/>
    <w:rsid w:val="003E5A0D"/>
    <w:rsid w:val="003E5A63"/>
    <w:rsid w:val="003E7714"/>
    <w:rsid w:val="003E7A54"/>
    <w:rsid w:val="003F0235"/>
    <w:rsid w:val="003F0550"/>
    <w:rsid w:val="003F1736"/>
    <w:rsid w:val="003F1911"/>
    <w:rsid w:val="003F198B"/>
    <w:rsid w:val="003F29D0"/>
    <w:rsid w:val="003F3645"/>
    <w:rsid w:val="003F62FD"/>
    <w:rsid w:val="003F7037"/>
    <w:rsid w:val="003F73DC"/>
    <w:rsid w:val="003F7440"/>
    <w:rsid w:val="003F74D5"/>
    <w:rsid w:val="003F7CA9"/>
    <w:rsid w:val="004002CB"/>
    <w:rsid w:val="0040143C"/>
    <w:rsid w:val="00401BE6"/>
    <w:rsid w:val="004026A5"/>
    <w:rsid w:val="004032CD"/>
    <w:rsid w:val="0040364E"/>
    <w:rsid w:val="0040375A"/>
    <w:rsid w:val="00403811"/>
    <w:rsid w:val="00403BBF"/>
    <w:rsid w:val="0040485B"/>
    <w:rsid w:val="00404AC3"/>
    <w:rsid w:val="00404B34"/>
    <w:rsid w:val="00404C47"/>
    <w:rsid w:val="004050CA"/>
    <w:rsid w:val="0040562E"/>
    <w:rsid w:val="00405684"/>
    <w:rsid w:val="00405C50"/>
    <w:rsid w:val="00405DE1"/>
    <w:rsid w:val="0040663C"/>
    <w:rsid w:val="004067CB"/>
    <w:rsid w:val="00406AE7"/>
    <w:rsid w:val="004072EE"/>
    <w:rsid w:val="00407770"/>
    <w:rsid w:val="00407AEA"/>
    <w:rsid w:val="00407BAD"/>
    <w:rsid w:val="00407D43"/>
    <w:rsid w:val="004112D3"/>
    <w:rsid w:val="004114C0"/>
    <w:rsid w:val="00411BA0"/>
    <w:rsid w:val="00412F3D"/>
    <w:rsid w:val="004132C1"/>
    <w:rsid w:val="00413763"/>
    <w:rsid w:val="00414EDC"/>
    <w:rsid w:val="0041594C"/>
    <w:rsid w:val="00415C26"/>
    <w:rsid w:val="00416F45"/>
    <w:rsid w:val="00417555"/>
    <w:rsid w:val="00417AB5"/>
    <w:rsid w:val="004217BB"/>
    <w:rsid w:val="00422EDF"/>
    <w:rsid w:val="00422F12"/>
    <w:rsid w:val="00423051"/>
    <w:rsid w:val="0042346F"/>
    <w:rsid w:val="00423483"/>
    <w:rsid w:val="0042359D"/>
    <w:rsid w:val="00424AE0"/>
    <w:rsid w:val="00425AD2"/>
    <w:rsid w:val="00426557"/>
    <w:rsid w:val="00426DA5"/>
    <w:rsid w:val="00427FE1"/>
    <w:rsid w:val="00430098"/>
    <w:rsid w:val="00430630"/>
    <w:rsid w:val="00430E87"/>
    <w:rsid w:val="004310C8"/>
    <w:rsid w:val="00431DE3"/>
    <w:rsid w:val="004320A8"/>
    <w:rsid w:val="004325AB"/>
    <w:rsid w:val="00432A27"/>
    <w:rsid w:val="00433AEF"/>
    <w:rsid w:val="00433B6B"/>
    <w:rsid w:val="0043423C"/>
    <w:rsid w:val="004363A7"/>
    <w:rsid w:val="0043643D"/>
    <w:rsid w:val="00436836"/>
    <w:rsid w:val="00437184"/>
    <w:rsid w:val="00437845"/>
    <w:rsid w:val="00440178"/>
    <w:rsid w:val="00440179"/>
    <w:rsid w:val="00440377"/>
    <w:rsid w:val="004415B2"/>
    <w:rsid w:val="00441E12"/>
    <w:rsid w:val="00442135"/>
    <w:rsid w:val="00442B9B"/>
    <w:rsid w:val="00442C2B"/>
    <w:rsid w:val="00443257"/>
    <w:rsid w:val="00443794"/>
    <w:rsid w:val="00444034"/>
    <w:rsid w:val="004441EB"/>
    <w:rsid w:val="0044428E"/>
    <w:rsid w:val="00447ECB"/>
    <w:rsid w:val="00447F03"/>
    <w:rsid w:val="0045003A"/>
    <w:rsid w:val="00450340"/>
    <w:rsid w:val="00450A6C"/>
    <w:rsid w:val="0045171C"/>
    <w:rsid w:val="004522B8"/>
    <w:rsid w:val="004528C4"/>
    <w:rsid w:val="0045296D"/>
    <w:rsid w:val="00452D66"/>
    <w:rsid w:val="00453610"/>
    <w:rsid w:val="004544D7"/>
    <w:rsid w:val="0045466B"/>
    <w:rsid w:val="004548D4"/>
    <w:rsid w:val="00454BC4"/>
    <w:rsid w:val="00454E1C"/>
    <w:rsid w:val="00454F73"/>
    <w:rsid w:val="00455213"/>
    <w:rsid w:val="0045546D"/>
    <w:rsid w:val="00455816"/>
    <w:rsid w:val="00455F1C"/>
    <w:rsid w:val="00456089"/>
    <w:rsid w:val="004568D3"/>
    <w:rsid w:val="00457156"/>
    <w:rsid w:val="0045722B"/>
    <w:rsid w:val="0046052A"/>
    <w:rsid w:val="004608AC"/>
    <w:rsid w:val="004623DA"/>
    <w:rsid w:val="00462476"/>
    <w:rsid w:val="00462B5C"/>
    <w:rsid w:val="0046576D"/>
    <w:rsid w:val="00465A5D"/>
    <w:rsid w:val="00465FB3"/>
    <w:rsid w:val="00466628"/>
    <w:rsid w:val="00466E8C"/>
    <w:rsid w:val="004672B3"/>
    <w:rsid w:val="004709EF"/>
    <w:rsid w:val="00470A9B"/>
    <w:rsid w:val="00470CF7"/>
    <w:rsid w:val="004722F9"/>
    <w:rsid w:val="00472333"/>
    <w:rsid w:val="004726ED"/>
    <w:rsid w:val="00472C43"/>
    <w:rsid w:val="00472F68"/>
    <w:rsid w:val="00473330"/>
    <w:rsid w:val="00473512"/>
    <w:rsid w:val="00474C81"/>
    <w:rsid w:val="00474FF6"/>
    <w:rsid w:val="00475E19"/>
    <w:rsid w:val="00476E00"/>
    <w:rsid w:val="004777AE"/>
    <w:rsid w:val="00480171"/>
    <w:rsid w:val="00480227"/>
    <w:rsid w:val="00480589"/>
    <w:rsid w:val="004808F7"/>
    <w:rsid w:val="00480D61"/>
    <w:rsid w:val="00481287"/>
    <w:rsid w:val="00481E4B"/>
    <w:rsid w:val="00483F35"/>
    <w:rsid w:val="0048448D"/>
    <w:rsid w:val="00485A1F"/>
    <w:rsid w:val="00486630"/>
    <w:rsid w:val="00486676"/>
    <w:rsid w:val="00486C05"/>
    <w:rsid w:val="004877EF"/>
    <w:rsid w:val="004878BB"/>
    <w:rsid w:val="00491894"/>
    <w:rsid w:val="00493114"/>
    <w:rsid w:val="00493E98"/>
    <w:rsid w:val="00493F6C"/>
    <w:rsid w:val="0049400C"/>
    <w:rsid w:val="00494AF8"/>
    <w:rsid w:val="004954F9"/>
    <w:rsid w:val="00495AC2"/>
    <w:rsid w:val="004960A4"/>
    <w:rsid w:val="0049668A"/>
    <w:rsid w:val="004A1CE9"/>
    <w:rsid w:val="004A1F57"/>
    <w:rsid w:val="004A2305"/>
    <w:rsid w:val="004A23F9"/>
    <w:rsid w:val="004A2DB2"/>
    <w:rsid w:val="004A32FC"/>
    <w:rsid w:val="004A4DBB"/>
    <w:rsid w:val="004A4FA2"/>
    <w:rsid w:val="004A4FC1"/>
    <w:rsid w:val="004A544F"/>
    <w:rsid w:val="004A632D"/>
    <w:rsid w:val="004A7273"/>
    <w:rsid w:val="004A75DC"/>
    <w:rsid w:val="004A77E1"/>
    <w:rsid w:val="004A7CEE"/>
    <w:rsid w:val="004B0422"/>
    <w:rsid w:val="004B077D"/>
    <w:rsid w:val="004B0C29"/>
    <w:rsid w:val="004B13CD"/>
    <w:rsid w:val="004B1B9F"/>
    <w:rsid w:val="004B2D7B"/>
    <w:rsid w:val="004B2DFF"/>
    <w:rsid w:val="004B3AFD"/>
    <w:rsid w:val="004B3B51"/>
    <w:rsid w:val="004B3D41"/>
    <w:rsid w:val="004B549A"/>
    <w:rsid w:val="004B54CC"/>
    <w:rsid w:val="004B575B"/>
    <w:rsid w:val="004B5CA3"/>
    <w:rsid w:val="004B7049"/>
    <w:rsid w:val="004B72B9"/>
    <w:rsid w:val="004B7A63"/>
    <w:rsid w:val="004B7E45"/>
    <w:rsid w:val="004B7FB3"/>
    <w:rsid w:val="004C0D47"/>
    <w:rsid w:val="004C1090"/>
    <w:rsid w:val="004C1AFE"/>
    <w:rsid w:val="004C1E65"/>
    <w:rsid w:val="004C241F"/>
    <w:rsid w:val="004C3685"/>
    <w:rsid w:val="004C3740"/>
    <w:rsid w:val="004C4129"/>
    <w:rsid w:val="004C44A6"/>
    <w:rsid w:val="004C470C"/>
    <w:rsid w:val="004C5587"/>
    <w:rsid w:val="004C565D"/>
    <w:rsid w:val="004C5663"/>
    <w:rsid w:val="004C5EAD"/>
    <w:rsid w:val="004C6CAA"/>
    <w:rsid w:val="004C720C"/>
    <w:rsid w:val="004C7813"/>
    <w:rsid w:val="004C7987"/>
    <w:rsid w:val="004D1175"/>
    <w:rsid w:val="004D12EF"/>
    <w:rsid w:val="004D1481"/>
    <w:rsid w:val="004D2347"/>
    <w:rsid w:val="004D2786"/>
    <w:rsid w:val="004D2F9A"/>
    <w:rsid w:val="004D2FC9"/>
    <w:rsid w:val="004D3ACE"/>
    <w:rsid w:val="004D3F27"/>
    <w:rsid w:val="004D4356"/>
    <w:rsid w:val="004D4E17"/>
    <w:rsid w:val="004D53FA"/>
    <w:rsid w:val="004D68DC"/>
    <w:rsid w:val="004D777D"/>
    <w:rsid w:val="004D7A8C"/>
    <w:rsid w:val="004E0048"/>
    <w:rsid w:val="004E09E7"/>
    <w:rsid w:val="004E1A26"/>
    <w:rsid w:val="004E1C63"/>
    <w:rsid w:val="004E1ED9"/>
    <w:rsid w:val="004E353E"/>
    <w:rsid w:val="004E3B44"/>
    <w:rsid w:val="004E3BD0"/>
    <w:rsid w:val="004E4392"/>
    <w:rsid w:val="004E4A74"/>
    <w:rsid w:val="004E4E53"/>
    <w:rsid w:val="004E51A1"/>
    <w:rsid w:val="004E6392"/>
    <w:rsid w:val="004E64E7"/>
    <w:rsid w:val="004E69A3"/>
    <w:rsid w:val="004E6F23"/>
    <w:rsid w:val="004E70BE"/>
    <w:rsid w:val="004E71BF"/>
    <w:rsid w:val="004F0D73"/>
    <w:rsid w:val="004F15E1"/>
    <w:rsid w:val="004F20E7"/>
    <w:rsid w:val="004F2A03"/>
    <w:rsid w:val="004F472E"/>
    <w:rsid w:val="004F4896"/>
    <w:rsid w:val="004F512B"/>
    <w:rsid w:val="004F5B7A"/>
    <w:rsid w:val="004F5D46"/>
    <w:rsid w:val="004F6197"/>
    <w:rsid w:val="004F637B"/>
    <w:rsid w:val="004F6DA0"/>
    <w:rsid w:val="004F7745"/>
    <w:rsid w:val="00500DAD"/>
    <w:rsid w:val="00502856"/>
    <w:rsid w:val="00502DE3"/>
    <w:rsid w:val="00503474"/>
    <w:rsid w:val="00503655"/>
    <w:rsid w:val="00504891"/>
    <w:rsid w:val="005048DB"/>
    <w:rsid w:val="00505070"/>
    <w:rsid w:val="00505175"/>
    <w:rsid w:val="005057ED"/>
    <w:rsid w:val="0050686B"/>
    <w:rsid w:val="00507391"/>
    <w:rsid w:val="00507693"/>
    <w:rsid w:val="005102E6"/>
    <w:rsid w:val="00510537"/>
    <w:rsid w:val="0051079B"/>
    <w:rsid w:val="00510B2C"/>
    <w:rsid w:val="00510C6B"/>
    <w:rsid w:val="00510CBD"/>
    <w:rsid w:val="0051131A"/>
    <w:rsid w:val="005119B0"/>
    <w:rsid w:val="00513523"/>
    <w:rsid w:val="00515064"/>
    <w:rsid w:val="0051524E"/>
    <w:rsid w:val="005156D8"/>
    <w:rsid w:val="0051629A"/>
    <w:rsid w:val="0051706A"/>
    <w:rsid w:val="0051742D"/>
    <w:rsid w:val="00517831"/>
    <w:rsid w:val="00517D29"/>
    <w:rsid w:val="00520B73"/>
    <w:rsid w:val="00520C99"/>
    <w:rsid w:val="00520CE3"/>
    <w:rsid w:val="00521450"/>
    <w:rsid w:val="00521740"/>
    <w:rsid w:val="0052207B"/>
    <w:rsid w:val="005220BF"/>
    <w:rsid w:val="00523557"/>
    <w:rsid w:val="00523762"/>
    <w:rsid w:val="0052485A"/>
    <w:rsid w:val="005259F5"/>
    <w:rsid w:val="00525DE5"/>
    <w:rsid w:val="00526108"/>
    <w:rsid w:val="00527596"/>
    <w:rsid w:val="00531B4E"/>
    <w:rsid w:val="00533389"/>
    <w:rsid w:val="00533455"/>
    <w:rsid w:val="00533E51"/>
    <w:rsid w:val="00535042"/>
    <w:rsid w:val="0053515D"/>
    <w:rsid w:val="00535FAA"/>
    <w:rsid w:val="00536107"/>
    <w:rsid w:val="00536405"/>
    <w:rsid w:val="00536435"/>
    <w:rsid w:val="00536590"/>
    <w:rsid w:val="00537B36"/>
    <w:rsid w:val="00540A3A"/>
    <w:rsid w:val="00540D7E"/>
    <w:rsid w:val="005415A1"/>
    <w:rsid w:val="005415A8"/>
    <w:rsid w:val="00541E95"/>
    <w:rsid w:val="00542470"/>
    <w:rsid w:val="005425EF"/>
    <w:rsid w:val="005427F0"/>
    <w:rsid w:val="00543772"/>
    <w:rsid w:val="00543AF7"/>
    <w:rsid w:val="00544408"/>
    <w:rsid w:val="0054464F"/>
    <w:rsid w:val="00545A83"/>
    <w:rsid w:val="00545BBA"/>
    <w:rsid w:val="0054664D"/>
    <w:rsid w:val="00547230"/>
    <w:rsid w:val="00551018"/>
    <w:rsid w:val="0055170F"/>
    <w:rsid w:val="00551F38"/>
    <w:rsid w:val="00552423"/>
    <w:rsid w:val="00552832"/>
    <w:rsid w:val="00552888"/>
    <w:rsid w:val="0055348B"/>
    <w:rsid w:val="005537E7"/>
    <w:rsid w:val="00554549"/>
    <w:rsid w:val="00554558"/>
    <w:rsid w:val="0055464F"/>
    <w:rsid w:val="0055478A"/>
    <w:rsid w:val="00555BD6"/>
    <w:rsid w:val="005567F7"/>
    <w:rsid w:val="00556C04"/>
    <w:rsid w:val="005572D8"/>
    <w:rsid w:val="005576CD"/>
    <w:rsid w:val="00560AF1"/>
    <w:rsid w:val="005612FE"/>
    <w:rsid w:val="0056133E"/>
    <w:rsid w:val="0056140C"/>
    <w:rsid w:val="0056176E"/>
    <w:rsid w:val="00562110"/>
    <w:rsid w:val="0056220B"/>
    <w:rsid w:val="00562389"/>
    <w:rsid w:val="0056252B"/>
    <w:rsid w:val="00564055"/>
    <w:rsid w:val="00564320"/>
    <w:rsid w:val="005649E2"/>
    <w:rsid w:val="00564A0B"/>
    <w:rsid w:val="00564CE9"/>
    <w:rsid w:val="00564DBB"/>
    <w:rsid w:val="00565530"/>
    <w:rsid w:val="00565767"/>
    <w:rsid w:val="00566653"/>
    <w:rsid w:val="00566F89"/>
    <w:rsid w:val="00567F02"/>
    <w:rsid w:val="005704C0"/>
    <w:rsid w:val="00570D96"/>
    <w:rsid w:val="00571043"/>
    <w:rsid w:val="0057249B"/>
    <w:rsid w:val="00572CD5"/>
    <w:rsid w:val="00572E21"/>
    <w:rsid w:val="005732BE"/>
    <w:rsid w:val="00573B8F"/>
    <w:rsid w:val="00573CE1"/>
    <w:rsid w:val="00574416"/>
    <w:rsid w:val="00574775"/>
    <w:rsid w:val="005749AC"/>
    <w:rsid w:val="00574E2E"/>
    <w:rsid w:val="0057559B"/>
    <w:rsid w:val="00575FFD"/>
    <w:rsid w:val="00576C27"/>
    <w:rsid w:val="00577CED"/>
    <w:rsid w:val="005801EB"/>
    <w:rsid w:val="0058071D"/>
    <w:rsid w:val="005813B8"/>
    <w:rsid w:val="00582246"/>
    <w:rsid w:val="00582CDD"/>
    <w:rsid w:val="00583738"/>
    <w:rsid w:val="005838CE"/>
    <w:rsid w:val="005838F7"/>
    <w:rsid w:val="005849F4"/>
    <w:rsid w:val="00584A82"/>
    <w:rsid w:val="00584EE9"/>
    <w:rsid w:val="005853FC"/>
    <w:rsid w:val="00585475"/>
    <w:rsid w:val="00585CC4"/>
    <w:rsid w:val="005861DC"/>
    <w:rsid w:val="005863EB"/>
    <w:rsid w:val="005865E0"/>
    <w:rsid w:val="00586704"/>
    <w:rsid w:val="00587CB8"/>
    <w:rsid w:val="005906A6"/>
    <w:rsid w:val="00591F88"/>
    <w:rsid w:val="00592258"/>
    <w:rsid w:val="005925ED"/>
    <w:rsid w:val="00592AEE"/>
    <w:rsid w:val="00593B05"/>
    <w:rsid w:val="00593E41"/>
    <w:rsid w:val="00595497"/>
    <w:rsid w:val="005954EB"/>
    <w:rsid w:val="00595B25"/>
    <w:rsid w:val="00596083"/>
    <w:rsid w:val="0059660F"/>
    <w:rsid w:val="005967DE"/>
    <w:rsid w:val="005979AC"/>
    <w:rsid w:val="005979FF"/>
    <w:rsid w:val="00597AB4"/>
    <w:rsid w:val="00597F50"/>
    <w:rsid w:val="005A00E1"/>
    <w:rsid w:val="005A0873"/>
    <w:rsid w:val="005A091E"/>
    <w:rsid w:val="005A1C7B"/>
    <w:rsid w:val="005A1F87"/>
    <w:rsid w:val="005A21FD"/>
    <w:rsid w:val="005A2262"/>
    <w:rsid w:val="005A26C9"/>
    <w:rsid w:val="005A2889"/>
    <w:rsid w:val="005A2A2A"/>
    <w:rsid w:val="005A2ACE"/>
    <w:rsid w:val="005A2E9F"/>
    <w:rsid w:val="005A30B1"/>
    <w:rsid w:val="005A342D"/>
    <w:rsid w:val="005A3F41"/>
    <w:rsid w:val="005A4C59"/>
    <w:rsid w:val="005A52F5"/>
    <w:rsid w:val="005B0960"/>
    <w:rsid w:val="005B1928"/>
    <w:rsid w:val="005B1A58"/>
    <w:rsid w:val="005B2FDE"/>
    <w:rsid w:val="005B34F4"/>
    <w:rsid w:val="005B3686"/>
    <w:rsid w:val="005B3721"/>
    <w:rsid w:val="005B588D"/>
    <w:rsid w:val="005B5BB1"/>
    <w:rsid w:val="005B6852"/>
    <w:rsid w:val="005B701C"/>
    <w:rsid w:val="005C0915"/>
    <w:rsid w:val="005C144F"/>
    <w:rsid w:val="005C269C"/>
    <w:rsid w:val="005C280A"/>
    <w:rsid w:val="005C28B3"/>
    <w:rsid w:val="005C29BC"/>
    <w:rsid w:val="005C3839"/>
    <w:rsid w:val="005C486B"/>
    <w:rsid w:val="005C4918"/>
    <w:rsid w:val="005C50F1"/>
    <w:rsid w:val="005C544E"/>
    <w:rsid w:val="005C572C"/>
    <w:rsid w:val="005C5A63"/>
    <w:rsid w:val="005C5F31"/>
    <w:rsid w:val="005C679A"/>
    <w:rsid w:val="005C6EF6"/>
    <w:rsid w:val="005C756C"/>
    <w:rsid w:val="005D4214"/>
    <w:rsid w:val="005D44C8"/>
    <w:rsid w:val="005D47DF"/>
    <w:rsid w:val="005D52CE"/>
    <w:rsid w:val="005D5BD1"/>
    <w:rsid w:val="005D5CF3"/>
    <w:rsid w:val="005D61C3"/>
    <w:rsid w:val="005D6F8B"/>
    <w:rsid w:val="005D72CC"/>
    <w:rsid w:val="005D74EF"/>
    <w:rsid w:val="005D76FE"/>
    <w:rsid w:val="005D7CB9"/>
    <w:rsid w:val="005D7DA5"/>
    <w:rsid w:val="005E09DA"/>
    <w:rsid w:val="005E0B73"/>
    <w:rsid w:val="005E0F30"/>
    <w:rsid w:val="005E10DE"/>
    <w:rsid w:val="005E1D5D"/>
    <w:rsid w:val="005E1E67"/>
    <w:rsid w:val="005E253B"/>
    <w:rsid w:val="005E288E"/>
    <w:rsid w:val="005E3189"/>
    <w:rsid w:val="005E36C2"/>
    <w:rsid w:val="005E3AE1"/>
    <w:rsid w:val="005E45E2"/>
    <w:rsid w:val="005E57BC"/>
    <w:rsid w:val="005E5BF7"/>
    <w:rsid w:val="005E62FB"/>
    <w:rsid w:val="005E6BAE"/>
    <w:rsid w:val="005E7098"/>
    <w:rsid w:val="005E7379"/>
    <w:rsid w:val="005F064A"/>
    <w:rsid w:val="005F0815"/>
    <w:rsid w:val="005F1EFF"/>
    <w:rsid w:val="005F2394"/>
    <w:rsid w:val="005F24F7"/>
    <w:rsid w:val="005F32C1"/>
    <w:rsid w:val="005F3407"/>
    <w:rsid w:val="005F363A"/>
    <w:rsid w:val="005F3E10"/>
    <w:rsid w:val="005F40ED"/>
    <w:rsid w:val="005F412C"/>
    <w:rsid w:val="005F41CD"/>
    <w:rsid w:val="005F4E30"/>
    <w:rsid w:val="005F563C"/>
    <w:rsid w:val="005F5A92"/>
    <w:rsid w:val="005F7E73"/>
    <w:rsid w:val="0060038E"/>
    <w:rsid w:val="006009BF"/>
    <w:rsid w:val="00601421"/>
    <w:rsid w:val="00602E2D"/>
    <w:rsid w:val="006031D9"/>
    <w:rsid w:val="0060454D"/>
    <w:rsid w:val="00604585"/>
    <w:rsid w:val="006054BB"/>
    <w:rsid w:val="00605BC4"/>
    <w:rsid w:val="00605FAC"/>
    <w:rsid w:val="006069C4"/>
    <w:rsid w:val="00607079"/>
    <w:rsid w:val="006070F1"/>
    <w:rsid w:val="0061040C"/>
    <w:rsid w:val="006105DD"/>
    <w:rsid w:val="00610E74"/>
    <w:rsid w:val="006111CD"/>
    <w:rsid w:val="006116EF"/>
    <w:rsid w:val="006117D5"/>
    <w:rsid w:val="00612354"/>
    <w:rsid w:val="006123A7"/>
    <w:rsid w:val="0061282D"/>
    <w:rsid w:val="00612A14"/>
    <w:rsid w:val="00612C4C"/>
    <w:rsid w:val="00612E65"/>
    <w:rsid w:val="00613999"/>
    <w:rsid w:val="00613AB5"/>
    <w:rsid w:val="00614179"/>
    <w:rsid w:val="00614274"/>
    <w:rsid w:val="00615744"/>
    <w:rsid w:val="00616112"/>
    <w:rsid w:val="006173BC"/>
    <w:rsid w:val="006179FE"/>
    <w:rsid w:val="00617DF5"/>
    <w:rsid w:val="00617E1A"/>
    <w:rsid w:val="00620ADA"/>
    <w:rsid w:val="00620F2D"/>
    <w:rsid w:val="00621B52"/>
    <w:rsid w:val="00621B94"/>
    <w:rsid w:val="00625863"/>
    <w:rsid w:val="00626737"/>
    <w:rsid w:val="00627647"/>
    <w:rsid w:val="0062794C"/>
    <w:rsid w:val="00630447"/>
    <w:rsid w:val="00630C2B"/>
    <w:rsid w:val="00631391"/>
    <w:rsid w:val="006324B7"/>
    <w:rsid w:val="00632E1C"/>
    <w:rsid w:val="006332E5"/>
    <w:rsid w:val="00633434"/>
    <w:rsid w:val="0063380D"/>
    <w:rsid w:val="00633CC5"/>
    <w:rsid w:val="00633D79"/>
    <w:rsid w:val="006354BD"/>
    <w:rsid w:val="006369B2"/>
    <w:rsid w:val="00636F1A"/>
    <w:rsid w:val="00637A67"/>
    <w:rsid w:val="0064049F"/>
    <w:rsid w:val="006415BF"/>
    <w:rsid w:val="00641609"/>
    <w:rsid w:val="006416C6"/>
    <w:rsid w:val="006418B1"/>
    <w:rsid w:val="00641A1E"/>
    <w:rsid w:val="00641F97"/>
    <w:rsid w:val="00642285"/>
    <w:rsid w:val="006423A3"/>
    <w:rsid w:val="0064261F"/>
    <w:rsid w:val="0064293F"/>
    <w:rsid w:val="00643593"/>
    <w:rsid w:val="006435B2"/>
    <w:rsid w:val="006436FA"/>
    <w:rsid w:val="00644DB8"/>
    <w:rsid w:val="00645ADC"/>
    <w:rsid w:val="00646B2A"/>
    <w:rsid w:val="00652A30"/>
    <w:rsid w:val="00652C03"/>
    <w:rsid w:val="00652CC3"/>
    <w:rsid w:val="006538C5"/>
    <w:rsid w:val="00653C35"/>
    <w:rsid w:val="00653CE9"/>
    <w:rsid w:val="006542E3"/>
    <w:rsid w:val="00654865"/>
    <w:rsid w:val="00654AF8"/>
    <w:rsid w:val="00655A16"/>
    <w:rsid w:val="00656023"/>
    <w:rsid w:val="00656B20"/>
    <w:rsid w:val="00657084"/>
    <w:rsid w:val="0065762C"/>
    <w:rsid w:val="00660A69"/>
    <w:rsid w:val="00660BE5"/>
    <w:rsid w:val="00660D47"/>
    <w:rsid w:val="00661623"/>
    <w:rsid w:val="006616F9"/>
    <w:rsid w:val="006617AF"/>
    <w:rsid w:val="00662082"/>
    <w:rsid w:val="00662795"/>
    <w:rsid w:val="006629D8"/>
    <w:rsid w:val="00663632"/>
    <w:rsid w:val="00663ED7"/>
    <w:rsid w:val="00664582"/>
    <w:rsid w:val="00665721"/>
    <w:rsid w:val="00667811"/>
    <w:rsid w:val="00667907"/>
    <w:rsid w:val="0066794A"/>
    <w:rsid w:val="00670D96"/>
    <w:rsid w:val="006725E6"/>
    <w:rsid w:val="00672F69"/>
    <w:rsid w:val="00673297"/>
    <w:rsid w:val="00673D55"/>
    <w:rsid w:val="00673E01"/>
    <w:rsid w:val="00674328"/>
    <w:rsid w:val="0067477F"/>
    <w:rsid w:val="00674C2F"/>
    <w:rsid w:val="00674D07"/>
    <w:rsid w:val="006754FB"/>
    <w:rsid w:val="006759A3"/>
    <w:rsid w:val="00675A70"/>
    <w:rsid w:val="006769DF"/>
    <w:rsid w:val="00676FBF"/>
    <w:rsid w:val="00677189"/>
    <w:rsid w:val="006773C7"/>
    <w:rsid w:val="00677CC0"/>
    <w:rsid w:val="006804E1"/>
    <w:rsid w:val="00680C11"/>
    <w:rsid w:val="00681638"/>
    <w:rsid w:val="00681A7B"/>
    <w:rsid w:val="00681D16"/>
    <w:rsid w:val="006820B8"/>
    <w:rsid w:val="006825D7"/>
    <w:rsid w:val="00682BA4"/>
    <w:rsid w:val="00682D9F"/>
    <w:rsid w:val="00682E36"/>
    <w:rsid w:val="00683244"/>
    <w:rsid w:val="0068358C"/>
    <w:rsid w:val="00683CEE"/>
    <w:rsid w:val="0068415D"/>
    <w:rsid w:val="0068438F"/>
    <w:rsid w:val="0068579D"/>
    <w:rsid w:val="00686A80"/>
    <w:rsid w:val="00687559"/>
    <w:rsid w:val="00687B5F"/>
    <w:rsid w:val="0069114D"/>
    <w:rsid w:val="00691966"/>
    <w:rsid w:val="00692CC5"/>
    <w:rsid w:val="00693516"/>
    <w:rsid w:val="006949FE"/>
    <w:rsid w:val="006954BE"/>
    <w:rsid w:val="00696597"/>
    <w:rsid w:val="00696979"/>
    <w:rsid w:val="006972A1"/>
    <w:rsid w:val="006978F1"/>
    <w:rsid w:val="00697A62"/>
    <w:rsid w:val="006A0178"/>
    <w:rsid w:val="006A017B"/>
    <w:rsid w:val="006A0B87"/>
    <w:rsid w:val="006A1347"/>
    <w:rsid w:val="006A165D"/>
    <w:rsid w:val="006A1CD3"/>
    <w:rsid w:val="006A2313"/>
    <w:rsid w:val="006A2B6A"/>
    <w:rsid w:val="006A2F15"/>
    <w:rsid w:val="006A2F93"/>
    <w:rsid w:val="006A32DD"/>
    <w:rsid w:val="006A3308"/>
    <w:rsid w:val="006A6625"/>
    <w:rsid w:val="006A7399"/>
    <w:rsid w:val="006A74D8"/>
    <w:rsid w:val="006B0220"/>
    <w:rsid w:val="006B038E"/>
    <w:rsid w:val="006B0C2A"/>
    <w:rsid w:val="006B2745"/>
    <w:rsid w:val="006B2FEB"/>
    <w:rsid w:val="006B381E"/>
    <w:rsid w:val="006B546A"/>
    <w:rsid w:val="006B56CE"/>
    <w:rsid w:val="006B58E5"/>
    <w:rsid w:val="006B602E"/>
    <w:rsid w:val="006B6033"/>
    <w:rsid w:val="006B782C"/>
    <w:rsid w:val="006B7B61"/>
    <w:rsid w:val="006B7FC4"/>
    <w:rsid w:val="006C0862"/>
    <w:rsid w:val="006C25CB"/>
    <w:rsid w:val="006C2A11"/>
    <w:rsid w:val="006C2A4B"/>
    <w:rsid w:val="006C3606"/>
    <w:rsid w:val="006C3A93"/>
    <w:rsid w:val="006C475D"/>
    <w:rsid w:val="006C49EA"/>
    <w:rsid w:val="006C509B"/>
    <w:rsid w:val="006C5A1E"/>
    <w:rsid w:val="006C614E"/>
    <w:rsid w:val="006C66E3"/>
    <w:rsid w:val="006C671B"/>
    <w:rsid w:val="006C7650"/>
    <w:rsid w:val="006D03EF"/>
    <w:rsid w:val="006D083F"/>
    <w:rsid w:val="006D1047"/>
    <w:rsid w:val="006D144D"/>
    <w:rsid w:val="006D1601"/>
    <w:rsid w:val="006D22E1"/>
    <w:rsid w:val="006D26A5"/>
    <w:rsid w:val="006D2797"/>
    <w:rsid w:val="006D2E01"/>
    <w:rsid w:val="006D2E4C"/>
    <w:rsid w:val="006D2F05"/>
    <w:rsid w:val="006D30D8"/>
    <w:rsid w:val="006D353B"/>
    <w:rsid w:val="006D39F4"/>
    <w:rsid w:val="006D3E45"/>
    <w:rsid w:val="006D4331"/>
    <w:rsid w:val="006D436F"/>
    <w:rsid w:val="006D47A2"/>
    <w:rsid w:val="006D508F"/>
    <w:rsid w:val="006D50E0"/>
    <w:rsid w:val="006D5410"/>
    <w:rsid w:val="006D54BC"/>
    <w:rsid w:val="006D59CD"/>
    <w:rsid w:val="006D5D7A"/>
    <w:rsid w:val="006D5D89"/>
    <w:rsid w:val="006D750E"/>
    <w:rsid w:val="006D7E0B"/>
    <w:rsid w:val="006D7F76"/>
    <w:rsid w:val="006E0001"/>
    <w:rsid w:val="006E0A03"/>
    <w:rsid w:val="006E1F50"/>
    <w:rsid w:val="006E2EBA"/>
    <w:rsid w:val="006E300F"/>
    <w:rsid w:val="006E484A"/>
    <w:rsid w:val="006E4C70"/>
    <w:rsid w:val="006E57B2"/>
    <w:rsid w:val="006E5D21"/>
    <w:rsid w:val="006E60FB"/>
    <w:rsid w:val="006E62CD"/>
    <w:rsid w:val="006E6567"/>
    <w:rsid w:val="006E6573"/>
    <w:rsid w:val="006F0264"/>
    <w:rsid w:val="006F0E42"/>
    <w:rsid w:val="006F23F2"/>
    <w:rsid w:val="006F24FC"/>
    <w:rsid w:val="006F4E38"/>
    <w:rsid w:val="006F5409"/>
    <w:rsid w:val="006F6266"/>
    <w:rsid w:val="006F67A7"/>
    <w:rsid w:val="0070002B"/>
    <w:rsid w:val="007001A3"/>
    <w:rsid w:val="00700624"/>
    <w:rsid w:val="0070062B"/>
    <w:rsid w:val="00700A4B"/>
    <w:rsid w:val="00700BD9"/>
    <w:rsid w:val="00701168"/>
    <w:rsid w:val="0070128C"/>
    <w:rsid w:val="00701D57"/>
    <w:rsid w:val="00701F03"/>
    <w:rsid w:val="007027C4"/>
    <w:rsid w:val="007027EE"/>
    <w:rsid w:val="00702CE4"/>
    <w:rsid w:val="0070394C"/>
    <w:rsid w:val="00703F51"/>
    <w:rsid w:val="007042BA"/>
    <w:rsid w:val="00704B93"/>
    <w:rsid w:val="00704E43"/>
    <w:rsid w:val="00705A40"/>
    <w:rsid w:val="00705B2B"/>
    <w:rsid w:val="00706700"/>
    <w:rsid w:val="00706ECE"/>
    <w:rsid w:val="007070FA"/>
    <w:rsid w:val="00707361"/>
    <w:rsid w:val="00707707"/>
    <w:rsid w:val="00707E7D"/>
    <w:rsid w:val="00707F3B"/>
    <w:rsid w:val="007127D4"/>
    <w:rsid w:val="00713258"/>
    <w:rsid w:val="007139AC"/>
    <w:rsid w:val="00714476"/>
    <w:rsid w:val="007146A7"/>
    <w:rsid w:val="00714F3A"/>
    <w:rsid w:val="00715640"/>
    <w:rsid w:val="0071680D"/>
    <w:rsid w:val="00716A75"/>
    <w:rsid w:val="00716E5A"/>
    <w:rsid w:val="0071705A"/>
    <w:rsid w:val="00717262"/>
    <w:rsid w:val="00717CF2"/>
    <w:rsid w:val="00720E23"/>
    <w:rsid w:val="0072136C"/>
    <w:rsid w:val="0072227A"/>
    <w:rsid w:val="0072369A"/>
    <w:rsid w:val="007238BF"/>
    <w:rsid w:val="00723FF9"/>
    <w:rsid w:val="00724236"/>
    <w:rsid w:val="007248F1"/>
    <w:rsid w:val="00724B64"/>
    <w:rsid w:val="007259C2"/>
    <w:rsid w:val="00725D18"/>
    <w:rsid w:val="00726177"/>
    <w:rsid w:val="00726C12"/>
    <w:rsid w:val="007311D1"/>
    <w:rsid w:val="007316A2"/>
    <w:rsid w:val="00731CB6"/>
    <w:rsid w:val="00731CBA"/>
    <w:rsid w:val="00731FC7"/>
    <w:rsid w:val="0073281A"/>
    <w:rsid w:val="00732880"/>
    <w:rsid w:val="0073290C"/>
    <w:rsid w:val="00732A27"/>
    <w:rsid w:val="00732A6F"/>
    <w:rsid w:val="00732BC1"/>
    <w:rsid w:val="00732DEF"/>
    <w:rsid w:val="00732FB2"/>
    <w:rsid w:val="0073301D"/>
    <w:rsid w:val="007335F9"/>
    <w:rsid w:val="007340FA"/>
    <w:rsid w:val="0073462C"/>
    <w:rsid w:val="00734794"/>
    <w:rsid w:val="00734EA2"/>
    <w:rsid w:val="0073670F"/>
    <w:rsid w:val="00736969"/>
    <w:rsid w:val="00736D30"/>
    <w:rsid w:val="00736D38"/>
    <w:rsid w:val="0073706C"/>
    <w:rsid w:val="00737279"/>
    <w:rsid w:val="00737611"/>
    <w:rsid w:val="0073770D"/>
    <w:rsid w:val="007379BE"/>
    <w:rsid w:val="00737A63"/>
    <w:rsid w:val="00737EF9"/>
    <w:rsid w:val="00737F17"/>
    <w:rsid w:val="00740241"/>
    <w:rsid w:val="00740D8B"/>
    <w:rsid w:val="00742CDE"/>
    <w:rsid w:val="00742DDE"/>
    <w:rsid w:val="00742FF3"/>
    <w:rsid w:val="00743364"/>
    <w:rsid w:val="00743D30"/>
    <w:rsid w:val="0074480D"/>
    <w:rsid w:val="00744CDE"/>
    <w:rsid w:val="00745A82"/>
    <w:rsid w:val="00746A36"/>
    <w:rsid w:val="0074756C"/>
    <w:rsid w:val="00747B80"/>
    <w:rsid w:val="0075138E"/>
    <w:rsid w:val="0075146F"/>
    <w:rsid w:val="00751857"/>
    <w:rsid w:val="00751A3E"/>
    <w:rsid w:val="00752069"/>
    <w:rsid w:val="0075282D"/>
    <w:rsid w:val="007528D2"/>
    <w:rsid w:val="007531A6"/>
    <w:rsid w:val="00753668"/>
    <w:rsid w:val="00753C2D"/>
    <w:rsid w:val="00754354"/>
    <w:rsid w:val="007552BC"/>
    <w:rsid w:val="0075540F"/>
    <w:rsid w:val="00757ACE"/>
    <w:rsid w:val="00757FD1"/>
    <w:rsid w:val="00760070"/>
    <w:rsid w:val="00761033"/>
    <w:rsid w:val="0076113F"/>
    <w:rsid w:val="0076118A"/>
    <w:rsid w:val="007611D2"/>
    <w:rsid w:val="00761563"/>
    <w:rsid w:val="007618A7"/>
    <w:rsid w:val="007618FA"/>
    <w:rsid w:val="00762ACB"/>
    <w:rsid w:val="00762E01"/>
    <w:rsid w:val="00763004"/>
    <w:rsid w:val="00763018"/>
    <w:rsid w:val="007630F2"/>
    <w:rsid w:val="00763F8E"/>
    <w:rsid w:val="00764350"/>
    <w:rsid w:val="00764606"/>
    <w:rsid w:val="00764836"/>
    <w:rsid w:val="00764F0F"/>
    <w:rsid w:val="00764F24"/>
    <w:rsid w:val="00764F58"/>
    <w:rsid w:val="0076590B"/>
    <w:rsid w:val="00766000"/>
    <w:rsid w:val="00766B1E"/>
    <w:rsid w:val="00766CA8"/>
    <w:rsid w:val="007673EC"/>
    <w:rsid w:val="0076770E"/>
    <w:rsid w:val="007677A3"/>
    <w:rsid w:val="0076785B"/>
    <w:rsid w:val="00767BC4"/>
    <w:rsid w:val="00770593"/>
    <w:rsid w:val="00770844"/>
    <w:rsid w:val="00770A66"/>
    <w:rsid w:val="00771166"/>
    <w:rsid w:val="007713D8"/>
    <w:rsid w:val="00772BA3"/>
    <w:rsid w:val="0077311C"/>
    <w:rsid w:val="00773423"/>
    <w:rsid w:val="007736FE"/>
    <w:rsid w:val="007740D9"/>
    <w:rsid w:val="00774744"/>
    <w:rsid w:val="00774D18"/>
    <w:rsid w:val="007756FA"/>
    <w:rsid w:val="00775B1F"/>
    <w:rsid w:val="00776579"/>
    <w:rsid w:val="007766F7"/>
    <w:rsid w:val="00777335"/>
    <w:rsid w:val="00780263"/>
    <w:rsid w:val="00780666"/>
    <w:rsid w:val="007811A5"/>
    <w:rsid w:val="00782335"/>
    <w:rsid w:val="00782A1F"/>
    <w:rsid w:val="00782A54"/>
    <w:rsid w:val="007837ED"/>
    <w:rsid w:val="00783CCF"/>
    <w:rsid w:val="0078415F"/>
    <w:rsid w:val="00784669"/>
    <w:rsid w:val="00784B89"/>
    <w:rsid w:val="00786F95"/>
    <w:rsid w:val="007871F7"/>
    <w:rsid w:val="00787527"/>
    <w:rsid w:val="0078773D"/>
    <w:rsid w:val="00787F1B"/>
    <w:rsid w:val="007917A2"/>
    <w:rsid w:val="00791A48"/>
    <w:rsid w:val="00791B13"/>
    <w:rsid w:val="00791E49"/>
    <w:rsid w:val="00791EFD"/>
    <w:rsid w:val="007930B6"/>
    <w:rsid w:val="0079345A"/>
    <w:rsid w:val="007934E0"/>
    <w:rsid w:val="007935BB"/>
    <w:rsid w:val="00793A8E"/>
    <w:rsid w:val="007955D8"/>
    <w:rsid w:val="00796C6C"/>
    <w:rsid w:val="0079724B"/>
    <w:rsid w:val="007977E9"/>
    <w:rsid w:val="00797BAB"/>
    <w:rsid w:val="007A08A9"/>
    <w:rsid w:val="007A10CD"/>
    <w:rsid w:val="007A1FB4"/>
    <w:rsid w:val="007A3E28"/>
    <w:rsid w:val="007A43CD"/>
    <w:rsid w:val="007A49D0"/>
    <w:rsid w:val="007A5256"/>
    <w:rsid w:val="007A57A7"/>
    <w:rsid w:val="007A5FEA"/>
    <w:rsid w:val="007A6A2C"/>
    <w:rsid w:val="007A6FCC"/>
    <w:rsid w:val="007A7723"/>
    <w:rsid w:val="007B0F24"/>
    <w:rsid w:val="007B129C"/>
    <w:rsid w:val="007B179C"/>
    <w:rsid w:val="007B18D2"/>
    <w:rsid w:val="007B1FCA"/>
    <w:rsid w:val="007B28E0"/>
    <w:rsid w:val="007B2D8A"/>
    <w:rsid w:val="007B405D"/>
    <w:rsid w:val="007B7182"/>
    <w:rsid w:val="007C0399"/>
    <w:rsid w:val="007C06BB"/>
    <w:rsid w:val="007C0FC3"/>
    <w:rsid w:val="007C1262"/>
    <w:rsid w:val="007C13D8"/>
    <w:rsid w:val="007C146E"/>
    <w:rsid w:val="007C1EE2"/>
    <w:rsid w:val="007C221C"/>
    <w:rsid w:val="007C2326"/>
    <w:rsid w:val="007C2A96"/>
    <w:rsid w:val="007C3274"/>
    <w:rsid w:val="007C3D05"/>
    <w:rsid w:val="007C4CE3"/>
    <w:rsid w:val="007C6ACA"/>
    <w:rsid w:val="007C6B84"/>
    <w:rsid w:val="007C6C1D"/>
    <w:rsid w:val="007C785B"/>
    <w:rsid w:val="007C7F3A"/>
    <w:rsid w:val="007D01BA"/>
    <w:rsid w:val="007D096A"/>
    <w:rsid w:val="007D1693"/>
    <w:rsid w:val="007D1800"/>
    <w:rsid w:val="007D1CC2"/>
    <w:rsid w:val="007D1D67"/>
    <w:rsid w:val="007D1F2B"/>
    <w:rsid w:val="007D276E"/>
    <w:rsid w:val="007D2DAC"/>
    <w:rsid w:val="007D3443"/>
    <w:rsid w:val="007D3710"/>
    <w:rsid w:val="007D394B"/>
    <w:rsid w:val="007D3FC9"/>
    <w:rsid w:val="007D4B69"/>
    <w:rsid w:val="007D4F1A"/>
    <w:rsid w:val="007D5033"/>
    <w:rsid w:val="007D54C9"/>
    <w:rsid w:val="007D6780"/>
    <w:rsid w:val="007D7A41"/>
    <w:rsid w:val="007E066C"/>
    <w:rsid w:val="007E14EC"/>
    <w:rsid w:val="007E1573"/>
    <w:rsid w:val="007E1C62"/>
    <w:rsid w:val="007E1FFD"/>
    <w:rsid w:val="007E278F"/>
    <w:rsid w:val="007E3ABF"/>
    <w:rsid w:val="007E44F7"/>
    <w:rsid w:val="007E4CEC"/>
    <w:rsid w:val="007E55DD"/>
    <w:rsid w:val="007E59C0"/>
    <w:rsid w:val="007E600B"/>
    <w:rsid w:val="007E6223"/>
    <w:rsid w:val="007E676A"/>
    <w:rsid w:val="007E6A53"/>
    <w:rsid w:val="007E75F7"/>
    <w:rsid w:val="007E7695"/>
    <w:rsid w:val="007E76DA"/>
    <w:rsid w:val="007E79D6"/>
    <w:rsid w:val="007E7CE8"/>
    <w:rsid w:val="007F00EF"/>
    <w:rsid w:val="007F03C5"/>
    <w:rsid w:val="007F1755"/>
    <w:rsid w:val="007F21D2"/>
    <w:rsid w:val="007F344C"/>
    <w:rsid w:val="007F36F0"/>
    <w:rsid w:val="007F475D"/>
    <w:rsid w:val="007F64B9"/>
    <w:rsid w:val="007F71FD"/>
    <w:rsid w:val="007F7983"/>
    <w:rsid w:val="007F7EC4"/>
    <w:rsid w:val="007F7FEE"/>
    <w:rsid w:val="008019C8"/>
    <w:rsid w:val="00801D54"/>
    <w:rsid w:val="008022AF"/>
    <w:rsid w:val="0080258A"/>
    <w:rsid w:val="00802779"/>
    <w:rsid w:val="008027B9"/>
    <w:rsid w:val="00802997"/>
    <w:rsid w:val="00803246"/>
    <w:rsid w:val="00803402"/>
    <w:rsid w:val="008038D6"/>
    <w:rsid w:val="00805253"/>
    <w:rsid w:val="008054C1"/>
    <w:rsid w:val="00807097"/>
    <w:rsid w:val="008070CD"/>
    <w:rsid w:val="00807615"/>
    <w:rsid w:val="008103CF"/>
    <w:rsid w:val="00810C4A"/>
    <w:rsid w:val="00810D98"/>
    <w:rsid w:val="00811234"/>
    <w:rsid w:val="00812477"/>
    <w:rsid w:val="0081276D"/>
    <w:rsid w:val="00812E16"/>
    <w:rsid w:val="00813B8A"/>
    <w:rsid w:val="00813E8E"/>
    <w:rsid w:val="00814119"/>
    <w:rsid w:val="0081418C"/>
    <w:rsid w:val="008150D5"/>
    <w:rsid w:val="00815B34"/>
    <w:rsid w:val="0081648E"/>
    <w:rsid w:val="008164F9"/>
    <w:rsid w:val="00816A73"/>
    <w:rsid w:val="00816F26"/>
    <w:rsid w:val="00816FAB"/>
    <w:rsid w:val="008173E5"/>
    <w:rsid w:val="0082481C"/>
    <w:rsid w:val="00824B76"/>
    <w:rsid w:val="0082516B"/>
    <w:rsid w:val="00825324"/>
    <w:rsid w:val="0082552F"/>
    <w:rsid w:val="00825FE1"/>
    <w:rsid w:val="00827881"/>
    <w:rsid w:val="008278AE"/>
    <w:rsid w:val="008300ED"/>
    <w:rsid w:val="008301BD"/>
    <w:rsid w:val="00830597"/>
    <w:rsid w:val="008305EB"/>
    <w:rsid w:val="00831546"/>
    <w:rsid w:val="00832078"/>
    <w:rsid w:val="0083251B"/>
    <w:rsid w:val="008327AE"/>
    <w:rsid w:val="00832C55"/>
    <w:rsid w:val="00833661"/>
    <w:rsid w:val="00833901"/>
    <w:rsid w:val="008341AC"/>
    <w:rsid w:val="0083482C"/>
    <w:rsid w:val="008348D6"/>
    <w:rsid w:val="0083632F"/>
    <w:rsid w:val="008364B1"/>
    <w:rsid w:val="00836CF8"/>
    <w:rsid w:val="00841C1F"/>
    <w:rsid w:val="00841FE6"/>
    <w:rsid w:val="00842CD6"/>
    <w:rsid w:val="00842DEB"/>
    <w:rsid w:val="00842F84"/>
    <w:rsid w:val="00843261"/>
    <w:rsid w:val="008444BA"/>
    <w:rsid w:val="0084491B"/>
    <w:rsid w:val="00845A25"/>
    <w:rsid w:val="00845F92"/>
    <w:rsid w:val="00846530"/>
    <w:rsid w:val="00847469"/>
    <w:rsid w:val="008474CB"/>
    <w:rsid w:val="00847A7A"/>
    <w:rsid w:val="00847B3A"/>
    <w:rsid w:val="008509B9"/>
    <w:rsid w:val="00850AFE"/>
    <w:rsid w:val="00850D93"/>
    <w:rsid w:val="008511D9"/>
    <w:rsid w:val="008511FF"/>
    <w:rsid w:val="00851E74"/>
    <w:rsid w:val="008521CB"/>
    <w:rsid w:val="00852B36"/>
    <w:rsid w:val="00853BB1"/>
    <w:rsid w:val="00853D8A"/>
    <w:rsid w:val="0085450F"/>
    <w:rsid w:val="0085457F"/>
    <w:rsid w:val="00854D09"/>
    <w:rsid w:val="0085597A"/>
    <w:rsid w:val="008559A1"/>
    <w:rsid w:val="00855F3A"/>
    <w:rsid w:val="00856F40"/>
    <w:rsid w:val="008577D2"/>
    <w:rsid w:val="00860428"/>
    <w:rsid w:val="008619F4"/>
    <w:rsid w:val="008629D7"/>
    <w:rsid w:val="00862F95"/>
    <w:rsid w:val="00863323"/>
    <w:rsid w:val="00863D70"/>
    <w:rsid w:val="008653B3"/>
    <w:rsid w:val="00865615"/>
    <w:rsid w:val="008657BE"/>
    <w:rsid w:val="008657F6"/>
    <w:rsid w:val="00865B7D"/>
    <w:rsid w:val="00866C53"/>
    <w:rsid w:val="00867725"/>
    <w:rsid w:val="00867776"/>
    <w:rsid w:val="00867F85"/>
    <w:rsid w:val="008700F3"/>
    <w:rsid w:val="00870563"/>
    <w:rsid w:val="00870E5B"/>
    <w:rsid w:val="00871768"/>
    <w:rsid w:val="00872A30"/>
    <w:rsid w:val="00873127"/>
    <w:rsid w:val="008733B7"/>
    <w:rsid w:val="0087390D"/>
    <w:rsid w:val="008739A0"/>
    <w:rsid w:val="00873B16"/>
    <w:rsid w:val="00874424"/>
    <w:rsid w:val="008755B4"/>
    <w:rsid w:val="00876DC1"/>
    <w:rsid w:val="00877264"/>
    <w:rsid w:val="00883441"/>
    <w:rsid w:val="00883CF3"/>
    <w:rsid w:val="008842E1"/>
    <w:rsid w:val="0088495C"/>
    <w:rsid w:val="00885D31"/>
    <w:rsid w:val="008860E8"/>
    <w:rsid w:val="00886186"/>
    <w:rsid w:val="00886BC4"/>
    <w:rsid w:val="008908F7"/>
    <w:rsid w:val="0089228B"/>
    <w:rsid w:val="0089291A"/>
    <w:rsid w:val="0089338F"/>
    <w:rsid w:val="00893508"/>
    <w:rsid w:val="00893D55"/>
    <w:rsid w:val="00894104"/>
    <w:rsid w:val="00896094"/>
    <w:rsid w:val="00897D1B"/>
    <w:rsid w:val="008A0A8D"/>
    <w:rsid w:val="008A0C4D"/>
    <w:rsid w:val="008A1067"/>
    <w:rsid w:val="008A16AD"/>
    <w:rsid w:val="008A16E2"/>
    <w:rsid w:val="008A2681"/>
    <w:rsid w:val="008A2966"/>
    <w:rsid w:val="008A2B1B"/>
    <w:rsid w:val="008A32D2"/>
    <w:rsid w:val="008A42C8"/>
    <w:rsid w:val="008A44C0"/>
    <w:rsid w:val="008A44F7"/>
    <w:rsid w:val="008A4E3F"/>
    <w:rsid w:val="008A4F3A"/>
    <w:rsid w:val="008A6525"/>
    <w:rsid w:val="008A6DA5"/>
    <w:rsid w:val="008A6E53"/>
    <w:rsid w:val="008A796F"/>
    <w:rsid w:val="008B0E50"/>
    <w:rsid w:val="008B158A"/>
    <w:rsid w:val="008B2A81"/>
    <w:rsid w:val="008B308D"/>
    <w:rsid w:val="008B36EB"/>
    <w:rsid w:val="008B3883"/>
    <w:rsid w:val="008B3ED6"/>
    <w:rsid w:val="008B470C"/>
    <w:rsid w:val="008B47FB"/>
    <w:rsid w:val="008B6B52"/>
    <w:rsid w:val="008B763A"/>
    <w:rsid w:val="008B76B7"/>
    <w:rsid w:val="008B7ABB"/>
    <w:rsid w:val="008B7CDF"/>
    <w:rsid w:val="008C00E6"/>
    <w:rsid w:val="008C04C2"/>
    <w:rsid w:val="008C1008"/>
    <w:rsid w:val="008C120B"/>
    <w:rsid w:val="008C1283"/>
    <w:rsid w:val="008C1620"/>
    <w:rsid w:val="008C1FDB"/>
    <w:rsid w:val="008C25C7"/>
    <w:rsid w:val="008C2D35"/>
    <w:rsid w:val="008C3431"/>
    <w:rsid w:val="008C3B70"/>
    <w:rsid w:val="008C4612"/>
    <w:rsid w:val="008C5B17"/>
    <w:rsid w:val="008C6124"/>
    <w:rsid w:val="008C627C"/>
    <w:rsid w:val="008C6ABE"/>
    <w:rsid w:val="008C6B73"/>
    <w:rsid w:val="008C6F3D"/>
    <w:rsid w:val="008C738D"/>
    <w:rsid w:val="008C7617"/>
    <w:rsid w:val="008C78E6"/>
    <w:rsid w:val="008C7CAB"/>
    <w:rsid w:val="008D07BD"/>
    <w:rsid w:val="008D3018"/>
    <w:rsid w:val="008D3753"/>
    <w:rsid w:val="008D388E"/>
    <w:rsid w:val="008D3CB2"/>
    <w:rsid w:val="008D5747"/>
    <w:rsid w:val="008D6AAA"/>
    <w:rsid w:val="008D6D1D"/>
    <w:rsid w:val="008E0388"/>
    <w:rsid w:val="008E07E1"/>
    <w:rsid w:val="008E0E99"/>
    <w:rsid w:val="008E0E9E"/>
    <w:rsid w:val="008E1873"/>
    <w:rsid w:val="008E19B7"/>
    <w:rsid w:val="008E279B"/>
    <w:rsid w:val="008E31D3"/>
    <w:rsid w:val="008E334C"/>
    <w:rsid w:val="008E3995"/>
    <w:rsid w:val="008E41B0"/>
    <w:rsid w:val="008E4CF4"/>
    <w:rsid w:val="008E4D63"/>
    <w:rsid w:val="008E4D9B"/>
    <w:rsid w:val="008E556F"/>
    <w:rsid w:val="008E6129"/>
    <w:rsid w:val="008E6533"/>
    <w:rsid w:val="008E6FD3"/>
    <w:rsid w:val="008F01CE"/>
    <w:rsid w:val="008F05BC"/>
    <w:rsid w:val="008F13BB"/>
    <w:rsid w:val="008F18C2"/>
    <w:rsid w:val="008F1D4A"/>
    <w:rsid w:val="008F22CF"/>
    <w:rsid w:val="008F24C1"/>
    <w:rsid w:val="008F3034"/>
    <w:rsid w:val="008F3B79"/>
    <w:rsid w:val="008F3F5F"/>
    <w:rsid w:val="008F43B7"/>
    <w:rsid w:val="008F5075"/>
    <w:rsid w:val="008F573B"/>
    <w:rsid w:val="008F5D96"/>
    <w:rsid w:val="008F5E94"/>
    <w:rsid w:val="008F67BB"/>
    <w:rsid w:val="008F6D81"/>
    <w:rsid w:val="008F72E5"/>
    <w:rsid w:val="008F7C2F"/>
    <w:rsid w:val="008F7DD6"/>
    <w:rsid w:val="00900C96"/>
    <w:rsid w:val="0090150F"/>
    <w:rsid w:val="00901B72"/>
    <w:rsid w:val="00901BFD"/>
    <w:rsid w:val="00903043"/>
    <w:rsid w:val="00903D65"/>
    <w:rsid w:val="00904A71"/>
    <w:rsid w:val="00904AD2"/>
    <w:rsid w:val="00905299"/>
    <w:rsid w:val="00906CD0"/>
    <w:rsid w:val="00907901"/>
    <w:rsid w:val="00911074"/>
    <w:rsid w:val="009111A7"/>
    <w:rsid w:val="00913220"/>
    <w:rsid w:val="009136EF"/>
    <w:rsid w:val="00914610"/>
    <w:rsid w:val="009155D7"/>
    <w:rsid w:val="009156CE"/>
    <w:rsid w:val="009160B0"/>
    <w:rsid w:val="00916664"/>
    <w:rsid w:val="00917399"/>
    <w:rsid w:val="009201CF"/>
    <w:rsid w:val="009201F5"/>
    <w:rsid w:val="0092050A"/>
    <w:rsid w:val="009228FB"/>
    <w:rsid w:val="00922C18"/>
    <w:rsid w:val="0092311F"/>
    <w:rsid w:val="009236B9"/>
    <w:rsid w:val="00925CF9"/>
    <w:rsid w:val="00925D39"/>
    <w:rsid w:val="00925E32"/>
    <w:rsid w:val="009278CF"/>
    <w:rsid w:val="00930006"/>
    <w:rsid w:val="00930F62"/>
    <w:rsid w:val="00931AD3"/>
    <w:rsid w:val="00931D63"/>
    <w:rsid w:val="00931EEA"/>
    <w:rsid w:val="009345BF"/>
    <w:rsid w:val="009347B2"/>
    <w:rsid w:val="00934FB7"/>
    <w:rsid w:val="009354BC"/>
    <w:rsid w:val="00936034"/>
    <w:rsid w:val="0093616F"/>
    <w:rsid w:val="009369D5"/>
    <w:rsid w:val="00936CB5"/>
    <w:rsid w:val="00937AFB"/>
    <w:rsid w:val="00937E2D"/>
    <w:rsid w:val="00940B80"/>
    <w:rsid w:val="00940FEB"/>
    <w:rsid w:val="009413F6"/>
    <w:rsid w:val="009414D4"/>
    <w:rsid w:val="009437C0"/>
    <w:rsid w:val="009438F7"/>
    <w:rsid w:val="009450C2"/>
    <w:rsid w:val="00945176"/>
    <w:rsid w:val="00946076"/>
    <w:rsid w:val="0094679C"/>
    <w:rsid w:val="009468FA"/>
    <w:rsid w:val="0095073C"/>
    <w:rsid w:val="009507F1"/>
    <w:rsid w:val="00950B52"/>
    <w:rsid w:val="009519AB"/>
    <w:rsid w:val="00951E49"/>
    <w:rsid w:val="00952024"/>
    <w:rsid w:val="009544FE"/>
    <w:rsid w:val="00954888"/>
    <w:rsid w:val="00954947"/>
    <w:rsid w:val="00954B97"/>
    <w:rsid w:val="00955394"/>
    <w:rsid w:val="0095628E"/>
    <w:rsid w:val="00956B09"/>
    <w:rsid w:val="009579C4"/>
    <w:rsid w:val="00957E24"/>
    <w:rsid w:val="009615CB"/>
    <w:rsid w:val="009617EE"/>
    <w:rsid w:val="00961E6E"/>
    <w:rsid w:val="00962BC8"/>
    <w:rsid w:val="00962EAC"/>
    <w:rsid w:val="00963290"/>
    <w:rsid w:val="00963CDA"/>
    <w:rsid w:val="00963E9E"/>
    <w:rsid w:val="00964072"/>
    <w:rsid w:val="0096475C"/>
    <w:rsid w:val="00964C22"/>
    <w:rsid w:val="00965143"/>
    <w:rsid w:val="00965FEE"/>
    <w:rsid w:val="0096651B"/>
    <w:rsid w:val="00966B7F"/>
    <w:rsid w:val="009704F6"/>
    <w:rsid w:val="00970F9F"/>
    <w:rsid w:val="00973404"/>
    <w:rsid w:val="00974144"/>
    <w:rsid w:val="00974388"/>
    <w:rsid w:val="00974D3D"/>
    <w:rsid w:val="0097650A"/>
    <w:rsid w:val="00976E57"/>
    <w:rsid w:val="00977081"/>
    <w:rsid w:val="00977A64"/>
    <w:rsid w:val="009808B6"/>
    <w:rsid w:val="009816D3"/>
    <w:rsid w:val="0098198F"/>
    <w:rsid w:val="00982F21"/>
    <w:rsid w:val="00983207"/>
    <w:rsid w:val="0098361F"/>
    <w:rsid w:val="00983D79"/>
    <w:rsid w:val="00983E40"/>
    <w:rsid w:val="009853F1"/>
    <w:rsid w:val="009858FF"/>
    <w:rsid w:val="00985EC0"/>
    <w:rsid w:val="00985F46"/>
    <w:rsid w:val="009867FC"/>
    <w:rsid w:val="00986804"/>
    <w:rsid w:val="00987187"/>
    <w:rsid w:val="0098792E"/>
    <w:rsid w:val="00987E13"/>
    <w:rsid w:val="00991030"/>
    <w:rsid w:val="0099125C"/>
    <w:rsid w:val="0099144A"/>
    <w:rsid w:val="00991E38"/>
    <w:rsid w:val="00992D73"/>
    <w:rsid w:val="00993CD3"/>
    <w:rsid w:val="0099452F"/>
    <w:rsid w:val="00994CA8"/>
    <w:rsid w:val="00994CED"/>
    <w:rsid w:val="00995247"/>
    <w:rsid w:val="00995C1A"/>
    <w:rsid w:val="0099671F"/>
    <w:rsid w:val="009971AC"/>
    <w:rsid w:val="009978CF"/>
    <w:rsid w:val="009A00EF"/>
    <w:rsid w:val="009A03A2"/>
    <w:rsid w:val="009A0428"/>
    <w:rsid w:val="009A19EF"/>
    <w:rsid w:val="009A1B9A"/>
    <w:rsid w:val="009A241D"/>
    <w:rsid w:val="009A25AD"/>
    <w:rsid w:val="009A29E4"/>
    <w:rsid w:val="009A2F1A"/>
    <w:rsid w:val="009A3130"/>
    <w:rsid w:val="009A3D01"/>
    <w:rsid w:val="009A4127"/>
    <w:rsid w:val="009A43A7"/>
    <w:rsid w:val="009A4622"/>
    <w:rsid w:val="009A47D4"/>
    <w:rsid w:val="009A487A"/>
    <w:rsid w:val="009A5D68"/>
    <w:rsid w:val="009A5DB2"/>
    <w:rsid w:val="009A675A"/>
    <w:rsid w:val="009A6B7B"/>
    <w:rsid w:val="009A6D94"/>
    <w:rsid w:val="009A7806"/>
    <w:rsid w:val="009A7FE9"/>
    <w:rsid w:val="009B039E"/>
    <w:rsid w:val="009B0EC3"/>
    <w:rsid w:val="009B13E0"/>
    <w:rsid w:val="009B2001"/>
    <w:rsid w:val="009B2FCD"/>
    <w:rsid w:val="009B3027"/>
    <w:rsid w:val="009B3DA1"/>
    <w:rsid w:val="009B42F7"/>
    <w:rsid w:val="009B4312"/>
    <w:rsid w:val="009B4A34"/>
    <w:rsid w:val="009B52B5"/>
    <w:rsid w:val="009B5907"/>
    <w:rsid w:val="009B5D2F"/>
    <w:rsid w:val="009B610C"/>
    <w:rsid w:val="009C0F68"/>
    <w:rsid w:val="009C14D4"/>
    <w:rsid w:val="009C1E2A"/>
    <w:rsid w:val="009C22A1"/>
    <w:rsid w:val="009C2645"/>
    <w:rsid w:val="009C2A4B"/>
    <w:rsid w:val="009C3698"/>
    <w:rsid w:val="009C3BBF"/>
    <w:rsid w:val="009C462D"/>
    <w:rsid w:val="009C4F3E"/>
    <w:rsid w:val="009C534F"/>
    <w:rsid w:val="009C53FD"/>
    <w:rsid w:val="009C55F9"/>
    <w:rsid w:val="009C561A"/>
    <w:rsid w:val="009C5BC5"/>
    <w:rsid w:val="009C5C80"/>
    <w:rsid w:val="009C5E9E"/>
    <w:rsid w:val="009C6457"/>
    <w:rsid w:val="009C6FE6"/>
    <w:rsid w:val="009C713F"/>
    <w:rsid w:val="009C72B9"/>
    <w:rsid w:val="009C7513"/>
    <w:rsid w:val="009C7FA4"/>
    <w:rsid w:val="009D09C9"/>
    <w:rsid w:val="009D1739"/>
    <w:rsid w:val="009D450F"/>
    <w:rsid w:val="009D48B6"/>
    <w:rsid w:val="009D5A5F"/>
    <w:rsid w:val="009D6062"/>
    <w:rsid w:val="009D660B"/>
    <w:rsid w:val="009E03BF"/>
    <w:rsid w:val="009E20DF"/>
    <w:rsid w:val="009E256B"/>
    <w:rsid w:val="009E2965"/>
    <w:rsid w:val="009E372F"/>
    <w:rsid w:val="009E3E67"/>
    <w:rsid w:val="009E44EE"/>
    <w:rsid w:val="009E49CC"/>
    <w:rsid w:val="009E4FFF"/>
    <w:rsid w:val="009E5231"/>
    <w:rsid w:val="009E5286"/>
    <w:rsid w:val="009E5D3D"/>
    <w:rsid w:val="009E5DF1"/>
    <w:rsid w:val="009E7955"/>
    <w:rsid w:val="009F05C2"/>
    <w:rsid w:val="009F11D9"/>
    <w:rsid w:val="009F132F"/>
    <w:rsid w:val="009F1615"/>
    <w:rsid w:val="009F1A7D"/>
    <w:rsid w:val="009F3218"/>
    <w:rsid w:val="009F3369"/>
    <w:rsid w:val="009F3B46"/>
    <w:rsid w:val="009F410A"/>
    <w:rsid w:val="009F42BB"/>
    <w:rsid w:val="009F5372"/>
    <w:rsid w:val="009F577D"/>
    <w:rsid w:val="009F63FA"/>
    <w:rsid w:val="009F7245"/>
    <w:rsid w:val="009F7C21"/>
    <w:rsid w:val="00A0041F"/>
    <w:rsid w:val="00A01F83"/>
    <w:rsid w:val="00A02456"/>
    <w:rsid w:val="00A04AC8"/>
    <w:rsid w:val="00A05D4A"/>
    <w:rsid w:val="00A05E00"/>
    <w:rsid w:val="00A068A5"/>
    <w:rsid w:val="00A073DB"/>
    <w:rsid w:val="00A074F4"/>
    <w:rsid w:val="00A076B7"/>
    <w:rsid w:val="00A07747"/>
    <w:rsid w:val="00A07F77"/>
    <w:rsid w:val="00A11196"/>
    <w:rsid w:val="00A115AF"/>
    <w:rsid w:val="00A12600"/>
    <w:rsid w:val="00A12D09"/>
    <w:rsid w:val="00A14C43"/>
    <w:rsid w:val="00A15D21"/>
    <w:rsid w:val="00A15D9C"/>
    <w:rsid w:val="00A171C5"/>
    <w:rsid w:val="00A17388"/>
    <w:rsid w:val="00A17498"/>
    <w:rsid w:val="00A174D1"/>
    <w:rsid w:val="00A20D15"/>
    <w:rsid w:val="00A2161D"/>
    <w:rsid w:val="00A219FD"/>
    <w:rsid w:val="00A21BE1"/>
    <w:rsid w:val="00A21C9D"/>
    <w:rsid w:val="00A21D18"/>
    <w:rsid w:val="00A21EBD"/>
    <w:rsid w:val="00A22F9C"/>
    <w:rsid w:val="00A23952"/>
    <w:rsid w:val="00A23AC8"/>
    <w:rsid w:val="00A24642"/>
    <w:rsid w:val="00A24A45"/>
    <w:rsid w:val="00A25002"/>
    <w:rsid w:val="00A25A4B"/>
    <w:rsid w:val="00A26563"/>
    <w:rsid w:val="00A269C4"/>
    <w:rsid w:val="00A2702F"/>
    <w:rsid w:val="00A2748D"/>
    <w:rsid w:val="00A2754E"/>
    <w:rsid w:val="00A27A77"/>
    <w:rsid w:val="00A30B2D"/>
    <w:rsid w:val="00A30D7D"/>
    <w:rsid w:val="00A30FF9"/>
    <w:rsid w:val="00A3101D"/>
    <w:rsid w:val="00A313C2"/>
    <w:rsid w:val="00A321E9"/>
    <w:rsid w:val="00A32DB9"/>
    <w:rsid w:val="00A33EE8"/>
    <w:rsid w:val="00A346CE"/>
    <w:rsid w:val="00A34E50"/>
    <w:rsid w:val="00A35DDD"/>
    <w:rsid w:val="00A36A36"/>
    <w:rsid w:val="00A375C1"/>
    <w:rsid w:val="00A37B4D"/>
    <w:rsid w:val="00A40A40"/>
    <w:rsid w:val="00A40C68"/>
    <w:rsid w:val="00A40CF5"/>
    <w:rsid w:val="00A41EDB"/>
    <w:rsid w:val="00A41FEA"/>
    <w:rsid w:val="00A425E4"/>
    <w:rsid w:val="00A43334"/>
    <w:rsid w:val="00A434D9"/>
    <w:rsid w:val="00A437F1"/>
    <w:rsid w:val="00A43C6C"/>
    <w:rsid w:val="00A44404"/>
    <w:rsid w:val="00A44E42"/>
    <w:rsid w:val="00A46CB2"/>
    <w:rsid w:val="00A47EA1"/>
    <w:rsid w:val="00A5002E"/>
    <w:rsid w:val="00A50A60"/>
    <w:rsid w:val="00A51089"/>
    <w:rsid w:val="00A51E87"/>
    <w:rsid w:val="00A5242C"/>
    <w:rsid w:val="00A527BD"/>
    <w:rsid w:val="00A52AB7"/>
    <w:rsid w:val="00A5310F"/>
    <w:rsid w:val="00A5341B"/>
    <w:rsid w:val="00A53698"/>
    <w:rsid w:val="00A5370F"/>
    <w:rsid w:val="00A54750"/>
    <w:rsid w:val="00A54E3B"/>
    <w:rsid w:val="00A5713D"/>
    <w:rsid w:val="00A576D6"/>
    <w:rsid w:val="00A60416"/>
    <w:rsid w:val="00A6063E"/>
    <w:rsid w:val="00A610FA"/>
    <w:rsid w:val="00A611B6"/>
    <w:rsid w:val="00A61D3A"/>
    <w:rsid w:val="00A6345D"/>
    <w:rsid w:val="00A636FC"/>
    <w:rsid w:val="00A6419A"/>
    <w:rsid w:val="00A645E3"/>
    <w:rsid w:val="00A6575F"/>
    <w:rsid w:val="00A65A56"/>
    <w:rsid w:val="00A66606"/>
    <w:rsid w:val="00A671E4"/>
    <w:rsid w:val="00A674A9"/>
    <w:rsid w:val="00A67B5D"/>
    <w:rsid w:val="00A67BC4"/>
    <w:rsid w:val="00A70E99"/>
    <w:rsid w:val="00A70FA2"/>
    <w:rsid w:val="00A714E6"/>
    <w:rsid w:val="00A7163D"/>
    <w:rsid w:val="00A7171A"/>
    <w:rsid w:val="00A71F38"/>
    <w:rsid w:val="00A7286F"/>
    <w:rsid w:val="00A73387"/>
    <w:rsid w:val="00A749E2"/>
    <w:rsid w:val="00A74AAB"/>
    <w:rsid w:val="00A753ED"/>
    <w:rsid w:val="00A75617"/>
    <w:rsid w:val="00A75CE1"/>
    <w:rsid w:val="00A7681B"/>
    <w:rsid w:val="00A76C19"/>
    <w:rsid w:val="00A77D04"/>
    <w:rsid w:val="00A77D4B"/>
    <w:rsid w:val="00A80CD5"/>
    <w:rsid w:val="00A80D88"/>
    <w:rsid w:val="00A81CC0"/>
    <w:rsid w:val="00A81E43"/>
    <w:rsid w:val="00A82002"/>
    <w:rsid w:val="00A82313"/>
    <w:rsid w:val="00A82641"/>
    <w:rsid w:val="00A82A1A"/>
    <w:rsid w:val="00A82E40"/>
    <w:rsid w:val="00A82FFB"/>
    <w:rsid w:val="00A83CE4"/>
    <w:rsid w:val="00A83EE4"/>
    <w:rsid w:val="00A8431D"/>
    <w:rsid w:val="00A849B2"/>
    <w:rsid w:val="00A85206"/>
    <w:rsid w:val="00A85D4D"/>
    <w:rsid w:val="00A85F82"/>
    <w:rsid w:val="00A8631E"/>
    <w:rsid w:val="00A86573"/>
    <w:rsid w:val="00A8664D"/>
    <w:rsid w:val="00A869C5"/>
    <w:rsid w:val="00A8701F"/>
    <w:rsid w:val="00A870CA"/>
    <w:rsid w:val="00A87E18"/>
    <w:rsid w:val="00A90305"/>
    <w:rsid w:val="00A9051E"/>
    <w:rsid w:val="00A90732"/>
    <w:rsid w:val="00A90C50"/>
    <w:rsid w:val="00A917AF"/>
    <w:rsid w:val="00A9444A"/>
    <w:rsid w:val="00A95124"/>
    <w:rsid w:val="00A95B0D"/>
    <w:rsid w:val="00A95B1F"/>
    <w:rsid w:val="00A96106"/>
    <w:rsid w:val="00A96407"/>
    <w:rsid w:val="00A96951"/>
    <w:rsid w:val="00A96B3D"/>
    <w:rsid w:val="00A973FE"/>
    <w:rsid w:val="00A97447"/>
    <w:rsid w:val="00A974EE"/>
    <w:rsid w:val="00A976E0"/>
    <w:rsid w:val="00AA16E9"/>
    <w:rsid w:val="00AA181B"/>
    <w:rsid w:val="00AA1C1A"/>
    <w:rsid w:val="00AA1D48"/>
    <w:rsid w:val="00AA2146"/>
    <w:rsid w:val="00AA2EC2"/>
    <w:rsid w:val="00AA36DF"/>
    <w:rsid w:val="00AA4335"/>
    <w:rsid w:val="00AA44D6"/>
    <w:rsid w:val="00AA46B6"/>
    <w:rsid w:val="00AA490E"/>
    <w:rsid w:val="00AA4975"/>
    <w:rsid w:val="00AA4B49"/>
    <w:rsid w:val="00AA648C"/>
    <w:rsid w:val="00AA6EDA"/>
    <w:rsid w:val="00AA707C"/>
    <w:rsid w:val="00AA77F0"/>
    <w:rsid w:val="00AA7C8F"/>
    <w:rsid w:val="00AB0491"/>
    <w:rsid w:val="00AB051D"/>
    <w:rsid w:val="00AB0A20"/>
    <w:rsid w:val="00AB0A8E"/>
    <w:rsid w:val="00AB10E6"/>
    <w:rsid w:val="00AB188E"/>
    <w:rsid w:val="00AB2672"/>
    <w:rsid w:val="00AB2BCA"/>
    <w:rsid w:val="00AB4091"/>
    <w:rsid w:val="00AB48F1"/>
    <w:rsid w:val="00AB5004"/>
    <w:rsid w:val="00AB50A5"/>
    <w:rsid w:val="00AB5101"/>
    <w:rsid w:val="00AB562F"/>
    <w:rsid w:val="00AB5A7E"/>
    <w:rsid w:val="00AB6B42"/>
    <w:rsid w:val="00AB709C"/>
    <w:rsid w:val="00AB7174"/>
    <w:rsid w:val="00AB74A1"/>
    <w:rsid w:val="00AB74DA"/>
    <w:rsid w:val="00AC043B"/>
    <w:rsid w:val="00AC1123"/>
    <w:rsid w:val="00AC12D7"/>
    <w:rsid w:val="00AC1A09"/>
    <w:rsid w:val="00AC1A30"/>
    <w:rsid w:val="00AC1AB7"/>
    <w:rsid w:val="00AC1B1E"/>
    <w:rsid w:val="00AC3860"/>
    <w:rsid w:val="00AC3A2C"/>
    <w:rsid w:val="00AC4954"/>
    <w:rsid w:val="00AC51D1"/>
    <w:rsid w:val="00AC5A13"/>
    <w:rsid w:val="00AC5C2F"/>
    <w:rsid w:val="00AC5E32"/>
    <w:rsid w:val="00AC652B"/>
    <w:rsid w:val="00AC69E6"/>
    <w:rsid w:val="00AC7AA1"/>
    <w:rsid w:val="00AD071A"/>
    <w:rsid w:val="00AD2279"/>
    <w:rsid w:val="00AD2ABE"/>
    <w:rsid w:val="00AD3657"/>
    <w:rsid w:val="00AD4032"/>
    <w:rsid w:val="00AD5264"/>
    <w:rsid w:val="00AD53B6"/>
    <w:rsid w:val="00AD53FE"/>
    <w:rsid w:val="00AD55B2"/>
    <w:rsid w:val="00AD564E"/>
    <w:rsid w:val="00AD5E95"/>
    <w:rsid w:val="00AD6C2B"/>
    <w:rsid w:val="00AD6CDD"/>
    <w:rsid w:val="00AD6E57"/>
    <w:rsid w:val="00AD6EED"/>
    <w:rsid w:val="00AD7E65"/>
    <w:rsid w:val="00AE18E5"/>
    <w:rsid w:val="00AE1B64"/>
    <w:rsid w:val="00AE3603"/>
    <w:rsid w:val="00AE3B93"/>
    <w:rsid w:val="00AE3EE7"/>
    <w:rsid w:val="00AE4200"/>
    <w:rsid w:val="00AE51D7"/>
    <w:rsid w:val="00AE5355"/>
    <w:rsid w:val="00AE5633"/>
    <w:rsid w:val="00AE588D"/>
    <w:rsid w:val="00AE5FCF"/>
    <w:rsid w:val="00AE729F"/>
    <w:rsid w:val="00AF0281"/>
    <w:rsid w:val="00AF0402"/>
    <w:rsid w:val="00AF0574"/>
    <w:rsid w:val="00AF1B35"/>
    <w:rsid w:val="00AF2054"/>
    <w:rsid w:val="00AF2B7F"/>
    <w:rsid w:val="00AF2BFA"/>
    <w:rsid w:val="00AF3300"/>
    <w:rsid w:val="00AF521C"/>
    <w:rsid w:val="00AF5713"/>
    <w:rsid w:val="00AF57AF"/>
    <w:rsid w:val="00AF60E3"/>
    <w:rsid w:val="00AF63F7"/>
    <w:rsid w:val="00AF792D"/>
    <w:rsid w:val="00AF79D2"/>
    <w:rsid w:val="00AF7BCF"/>
    <w:rsid w:val="00AF7BD5"/>
    <w:rsid w:val="00B0013E"/>
    <w:rsid w:val="00B001F2"/>
    <w:rsid w:val="00B00B21"/>
    <w:rsid w:val="00B01540"/>
    <w:rsid w:val="00B01922"/>
    <w:rsid w:val="00B02A3F"/>
    <w:rsid w:val="00B02A6D"/>
    <w:rsid w:val="00B02CB1"/>
    <w:rsid w:val="00B0383F"/>
    <w:rsid w:val="00B04595"/>
    <w:rsid w:val="00B046D9"/>
    <w:rsid w:val="00B0488B"/>
    <w:rsid w:val="00B04981"/>
    <w:rsid w:val="00B04CDF"/>
    <w:rsid w:val="00B04F0C"/>
    <w:rsid w:val="00B05827"/>
    <w:rsid w:val="00B05F5A"/>
    <w:rsid w:val="00B06673"/>
    <w:rsid w:val="00B06BBD"/>
    <w:rsid w:val="00B0742A"/>
    <w:rsid w:val="00B0772F"/>
    <w:rsid w:val="00B10C4E"/>
    <w:rsid w:val="00B111E6"/>
    <w:rsid w:val="00B11233"/>
    <w:rsid w:val="00B12FA9"/>
    <w:rsid w:val="00B130B0"/>
    <w:rsid w:val="00B13D2C"/>
    <w:rsid w:val="00B1406D"/>
    <w:rsid w:val="00B143DB"/>
    <w:rsid w:val="00B16127"/>
    <w:rsid w:val="00B16822"/>
    <w:rsid w:val="00B1686D"/>
    <w:rsid w:val="00B20395"/>
    <w:rsid w:val="00B2045A"/>
    <w:rsid w:val="00B20582"/>
    <w:rsid w:val="00B2199C"/>
    <w:rsid w:val="00B220BD"/>
    <w:rsid w:val="00B22A79"/>
    <w:rsid w:val="00B22B26"/>
    <w:rsid w:val="00B22E67"/>
    <w:rsid w:val="00B23A12"/>
    <w:rsid w:val="00B23AFE"/>
    <w:rsid w:val="00B24080"/>
    <w:rsid w:val="00B24215"/>
    <w:rsid w:val="00B2551A"/>
    <w:rsid w:val="00B255E2"/>
    <w:rsid w:val="00B25AFF"/>
    <w:rsid w:val="00B26849"/>
    <w:rsid w:val="00B269B2"/>
    <w:rsid w:val="00B26A2F"/>
    <w:rsid w:val="00B2791E"/>
    <w:rsid w:val="00B27D4A"/>
    <w:rsid w:val="00B30DBC"/>
    <w:rsid w:val="00B31206"/>
    <w:rsid w:val="00B31520"/>
    <w:rsid w:val="00B31652"/>
    <w:rsid w:val="00B3420C"/>
    <w:rsid w:val="00B34556"/>
    <w:rsid w:val="00B3464B"/>
    <w:rsid w:val="00B35AAF"/>
    <w:rsid w:val="00B36C0D"/>
    <w:rsid w:val="00B37093"/>
    <w:rsid w:val="00B370BD"/>
    <w:rsid w:val="00B3768B"/>
    <w:rsid w:val="00B37E85"/>
    <w:rsid w:val="00B40070"/>
    <w:rsid w:val="00B40A60"/>
    <w:rsid w:val="00B412AF"/>
    <w:rsid w:val="00B414B1"/>
    <w:rsid w:val="00B44165"/>
    <w:rsid w:val="00B44A18"/>
    <w:rsid w:val="00B44F3F"/>
    <w:rsid w:val="00B45134"/>
    <w:rsid w:val="00B45E58"/>
    <w:rsid w:val="00B46F40"/>
    <w:rsid w:val="00B46FB8"/>
    <w:rsid w:val="00B505FF"/>
    <w:rsid w:val="00B50A1C"/>
    <w:rsid w:val="00B50CD8"/>
    <w:rsid w:val="00B50F29"/>
    <w:rsid w:val="00B51296"/>
    <w:rsid w:val="00B513A4"/>
    <w:rsid w:val="00B513A8"/>
    <w:rsid w:val="00B51ED0"/>
    <w:rsid w:val="00B52131"/>
    <w:rsid w:val="00B522BA"/>
    <w:rsid w:val="00B522F4"/>
    <w:rsid w:val="00B528C2"/>
    <w:rsid w:val="00B52E1A"/>
    <w:rsid w:val="00B53611"/>
    <w:rsid w:val="00B53795"/>
    <w:rsid w:val="00B5394A"/>
    <w:rsid w:val="00B53FED"/>
    <w:rsid w:val="00B54083"/>
    <w:rsid w:val="00B54206"/>
    <w:rsid w:val="00B54269"/>
    <w:rsid w:val="00B54451"/>
    <w:rsid w:val="00B54638"/>
    <w:rsid w:val="00B5483B"/>
    <w:rsid w:val="00B5502C"/>
    <w:rsid w:val="00B5690E"/>
    <w:rsid w:val="00B5693B"/>
    <w:rsid w:val="00B57A7A"/>
    <w:rsid w:val="00B57A95"/>
    <w:rsid w:val="00B57BFE"/>
    <w:rsid w:val="00B602B5"/>
    <w:rsid w:val="00B6058D"/>
    <w:rsid w:val="00B60DFC"/>
    <w:rsid w:val="00B61E9C"/>
    <w:rsid w:val="00B61E9E"/>
    <w:rsid w:val="00B620E3"/>
    <w:rsid w:val="00B62600"/>
    <w:rsid w:val="00B62D1B"/>
    <w:rsid w:val="00B63CB9"/>
    <w:rsid w:val="00B63D2C"/>
    <w:rsid w:val="00B6415C"/>
    <w:rsid w:val="00B642F0"/>
    <w:rsid w:val="00B644AE"/>
    <w:rsid w:val="00B64BE7"/>
    <w:rsid w:val="00B64FCF"/>
    <w:rsid w:val="00B6591E"/>
    <w:rsid w:val="00B659C7"/>
    <w:rsid w:val="00B65E4A"/>
    <w:rsid w:val="00B6611A"/>
    <w:rsid w:val="00B66452"/>
    <w:rsid w:val="00B6674E"/>
    <w:rsid w:val="00B669A0"/>
    <w:rsid w:val="00B7012C"/>
    <w:rsid w:val="00B7122F"/>
    <w:rsid w:val="00B71C98"/>
    <w:rsid w:val="00B75284"/>
    <w:rsid w:val="00B75877"/>
    <w:rsid w:val="00B75A94"/>
    <w:rsid w:val="00B767B2"/>
    <w:rsid w:val="00B7785C"/>
    <w:rsid w:val="00B77D40"/>
    <w:rsid w:val="00B80647"/>
    <w:rsid w:val="00B80899"/>
    <w:rsid w:val="00B808CA"/>
    <w:rsid w:val="00B81932"/>
    <w:rsid w:val="00B81D90"/>
    <w:rsid w:val="00B81E07"/>
    <w:rsid w:val="00B82CFF"/>
    <w:rsid w:val="00B8308C"/>
    <w:rsid w:val="00B833DF"/>
    <w:rsid w:val="00B8392F"/>
    <w:rsid w:val="00B83A4A"/>
    <w:rsid w:val="00B846C6"/>
    <w:rsid w:val="00B84E43"/>
    <w:rsid w:val="00B85344"/>
    <w:rsid w:val="00B853A6"/>
    <w:rsid w:val="00B866FB"/>
    <w:rsid w:val="00B86766"/>
    <w:rsid w:val="00B86CDF"/>
    <w:rsid w:val="00B87031"/>
    <w:rsid w:val="00B874F4"/>
    <w:rsid w:val="00B87B36"/>
    <w:rsid w:val="00B87F74"/>
    <w:rsid w:val="00B9018D"/>
    <w:rsid w:val="00B92886"/>
    <w:rsid w:val="00B9372F"/>
    <w:rsid w:val="00B9387C"/>
    <w:rsid w:val="00B94F3C"/>
    <w:rsid w:val="00B94F4D"/>
    <w:rsid w:val="00B954AB"/>
    <w:rsid w:val="00B95C0D"/>
    <w:rsid w:val="00B9639A"/>
    <w:rsid w:val="00B9666F"/>
    <w:rsid w:val="00B96E3C"/>
    <w:rsid w:val="00B97623"/>
    <w:rsid w:val="00B978CF"/>
    <w:rsid w:val="00B97CE2"/>
    <w:rsid w:val="00BA0337"/>
    <w:rsid w:val="00BA0F40"/>
    <w:rsid w:val="00BA1537"/>
    <w:rsid w:val="00BA1555"/>
    <w:rsid w:val="00BA34EC"/>
    <w:rsid w:val="00BA3621"/>
    <w:rsid w:val="00BA3F3F"/>
    <w:rsid w:val="00BA40E5"/>
    <w:rsid w:val="00BA4751"/>
    <w:rsid w:val="00BA5FDF"/>
    <w:rsid w:val="00BA6BDA"/>
    <w:rsid w:val="00BA7DB6"/>
    <w:rsid w:val="00BB053C"/>
    <w:rsid w:val="00BB0C67"/>
    <w:rsid w:val="00BB2B36"/>
    <w:rsid w:val="00BB57FA"/>
    <w:rsid w:val="00BB5A5E"/>
    <w:rsid w:val="00BB5DDA"/>
    <w:rsid w:val="00BB60D9"/>
    <w:rsid w:val="00BB6436"/>
    <w:rsid w:val="00BB67FA"/>
    <w:rsid w:val="00BB6A9B"/>
    <w:rsid w:val="00BB6B85"/>
    <w:rsid w:val="00BB703E"/>
    <w:rsid w:val="00BB730A"/>
    <w:rsid w:val="00BB7951"/>
    <w:rsid w:val="00BB7D31"/>
    <w:rsid w:val="00BC059E"/>
    <w:rsid w:val="00BC0ED1"/>
    <w:rsid w:val="00BC0FA2"/>
    <w:rsid w:val="00BC11D3"/>
    <w:rsid w:val="00BC218C"/>
    <w:rsid w:val="00BC2CAC"/>
    <w:rsid w:val="00BC3AF9"/>
    <w:rsid w:val="00BC3B34"/>
    <w:rsid w:val="00BC3CE9"/>
    <w:rsid w:val="00BC4BF4"/>
    <w:rsid w:val="00BC6879"/>
    <w:rsid w:val="00BC7197"/>
    <w:rsid w:val="00BC73FB"/>
    <w:rsid w:val="00BC79B2"/>
    <w:rsid w:val="00BC7D11"/>
    <w:rsid w:val="00BD09E2"/>
    <w:rsid w:val="00BD0AA9"/>
    <w:rsid w:val="00BD1FDA"/>
    <w:rsid w:val="00BD2687"/>
    <w:rsid w:val="00BD2A32"/>
    <w:rsid w:val="00BD2CBE"/>
    <w:rsid w:val="00BD3153"/>
    <w:rsid w:val="00BD3AB4"/>
    <w:rsid w:val="00BD3BD8"/>
    <w:rsid w:val="00BD3C38"/>
    <w:rsid w:val="00BD413B"/>
    <w:rsid w:val="00BD44C8"/>
    <w:rsid w:val="00BD45D0"/>
    <w:rsid w:val="00BD50CF"/>
    <w:rsid w:val="00BD5914"/>
    <w:rsid w:val="00BD5C64"/>
    <w:rsid w:val="00BD7495"/>
    <w:rsid w:val="00BD7A7B"/>
    <w:rsid w:val="00BE0C74"/>
    <w:rsid w:val="00BE1B9E"/>
    <w:rsid w:val="00BE1BB7"/>
    <w:rsid w:val="00BE1E3F"/>
    <w:rsid w:val="00BE2299"/>
    <w:rsid w:val="00BE26D1"/>
    <w:rsid w:val="00BE2D96"/>
    <w:rsid w:val="00BE499F"/>
    <w:rsid w:val="00BE4AD7"/>
    <w:rsid w:val="00BE5690"/>
    <w:rsid w:val="00BE6128"/>
    <w:rsid w:val="00BE6292"/>
    <w:rsid w:val="00BE6F20"/>
    <w:rsid w:val="00BE798A"/>
    <w:rsid w:val="00BE7A5B"/>
    <w:rsid w:val="00BE7BFF"/>
    <w:rsid w:val="00BF1278"/>
    <w:rsid w:val="00BF17EC"/>
    <w:rsid w:val="00BF1B93"/>
    <w:rsid w:val="00BF219E"/>
    <w:rsid w:val="00BF22BC"/>
    <w:rsid w:val="00BF2905"/>
    <w:rsid w:val="00BF2EB3"/>
    <w:rsid w:val="00BF3472"/>
    <w:rsid w:val="00BF34E9"/>
    <w:rsid w:val="00BF34F1"/>
    <w:rsid w:val="00BF3B54"/>
    <w:rsid w:val="00BF50AC"/>
    <w:rsid w:val="00BF515D"/>
    <w:rsid w:val="00BF5164"/>
    <w:rsid w:val="00BF5760"/>
    <w:rsid w:val="00BF5B6E"/>
    <w:rsid w:val="00BF5C3A"/>
    <w:rsid w:val="00BF5DD2"/>
    <w:rsid w:val="00BF6596"/>
    <w:rsid w:val="00BF6CE8"/>
    <w:rsid w:val="00BF7627"/>
    <w:rsid w:val="00C000F2"/>
    <w:rsid w:val="00C015F2"/>
    <w:rsid w:val="00C01668"/>
    <w:rsid w:val="00C01C15"/>
    <w:rsid w:val="00C01D73"/>
    <w:rsid w:val="00C01D77"/>
    <w:rsid w:val="00C0256E"/>
    <w:rsid w:val="00C027A7"/>
    <w:rsid w:val="00C02CFD"/>
    <w:rsid w:val="00C03367"/>
    <w:rsid w:val="00C03BF4"/>
    <w:rsid w:val="00C04835"/>
    <w:rsid w:val="00C05050"/>
    <w:rsid w:val="00C0505F"/>
    <w:rsid w:val="00C057FD"/>
    <w:rsid w:val="00C05BD1"/>
    <w:rsid w:val="00C06566"/>
    <w:rsid w:val="00C06684"/>
    <w:rsid w:val="00C06CF1"/>
    <w:rsid w:val="00C07BEA"/>
    <w:rsid w:val="00C10A90"/>
    <w:rsid w:val="00C10F96"/>
    <w:rsid w:val="00C11106"/>
    <w:rsid w:val="00C1235D"/>
    <w:rsid w:val="00C12729"/>
    <w:rsid w:val="00C12C0B"/>
    <w:rsid w:val="00C12DD6"/>
    <w:rsid w:val="00C13F4A"/>
    <w:rsid w:val="00C14424"/>
    <w:rsid w:val="00C14704"/>
    <w:rsid w:val="00C14847"/>
    <w:rsid w:val="00C14A99"/>
    <w:rsid w:val="00C15934"/>
    <w:rsid w:val="00C16106"/>
    <w:rsid w:val="00C16FEA"/>
    <w:rsid w:val="00C216DD"/>
    <w:rsid w:val="00C21BC7"/>
    <w:rsid w:val="00C22197"/>
    <w:rsid w:val="00C233BC"/>
    <w:rsid w:val="00C23799"/>
    <w:rsid w:val="00C24514"/>
    <w:rsid w:val="00C246C6"/>
    <w:rsid w:val="00C24794"/>
    <w:rsid w:val="00C25619"/>
    <w:rsid w:val="00C25CE8"/>
    <w:rsid w:val="00C26192"/>
    <w:rsid w:val="00C26237"/>
    <w:rsid w:val="00C26309"/>
    <w:rsid w:val="00C26900"/>
    <w:rsid w:val="00C26EAF"/>
    <w:rsid w:val="00C279E0"/>
    <w:rsid w:val="00C27B2B"/>
    <w:rsid w:val="00C27D77"/>
    <w:rsid w:val="00C3009B"/>
    <w:rsid w:val="00C30A8D"/>
    <w:rsid w:val="00C31018"/>
    <w:rsid w:val="00C310B4"/>
    <w:rsid w:val="00C3286B"/>
    <w:rsid w:val="00C3494F"/>
    <w:rsid w:val="00C34C94"/>
    <w:rsid w:val="00C34FC0"/>
    <w:rsid w:val="00C350D7"/>
    <w:rsid w:val="00C35AD5"/>
    <w:rsid w:val="00C360CF"/>
    <w:rsid w:val="00C363D4"/>
    <w:rsid w:val="00C377EA"/>
    <w:rsid w:val="00C37E64"/>
    <w:rsid w:val="00C41881"/>
    <w:rsid w:val="00C41902"/>
    <w:rsid w:val="00C41DED"/>
    <w:rsid w:val="00C43D2A"/>
    <w:rsid w:val="00C43EEF"/>
    <w:rsid w:val="00C447F0"/>
    <w:rsid w:val="00C44856"/>
    <w:rsid w:val="00C44D37"/>
    <w:rsid w:val="00C45361"/>
    <w:rsid w:val="00C453D3"/>
    <w:rsid w:val="00C453D6"/>
    <w:rsid w:val="00C46678"/>
    <w:rsid w:val="00C46B4D"/>
    <w:rsid w:val="00C46ED1"/>
    <w:rsid w:val="00C47309"/>
    <w:rsid w:val="00C474A4"/>
    <w:rsid w:val="00C476B5"/>
    <w:rsid w:val="00C504FF"/>
    <w:rsid w:val="00C51582"/>
    <w:rsid w:val="00C515CD"/>
    <w:rsid w:val="00C51A18"/>
    <w:rsid w:val="00C51D15"/>
    <w:rsid w:val="00C52D1E"/>
    <w:rsid w:val="00C52DB2"/>
    <w:rsid w:val="00C5364F"/>
    <w:rsid w:val="00C5409A"/>
    <w:rsid w:val="00C548AC"/>
    <w:rsid w:val="00C54DBA"/>
    <w:rsid w:val="00C5657F"/>
    <w:rsid w:val="00C56E32"/>
    <w:rsid w:val="00C5705E"/>
    <w:rsid w:val="00C57496"/>
    <w:rsid w:val="00C5749E"/>
    <w:rsid w:val="00C57CB8"/>
    <w:rsid w:val="00C57DBF"/>
    <w:rsid w:val="00C602FA"/>
    <w:rsid w:val="00C603E6"/>
    <w:rsid w:val="00C60DA7"/>
    <w:rsid w:val="00C60F86"/>
    <w:rsid w:val="00C61036"/>
    <w:rsid w:val="00C61372"/>
    <w:rsid w:val="00C6140C"/>
    <w:rsid w:val="00C619DA"/>
    <w:rsid w:val="00C622F5"/>
    <w:rsid w:val="00C6251D"/>
    <w:rsid w:val="00C62A29"/>
    <w:rsid w:val="00C62D3E"/>
    <w:rsid w:val="00C63371"/>
    <w:rsid w:val="00C6356B"/>
    <w:rsid w:val="00C6394E"/>
    <w:rsid w:val="00C63B21"/>
    <w:rsid w:val="00C64315"/>
    <w:rsid w:val="00C644A7"/>
    <w:rsid w:val="00C64866"/>
    <w:rsid w:val="00C65221"/>
    <w:rsid w:val="00C65418"/>
    <w:rsid w:val="00C654D9"/>
    <w:rsid w:val="00C65876"/>
    <w:rsid w:val="00C6626E"/>
    <w:rsid w:val="00C6697D"/>
    <w:rsid w:val="00C675B8"/>
    <w:rsid w:val="00C67B20"/>
    <w:rsid w:val="00C67D28"/>
    <w:rsid w:val="00C67FE0"/>
    <w:rsid w:val="00C70DBA"/>
    <w:rsid w:val="00C70ECC"/>
    <w:rsid w:val="00C72DE7"/>
    <w:rsid w:val="00C72E01"/>
    <w:rsid w:val="00C7347D"/>
    <w:rsid w:val="00C735E5"/>
    <w:rsid w:val="00C73D53"/>
    <w:rsid w:val="00C759C2"/>
    <w:rsid w:val="00C75C44"/>
    <w:rsid w:val="00C75F05"/>
    <w:rsid w:val="00C75F32"/>
    <w:rsid w:val="00C768B7"/>
    <w:rsid w:val="00C76CD9"/>
    <w:rsid w:val="00C76EF4"/>
    <w:rsid w:val="00C7718A"/>
    <w:rsid w:val="00C77552"/>
    <w:rsid w:val="00C807FA"/>
    <w:rsid w:val="00C8122D"/>
    <w:rsid w:val="00C814D6"/>
    <w:rsid w:val="00C81B85"/>
    <w:rsid w:val="00C81DFE"/>
    <w:rsid w:val="00C82068"/>
    <w:rsid w:val="00C82EAF"/>
    <w:rsid w:val="00C8482D"/>
    <w:rsid w:val="00C85405"/>
    <w:rsid w:val="00C85545"/>
    <w:rsid w:val="00C85D86"/>
    <w:rsid w:val="00C86739"/>
    <w:rsid w:val="00C86807"/>
    <w:rsid w:val="00C86BB5"/>
    <w:rsid w:val="00C90357"/>
    <w:rsid w:val="00C90F59"/>
    <w:rsid w:val="00C90FE3"/>
    <w:rsid w:val="00C912A6"/>
    <w:rsid w:val="00C914CE"/>
    <w:rsid w:val="00C92B38"/>
    <w:rsid w:val="00C92C95"/>
    <w:rsid w:val="00C93DFC"/>
    <w:rsid w:val="00C93F4D"/>
    <w:rsid w:val="00C94649"/>
    <w:rsid w:val="00C946C7"/>
    <w:rsid w:val="00C96B98"/>
    <w:rsid w:val="00C96BD5"/>
    <w:rsid w:val="00C96E5C"/>
    <w:rsid w:val="00C96F58"/>
    <w:rsid w:val="00CA0F5B"/>
    <w:rsid w:val="00CA16D7"/>
    <w:rsid w:val="00CA1984"/>
    <w:rsid w:val="00CA3C34"/>
    <w:rsid w:val="00CA3D34"/>
    <w:rsid w:val="00CA4331"/>
    <w:rsid w:val="00CA4875"/>
    <w:rsid w:val="00CA5D26"/>
    <w:rsid w:val="00CA61C5"/>
    <w:rsid w:val="00CA71FA"/>
    <w:rsid w:val="00CA753E"/>
    <w:rsid w:val="00CA7BB6"/>
    <w:rsid w:val="00CA7FEF"/>
    <w:rsid w:val="00CB00E4"/>
    <w:rsid w:val="00CB236D"/>
    <w:rsid w:val="00CB29BF"/>
    <w:rsid w:val="00CB2F40"/>
    <w:rsid w:val="00CB35BE"/>
    <w:rsid w:val="00CB54E4"/>
    <w:rsid w:val="00CB59B4"/>
    <w:rsid w:val="00CB5E78"/>
    <w:rsid w:val="00CB5F1C"/>
    <w:rsid w:val="00CB6104"/>
    <w:rsid w:val="00CB6ADD"/>
    <w:rsid w:val="00CB78A4"/>
    <w:rsid w:val="00CC043C"/>
    <w:rsid w:val="00CC0581"/>
    <w:rsid w:val="00CC0FD0"/>
    <w:rsid w:val="00CC1193"/>
    <w:rsid w:val="00CC11A5"/>
    <w:rsid w:val="00CC1650"/>
    <w:rsid w:val="00CC1EE9"/>
    <w:rsid w:val="00CC2100"/>
    <w:rsid w:val="00CC266E"/>
    <w:rsid w:val="00CC2EE3"/>
    <w:rsid w:val="00CC390C"/>
    <w:rsid w:val="00CC3CB5"/>
    <w:rsid w:val="00CC3D68"/>
    <w:rsid w:val="00CC4088"/>
    <w:rsid w:val="00CC448F"/>
    <w:rsid w:val="00CC44C6"/>
    <w:rsid w:val="00CC4D5C"/>
    <w:rsid w:val="00CC4DC2"/>
    <w:rsid w:val="00CC4FD9"/>
    <w:rsid w:val="00CC5B12"/>
    <w:rsid w:val="00CC66C4"/>
    <w:rsid w:val="00CC6A68"/>
    <w:rsid w:val="00CC7FF1"/>
    <w:rsid w:val="00CD072A"/>
    <w:rsid w:val="00CD0835"/>
    <w:rsid w:val="00CD0895"/>
    <w:rsid w:val="00CD1D28"/>
    <w:rsid w:val="00CD232C"/>
    <w:rsid w:val="00CD2833"/>
    <w:rsid w:val="00CD28E8"/>
    <w:rsid w:val="00CD3800"/>
    <w:rsid w:val="00CD3873"/>
    <w:rsid w:val="00CD3B0A"/>
    <w:rsid w:val="00CD4766"/>
    <w:rsid w:val="00CD4EB6"/>
    <w:rsid w:val="00CD526D"/>
    <w:rsid w:val="00CD66AE"/>
    <w:rsid w:val="00CD6D37"/>
    <w:rsid w:val="00CD6DB6"/>
    <w:rsid w:val="00CD722F"/>
    <w:rsid w:val="00CE023A"/>
    <w:rsid w:val="00CE0363"/>
    <w:rsid w:val="00CE0A9C"/>
    <w:rsid w:val="00CE0CF4"/>
    <w:rsid w:val="00CE0E24"/>
    <w:rsid w:val="00CE16A3"/>
    <w:rsid w:val="00CE2135"/>
    <w:rsid w:val="00CE2487"/>
    <w:rsid w:val="00CE3126"/>
    <w:rsid w:val="00CE5883"/>
    <w:rsid w:val="00CE611E"/>
    <w:rsid w:val="00CE65AC"/>
    <w:rsid w:val="00CE66E1"/>
    <w:rsid w:val="00CE6E99"/>
    <w:rsid w:val="00CE7D7D"/>
    <w:rsid w:val="00CF09A6"/>
    <w:rsid w:val="00CF0A60"/>
    <w:rsid w:val="00CF1D03"/>
    <w:rsid w:val="00CF20A5"/>
    <w:rsid w:val="00CF28BD"/>
    <w:rsid w:val="00CF2D33"/>
    <w:rsid w:val="00CF3336"/>
    <w:rsid w:val="00CF43D7"/>
    <w:rsid w:val="00CF4F3A"/>
    <w:rsid w:val="00CF4FDC"/>
    <w:rsid w:val="00CF51E4"/>
    <w:rsid w:val="00CF5E4D"/>
    <w:rsid w:val="00CF6055"/>
    <w:rsid w:val="00CF6063"/>
    <w:rsid w:val="00CF67C4"/>
    <w:rsid w:val="00CF775B"/>
    <w:rsid w:val="00CF7CF7"/>
    <w:rsid w:val="00D006D9"/>
    <w:rsid w:val="00D00CEB"/>
    <w:rsid w:val="00D0168B"/>
    <w:rsid w:val="00D031F6"/>
    <w:rsid w:val="00D03217"/>
    <w:rsid w:val="00D03605"/>
    <w:rsid w:val="00D0388A"/>
    <w:rsid w:val="00D038FA"/>
    <w:rsid w:val="00D03ED7"/>
    <w:rsid w:val="00D043E0"/>
    <w:rsid w:val="00D0441B"/>
    <w:rsid w:val="00D04780"/>
    <w:rsid w:val="00D05253"/>
    <w:rsid w:val="00D0562F"/>
    <w:rsid w:val="00D05ED8"/>
    <w:rsid w:val="00D06DB5"/>
    <w:rsid w:val="00D073E2"/>
    <w:rsid w:val="00D075B9"/>
    <w:rsid w:val="00D076CC"/>
    <w:rsid w:val="00D07B6D"/>
    <w:rsid w:val="00D1061F"/>
    <w:rsid w:val="00D10924"/>
    <w:rsid w:val="00D11195"/>
    <w:rsid w:val="00D11394"/>
    <w:rsid w:val="00D11B35"/>
    <w:rsid w:val="00D1260F"/>
    <w:rsid w:val="00D1319C"/>
    <w:rsid w:val="00D1328F"/>
    <w:rsid w:val="00D136EE"/>
    <w:rsid w:val="00D1381B"/>
    <w:rsid w:val="00D13FBE"/>
    <w:rsid w:val="00D140CD"/>
    <w:rsid w:val="00D152AD"/>
    <w:rsid w:val="00D15526"/>
    <w:rsid w:val="00D15931"/>
    <w:rsid w:val="00D1633E"/>
    <w:rsid w:val="00D16B9E"/>
    <w:rsid w:val="00D16D3E"/>
    <w:rsid w:val="00D1730F"/>
    <w:rsid w:val="00D178A3"/>
    <w:rsid w:val="00D17BBD"/>
    <w:rsid w:val="00D17C09"/>
    <w:rsid w:val="00D200A3"/>
    <w:rsid w:val="00D2035C"/>
    <w:rsid w:val="00D218D9"/>
    <w:rsid w:val="00D21BF1"/>
    <w:rsid w:val="00D2228D"/>
    <w:rsid w:val="00D22648"/>
    <w:rsid w:val="00D227DF"/>
    <w:rsid w:val="00D227E9"/>
    <w:rsid w:val="00D22E32"/>
    <w:rsid w:val="00D233D6"/>
    <w:rsid w:val="00D25F19"/>
    <w:rsid w:val="00D26111"/>
    <w:rsid w:val="00D26FCC"/>
    <w:rsid w:val="00D2717D"/>
    <w:rsid w:val="00D2788E"/>
    <w:rsid w:val="00D27A16"/>
    <w:rsid w:val="00D307B5"/>
    <w:rsid w:val="00D30829"/>
    <w:rsid w:val="00D30B18"/>
    <w:rsid w:val="00D30E4F"/>
    <w:rsid w:val="00D30F71"/>
    <w:rsid w:val="00D31235"/>
    <w:rsid w:val="00D31ADA"/>
    <w:rsid w:val="00D31B6B"/>
    <w:rsid w:val="00D31DDF"/>
    <w:rsid w:val="00D334FC"/>
    <w:rsid w:val="00D3393E"/>
    <w:rsid w:val="00D33ADF"/>
    <w:rsid w:val="00D34B3D"/>
    <w:rsid w:val="00D35694"/>
    <w:rsid w:val="00D35BCA"/>
    <w:rsid w:val="00D362A9"/>
    <w:rsid w:val="00D364F5"/>
    <w:rsid w:val="00D3687E"/>
    <w:rsid w:val="00D36E44"/>
    <w:rsid w:val="00D37ABC"/>
    <w:rsid w:val="00D40482"/>
    <w:rsid w:val="00D407EC"/>
    <w:rsid w:val="00D40F62"/>
    <w:rsid w:val="00D42EEA"/>
    <w:rsid w:val="00D4326A"/>
    <w:rsid w:val="00D452D9"/>
    <w:rsid w:val="00D45E43"/>
    <w:rsid w:val="00D46336"/>
    <w:rsid w:val="00D46E61"/>
    <w:rsid w:val="00D4720C"/>
    <w:rsid w:val="00D47C1D"/>
    <w:rsid w:val="00D50767"/>
    <w:rsid w:val="00D51582"/>
    <w:rsid w:val="00D51CEC"/>
    <w:rsid w:val="00D529D0"/>
    <w:rsid w:val="00D52C36"/>
    <w:rsid w:val="00D534DE"/>
    <w:rsid w:val="00D53517"/>
    <w:rsid w:val="00D53547"/>
    <w:rsid w:val="00D53E94"/>
    <w:rsid w:val="00D54917"/>
    <w:rsid w:val="00D54B85"/>
    <w:rsid w:val="00D556F3"/>
    <w:rsid w:val="00D570EF"/>
    <w:rsid w:val="00D574E7"/>
    <w:rsid w:val="00D5765B"/>
    <w:rsid w:val="00D57E23"/>
    <w:rsid w:val="00D60431"/>
    <w:rsid w:val="00D60A6B"/>
    <w:rsid w:val="00D60F4A"/>
    <w:rsid w:val="00D61140"/>
    <w:rsid w:val="00D61990"/>
    <w:rsid w:val="00D62182"/>
    <w:rsid w:val="00D62D09"/>
    <w:rsid w:val="00D62E32"/>
    <w:rsid w:val="00D64BD2"/>
    <w:rsid w:val="00D6511B"/>
    <w:rsid w:val="00D65AFD"/>
    <w:rsid w:val="00D666B1"/>
    <w:rsid w:val="00D672D7"/>
    <w:rsid w:val="00D70C6F"/>
    <w:rsid w:val="00D7165A"/>
    <w:rsid w:val="00D72C8F"/>
    <w:rsid w:val="00D73B69"/>
    <w:rsid w:val="00D74441"/>
    <w:rsid w:val="00D749BB"/>
    <w:rsid w:val="00D75259"/>
    <w:rsid w:val="00D7590B"/>
    <w:rsid w:val="00D76259"/>
    <w:rsid w:val="00D7680C"/>
    <w:rsid w:val="00D76910"/>
    <w:rsid w:val="00D76D32"/>
    <w:rsid w:val="00D771A9"/>
    <w:rsid w:val="00D779E4"/>
    <w:rsid w:val="00D80082"/>
    <w:rsid w:val="00D81661"/>
    <w:rsid w:val="00D8177A"/>
    <w:rsid w:val="00D82387"/>
    <w:rsid w:val="00D83B7F"/>
    <w:rsid w:val="00D83F74"/>
    <w:rsid w:val="00D84BFA"/>
    <w:rsid w:val="00D8543E"/>
    <w:rsid w:val="00D85BE8"/>
    <w:rsid w:val="00D861C8"/>
    <w:rsid w:val="00D86AAF"/>
    <w:rsid w:val="00D86C9C"/>
    <w:rsid w:val="00D870BA"/>
    <w:rsid w:val="00D8755C"/>
    <w:rsid w:val="00D87732"/>
    <w:rsid w:val="00D877A8"/>
    <w:rsid w:val="00D9023E"/>
    <w:rsid w:val="00D9091E"/>
    <w:rsid w:val="00D90F1C"/>
    <w:rsid w:val="00D915A2"/>
    <w:rsid w:val="00D91E98"/>
    <w:rsid w:val="00D92598"/>
    <w:rsid w:val="00D92FFE"/>
    <w:rsid w:val="00D934BC"/>
    <w:rsid w:val="00D93B54"/>
    <w:rsid w:val="00D947FB"/>
    <w:rsid w:val="00D9501E"/>
    <w:rsid w:val="00D95B21"/>
    <w:rsid w:val="00D9663A"/>
    <w:rsid w:val="00D969C0"/>
    <w:rsid w:val="00D9755D"/>
    <w:rsid w:val="00D97A6C"/>
    <w:rsid w:val="00D97E93"/>
    <w:rsid w:val="00DA0612"/>
    <w:rsid w:val="00DA07C0"/>
    <w:rsid w:val="00DA1586"/>
    <w:rsid w:val="00DA18A8"/>
    <w:rsid w:val="00DA1C9C"/>
    <w:rsid w:val="00DA1CB0"/>
    <w:rsid w:val="00DA2663"/>
    <w:rsid w:val="00DA31B6"/>
    <w:rsid w:val="00DA4077"/>
    <w:rsid w:val="00DA464D"/>
    <w:rsid w:val="00DA4BED"/>
    <w:rsid w:val="00DA516E"/>
    <w:rsid w:val="00DA533C"/>
    <w:rsid w:val="00DA578E"/>
    <w:rsid w:val="00DA604D"/>
    <w:rsid w:val="00DA6237"/>
    <w:rsid w:val="00DA6F02"/>
    <w:rsid w:val="00DA7995"/>
    <w:rsid w:val="00DB068B"/>
    <w:rsid w:val="00DB0AE2"/>
    <w:rsid w:val="00DB0E84"/>
    <w:rsid w:val="00DB12FD"/>
    <w:rsid w:val="00DB1452"/>
    <w:rsid w:val="00DB15DF"/>
    <w:rsid w:val="00DB1C98"/>
    <w:rsid w:val="00DB2F70"/>
    <w:rsid w:val="00DB338C"/>
    <w:rsid w:val="00DB43D5"/>
    <w:rsid w:val="00DB4D06"/>
    <w:rsid w:val="00DB4DE9"/>
    <w:rsid w:val="00DB5961"/>
    <w:rsid w:val="00DB6E68"/>
    <w:rsid w:val="00DC01AA"/>
    <w:rsid w:val="00DC0C11"/>
    <w:rsid w:val="00DC0E12"/>
    <w:rsid w:val="00DC177C"/>
    <w:rsid w:val="00DC1888"/>
    <w:rsid w:val="00DC270C"/>
    <w:rsid w:val="00DC2E7E"/>
    <w:rsid w:val="00DC2EAE"/>
    <w:rsid w:val="00DC30F0"/>
    <w:rsid w:val="00DC436C"/>
    <w:rsid w:val="00DC45ED"/>
    <w:rsid w:val="00DC4DCC"/>
    <w:rsid w:val="00DC54F1"/>
    <w:rsid w:val="00DC5718"/>
    <w:rsid w:val="00DC602F"/>
    <w:rsid w:val="00DC6405"/>
    <w:rsid w:val="00DD0ECC"/>
    <w:rsid w:val="00DD1861"/>
    <w:rsid w:val="00DD3DDA"/>
    <w:rsid w:val="00DD4132"/>
    <w:rsid w:val="00DD54B2"/>
    <w:rsid w:val="00DD5560"/>
    <w:rsid w:val="00DD5C71"/>
    <w:rsid w:val="00DD62C9"/>
    <w:rsid w:val="00DD671A"/>
    <w:rsid w:val="00DD6A7C"/>
    <w:rsid w:val="00DD72E6"/>
    <w:rsid w:val="00DD7448"/>
    <w:rsid w:val="00DD7538"/>
    <w:rsid w:val="00DE0ACC"/>
    <w:rsid w:val="00DE0BB5"/>
    <w:rsid w:val="00DE0FA5"/>
    <w:rsid w:val="00DE3049"/>
    <w:rsid w:val="00DE4294"/>
    <w:rsid w:val="00DE493A"/>
    <w:rsid w:val="00DE60B7"/>
    <w:rsid w:val="00DE64C4"/>
    <w:rsid w:val="00DE7213"/>
    <w:rsid w:val="00DE732A"/>
    <w:rsid w:val="00DF0F8F"/>
    <w:rsid w:val="00DF100C"/>
    <w:rsid w:val="00DF2925"/>
    <w:rsid w:val="00DF5795"/>
    <w:rsid w:val="00DF65C0"/>
    <w:rsid w:val="00DF756C"/>
    <w:rsid w:val="00DF7E3B"/>
    <w:rsid w:val="00E00720"/>
    <w:rsid w:val="00E01269"/>
    <w:rsid w:val="00E013CA"/>
    <w:rsid w:val="00E01AA7"/>
    <w:rsid w:val="00E025A3"/>
    <w:rsid w:val="00E02E0D"/>
    <w:rsid w:val="00E0353E"/>
    <w:rsid w:val="00E04499"/>
    <w:rsid w:val="00E04A42"/>
    <w:rsid w:val="00E04D5B"/>
    <w:rsid w:val="00E0503E"/>
    <w:rsid w:val="00E051F4"/>
    <w:rsid w:val="00E0573F"/>
    <w:rsid w:val="00E074E6"/>
    <w:rsid w:val="00E075FF"/>
    <w:rsid w:val="00E078E6"/>
    <w:rsid w:val="00E10A56"/>
    <w:rsid w:val="00E12479"/>
    <w:rsid w:val="00E1314B"/>
    <w:rsid w:val="00E1351B"/>
    <w:rsid w:val="00E1368C"/>
    <w:rsid w:val="00E1389D"/>
    <w:rsid w:val="00E13B13"/>
    <w:rsid w:val="00E13D94"/>
    <w:rsid w:val="00E14474"/>
    <w:rsid w:val="00E1468E"/>
    <w:rsid w:val="00E14A95"/>
    <w:rsid w:val="00E14BFB"/>
    <w:rsid w:val="00E14F21"/>
    <w:rsid w:val="00E15D2C"/>
    <w:rsid w:val="00E1641F"/>
    <w:rsid w:val="00E17F58"/>
    <w:rsid w:val="00E20194"/>
    <w:rsid w:val="00E2028E"/>
    <w:rsid w:val="00E2060D"/>
    <w:rsid w:val="00E214AD"/>
    <w:rsid w:val="00E219BF"/>
    <w:rsid w:val="00E23786"/>
    <w:rsid w:val="00E23DB2"/>
    <w:rsid w:val="00E23DCF"/>
    <w:rsid w:val="00E2568A"/>
    <w:rsid w:val="00E26778"/>
    <w:rsid w:val="00E27227"/>
    <w:rsid w:val="00E273FB"/>
    <w:rsid w:val="00E277EF"/>
    <w:rsid w:val="00E30F0B"/>
    <w:rsid w:val="00E31AEA"/>
    <w:rsid w:val="00E31C7E"/>
    <w:rsid w:val="00E31E5C"/>
    <w:rsid w:val="00E3244D"/>
    <w:rsid w:val="00E332C9"/>
    <w:rsid w:val="00E34189"/>
    <w:rsid w:val="00E346CA"/>
    <w:rsid w:val="00E352BC"/>
    <w:rsid w:val="00E35FFE"/>
    <w:rsid w:val="00E36885"/>
    <w:rsid w:val="00E405D6"/>
    <w:rsid w:val="00E40A52"/>
    <w:rsid w:val="00E41155"/>
    <w:rsid w:val="00E412D9"/>
    <w:rsid w:val="00E41A11"/>
    <w:rsid w:val="00E426E6"/>
    <w:rsid w:val="00E43442"/>
    <w:rsid w:val="00E43AD7"/>
    <w:rsid w:val="00E43B48"/>
    <w:rsid w:val="00E45B67"/>
    <w:rsid w:val="00E46743"/>
    <w:rsid w:val="00E50A26"/>
    <w:rsid w:val="00E50A44"/>
    <w:rsid w:val="00E50A66"/>
    <w:rsid w:val="00E50B61"/>
    <w:rsid w:val="00E50D70"/>
    <w:rsid w:val="00E513A7"/>
    <w:rsid w:val="00E51BF9"/>
    <w:rsid w:val="00E51FDD"/>
    <w:rsid w:val="00E529FD"/>
    <w:rsid w:val="00E53298"/>
    <w:rsid w:val="00E533C3"/>
    <w:rsid w:val="00E53ED2"/>
    <w:rsid w:val="00E53FE7"/>
    <w:rsid w:val="00E56581"/>
    <w:rsid w:val="00E60D96"/>
    <w:rsid w:val="00E60E8C"/>
    <w:rsid w:val="00E61EA0"/>
    <w:rsid w:val="00E61F91"/>
    <w:rsid w:val="00E62997"/>
    <w:rsid w:val="00E62AAA"/>
    <w:rsid w:val="00E62E27"/>
    <w:rsid w:val="00E631A3"/>
    <w:rsid w:val="00E634C4"/>
    <w:rsid w:val="00E639BA"/>
    <w:rsid w:val="00E63A5C"/>
    <w:rsid w:val="00E63F33"/>
    <w:rsid w:val="00E644F2"/>
    <w:rsid w:val="00E661EC"/>
    <w:rsid w:val="00E666E4"/>
    <w:rsid w:val="00E6685E"/>
    <w:rsid w:val="00E66A2E"/>
    <w:rsid w:val="00E670D6"/>
    <w:rsid w:val="00E67AD5"/>
    <w:rsid w:val="00E67B55"/>
    <w:rsid w:val="00E67FF4"/>
    <w:rsid w:val="00E70236"/>
    <w:rsid w:val="00E70478"/>
    <w:rsid w:val="00E709EE"/>
    <w:rsid w:val="00E70EE9"/>
    <w:rsid w:val="00E7122A"/>
    <w:rsid w:val="00E74564"/>
    <w:rsid w:val="00E753B3"/>
    <w:rsid w:val="00E757E8"/>
    <w:rsid w:val="00E7662F"/>
    <w:rsid w:val="00E7686E"/>
    <w:rsid w:val="00E7702E"/>
    <w:rsid w:val="00E77424"/>
    <w:rsid w:val="00E77589"/>
    <w:rsid w:val="00E80AF4"/>
    <w:rsid w:val="00E80E64"/>
    <w:rsid w:val="00E819D8"/>
    <w:rsid w:val="00E81A8F"/>
    <w:rsid w:val="00E825D0"/>
    <w:rsid w:val="00E82E72"/>
    <w:rsid w:val="00E8364B"/>
    <w:rsid w:val="00E83EBA"/>
    <w:rsid w:val="00E83FAD"/>
    <w:rsid w:val="00E843DC"/>
    <w:rsid w:val="00E84612"/>
    <w:rsid w:val="00E8473F"/>
    <w:rsid w:val="00E84A3C"/>
    <w:rsid w:val="00E84CF1"/>
    <w:rsid w:val="00E860B3"/>
    <w:rsid w:val="00E86148"/>
    <w:rsid w:val="00E8648D"/>
    <w:rsid w:val="00E874DF"/>
    <w:rsid w:val="00E87715"/>
    <w:rsid w:val="00E90329"/>
    <w:rsid w:val="00E91231"/>
    <w:rsid w:val="00E91270"/>
    <w:rsid w:val="00E913F9"/>
    <w:rsid w:val="00E91864"/>
    <w:rsid w:val="00E918DA"/>
    <w:rsid w:val="00E91E7F"/>
    <w:rsid w:val="00E92148"/>
    <w:rsid w:val="00E92C89"/>
    <w:rsid w:val="00E92DCF"/>
    <w:rsid w:val="00E93308"/>
    <w:rsid w:val="00E93804"/>
    <w:rsid w:val="00E94E3C"/>
    <w:rsid w:val="00E95B78"/>
    <w:rsid w:val="00E95F8E"/>
    <w:rsid w:val="00E9610C"/>
    <w:rsid w:val="00E96E25"/>
    <w:rsid w:val="00E97078"/>
    <w:rsid w:val="00EA11B7"/>
    <w:rsid w:val="00EA14C7"/>
    <w:rsid w:val="00EA1E8F"/>
    <w:rsid w:val="00EA1EFA"/>
    <w:rsid w:val="00EA22B5"/>
    <w:rsid w:val="00EA23F0"/>
    <w:rsid w:val="00EA282E"/>
    <w:rsid w:val="00EA2FC7"/>
    <w:rsid w:val="00EA31B1"/>
    <w:rsid w:val="00EA3ECA"/>
    <w:rsid w:val="00EA4A55"/>
    <w:rsid w:val="00EA4D6B"/>
    <w:rsid w:val="00EA4EE2"/>
    <w:rsid w:val="00EA66A9"/>
    <w:rsid w:val="00EA6B9E"/>
    <w:rsid w:val="00EB0707"/>
    <w:rsid w:val="00EB0A3D"/>
    <w:rsid w:val="00EB0ABA"/>
    <w:rsid w:val="00EB10A1"/>
    <w:rsid w:val="00EB11AF"/>
    <w:rsid w:val="00EB2176"/>
    <w:rsid w:val="00EB278B"/>
    <w:rsid w:val="00EB2DCC"/>
    <w:rsid w:val="00EB33D0"/>
    <w:rsid w:val="00EB37DD"/>
    <w:rsid w:val="00EB3AA1"/>
    <w:rsid w:val="00EB5C44"/>
    <w:rsid w:val="00EB6877"/>
    <w:rsid w:val="00EB696D"/>
    <w:rsid w:val="00EB6A55"/>
    <w:rsid w:val="00EB6DC4"/>
    <w:rsid w:val="00EB7127"/>
    <w:rsid w:val="00EB718B"/>
    <w:rsid w:val="00EC183C"/>
    <w:rsid w:val="00EC18C4"/>
    <w:rsid w:val="00EC196C"/>
    <w:rsid w:val="00EC1B44"/>
    <w:rsid w:val="00EC1DAC"/>
    <w:rsid w:val="00EC3AF0"/>
    <w:rsid w:val="00EC3DB6"/>
    <w:rsid w:val="00EC41A9"/>
    <w:rsid w:val="00EC4444"/>
    <w:rsid w:val="00EC4845"/>
    <w:rsid w:val="00EC5043"/>
    <w:rsid w:val="00EC55B4"/>
    <w:rsid w:val="00EC6CCF"/>
    <w:rsid w:val="00ED09FE"/>
    <w:rsid w:val="00ED1431"/>
    <w:rsid w:val="00ED22AB"/>
    <w:rsid w:val="00ED260E"/>
    <w:rsid w:val="00ED2AC2"/>
    <w:rsid w:val="00ED2DE6"/>
    <w:rsid w:val="00ED3431"/>
    <w:rsid w:val="00ED4289"/>
    <w:rsid w:val="00ED42A5"/>
    <w:rsid w:val="00ED4360"/>
    <w:rsid w:val="00ED46DF"/>
    <w:rsid w:val="00ED5614"/>
    <w:rsid w:val="00ED6295"/>
    <w:rsid w:val="00ED68B0"/>
    <w:rsid w:val="00ED6F71"/>
    <w:rsid w:val="00ED75FF"/>
    <w:rsid w:val="00ED771D"/>
    <w:rsid w:val="00ED792C"/>
    <w:rsid w:val="00EE0384"/>
    <w:rsid w:val="00EE039D"/>
    <w:rsid w:val="00EE03A4"/>
    <w:rsid w:val="00EE0424"/>
    <w:rsid w:val="00EE09B5"/>
    <w:rsid w:val="00EE0C6F"/>
    <w:rsid w:val="00EE0E5D"/>
    <w:rsid w:val="00EE141C"/>
    <w:rsid w:val="00EE15C7"/>
    <w:rsid w:val="00EE173A"/>
    <w:rsid w:val="00EE1DEB"/>
    <w:rsid w:val="00EE266B"/>
    <w:rsid w:val="00EE2A78"/>
    <w:rsid w:val="00EE377D"/>
    <w:rsid w:val="00EE41F1"/>
    <w:rsid w:val="00EE4304"/>
    <w:rsid w:val="00EE43E4"/>
    <w:rsid w:val="00EE44CA"/>
    <w:rsid w:val="00EE4998"/>
    <w:rsid w:val="00EE4AC6"/>
    <w:rsid w:val="00EE4C2C"/>
    <w:rsid w:val="00EE4FB3"/>
    <w:rsid w:val="00EE5213"/>
    <w:rsid w:val="00EE553C"/>
    <w:rsid w:val="00EE66DA"/>
    <w:rsid w:val="00EE6E52"/>
    <w:rsid w:val="00EE7889"/>
    <w:rsid w:val="00EE7BD6"/>
    <w:rsid w:val="00EE7E0E"/>
    <w:rsid w:val="00EF011F"/>
    <w:rsid w:val="00EF0255"/>
    <w:rsid w:val="00EF0F94"/>
    <w:rsid w:val="00EF1915"/>
    <w:rsid w:val="00EF1DDC"/>
    <w:rsid w:val="00EF214A"/>
    <w:rsid w:val="00EF2551"/>
    <w:rsid w:val="00EF49C4"/>
    <w:rsid w:val="00EF4C54"/>
    <w:rsid w:val="00EF4F21"/>
    <w:rsid w:val="00EF51EA"/>
    <w:rsid w:val="00EF5A42"/>
    <w:rsid w:val="00EF6E1D"/>
    <w:rsid w:val="00EF730B"/>
    <w:rsid w:val="00EF75C0"/>
    <w:rsid w:val="00EF764A"/>
    <w:rsid w:val="00EF7CA3"/>
    <w:rsid w:val="00EF7FE2"/>
    <w:rsid w:val="00F02087"/>
    <w:rsid w:val="00F0245A"/>
    <w:rsid w:val="00F02637"/>
    <w:rsid w:val="00F02FFB"/>
    <w:rsid w:val="00F033A1"/>
    <w:rsid w:val="00F03C88"/>
    <w:rsid w:val="00F04467"/>
    <w:rsid w:val="00F04F95"/>
    <w:rsid w:val="00F05801"/>
    <w:rsid w:val="00F05A54"/>
    <w:rsid w:val="00F05EFC"/>
    <w:rsid w:val="00F06377"/>
    <w:rsid w:val="00F0666C"/>
    <w:rsid w:val="00F06AB0"/>
    <w:rsid w:val="00F073B1"/>
    <w:rsid w:val="00F079BB"/>
    <w:rsid w:val="00F07F0B"/>
    <w:rsid w:val="00F115BC"/>
    <w:rsid w:val="00F11609"/>
    <w:rsid w:val="00F1170B"/>
    <w:rsid w:val="00F13398"/>
    <w:rsid w:val="00F138B2"/>
    <w:rsid w:val="00F13C9D"/>
    <w:rsid w:val="00F14CAB"/>
    <w:rsid w:val="00F14D82"/>
    <w:rsid w:val="00F15005"/>
    <w:rsid w:val="00F15A66"/>
    <w:rsid w:val="00F16397"/>
    <w:rsid w:val="00F165CA"/>
    <w:rsid w:val="00F17307"/>
    <w:rsid w:val="00F17C84"/>
    <w:rsid w:val="00F20B6E"/>
    <w:rsid w:val="00F210E8"/>
    <w:rsid w:val="00F212B8"/>
    <w:rsid w:val="00F2176E"/>
    <w:rsid w:val="00F2217B"/>
    <w:rsid w:val="00F228D7"/>
    <w:rsid w:val="00F22C6C"/>
    <w:rsid w:val="00F22DD3"/>
    <w:rsid w:val="00F2463F"/>
    <w:rsid w:val="00F24F1C"/>
    <w:rsid w:val="00F2516B"/>
    <w:rsid w:val="00F257B9"/>
    <w:rsid w:val="00F2754B"/>
    <w:rsid w:val="00F27713"/>
    <w:rsid w:val="00F302D0"/>
    <w:rsid w:val="00F30FFF"/>
    <w:rsid w:val="00F32C1B"/>
    <w:rsid w:val="00F337FF"/>
    <w:rsid w:val="00F33CD3"/>
    <w:rsid w:val="00F3446A"/>
    <w:rsid w:val="00F34DE5"/>
    <w:rsid w:val="00F35191"/>
    <w:rsid w:val="00F35814"/>
    <w:rsid w:val="00F35DA6"/>
    <w:rsid w:val="00F37625"/>
    <w:rsid w:val="00F37844"/>
    <w:rsid w:val="00F403CF"/>
    <w:rsid w:val="00F405FA"/>
    <w:rsid w:val="00F41587"/>
    <w:rsid w:val="00F41765"/>
    <w:rsid w:val="00F41BE4"/>
    <w:rsid w:val="00F42BD8"/>
    <w:rsid w:val="00F42C8D"/>
    <w:rsid w:val="00F4306D"/>
    <w:rsid w:val="00F437B1"/>
    <w:rsid w:val="00F437EF"/>
    <w:rsid w:val="00F444C0"/>
    <w:rsid w:val="00F445B7"/>
    <w:rsid w:val="00F44BCB"/>
    <w:rsid w:val="00F44DE6"/>
    <w:rsid w:val="00F453DF"/>
    <w:rsid w:val="00F454E5"/>
    <w:rsid w:val="00F45EEA"/>
    <w:rsid w:val="00F45F17"/>
    <w:rsid w:val="00F46200"/>
    <w:rsid w:val="00F465D7"/>
    <w:rsid w:val="00F476D8"/>
    <w:rsid w:val="00F477B4"/>
    <w:rsid w:val="00F47C71"/>
    <w:rsid w:val="00F47CAB"/>
    <w:rsid w:val="00F50F51"/>
    <w:rsid w:val="00F51C76"/>
    <w:rsid w:val="00F52562"/>
    <w:rsid w:val="00F537F2"/>
    <w:rsid w:val="00F53AFA"/>
    <w:rsid w:val="00F5468E"/>
    <w:rsid w:val="00F55468"/>
    <w:rsid w:val="00F60ADA"/>
    <w:rsid w:val="00F611F4"/>
    <w:rsid w:val="00F617F7"/>
    <w:rsid w:val="00F61F70"/>
    <w:rsid w:val="00F62457"/>
    <w:rsid w:val="00F636F1"/>
    <w:rsid w:val="00F64C63"/>
    <w:rsid w:val="00F65E30"/>
    <w:rsid w:val="00F66017"/>
    <w:rsid w:val="00F6697C"/>
    <w:rsid w:val="00F6776C"/>
    <w:rsid w:val="00F70356"/>
    <w:rsid w:val="00F708BB"/>
    <w:rsid w:val="00F70E9C"/>
    <w:rsid w:val="00F71838"/>
    <w:rsid w:val="00F71B89"/>
    <w:rsid w:val="00F71C5C"/>
    <w:rsid w:val="00F72226"/>
    <w:rsid w:val="00F7301A"/>
    <w:rsid w:val="00F73265"/>
    <w:rsid w:val="00F73B5B"/>
    <w:rsid w:val="00F73CD2"/>
    <w:rsid w:val="00F743C9"/>
    <w:rsid w:val="00F74479"/>
    <w:rsid w:val="00F74883"/>
    <w:rsid w:val="00F74D1C"/>
    <w:rsid w:val="00F75C7B"/>
    <w:rsid w:val="00F75DF9"/>
    <w:rsid w:val="00F75FAA"/>
    <w:rsid w:val="00F764CB"/>
    <w:rsid w:val="00F766E7"/>
    <w:rsid w:val="00F76FE8"/>
    <w:rsid w:val="00F77F04"/>
    <w:rsid w:val="00F80309"/>
    <w:rsid w:val="00F80677"/>
    <w:rsid w:val="00F80B81"/>
    <w:rsid w:val="00F813F1"/>
    <w:rsid w:val="00F81752"/>
    <w:rsid w:val="00F81889"/>
    <w:rsid w:val="00F8208E"/>
    <w:rsid w:val="00F8264E"/>
    <w:rsid w:val="00F8315C"/>
    <w:rsid w:val="00F83729"/>
    <w:rsid w:val="00F83DA8"/>
    <w:rsid w:val="00F85085"/>
    <w:rsid w:val="00F85667"/>
    <w:rsid w:val="00F86014"/>
    <w:rsid w:val="00F86038"/>
    <w:rsid w:val="00F86346"/>
    <w:rsid w:val="00F865C8"/>
    <w:rsid w:val="00F868BF"/>
    <w:rsid w:val="00F86D8B"/>
    <w:rsid w:val="00F8709E"/>
    <w:rsid w:val="00F87E9F"/>
    <w:rsid w:val="00F90843"/>
    <w:rsid w:val="00F90CDB"/>
    <w:rsid w:val="00F912AE"/>
    <w:rsid w:val="00F91901"/>
    <w:rsid w:val="00F922F0"/>
    <w:rsid w:val="00F924BF"/>
    <w:rsid w:val="00F92775"/>
    <w:rsid w:val="00F92A47"/>
    <w:rsid w:val="00F92EB7"/>
    <w:rsid w:val="00F9359E"/>
    <w:rsid w:val="00F939F3"/>
    <w:rsid w:val="00F93CCE"/>
    <w:rsid w:val="00F94288"/>
    <w:rsid w:val="00F9470E"/>
    <w:rsid w:val="00F951E1"/>
    <w:rsid w:val="00F95AF4"/>
    <w:rsid w:val="00F95E12"/>
    <w:rsid w:val="00F96850"/>
    <w:rsid w:val="00F96E25"/>
    <w:rsid w:val="00FA1780"/>
    <w:rsid w:val="00FA21A9"/>
    <w:rsid w:val="00FA2A7D"/>
    <w:rsid w:val="00FA2B5B"/>
    <w:rsid w:val="00FA2E74"/>
    <w:rsid w:val="00FA312F"/>
    <w:rsid w:val="00FA36F2"/>
    <w:rsid w:val="00FA3A85"/>
    <w:rsid w:val="00FA3A95"/>
    <w:rsid w:val="00FA3B5A"/>
    <w:rsid w:val="00FA3E01"/>
    <w:rsid w:val="00FA40CB"/>
    <w:rsid w:val="00FA498E"/>
    <w:rsid w:val="00FA4C6B"/>
    <w:rsid w:val="00FA4DC8"/>
    <w:rsid w:val="00FA5886"/>
    <w:rsid w:val="00FA5BDA"/>
    <w:rsid w:val="00FA5C3D"/>
    <w:rsid w:val="00FA627E"/>
    <w:rsid w:val="00FA74B4"/>
    <w:rsid w:val="00FB17BA"/>
    <w:rsid w:val="00FB1B5F"/>
    <w:rsid w:val="00FB29F6"/>
    <w:rsid w:val="00FB3FC5"/>
    <w:rsid w:val="00FB4DA9"/>
    <w:rsid w:val="00FB5242"/>
    <w:rsid w:val="00FB5CD9"/>
    <w:rsid w:val="00FB657F"/>
    <w:rsid w:val="00FB66D5"/>
    <w:rsid w:val="00FB7DC4"/>
    <w:rsid w:val="00FC15E9"/>
    <w:rsid w:val="00FC16A7"/>
    <w:rsid w:val="00FC17AF"/>
    <w:rsid w:val="00FC1B9B"/>
    <w:rsid w:val="00FC2666"/>
    <w:rsid w:val="00FC2DFA"/>
    <w:rsid w:val="00FC312A"/>
    <w:rsid w:val="00FC3B65"/>
    <w:rsid w:val="00FC4FAD"/>
    <w:rsid w:val="00FC55D2"/>
    <w:rsid w:val="00FC64C4"/>
    <w:rsid w:val="00FC7406"/>
    <w:rsid w:val="00FC762B"/>
    <w:rsid w:val="00FC79B5"/>
    <w:rsid w:val="00FC7DD7"/>
    <w:rsid w:val="00FD06E3"/>
    <w:rsid w:val="00FD1EA9"/>
    <w:rsid w:val="00FD246A"/>
    <w:rsid w:val="00FD3A49"/>
    <w:rsid w:val="00FD401F"/>
    <w:rsid w:val="00FD48A4"/>
    <w:rsid w:val="00FD51C7"/>
    <w:rsid w:val="00FD6228"/>
    <w:rsid w:val="00FD7337"/>
    <w:rsid w:val="00FE012C"/>
    <w:rsid w:val="00FE0F79"/>
    <w:rsid w:val="00FE1056"/>
    <w:rsid w:val="00FE119E"/>
    <w:rsid w:val="00FE154D"/>
    <w:rsid w:val="00FE1E9A"/>
    <w:rsid w:val="00FE2233"/>
    <w:rsid w:val="00FE3359"/>
    <w:rsid w:val="00FE3790"/>
    <w:rsid w:val="00FE38FC"/>
    <w:rsid w:val="00FE3D53"/>
    <w:rsid w:val="00FE4167"/>
    <w:rsid w:val="00FE4FB4"/>
    <w:rsid w:val="00FE5064"/>
    <w:rsid w:val="00FE52F5"/>
    <w:rsid w:val="00FE5AF0"/>
    <w:rsid w:val="00FE61F7"/>
    <w:rsid w:val="00FE675A"/>
    <w:rsid w:val="00FE75DA"/>
    <w:rsid w:val="00FF1729"/>
    <w:rsid w:val="00FF1B27"/>
    <w:rsid w:val="00FF2EE7"/>
    <w:rsid w:val="00FF317B"/>
    <w:rsid w:val="00FF43D9"/>
    <w:rsid w:val="00FF4B30"/>
    <w:rsid w:val="00FF5420"/>
    <w:rsid w:val="00FF671D"/>
    <w:rsid w:val="00FF695C"/>
    <w:rsid w:val="3B1D4DB2"/>
    <w:rsid w:val="66F58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8DA7"/>
  <w15:chartTrackingRefBased/>
  <w15:docId w15:val="{8FD08623-733B-4ED5-8697-64439DEE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402"/>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uiPriority w:val="39"/>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243172"/>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7335F9"/>
    <w:pPr>
      <w:tabs>
        <w:tab w:val="right" w:leader="dot" w:pos="8222"/>
      </w:tabs>
      <w:spacing w:after="0" w:line="240" w:lineRule="auto"/>
      <w:ind w:left="200"/>
    </w:pPr>
    <w:rPr>
      <w:u w:val="single"/>
    </w:r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 w:type="paragraph" w:customStyle="1" w:styleId="Style5">
    <w:name w:val="Style5"/>
    <w:basedOn w:val="Normal"/>
    <w:uiPriority w:val="99"/>
    <w:rsid w:val="00A576D6"/>
    <w:pPr>
      <w:widowControl w:val="0"/>
      <w:autoSpaceDE w:val="0"/>
      <w:autoSpaceDN w:val="0"/>
      <w:adjustRightInd w:val="0"/>
      <w:spacing w:after="0" w:line="440" w:lineRule="exact"/>
      <w:jc w:val="both"/>
    </w:pPr>
    <w:rPr>
      <w:rFonts w:eastAsia="Times New Roman"/>
      <w:lang w:val="es-MX" w:eastAsia="es-MX"/>
    </w:rPr>
  </w:style>
  <w:style w:type="paragraph" w:customStyle="1" w:styleId="TEXTOLIBRE">
    <w:name w:val="TEXTO LIBRE"/>
    <w:basedOn w:val="Normal"/>
    <w:rsid w:val="00A576D6"/>
    <w:pPr>
      <w:spacing w:before="120" w:after="120" w:line="360" w:lineRule="auto"/>
      <w:ind w:firstLine="709"/>
      <w:jc w:val="both"/>
    </w:pPr>
    <w:rPr>
      <w:rFonts w:ascii="Times New Roman" w:eastAsia="Times New Roman" w:hAnsi="Times New Roman" w:cs="Times New Roman"/>
      <w:sz w:val="28"/>
      <w:lang w:val="es-ES" w:eastAsia="es-ES"/>
    </w:rPr>
  </w:style>
  <w:style w:type="paragraph" w:styleId="Textosinformato">
    <w:name w:val="Plain Text"/>
    <w:basedOn w:val="Normal"/>
    <w:link w:val="TextosinformatoCar"/>
    <w:uiPriority w:val="99"/>
    <w:semiHidden/>
    <w:unhideWhenUsed/>
    <w:rsid w:val="0023568E"/>
    <w:pPr>
      <w:spacing w:after="0" w:line="240" w:lineRule="auto"/>
    </w:pPr>
    <w:rPr>
      <w:rFonts w:ascii="Calibri" w:hAnsi="Calibri" w:cstheme="minorBidi"/>
      <w:sz w:val="22"/>
      <w:szCs w:val="21"/>
      <w:lang w:val="es-MX"/>
    </w:rPr>
  </w:style>
  <w:style w:type="character" w:customStyle="1" w:styleId="TextosinformatoCar">
    <w:name w:val="Texto sin formato Car"/>
    <w:basedOn w:val="Fuentedeprrafopredeter"/>
    <w:link w:val="Textosinformato"/>
    <w:uiPriority w:val="99"/>
    <w:semiHidden/>
    <w:rsid w:val="0023568E"/>
    <w:rPr>
      <w:rFonts w:ascii="Calibri" w:hAnsi="Calibri"/>
      <w:szCs w:val="21"/>
    </w:rPr>
  </w:style>
  <w:style w:type="character" w:customStyle="1" w:styleId="FontStyle19">
    <w:name w:val="Font Style19"/>
    <w:uiPriority w:val="99"/>
    <w:rsid w:val="0054664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718">
      <w:bodyDiv w:val="1"/>
      <w:marLeft w:val="0"/>
      <w:marRight w:val="0"/>
      <w:marTop w:val="0"/>
      <w:marBottom w:val="0"/>
      <w:divBdr>
        <w:top w:val="none" w:sz="0" w:space="0" w:color="auto"/>
        <w:left w:val="none" w:sz="0" w:space="0" w:color="auto"/>
        <w:bottom w:val="none" w:sz="0" w:space="0" w:color="auto"/>
        <w:right w:val="none" w:sz="0" w:space="0" w:color="auto"/>
      </w:divBdr>
      <w:divsChild>
        <w:div w:id="1508061950">
          <w:marLeft w:val="0"/>
          <w:marRight w:val="0"/>
          <w:marTop w:val="0"/>
          <w:marBottom w:val="0"/>
          <w:divBdr>
            <w:top w:val="none" w:sz="0" w:space="0" w:color="auto"/>
            <w:left w:val="none" w:sz="0" w:space="0" w:color="auto"/>
            <w:bottom w:val="none" w:sz="0" w:space="0" w:color="auto"/>
            <w:right w:val="none" w:sz="0" w:space="0" w:color="auto"/>
          </w:divBdr>
          <w:divsChild>
            <w:div w:id="557471179">
              <w:marLeft w:val="0"/>
              <w:marRight w:val="0"/>
              <w:marTop w:val="0"/>
              <w:marBottom w:val="0"/>
              <w:divBdr>
                <w:top w:val="none" w:sz="0" w:space="0" w:color="auto"/>
                <w:left w:val="none" w:sz="0" w:space="0" w:color="auto"/>
                <w:bottom w:val="none" w:sz="0" w:space="0" w:color="auto"/>
                <w:right w:val="none" w:sz="0" w:space="0" w:color="auto"/>
              </w:divBdr>
            </w:div>
            <w:div w:id="1902057102">
              <w:marLeft w:val="0"/>
              <w:marRight w:val="0"/>
              <w:marTop w:val="0"/>
              <w:marBottom w:val="0"/>
              <w:divBdr>
                <w:top w:val="none" w:sz="0" w:space="0" w:color="auto"/>
                <w:left w:val="none" w:sz="0" w:space="0" w:color="auto"/>
                <w:bottom w:val="none" w:sz="0" w:space="0" w:color="auto"/>
                <w:right w:val="none" w:sz="0" w:space="0" w:color="auto"/>
              </w:divBdr>
            </w:div>
          </w:divsChild>
        </w:div>
        <w:div w:id="37240459">
          <w:marLeft w:val="0"/>
          <w:marRight w:val="0"/>
          <w:marTop w:val="0"/>
          <w:marBottom w:val="0"/>
          <w:divBdr>
            <w:top w:val="none" w:sz="0" w:space="0" w:color="auto"/>
            <w:left w:val="none" w:sz="0" w:space="0" w:color="auto"/>
            <w:bottom w:val="none" w:sz="0" w:space="0" w:color="auto"/>
            <w:right w:val="none" w:sz="0" w:space="0" w:color="auto"/>
          </w:divBdr>
          <w:divsChild>
            <w:div w:id="2139251299">
              <w:marLeft w:val="0"/>
              <w:marRight w:val="0"/>
              <w:marTop w:val="0"/>
              <w:marBottom w:val="0"/>
              <w:divBdr>
                <w:top w:val="none" w:sz="0" w:space="0" w:color="auto"/>
                <w:left w:val="none" w:sz="0" w:space="0" w:color="auto"/>
                <w:bottom w:val="none" w:sz="0" w:space="0" w:color="auto"/>
                <w:right w:val="none" w:sz="0" w:space="0" w:color="auto"/>
              </w:divBdr>
              <w:divsChild>
                <w:div w:id="148600440">
                  <w:marLeft w:val="0"/>
                  <w:marRight w:val="0"/>
                  <w:marTop w:val="0"/>
                  <w:marBottom w:val="0"/>
                  <w:divBdr>
                    <w:top w:val="none" w:sz="0" w:space="0" w:color="auto"/>
                    <w:left w:val="none" w:sz="0" w:space="0" w:color="auto"/>
                    <w:bottom w:val="none" w:sz="0" w:space="0" w:color="auto"/>
                    <w:right w:val="none" w:sz="0" w:space="0" w:color="auto"/>
                  </w:divBdr>
                  <w:divsChild>
                    <w:div w:id="1316840727">
                      <w:marLeft w:val="0"/>
                      <w:marRight w:val="0"/>
                      <w:marTop w:val="0"/>
                      <w:marBottom w:val="0"/>
                      <w:divBdr>
                        <w:top w:val="none" w:sz="0" w:space="0" w:color="auto"/>
                        <w:left w:val="none" w:sz="0" w:space="0" w:color="auto"/>
                        <w:bottom w:val="none" w:sz="0" w:space="0" w:color="auto"/>
                        <w:right w:val="none" w:sz="0" w:space="0" w:color="auto"/>
                      </w:divBdr>
                    </w:div>
                    <w:div w:id="922687647">
                      <w:marLeft w:val="0"/>
                      <w:marRight w:val="0"/>
                      <w:marTop w:val="0"/>
                      <w:marBottom w:val="0"/>
                      <w:divBdr>
                        <w:top w:val="none" w:sz="0" w:space="0" w:color="auto"/>
                        <w:left w:val="none" w:sz="0" w:space="0" w:color="auto"/>
                        <w:bottom w:val="none" w:sz="0" w:space="0" w:color="auto"/>
                        <w:right w:val="none" w:sz="0" w:space="0" w:color="auto"/>
                      </w:divBdr>
                    </w:div>
                    <w:div w:id="641078823">
                      <w:marLeft w:val="0"/>
                      <w:marRight w:val="0"/>
                      <w:marTop w:val="0"/>
                      <w:marBottom w:val="0"/>
                      <w:divBdr>
                        <w:top w:val="none" w:sz="0" w:space="0" w:color="auto"/>
                        <w:left w:val="none" w:sz="0" w:space="0" w:color="auto"/>
                        <w:bottom w:val="none" w:sz="0" w:space="0" w:color="auto"/>
                        <w:right w:val="none" w:sz="0" w:space="0" w:color="auto"/>
                      </w:divBdr>
                    </w:div>
                    <w:div w:id="1384332328">
                      <w:marLeft w:val="0"/>
                      <w:marRight w:val="0"/>
                      <w:marTop w:val="0"/>
                      <w:marBottom w:val="0"/>
                      <w:divBdr>
                        <w:top w:val="none" w:sz="0" w:space="0" w:color="auto"/>
                        <w:left w:val="none" w:sz="0" w:space="0" w:color="auto"/>
                        <w:bottom w:val="none" w:sz="0" w:space="0" w:color="auto"/>
                        <w:right w:val="none" w:sz="0" w:space="0" w:color="auto"/>
                      </w:divBdr>
                    </w:div>
                    <w:div w:id="1546136817">
                      <w:marLeft w:val="0"/>
                      <w:marRight w:val="0"/>
                      <w:marTop w:val="0"/>
                      <w:marBottom w:val="0"/>
                      <w:divBdr>
                        <w:top w:val="none" w:sz="0" w:space="0" w:color="auto"/>
                        <w:left w:val="none" w:sz="0" w:space="0" w:color="auto"/>
                        <w:bottom w:val="none" w:sz="0" w:space="0" w:color="auto"/>
                        <w:right w:val="none" w:sz="0" w:space="0" w:color="auto"/>
                      </w:divBdr>
                    </w:div>
                    <w:div w:id="830214208">
                      <w:marLeft w:val="0"/>
                      <w:marRight w:val="0"/>
                      <w:marTop w:val="0"/>
                      <w:marBottom w:val="0"/>
                      <w:divBdr>
                        <w:top w:val="none" w:sz="0" w:space="0" w:color="auto"/>
                        <w:left w:val="none" w:sz="0" w:space="0" w:color="auto"/>
                        <w:bottom w:val="none" w:sz="0" w:space="0" w:color="auto"/>
                        <w:right w:val="none" w:sz="0" w:space="0" w:color="auto"/>
                      </w:divBdr>
                    </w:div>
                    <w:div w:id="100031819">
                      <w:marLeft w:val="0"/>
                      <w:marRight w:val="0"/>
                      <w:marTop w:val="0"/>
                      <w:marBottom w:val="0"/>
                      <w:divBdr>
                        <w:top w:val="none" w:sz="0" w:space="0" w:color="auto"/>
                        <w:left w:val="none" w:sz="0" w:space="0" w:color="auto"/>
                        <w:bottom w:val="none" w:sz="0" w:space="0" w:color="auto"/>
                        <w:right w:val="none" w:sz="0" w:space="0" w:color="auto"/>
                      </w:divBdr>
                    </w:div>
                    <w:div w:id="694425988">
                      <w:marLeft w:val="0"/>
                      <w:marRight w:val="0"/>
                      <w:marTop w:val="0"/>
                      <w:marBottom w:val="0"/>
                      <w:divBdr>
                        <w:top w:val="none" w:sz="0" w:space="0" w:color="auto"/>
                        <w:left w:val="none" w:sz="0" w:space="0" w:color="auto"/>
                        <w:bottom w:val="none" w:sz="0" w:space="0" w:color="auto"/>
                        <w:right w:val="none" w:sz="0" w:space="0" w:color="auto"/>
                      </w:divBdr>
                    </w:div>
                    <w:div w:id="1717046314">
                      <w:marLeft w:val="0"/>
                      <w:marRight w:val="0"/>
                      <w:marTop w:val="0"/>
                      <w:marBottom w:val="0"/>
                      <w:divBdr>
                        <w:top w:val="none" w:sz="0" w:space="0" w:color="auto"/>
                        <w:left w:val="none" w:sz="0" w:space="0" w:color="auto"/>
                        <w:bottom w:val="none" w:sz="0" w:space="0" w:color="auto"/>
                        <w:right w:val="none" w:sz="0" w:space="0" w:color="auto"/>
                      </w:divBdr>
                    </w:div>
                    <w:div w:id="975112191">
                      <w:marLeft w:val="0"/>
                      <w:marRight w:val="0"/>
                      <w:marTop w:val="0"/>
                      <w:marBottom w:val="0"/>
                      <w:divBdr>
                        <w:top w:val="none" w:sz="0" w:space="0" w:color="auto"/>
                        <w:left w:val="none" w:sz="0" w:space="0" w:color="auto"/>
                        <w:bottom w:val="none" w:sz="0" w:space="0" w:color="auto"/>
                        <w:right w:val="none" w:sz="0" w:space="0" w:color="auto"/>
                      </w:divBdr>
                    </w:div>
                    <w:div w:id="1480224188">
                      <w:marLeft w:val="0"/>
                      <w:marRight w:val="0"/>
                      <w:marTop w:val="0"/>
                      <w:marBottom w:val="0"/>
                      <w:divBdr>
                        <w:top w:val="none" w:sz="0" w:space="0" w:color="auto"/>
                        <w:left w:val="none" w:sz="0" w:space="0" w:color="auto"/>
                        <w:bottom w:val="none" w:sz="0" w:space="0" w:color="auto"/>
                        <w:right w:val="none" w:sz="0" w:space="0" w:color="auto"/>
                      </w:divBdr>
                    </w:div>
                    <w:div w:id="1987926380">
                      <w:marLeft w:val="0"/>
                      <w:marRight w:val="0"/>
                      <w:marTop w:val="0"/>
                      <w:marBottom w:val="0"/>
                      <w:divBdr>
                        <w:top w:val="none" w:sz="0" w:space="0" w:color="auto"/>
                        <w:left w:val="none" w:sz="0" w:space="0" w:color="auto"/>
                        <w:bottom w:val="none" w:sz="0" w:space="0" w:color="auto"/>
                        <w:right w:val="none" w:sz="0" w:space="0" w:color="auto"/>
                      </w:divBdr>
                    </w:div>
                    <w:div w:id="852233119">
                      <w:marLeft w:val="0"/>
                      <w:marRight w:val="0"/>
                      <w:marTop w:val="0"/>
                      <w:marBottom w:val="0"/>
                      <w:divBdr>
                        <w:top w:val="none" w:sz="0" w:space="0" w:color="auto"/>
                        <w:left w:val="none" w:sz="0" w:space="0" w:color="auto"/>
                        <w:bottom w:val="none" w:sz="0" w:space="0" w:color="auto"/>
                        <w:right w:val="none" w:sz="0" w:space="0" w:color="auto"/>
                      </w:divBdr>
                    </w:div>
                    <w:div w:id="1460034398">
                      <w:marLeft w:val="0"/>
                      <w:marRight w:val="0"/>
                      <w:marTop w:val="0"/>
                      <w:marBottom w:val="0"/>
                      <w:divBdr>
                        <w:top w:val="none" w:sz="0" w:space="0" w:color="auto"/>
                        <w:left w:val="none" w:sz="0" w:space="0" w:color="auto"/>
                        <w:bottom w:val="none" w:sz="0" w:space="0" w:color="auto"/>
                        <w:right w:val="none" w:sz="0" w:space="0" w:color="auto"/>
                      </w:divBdr>
                    </w:div>
                    <w:div w:id="1385256293">
                      <w:marLeft w:val="0"/>
                      <w:marRight w:val="0"/>
                      <w:marTop w:val="0"/>
                      <w:marBottom w:val="0"/>
                      <w:divBdr>
                        <w:top w:val="none" w:sz="0" w:space="0" w:color="auto"/>
                        <w:left w:val="none" w:sz="0" w:space="0" w:color="auto"/>
                        <w:bottom w:val="none" w:sz="0" w:space="0" w:color="auto"/>
                        <w:right w:val="none" w:sz="0" w:space="0" w:color="auto"/>
                      </w:divBdr>
                    </w:div>
                    <w:div w:id="881478697">
                      <w:marLeft w:val="0"/>
                      <w:marRight w:val="0"/>
                      <w:marTop w:val="0"/>
                      <w:marBottom w:val="0"/>
                      <w:divBdr>
                        <w:top w:val="none" w:sz="0" w:space="0" w:color="auto"/>
                        <w:left w:val="none" w:sz="0" w:space="0" w:color="auto"/>
                        <w:bottom w:val="none" w:sz="0" w:space="0" w:color="auto"/>
                        <w:right w:val="none" w:sz="0" w:space="0" w:color="auto"/>
                      </w:divBdr>
                    </w:div>
                    <w:div w:id="14880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131">
      <w:bodyDiv w:val="1"/>
      <w:marLeft w:val="0"/>
      <w:marRight w:val="0"/>
      <w:marTop w:val="0"/>
      <w:marBottom w:val="0"/>
      <w:divBdr>
        <w:top w:val="none" w:sz="0" w:space="0" w:color="auto"/>
        <w:left w:val="none" w:sz="0" w:space="0" w:color="auto"/>
        <w:bottom w:val="none" w:sz="0" w:space="0" w:color="auto"/>
        <w:right w:val="none" w:sz="0" w:space="0" w:color="auto"/>
      </w:divBdr>
    </w:div>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586617342">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852495043">
      <w:bodyDiv w:val="1"/>
      <w:marLeft w:val="0"/>
      <w:marRight w:val="0"/>
      <w:marTop w:val="0"/>
      <w:marBottom w:val="0"/>
      <w:divBdr>
        <w:top w:val="none" w:sz="0" w:space="0" w:color="auto"/>
        <w:left w:val="none" w:sz="0" w:space="0" w:color="auto"/>
        <w:bottom w:val="none" w:sz="0" w:space="0" w:color="auto"/>
        <w:right w:val="none" w:sz="0" w:space="0" w:color="auto"/>
      </w:divBdr>
    </w:div>
    <w:div w:id="875432193">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438452176">
      <w:bodyDiv w:val="1"/>
      <w:marLeft w:val="0"/>
      <w:marRight w:val="0"/>
      <w:marTop w:val="0"/>
      <w:marBottom w:val="0"/>
      <w:divBdr>
        <w:top w:val="none" w:sz="0" w:space="0" w:color="auto"/>
        <w:left w:val="none" w:sz="0" w:space="0" w:color="auto"/>
        <w:bottom w:val="none" w:sz="0" w:space="0" w:color="auto"/>
        <w:right w:val="none" w:sz="0" w:space="0" w:color="auto"/>
      </w:divBdr>
    </w:div>
    <w:div w:id="1513102197">
      <w:bodyDiv w:val="1"/>
      <w:marLeft w:val="0"/>
      <w:marRight w:val="0"/>
      <w:marTop w:val="0"/>
      <w:marBottom w:val="0"/>
      <w:divBdr>
        <w:top w:val="none" w:sz="0" w:space="0" w:color="auto"/>
        <w:left w:val="none" w:sz="0" w:space="0" w:color="auto"/>
        <w:bottom w:val="none" w:sz="0" w:space="0" w:color="auto"/>
        <w:right w:val="none" w:sz="0" w:space="0" w:color="auto"/>
      </w:divBdr>
    </w:div>
    <w:div w:id="1539902095">
      <w:bodyDiv w:val="1"/>
      <w:marLeft w:val="0"/>
      <w:marRight w:val="0"/>
      <w:marTop w:val="0"/>
      <w:marBottom w:val="0"/>
      <w:divBdr>
        <w:top w:val="none" w:sz="0" w:space="0" w:color="auto"/>
        <w:left w:val="none" w:sz="0" w:space="0" w:color="auto"/>
        <w:bottom w:val="none" w:sz="0" w:space="0" w:color="auto"/>
        <w:right w:val="none" w:sz="0" w:space="0" w:color="auto"/>
      </w:divBdr>
      <w:divsChild>
        <w:div w:id="1146628504">
          <w:marLeft w:val="0"/>
          <w:marRight w:val="0"/>
          <w:marTop w:val="0"/>
          <w:marBottom w:val="0"/>
          <w:divBdr>
            <w:top w:val="none" w:sz="0" w:space="0" w:color="auto"/>
            <w:left w:val="none" w:sz="0" w:space="0" w:color="auto"/>
            <w:bottom w:val="none" w:sz="0" w:space="0" w:color="auto"/>
            <w:right w:val="none" w:sz="0" w:space="0" w:color="auto"/>
          </w:divBdr>
          <w:divsChild>
            <w:div w:id="2095469178">
              <w:marLeft w:val="0"/>
              <w:marRight w:val="0"/>
              <w:marTop w:val="0"/>
              <w:marBottom w:val="0"/>
              <w:divBdr>
                <w:top w:val="none" w:sz="0" w:space="0" w:color="auto"/>
                <w:left w:val="none" w:sz="0" w:space="0" w:color="auto"/>
                <w:bottom w:val="none" w:sz="0" w:space="0" w:color="auto"/>
                <w:right w:val="none" w:sz="0" w:space="0" w:color="auto"/>
              </w:divBdr>
            </w:div>
            <w:div w:id="643387433">
              <w:marLeft w:val="0"/>
              <w:marRight w:val="0"/>
              <w:marTop w:val="0"/>
              <w:marBottom w:val="0"/>
              <w:divBdr>
                <w:top w:val="none" w:sz="0" w:space="0" w:color="auto"/>
                <w:left w:val="none" w:sz="0" w:space="0" w:color="auto"/>
                <w:bottom w:val="none" w:sz="0" w:space="0" w:color="auto"/>
                <w:right w:val="none" w:sz="0" w:space="0" w:color="auto"/>
              </w:divBdr>
            </w:div>
          </w:divsChild>
        </w:div>
        <w:div w:id="1798327314">
          <w:marLeft w:val="0"/>
          <w:marRight w:val="0"/>
          <w:marTop w:val="0"/>
          <w:marBottom w:val="0"/>
          <w:divBdr>
            <w:top w:val="none" w:sz="0" w:space="0" w:color="auto"/>
            <w:left w:val="none" w:sz="0" w:space="0" w:color="auto"/>
            <w:bottom w:val="none" w:sz="0" w:space="0" w:color="auto"/>
            <w:right w:val="none" w:sz="0" w:space="0" w:color="auto"/>
          </w:divBdr>
          <w:divsChild>
            <w:div w:id="126317979">
              <w:marLeft w:val="0"/>
              <w:marRight w:val="0"/>
              <w:marTop w:val="0"/>
              <w:marBottom w:val="0"/>
              <w:divBdr>
                <w:top w:val="none" w:sz="0" w:space="0" w:color="auto"/>
                <w:left w:val="none" w:sz="0" w:space="0" w:color="auto"/>
                <w:bottom w:val="none" w:sz="0" w:space="0" w:color="auto"/>
                <w:right w:val="none" w:sz="0" w:space="0" w:color="auto"/>
              </w:divBdr>
              <w:divsChild>
                <w:div w:id="203056682">
                  <w:marLeft w:val="0"/>
                  <w:marRight w:val="0"/>
                  <w:marTop w:val="0"/>
                  <w:marBottom w:val="0"/>
                  <w:divBdr>
                    <w:top w:val="none" w:sz="0" w:space="0" w:color="auto"/>
                    <w:left w:val="none" w:sz="0" w:space="0" w:color="auto"/>
                    <w:bottom w:val="none" w:sz="0" w:space="0" w:color="auto"/>
                    <w:right w:val="none" w:sz="0" w:space="0" w:color="auto"/>
                  </w:divBdr>
                  <w:divsChild>
                    <w:div w:id="1294412186">
                      <w:marLeft w:val="0"/>
                      <w:marRight w:val="0"/>
                      <w:marTop w:val="0"/>
                      <w:marBottom w:val="0"/>
                      <w:divBdr>
                        <w:top w:val="none" w:sz="0" w:space="0" w:color="auto"/>
                        <w:left w:val="none" w:sz="0" w:space="0" w:color="auto"/>
                        <w:bottom w:val="none" w:sz="0" w:space="0" w:color="auto"/>
                        <w:right w:val="none" w:sz="0" w:space="0" w:color="auto"/>
                      </w:divBdr>
                    </w:div>
                    <w:div w:id="15161319">
                      <w:marLeft w:val="0"/>
                      <w:marRight w:val="0"/>
                      <w:marTop w:val="0"/>
                      <w:marBottom w:val="0"/>
                      <w:divBdr>
                        <w:top w:val="none" w:sz="0" w:space="0" w:color="auto"/>
                        <w:left w:val="none" w:sz="0" w:space="0" w:color="auto"/>
                        <w:bottom w:val="none" w:sz="0" w:space="0" w:color="auto"/>
                        <w:right w:val="none" w:sz="0" w:space="0" w:color="auto"/>
                      </w:divBdr>
                    </w:div>
                    <w:div w:id="1818111919">
                      <w:marLeft w:val="0"/>
                      <w:marRight w:val="0"/>
                      <w:marTop w:val="0"/>
                      <w:marBottom w:val="0"/>
                      <w:divBdr>
                        <w:top w:val="none" w:sz="0" w:space="0" w:color="auto"/>
                        <w:left w:val="none" w:sz="0" w:space="0" w:color="auto"/>
                        <w:bottom w:val="none" w:sz="0" w:space="0" w:color="auto"/>
                        <w:right w:val="none" w:sz="0" w:space="0" w:color="auto"/>
                      </w:divBdr>
                    </w:div>
                    <w:div w:id="1480919872">
                      <w:marLeft w:val="0"/>
                      <w:marRight w:val="0"/>
                      <w:marTop w:val="0"/>
                      <w:marBottom w:val="0"/>
                      <w:divBdr>
                        <w:top w:val="none" w:sz="0" w:space="0" w:color="auto"/>
                        <w:left w:val="none" w:sz="0" w:space="0" w:color="auto"/>
                        <w:bottom w:val="none" w:sz="0" w:space="0" w:color="auto"/>
                        <w:right w:val="none" w:sz="0" w:space="0" w:color="auto"/>
                      </w:divBdr>
                    </w:div>
                    <w:div w:id="511648696">
                      <w:marLeft w:val="0"/>
                      <w:marRight w:val="0"/>
                      <w:marTop w:val="0"/>
                      <w:marBottom w:val="0"/>
                      <w:divBdr>
                        <w:top w:val="none" w:sz="0" w:space="0" w:color="auto"/>
                        <w:left w:val="none" w:sz="0" w:space="0" w:color="auto"/>
                        <w:bottom w:val="none" w:sz="0" w:space="0" w:color="auto"/>
                        <w:right w:val="none" w:sz="0" w:space="0" w:color="auto"/>
                      </w:divBdr>
                    </w:div>
                    <w:div w:id="1442144530">
                      <w:marLeft w:val="0"/>
                      <w:marRight w:val="0"/>
                      <w:marTop w:val="0"/>
                      <w:marBottom w:val="0"/>
                      <w:divBdr>
                        <w:top w:val="none" w:sz="0" w:space="0" w:color="auto"/>
                        <w:left w:val="none" w:sz="0" w:space="0" w:color="auto"/>
                        <w:bottom w:val="none" w:sz="0" w:space="0" w:color="auto"/>
                        <w:right w:val="none" w:sz="0" w:space="0" w:color="auto"/>
                      </w:divBdr>
                    </w:div>
                    <w:div w:id="659427853">
                      <w:marLeft w:val="0"/>
                      <w:marRight w:val="0"/>
                      <w:marTop w:val="0"/>
                      <w:marBottom w:val="0"/>
                      <w:divBdr>
                        <w:top w:val="none" w:sz="0" w:space="0" w:color="auto"/>
                        <w:left w:val="none" w:sz="0" w:space="0" w:color="auto"/>
                        <w:bottom w:val="none" w:sz="0" w:space="0" w:color="auto"/>
                        <w:right w:val="none" w:sz="0" w:space="0" w:color="auto"/>
                      </w:divBdr>
                    </w:div>
                    <w:div w:id="2112970992">
                      <w:marLeft w:val="0"/>
                      <w:marRight w:val="0"/>
                      <w:marTop w:val="0"/>
                      <w:marBottom w:val="0"/>
                      <w:divBdr>
                        <w:top w:val="none" w:sz="0" w:space="0" w:color="auto"/>
                        <w:left w:val="none" w:sz="0" w:space="0" w:color="auto"/>
                        <w:bottom w:val="none" w:sz="0" w:space="0" w:color="auto"/>
                        <w:right w:val="none" w:sz="0" w:space="0" w:color="auto"/>
                      </w:divBdr>
                    </w:div>
                    <w:div w:id="2090534683">
                      <w:marLeft w:val="0"/>
                      <w:marRight w:val="0"/>
                      <w:marTop w:val="0"/>
                      <w:marBottom w:val="0"/>
                      <w:divBdr>
                        <w:top w:val="none" w:sz="0" w:space="0" w:color="auto"/>
                        <w:left w:val="none" w:sz="0" w:space="0" w:color="auto"/>
                        <w:bottom w:val="none" w:sz="0" w:space="0" w:color="auto"/>
                        <w:right w:val="none" w:sz="0" w:space="0" w:color="auto"/>
                      </w:divBdr>
                    </w:div>
                    <w:div w:id="272172894">
                      <w:marLeft w:val="0"/>
                      <w:marRight w:val="0"/>
                      <w:marTop w:val="0"/>
                      <w:marBottom w:val="0"/>
                      <w:divBdr>
                        <w:top w:val="none" w:sz="0" w:space="0" w:color="auto"/>
                        <w:left w:val="none" w:sz="0" w:space="0" w:color="auto"/>
                        <w:bottom w:val="none" w:sz="0" w:space="0" w:color="auto"/>
                        <w:right w:val="none" w:sz="0" w:space="0" w:color="auto"/>
                      </w:divBdr>
                    </w:div>
                    <w:div w:id="923881360">
                      <w:marLeft w:val="0"/>
                      <w:marRight w:val="0"/>
                      <w:marTop w:val="0"/>
                      <w:marBottom w:val="0"/>
                      <w:divBdr>
                        <w:top w:val="none" w:sz="0" w:space="0" w:color="auto"/>
                        <w:left w:val="none" w:sz="0" w:space="0" w:color="auto"/>
                        <w:bottom w:val="none" w:sz="0" w:space="0" w:color="auto"/>
                        <w:right w:val="none" w:sz="0" w:space="0" w:color="auto"/>
                      </w:divBdr>
                    </w:div>
                    <w:div w:id="1509323367">
                      <w:marLeft w:val="0"/>
                      <w:marRight w:val="0"/>
                      <w:marTop w:val="0"/>
                      <w:marBottom w:val="0"/>
                      <w:divBdr>
                        <w:top w:val="none" w:sz="0" w:space="0" w:color="auto"/>
                        <w:left w:val="none" w:sz="0" w:space="0" w:color="auto"/>
                        <w:bottom w:val="none" w:sz="0" w:space="0" w:color="auto"/>
                        <w:right w:val="none" w:sz="0" w:space="0" w:color="auto"/>
                      </w:divBdr>
                    </w:div>
                    <w:div w:id="170027545">
                      <w:marLeft w:val="0"/>
                      <w:marRight w:val="0"/>
                      <w:marTop w:val="0"/>
                      <w:marBottom w:val="0"/>
                      <w:divBdr>
                        <w:top w:val="none" w:sz="0" w:space="0" w:color="auto"/>
                        <w:left w:val="none" w:sz="0" w:space="0" w:color="auto"/>
                        <w:bottom w:val="none" w:sz="0" w:space="0" w:color="auto"/>
                        <w:right w:val="none" w:sz="0" w:space="0" w:color="auto"/>
                      </w:divBdr>
                    </w:div>
                    <w:div w:id="1585607484">
                      <w:marLeft w:val="0"/>
                      <w:marRight w:val="0"/>
                      <w:marTop w:val="0"/>
                      <w:marBottom w:val="0"/>
                      <w:divBdr>
                        <w:top w:val="none" w:sz="0" w:space="0" w:color="auto"/>
                        <w:left w:val="none" w:sz="0" w:space="0" w:color="auto"/>
                        <w:bottom w:val="none" w:sz="0" w:space="0" w:color="auto"/>
                        <w:right w:val="none" w:sz="0" w:space="0" w:color="auto"/>
                      </w:divBdr>
                    </w:div>
                    <w:div w:id="2000617908">
                      <w:marLeft w:val="0"/>
                      <w:marRight w:val="0"/>
                      <w:marTop w:val="0"/>
                      <w:marBottom w:val="0"/>
                      <w:divBdr>
                        <w:top w:val="none" w:sz="0" w:space="0" w:color="auto"/>
                        <w:left w:val="none" w:sz="0" w:space="0" w:color="auto"/>
                        <w:bottom w:val="none" w:sz="0" w:space="0" w:color="auto"/>
                        <w:right w:val="none" w:sz="0" w:space="0" w:color="auto"/>
                      </w:divBdr>
                    </w:div>
                    <w:div w:id="1827626804">
                      <w:marLeft w:val="0"/>
                      <w:marRight w:val="0"/>
                      <w:marTop w:val="0"/>
                      <w:marBottom w:val="0"/>
                      <w:divBdr>
                        <w:top w:val="none" w:sz="0" w:space="0" w:color="auto"/>
                        <w:left w:val="none" w:sz="0" w:space="0" w:color="auto"/>
                        <w:bottom w:val="none" w:sz="0" w:space="0" w:color="auto"/>
                        <w:right w:val="none" w:sz="0" w:space="0" w:color="auto"/>
                      </w:divBdr>
                    </w:div>
                    <w:div w:id="17104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610968155">
      <w:bodyDiv w:val="1"/>
      <w:marLeft w:val="0"/>
      <w:marRight w:val="0"/>
      <w:marTop w:val="0"/>
      <w:marBottom w:val="0"/>
      <w:divBdr>
        <w:top w:val="none" w:sz="0" w:space="0" w:color="auto"/>
        <w:left w:val="none" w:sz="0" w:space="0" w:color="auto"/>
        <w:bottom w:val="none" w:sz="0" w:space="0" w:color="auto"/>
        <w:right w:val="none" w:sz="0" w:space="0" w:color="auto"/>
      </w:divBdr>
    </w:div>
    <w:div w:id="1616643152">
      <w:bodyDiv w:val="1"/>
      <w:marLeft w:val="0"/>
      <w:marRight w:val="0"/>
      <w:marTop w:val="0"/>
      <w:marBottom w:val="0"/>
      <w:divBdr>
        <w:top w:val="none" w:sz="0" w:space="0" w:color="auto"/>
        <w:left w:val="none" w:sz="0" w:space="0" w:color="auto"/>
        <w:bottom w:val="none" w:sz="0" w:space="0" w:color="auto"/>
        <w:right w:val="none" w:sz="0" w:space="0" w:color="auto"/>
      </w:divBdr>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 w:id="1961186816">
      <w:bodyDiv w:val="1"/>
      <w:marLeft w:val="0"/>
      <w:marRight w:val="0"/>
      <w:marTop w:val="0"/>
      <w:marBottom w:val="0"/>
      <w:divBdr>
        <w:top w:val="none" w:sz="0" w:space="0" w:color="auto"/>
        <w:left w:val="none" w:sz="0" w:space="0" w:color="auto"/>
        <w:bottom w:val="none" w:sz="0" w:space="0" w:color="auto"/>
        <w:right w:val="none" w:sz="0" w:space="0" w:color="auto"/>
      </w:divBdr>
      <w:divsChild>
        <w:div w:id="682366601">
          <w:marLeft w:val="0"/>
          <w:marRight w:val="0"/>
          <w:marTop w:val="0"/>
          <w:marBottom w:val="0"/>
          <w:divBdr>
            <w:top w:val="none" w:sz="0" w:space="0" w:color="auto"/>
            <w:left w:val="none" w:sz="0" w:space="0" w:color="auto"/>
            <w:bottom w:val="none" w:sz="0" w:space="0" w:color="auto"/>
            <w:right w:val="none" w:sz="0" w:space="0" w:color="auto"/>
          </w:divBdr>
          <w:divsChild>
            <w:div w:id="38938789">
              <w:marLeft w:val="0"/>
              <w:marRight w:val="0"/>
              <w:marTop w:val="0"/>
              <w:marBottom w:val="0"/>
              <w:divBdr>
                <w:top w:val="none" w:sz="0" w:space="0" w:color="auto"/>
                <w:left w:val="none" w:sz="0" w:space="0" w:color="auto"/>
                <w:bottom w:val="none" w:sz="0" w:space="0" w:color="auto"/>
                <w:right w:val="none" w:sz="0" w:space="0" w:color="auto"/>
              </w:divBdr>
            </w:div>
            <w:div w:id="1321032681">
              <w:marLeft w:val="0"/>
              <w:marRight w:val="0"/>
              <w:marTop w:val="0"/>
              <w:marBottom w:val="0"/>
              <w:divBdr>
                <w:top w:val="none" w:sz="0" w:space="0" w:color="auto"/>
                <w:left w:val="none" w:sz="0" w:space="0" w:color="auto"/>
                <w:bottom w:val="none" w:sz="0" w:space="0" w:color="auto"/>
                <w:right w:val="none" w:sz="0" w:space="0" w:color="auto"/>
              </w:divBdr>
            </w:div>
          </w:divsChild>
        </w:div>
        <w:div w:id="998927974">
          <w:marLeft w:val="0"/>
          <w:marRight w:val="0"/>
          <w:marTop w:val="0"/>
          <w:marBottom w:val="0"/>
          <w:divBdr>
            <w:top w:val="none" w:sz="0" w:space="0" w:color="auto"/>
            <w:left w:val="none" w:sz="0" w:space="0" w:color="auto"/>
            <w:bottom w:val="none" w:sz="0" w:space="0" w:color="auto"/>
            <w:right w:val="none" w:sz="0" w:space="0" w:color="auto"/>
          </w:divBdr>
          <w:divsChild>
            <w:div w:id="1595629476">
              <w:marLeft w:val="0"/>
              <w:marRight w:val="0"/>
              <w:marTop w:val="0"/>
              <w:marBottom w:val="0"/>
              <w:divBdr>
                <w:top w:val="none" w:sz="0" w:space="0" w:color="auto"/>
                <w:left w:val="none" w:sz="0" w:space="0" w:color="auto"/>
                <w:bottom w:val="none" w:sz="0" w:space="0" w:color="auto"/>
                <w:right w:val="none" w:sz="0" w:space="0" w:color="auto"/>
              </w:divBdr>
              <w:divsChild>
                <w:div w:id="187452877">
                  <w:marLeft w:val="0"/>
                  <w:marRight w:val="0"/>
                  <w:marTop w:val="0"/>
                  <w:marBottom w:val="0"/>
                  <w:divBdr>
                    <w:top w:val="none" w:sz="0" w:space="0" w:color="auto"/>
                    <w:left w:val="none" w:sz="0" w:space="0" w:color="auto"/>
                    <w:bottom w:val="none" w:sz="0" w:space="0" w:color="auto"/>
                    <w:right w:val="none" w:sz="0" w:space="0" w:color="auto"/>
                  </w:divBdr>
                  <w:divsChild>
                    <w:div w:id="211623168">
                      <w:marLeft w:val="0"/>
                      <w:marRight w:val="0"/>
                      <w:marTop w:val="0"/>
                      <w:marBottom w:val="0"/>
                      <w:divBdr>
                        <w:top w:val="none" w:sz="0" w:space="0" w:color="auto"/>
                        <w:left w:val="none" w:sz="0" w:space="0" w:color="auto"/>
                        <w:bottom w:val="none" w:sz="0" w:space="0" w:color="auto"/>
                        <w:right w:val="none" w:sz="0" w:space="0" w:color="auto"/>
                      </w:divBdr>
                    </w:div>
                    <w:div w:id="714701866">
                      <w:marLeft w:val="0"/>
                      <w:marRight w:val="0"/>
                      <w:marTop w:val="0"/>
                      <w:marBottom w:val="0"/>
                      <w:divBdr>
                        <w:top w:val="none" w:sz="0" w:space="0" w:color="auto"/>
                        <w:left w:val="none" w:sz="0" w:space="0" w:color="auto"/>
                        <w:bottom w:val="none" w:sz="0" w:space="0" w:color="auto"/>
                        <w:right w:val="none" w:sz="0" w:space="0" w:color="auto"/>
                      </w:divBdr>
                    </w:div>
                    <w:div w:id="247277736">
                      <w:marLeft w:val="0"/>
                      <w:marRight w:val="0"/>
                      <w:marTop w:val="0"/>
                      <w:marBottom w:val="0"/>
                      <w:divBdr>
                        <w:top w:val="none" w:sz="0" w:space="0" w:color="auto"/>
                        <w:left w:val="none" w:sz="0" w:space="0" w:color="auto"/>
                        <w:bottom w:val="none" w:sz="0" w:space="0" w:color="auto"/>
                        <w:right w:val="none" w:sz="0" w:space="0" w:color="auto"/>
                      </w:divBdr>
                    </w:div>
                    <w:div w:id="1363940773">
                      <w:marLeft w:val="0"/>
                      <w:marRight w:val="0"/>
                      <w:marTop w:val="0"/>
                      <w:marBottom w:val="0"/>
                      <w:divBdr>
                        <w:top w:val="none" w:sz="0" w:space="0" w:color="auto"/>
                        <w:left w:val="none" w:sz="0" w:space="0" w:color="auto"/>
                        <w:bottom w:val="none" w:sz="0" w:space="0" w:color="auto"/>
                        <w:right w:val="none" w:sz="0" w:space="0" w:color="auto"/>
                      </w:divBdr>
                    </w:div>
                    <w:div w:id="1699234062">
                      <w:marLeft w:val="0"/>
                      <w:marRight w:val="0"/>
                      <w:marTop w:val="0"/>
                      <w:marBottom w:val="0"/>
                      <w:divBdr>
                        <w:top w:val="none" w:sz="0" w:space="0" w:color="auto"/>
                        <w:left w:val="none" w:sz="0" w:space="0" w:color="auto"/>
                        <w:bottom w:val="none" w:sz="0" w:space="0" w:color="auto"/>
                        <w:right w:val="none" w:sz="0" w:space="0" w:color="auto"/>
                      </w:divBdr>
                    </w:div>
                    <w:div w:id="1276326502">
                      <w:marLeft w:val="0"/>
                      <w:marRight w:val="0"/>
                      <w:marTop w:val="0"/>
                      <w:marBottom w:val="0"/>
                      <w:divBdr>
                        <w:top w:val="none" w:sz="0" w:space="0" w:color="auto"/>
                        <w:left w:val="none" w:sz="0" w:space="0" w:color="auto"/>
                        <w:bottom w:val="none" w:sz="0" w:space="0" w:color="auto"/>
                        <w:right w:val="none" w:sz="0" w:space="0" w:color="auto"/>
                      </w:divBdr>
                    </w:div>
                    <w:div w:id="286861751">
                      <w:marLeft w:val="0"/>
                      <w:marRight w:val="0"/>
                      <w:marTop w:val="0"/>
                      <w:marBottom w:val="0"/>
                      <w:divBdr>
                        <w:top w:val="none" w:sz="0" w:space="0" w:color="auto"/>
                        <w:left w:val="none" w:sz="0" w:space="0" w:color="auto"/>
                        <w:bottom w:val="none" w:sz="0" w:space="0" w:color="auto"/>
                        <w:right w:val="none" w:sz="0" w:space="0" w:color="auto"/>
                      </w:divBdr>
                    </w:div>
                    <w:div w:id="1704675098">
                      <w:marLeft w:val="0"/>
                      <w:marRight w:val="0"/>
                      <w:marTop w:val="0"/>
                      <w:marBottom w:val="0"/>
                      <w:divBdr>
                        <w:top w:val="none" w:sz="0" w:space="0" w:color="auto"/>
                        <w:left w:val="none" w:sz="0" w:space="0" w:color="auto"/>
                        <w:bottom w:val="none" w:sz="0" w:space="0" w:color="auto"/>
                        <w:right w:val="none" w:sz="0" w:space="0" w:color="auto"/>
                      </w:divBdr>
                    </w:div>
                    <w:div w:id="1597858299">
                      <w:marLeft w:val="0"/>
                      <w:marRight w:val="0"/>
                      <w:marTop w:val="0"/>
                      <w:marBottom w:val="0"/>
                      <w:divBdr>
                        <w:top w:val="none" w:sz="0" w:space="0" w:color="auto"/>
                        <w:left w:val="none" w:sz="0" w:space="0" w:color="auto"/>
                        <w:bottom w:val="none" w:sz="0" w:space="0" w:color="auto"/>
                        <w:right w:val="none" w:sz="0" w:space="0" w:color="auto"/>
                      </w:divBdr>
                    </w:div>
                    <w:div w:id="62728393">
                      <w:marLeft w:val="0"/>
                      <w:marRight w:val="0"/>
                      <w:marTop w:val="0"/>
                      <w:marBottom w:val="0"/>
                      <w:divBdr>
                        <w:top w:val="none" w:sz="0" w:space="0" w:color="auto"/>
                        <w:left w:val="none" w:sz="0" w:space="0" w:color="auto"/>
                        <w:bottom w:val="none" w:sz="0" w:space="0" w:color="auto"/>
                        <w:right w:val="none" w:sz="0" w:space="0" w:color="auto"/>
                      </w:divBdr>
                    </w:div>
                    <w:div w:id="782966276">
                      <w:marLeft w:val="0"/>
                      <w:marRight w:val="0"/>
                      <w:marTop w:val="0"/>
                      <w:marBottom w:val="0"/>
                      <w:divBdr>
                        <w:top w:val="none" w:sz="0" w:space="0" w:color="auto"/>
                        <w:left w:val="none" w:sz="0" w:space="0" w:color="auto"/>
                        <w:bottom w:val="none" w:sz="0" w:space="0" w:color="auto"/>
                        <w:right w:val="none" w:sz="0" w:space="0" w:color="auto"/>
                      </w:divBdr>
                    </w:div>
                    <w:div w:id="115871733">
                      <w:marLeft w:val="0"/>
                      <w:marRight w:val="0"/>
                      <w:marTop w:val="0"/>
                      <w:marBottom w:val="0"/>
                      <w:divBdr>
                        <w:top w:val="none" w:sz="0" w:space="0" w:color="auto"/>
                        <w:left w:val="none" w:sz="0" w:space="0" w:color="auto"/>
                        <w:bottom w:val="none" w:sz="0" w:space="0" w:color="auto"/>
                        <w:right w:val="none" w:sz="0" w:space="0" w:color="auto"/>
                      </w:divBdr>
                    </w:div>
                    <w:div w:id="797063950">
                      <w:marLeft w:val="0"/>
                      <w:marRight w:val="0"/>
                      <w:marTop w:val="0"/>
                      <w:marBottom w:val="0"/>
                      <w:divBdr>
                        <w:top w:val="none" w:sz="0" w:space="0" w:color="auto"/>
                        <w:left w:val="none" w:sz="0" w:space="0" w:color="auto"/>
                        <w:bottom w:val="none" w:sz="0" w:space="0" w:color="auto"/>
                        <w:right w:val="none" w:sz="0" w:space="0" w:color="auto"/>
                      </w:divBdr>
                    </w:div>
                    <w:div w:id="446775391">
                      <w:marLeft w:val="0"/>
                      <w:marRight w:val="0"/>
                      <w:marTop w:val="0"/>
                      <w:marBottom w:val="0"/>
                      <w:divBdr>
                        <w:top w:val="none" w:sz="0" w:space="0" w:color="auto"/>
                        <w:left w:val="none" w:sz="0" w:space="0" w:color="auto"/>
                        <w:bottom w:val="none" w:sz="0" w:space="0" w:color="auto"/>
                        <w:right w:val="none" w:sz="0" w:space="0" w:color="auto"/>
                      </w:divBdr>
                    </w:div>
                    <w:div w:id="465049068">
                      <w:marLeft w:val="0"/>
                      <w:marRight w:val="0"/>
                      <w:marTop w:val="0"/>
                      <w:marBottom w:val="0"/>
                      <w:divBdr>
                        <w:top w:val="none" w:sz="0" w:space="0" w:color="auto"/>
                        <w:left w:val="none" w:sz="0" w:space="0" w:color="auto"/>
                        <w:bottom w:val="none" w:sz="0" w:space="0" w:color="auto"/>
                        <w:right w:val="none" w:sz="0" w:space="0" w:color="auto"/>
                      </w:divBdr>
                    </w:div>
                    <w:div w:id="370107674">
                      <w:marLeft w:val="0"/>
                      <w:marRight w:val="0"/>
                      <w:marTop w:val="0"/>
                      <w:marBottom w:val="0"/>
                      <w:divBdr>
                        <w:top w:val="none" w:sz="0" w:space="0" w:color="auto"/>
                        <w:left w:val="none" w:sz="0" w:space="0" w:color="auto"/>
                        <w:bottom w:val="none" w:sz="0" w:space="0" w:color="auto"/>
                        <w:right w:val="none" w:sz="0" w:space="0" w:color="auto"/>
                      </w:divBdr>
                    </w:div>
                    <w:div w:id="1004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18">
      <w:bodyDiv w:val="1"/>
      <w:marLeft w:val="0"/>
      <w:marRight w:val="0"/>
      <w:marTop w:val="0"/>
      <w:marBottom w:val="0"/>
      <w:divBdr>
        <w:top w:val="none" w:sz="0" w:space="0" w:color="auto"/>
        <w:left w:val="none" w:sz="0" w:space="0" w:color="auto"/>
        <w:bottom w:val="none" w:sz="0" w:space="0" w:color="auto"/>
        <w:right w:val="none" w:sz="0" w:space="0" w:color="auto"/>
      </w:divBdr>
      <w:divsChild>
        <w:div w:id="1691252096">
          <w:marLeft w:val="0"/>
          <w:marRight w:val="0"/>
          <w:marTop w:val="0"/>
          <w:marBottom w:val="0"/>
          <w:divBdr>
            <w:top w:val="none" w:sz="0" w:space="0" w:color="auto"/>
            <w:left w:val="none" w:sz="0" w:space="0" w:color="auto"/>
            <w:bottom w:val="none" w:sz="0" w:space="0" w:color="auto"/>
            <w:right w:val="none" w:sz="0" w:space="0" w:color="auto"/>
          </w:divBdr>
          <w:divsChild>
            <w:div w:id="1266692151">
              <w:marLeft w:val="0"/>
              <w:marRight w:val="0"/>
              <w:marTop w:val="0"/>
              <w:marBottom w:val="0"/>
              <w:divBdr>
                <w:top w:val="none" w:sz="0" w:space="0" w:color="auto"/>
                <w:left w:val="none" w:sz="0" w:space="0" w:color="auto"/>
                <w:bottom w:val="none" w:sz="0" w:space="0" w:color="auto"/>
                <w:right w:val="none" w:sz="0" w:space="0" w:color="auto"/>
              </w:divBdr>
            </w:div>
            <w:div w:id="1012299293">
              <w:marLeft w:val="0"/>
              <w:marRight w:val="0"/>
              <w:marTop w:val="0"/>
              <w:marBottom w:val="0"/>
              <w:divBdr>
                <w:top w:val="none" w:sz="0" w:space="0" w:color="auto"/>
                <w:left w:val="none" w:sz="0" w:space="0" w:color="auto"/>
                <w:bottom w:val="none" w:sz="0" w:space="0" w:color="auto"/>
                <w:right w:val="none" w:sz="0" w:space="0" w:color="auto"/>
              </w:divBdr>
            </w:div>
          </w:divsChild>
        </w:div>
        <w:div w:id="816190702">
          <w:marLeft w:val="0"/>
          <w:marRight w:val="0"/>
          <w:marTop w:val="0"/>
          <w:marBottom w:val="0"/>
          <w:divBdr>
            <w:top w:val="none" w:sz="0" w:space="0" w:color="auto"/>
            <w:left w:val="none" w:sz="0" w:space="0" w:color="auto"/>
            <w:bottom w:val="none" w:sz="0" w:space="0" w:color="auto"/>
            <w:right w:val="none" w:sz="0" w:space="0" w:color="auto"/>
          </w:divBdr>
          <w:divsChild>
            <w:div w:id="1447499996">
              <w:marLeft w:val="0"/>
              <w:marRight w:val="0"/>
              <w:marTop w:val="0"/>
              <w:marBottom w:val="0"/>
              <w:divBdr>
                <w:top w:val="none" w:sz="0" w:space="0" w:color="auto"/>
                <w:left w:val="none" w:sz="0" w:space="0" w:color="auto"/>
                <w:bottom w:val="none" w:sz="0" w:space="0" w:color="auto"/>
                <w:right w:val="none" w:sz="0" w:space="0" w:color="auto"/>
              </w:divBdr>
              <w:divsChild>
                <w:div w:id="234437301">
                  <w:marLeft w:val="0"/>
                  <w:marRight w:val="0"/>
                  <w:marTop w:val="0"/>
                  <w:marBottom w:val="0"/>
                  <w:divBdr>
                    <w:top w:val="none" w:sz="0" w:space="0" w:color="auto"/>
                    <w:left w:val="none" w:sz="0" w:space="0" w:color="auto"/>
                    <w:bottom w:val="none" w:sz="0" w:space="0" w:color="auto"/>
                    <w:right w:val="none" w:sz="0" w:space="0" w:color="auto"/>
                  </w:divBdr>
                  <w:divsChild>
                    <w:div w:id="1288854802">
                      <w:marLeft w:val="0"/>
                      <w:marRight w:val="0"/>
                      <w:marTop w:val="0"/>
                      <w:marBottom w:val="0"/>
                      <w:divBdr>
                        <w:top w:val="none" w:sz="0" w:space="0" w:color="auto"/>
                        <w:left w:val="none" w:sz="0" w:space="0" w:color="auto"/>
                        <w:bottom w:val="none" w:sz="0" w:space="0" w:color="auto"/>
                        <w:right w:val="none" w:sz="0" w:space="0" w:color="auto"/>
                      </w:divBdr>
                    </w:div>
                    <w:div w:id="622007370">
                      <w:marLeft w:val="0"/>
                      <w:marRight w:val="0"/>
                      <w:marTop w:val="0"/>
                      <w:marBottom w:val="0"/>
                      <w:divBdr>
                        <w:top w:val="none" w:sz="0" w:space="0" w:color="auto"/>
                        <w:left w:val="none" w:sz="0" w:space="0" w:color="auto"/>
                        <w:bottom w:val="none" w:sz="0" w:space="0" w:color="auto"/>
                        <w:right w:val="none" w:sz="0" w:space="0" w:color="auto"/>
                      </w:divBdr>
                    </w:div>
                    <w:div w:id="1732457309">
                      <w:marLeft w:val="0"/>
                      <w:marRight w:val="0"/>
                      <w:marTop w:val="0"/>
                      <w:marBottom w:val="0"/>
                      <w:divBdr>
                        <w:top w:val="none" w:sz="0" w:space="0" w:color="auto"/>
                        <w:left w:val="none" w:sz="0" w:space="0" w:color="auto"/>
                        <w:bottom w:val="none" w:sz="0" w:space="0" w:color="auto"/>
                        <w:right w:val="none" w:sz="0" w:space="0" w:color="auto"/>
                      </w:divBdr>
                    </w:div>
                    <w:div w:id="140193257">
                      <w:marLeft w:val="0"/>
                      <w:marRight w:val="0"/>
                      <w:marTop w:val="0"/>
                      <w:marBottom w:val="0"/>
                      <w:divBdr>
                        <w:top w:val="none" w:sz="0" w:space="0" w:color="auto"/>
                        <w:left w:val="none" w:sz="0" w:space="0" w:color="auto"/>
                        <w:bottom w:val="none" w:sz="0" w:space="0" w:color="auto"/>
                        <w:right w:val="none" w:sz="0" w:space="0" w:color="auto"/>
                      </w:divBdr>
                    </w:div>
                    <w:div w:id="1509901287">
                      <w:marLeft w:val="0"/>
                      <w:marRight w:val="0"/>
                      <w:marTop w:val="0"/>
                      <w:marBottom w:val="0"/>
                      <w:divBdr>
                        <w:top w:val="none" w:sz="0" w:space="0" w:color="auto"/>
                        <w:left w:val="none" w:sz="0" w:space="0" w:color="auto"/>
                        <w:bottom w:val="none" w:sz="0" w:space="0" w:color="auto"/>
                        <w:right w:val="none" w:sz="0" w:space="0" w:color="auto"/>
                      </w:divBdr>
                    </w:div>
                    <w:div w:id="297415603">
                      <w:marLeft w:val="0"/>
                      <w:marRight w:val="0"/>
                      <w:marTop w:val="0"/>
                      <w:marBottom w:val="0"/>
                      <w:divBdr>
                        <w:top w:val="none" w:sz="0" w:space="0" w:color="auto"/>
                        <w:left w:val="none" w:sz="0" w:space="0" w:color="auto"/>
                        <w:bottom w:val="none" w:sz="0" w:space="0" w:color="auto"/>
                        <w:right w:val="none" w:sz="0" w:space="0" w:color="auto"/>
                      </w:divBdr>
                    </w:div>
                    <w:div w:id="1640258523">
                      <w:marLeft w:val="0"/>
                      <w:marRight w:val="0"/>
                      <w:marTop w:val="0"/>
                      <w:marBottom w:val="0"/>
                      <w:divBdr>
                        <w:top w:val="none" w:sz="0" w:space="0" w:color="auto"/>
                        <w:left w:val="none" w:sz="0" w:space="0" w:color="auto"/>
                        <w:bottom w:val="none" w:sz="0" w:space="0" w:color="auto"/>
                        <w:right w:val="none" w:sz="0" w:space="0" w:color="auto"/>
                      </w:divBdr>
                    </w:div>
                    <w:div w:id="30543204">
                      <w:marLeft w:val="0"/>
                      <w:marRight w:val="0"/>
                      <w:marTop w:val="0"/>
                      <w:marBottom w:val="0"/>
                      <w:divBdr>
                        <w:top w:val="none" w:sz="0" w:space="0" w:color="auto"/>
                        <w:left w:val="none" w:sz="0" w:space="0" w:color="auto"/>
                        <w:bottom w:val="none" w:sz="0" w:space="0" w:color="auto"/>
                        <w:right w:val="none" w:sz="0" w:space="0" w:color="auto"/>
                      </w:divBdr>
                    </w:div>
                    <w:div w:id="1090004210">
                      <w:marLeft w:val="0"/>
                      <w:marRight w:val="0"/>
                      <w:marTop w:val="0"/>
                      <w:marBottom w:val="0"/>
                      <w:divBdr>
                        <w:top w:val="none" w:sz="0" w:space="0" w:color="auto"/>
                        <w:left w:val="none" w:sz="0" w:space="0" w:color="auto"/>
                        <w:bottom w:val="none" w:sz="0" w:space="0" w:color="auto"/>
                        <w:right w:val="none" w:sz="0" w:space="0" w:color="auto"/>
                      </w:divBdr>
                    </w:div>
                    <w:div w:id="1734767307">
                      <w:marLeft w:val="0"/>
                      <w:marRight w:val="0"/>
                      <w:marTop w:val="0"/>
                      <w:marBottom w:val="0"/>
                      <w:divBdr>
                        <w:top w:val="none" w:sz="0" w:space="0" w:color="auto"/>
                        <w:left w:val="none" w:sz="0" w:space="0" w:color="auto"/>
                        <w:bottom w:val="none" w:sz="0" w:space="0" w:color="auto"/>
                        <w:right w:val="none" w:sz="0" w:space="0" w:color="auto"/>
                      </w:divBdr>
                    </w:div>
                    <w:div w:id="1846935604">
                      <w:marLeft w:val="0"/>
                      <w:marRight w:val="0"/>
                      <w:marTop w:val="0"/>
                      <w:marBottom w:val="0"/>
                      <w:divBdr>
                        <w:top w:val="none" w:sz="0" w:space="0" w:color="auto"/>
                        <w:left w:val="none" w:sz="0" w:space="0" w:color="auto"/>
                        <w:bottom w:val="none" w:sz="0" w:space="0" w:color="auto"/>
                        <w:right w:val="none" w:sz="0" w:space="0" w:color="auto"/>
                      </w:divBdr>
                    </w:div>
                    <w:div w:id="1627857894">
                      <w:marLeft w:val="0"/>
                      <w:marRight w:val="0"/>
                      <w:marTop w:val="0"/>
                      <w:marBottom w:val="0"/>
                      <w:divBdr>
                        <w:top w:val="none" w:sz="0" w:space="0" w:color="auto"/>
                        <w:left w:val="none" w:sz="0" w:space="0" w:color="auto"/>
                        <w:bottom w:val="none" w:sz="0" w:space="0" w:color="auto"/>
                        <w:right w:val="none" w:sz="0" w:space="0" w:color="auto"/>
                      </w:divBdr>
                    </w:div>
                    <w:div w:id="1277903737">
                      <w:marLeft w:val="0"/>
                      <w:marRight w:val="0"/>
                      <w:marTop w:val="0"/>
                      <w:marBottom w:val="0"/>
                      <w:divBdr>
                        <w:top w:val="none" w:sz="0" w:space="0" w:color="auto"/>
                        <w:left w:val="none" w:sz="0" w:space="0" w:color="auto"/>
                        <w:bottom w:val="none" w:sz="0" w:space="0" w:color="auto"/>
                        <w:right w:val="none" w:sz="0" w:space="0" w:color="auto"/>
                      </w:divBdr>
                    </w:div>
                    <w:div w:id="273951678">
                      <w:marLeft w:val="0"/>
                      <w:marRight w:val="0"/>
                      <w:marTop w:val="0"/>
                      <w:marBottom w:val="0"/>
                      <w:divBdr>
                        <w:top w:val="none" w:sz="0" w:space="0" w:color="auto"/>
                        <w:left w:val="none" w:sz="0" w:space="0" w:color="auto"/>
                        <w:bottom w:val="none" w:sz="0" w:space="0" w:color="auto"/>
                        <w:right w:val="none" w:sz="0" w:space="0" w:color="auto"/>
                      </w:divBdr>
                    </w:div>
                    <w:div w:id="923106252">
                      <w:marLeft w:val="0"/>
                      <w:marRight w:val="0"/>
                      <w:marTop w:val="0"/>
                      <w:marBottom w:val="0"/>
                      <w:divBdr>
                        <w:top w:val="none" w:sz="0" w:space="0" w:color="auto"/>
                        <w:left w:val="none" w:sz="0" w:space="0" w:color="auto"/>
                        <w:bottom w:val="none" w:sz="0" w:space="0" w:color="auto"/>
                        <w:right w:val="none" w:sz="0" w:space="0" w:color="auto"/>
                      </w:divBdr>
                    </w:div>
                    <w:div w:id="2125999652">
                      <w:marLeft w:val="0"/>
                      <w:marRight w:val="0"/>
                      <w:marTop w:val="0"/>
                      <w:marBottom w:val="0"/>
                      <w:divBdr>
                        <w:top w:val="none" w:sz="0" w:space="0" w:color="auto"/>
                        <w:left w:val="none" w:sz="0" w:space="0" w:color="auto"/>
                        <w:bottom w:val="none" w:sz="0" w:space="0" w:color="auto"/>
                        <w:right w:val="none" w:sz="0" w:space="0" w:color="auto"/>
                      </w:divBdr>
                    </w:div>
                    <w:div w:id="9802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637C779D61F14F93C6A32758F3737A" ma:contentTypeVersion="5" ma:contentTypeDescription="Crear nuevo documento." ma:contentTypeScope="" ma:versionID="48da8f0754938639c9dea661e2b7dcb5">
  <xsd:schema xmlns:xsd="http://www.w3.org/2001/XMLSchema" xmlns:xs="http://www.w3.org/2001/XMLSchema" xmlns:p="http://schemas.microsoft.com/office/2006/metadata/properties" xmlns:ns3="54ca4589-a5d9-4120-8c40-ae59a1a5bbc3" xmlns:ns4="482a1bec-9175-44e4-8f54-64b615453d73" targetNamespace="http://schemas.microsoft.com/office/2006/metadata/properties" ma:root="true" ma:fieldsID="8fb828f5b37ce31a038fda98c1d311e5" ns3:_="" ns4:_="">
    <xsd:import namespace="54ca4589-a5d9-4120-8c40-ae59a1a5bbc3"/>
    <xsd:import namespace="482a1bec-9175-44e4-8f54-64b615453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4589-a5d9-4120-8c40-ae59a1a5b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a1bec-9175-44e4-8f54-64b615453d7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DF64-678E-45BA-872B-E68645F0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4589-a5d9-4120-8c40-ae59a1a5bbc3"/>
    <ds:schemaRef ds:uri="482a1bec-9175-44e4-8f54-64b61545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ECF22-262B-4CCE-BCF1-10F22D2B80B2}">
  <ds:schemaRefs>
    <ds:schemaRef ds:uri="http://schemas.microsoft.com/sharepoint/v3/contenttype/forms"/>
  </ds:schemaRefs>
</ds:datastoreItem>
</file>

<file path=customXml/itemProps3.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D4459-ADF9-4ABB-98F6-34E7DFE5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2921</Words>
  <Characters>16071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18955</CharactersWithSpaces>
  <SharedDoc>false</SharedDoc>
  <HLinks>
    <vt:vector size="60" baseType="variant">
      <vt:variant>
        <vt:i4>1769522</vt:i4>
      </vt:variant>
      <vt:variant>
        <vt:i4>50</vt:i4>
      </vt:variant>
      <vt:variant>
        <vt:i4>0</vt:i4>
      </vt:variant>
      <vt:variant>
        <vt:i4>5</vt:i4>
      </vt:variant>
      <vt:variant>
        <vt:lpwstr/>
      </vt:variant>
      <vt:variant>
        <vt:lpwstr>_Toc69300174</vt:lpwstr>
      </vt:variant>
      <vt:variant>
        <vt:i4>1835058</vt:i4>
      </vt:variant>
      <vt:variant>
        <vt:i4>44</vt:i4>
      </vt:variant>
      <vt:variant>
        <vt:i4>0</vt:i4>
      </vt:variant>
      <vt:variant>
        <vt:i4>5</vt:i4>
      </vt:variant>
      <vt:variant>
        <vt:lpwstr/>
      </vt:variant>
      <vt:variant>
        <vt:lpwstr>_Toc69300173</vt:lpwstr>
      </vt:variant>
      <vt:variant>
        <vt:i4>1900594</vt:i4>
      </vt:variant>
      <vt:variant>
        <vt:i4>38</vt:i4>
      </vt:variant>
      <vt:variant>
        <vt:i4>0</vt:i4>
      </vt:variant>
      <vt:variant>
        <vt:i4>5</vt:i4>
      </vt:variant>
      <vt:variant>
        <vt:lpwstr/>
      </vt:variant>
      <vt:variant>
        <vt:lpwstr>_Toc69300172</vt:lpwstr>
      </vt:variant>
      <vt:variant>
        <vt:i4>1966130</vt:i4>
      </vt:variant>
      <vt:variant>
        <vt:i4>32</vt:i4>
      </vt:variant>
      <vt:variant>
        <vt:i4>0</vt:i4>
      </vt:variant>
      <vt:variant>
        <vt:i4>5</vt:i4>
      </vt:variant>
      <vt:variant>
        <vt:lpwstr/>
      </vt:variant>
      <vt:variant>
        <vt:lpwstr>_Toc69300171</vt:lpwstr>
      </vt:variant>
      <vt:variant>
        <vt:i4>2031666</vt:i4>
      </vt:variant>
      <vt:variant>
        <vt:i4>26</vt:i4>
      </vt:variant>
      <vt:variant>
        <vt:i4>0</vt:i4>
      </vt:variant>
      <vt:variant>
        <vt:i4>5</vt:i4>
      </vt:variant>
      <vt:variant>
        <vt:lpwstr/>
      </vt:variant>
      <vt:variant>
        <vt:lpwstr>_Toc69300170</vt:lpwstr>
      </vt:variant>
      <vt:variant>
        <vt:i4>1441843</vt:i4>
      </vt:variant>
      <vt:variant>
        <vt:i4>20</vt:i4>
      </vt:variant>
      <vt:variant>
        <vt:i4>0</vt:i4>
      </vt:variant>
      <vt:variant>
        <vt:i4>5</vt:i4>
      </vt:variant>
      <vt:variant>
        <vt:lpwstr/>
      </vt:variant>
      <vt:variant>
        <vt:lpwstr>_Toc69300169</vt:lpwstr>
      </vt:variant>
      <vt:variant>
        <vt:i4>1507379</vt:i4>
      </vt:variant>
      <vt:variant>
        <vt:i4>14</vt:i4>
      </vt:variant>
      <vt:variant>
        <vt:i4>0</vt:i4>
      </vt:variant>
      <vt:variant>
        <vt:i4>5</vt:i4>
      </vt:variant>
      <vt:variant>
        <vt:lpwstr/>
      </vt:variant>
      <vt:variant>
        <vt:lpwstr>_Toc69300168</vt:lpwstr>
      </vt:variant>
      <vt:variant>
        <vt:i4>1572915</vt:i4>
      </vt:variant>
      <vt:variant>
        <vt:i4>8</vt:i4>
      </vt:variant>
      <vt:variant>
        <vt:i4>0</vt:i4>
      </vt:variant>
      <vt:variant>
        <vt:i4>5</vt:i4>
      </vt:variant>
      <vt:variant>
        <vt:lpwstr/>
      </vt:variant>
      <vt:variant>
        <vt:lpwstr>_Toc69300167</vt:lpwstr>
      </vt:variant>
      <vt:variant>
        <vt:i4>1638451</vt:i4>
      </vt:variant>
      <vt:variant>
        <vt:i4>2</vt:i4>
      </vt:variant>
      <vt:variant>
        <vt:i4>0</vt:i4>
      </vt:variant>
      <vt:variant>
        <vt:i4>5</vt:i4>
      </vt:variant>
      <vt:variant>
        <vt:lpwstr/>
      </vt:variant>
      <vt:variant>
        <vt:lpwstr>_Toc69300166</vt:lpwstr>
      </vt:variant>
      <vt:variant>
        <vt:i4>1966113</vt:i4>
      </vt:variant>
      <vt:variant>
        <vt:i4>0</vt:i4>
      </vt:variant>
      <vt:variant>
        <vt:i4>0</vt:i4>
      </vt:variant>
      <vt:variant>
        <vt:i4>5</vt:i4>
      </vt:variant>
      <vt:variant>
        <vt:lpwstr>mailto:cumplimientos.salamonterrey@te.gob.mx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Rubén Arturo Marroquín Mitre</cp:lastModifiedBy>
  <cp:revision>2</cp:revision>
  <cp:lastPrinted>2021-05-11T20:21:00Z</cp:lastPrinted>
  <dcterms:created xsi:type="dcterms:W3CDTF">2021-05-13T01:41:00Z</dcterms:created>
  <dcterms:modified xsi:type="dcterms:W3CDTF">2021-05-13T01:41:00Z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0x01010058637C779D61F14F93C6A32758F3737A</vt:lpwstr>
  </property>
</Properties>
</file>