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tblGrid>
      <w:tr w:rsidR="00097796" w:rsidRPr="00475514" w14:paraId="2CB673C0" w14:textId="77777777" w:rsidTr="005560C2">
        <w:trPr>
          <w:trHeight w:val="4909"/>
          <w:jc w:val="right"/>
        </w:trPr>
        <w:tc>
          <w:tcPr>
            <w:tcW w:w="5626" w:type="dxa"/>
          </w:tcPr>
          <w:p w14:paraId="66CA9DF6" w14:textId="7FDB3962" w:rsidR="00097796" w:rsidRPr="00475514" w:rsidRDefault="001913AB" w:rsidP="00EC68D4">
            <w:pPr>
              <w:spacing w:before="120"/>
              <w:jc w:val="center"/>
              <w:rPr>
                <w:rFonts w:ascii="Arial" w:hAnsi="Arial" w:cs="Arial"/>
                <w:b/>
              </w:rPr>
            </w:pPr>
            <w:r w:rsidRPr="00475514">
              <w:rPr>
                <w:rFonts w:ascii="Arial" w:hAnsi="Arial" w:cs="Arial"/>
                <w:b/>
              </w:rPr>
              <w:t>ACUERDO PLENARIO DE REENCAUZAMIENTO</w:t>
            </w:r>
          </w:p>
          <w:p w14:paraId="061ACCA6" w14:textId="64521BD8" w:rsidR="00097796" w:rsidRPr="00475514" w:rsidRDefault="001913AB" w:rsidP="00752FB9">
            <w:pPr>
              <w:spacing w:before="120"/>
              <w:jc w:val="both"/>
              <w:rPr>
                <w:rFonts w:ascii="Arial" w:hAnsi="Arial" w:cs="Arial"/>
                <w:b/>
              </w:rPr>
            </w:pPr>
            <w:r w:rsidRPr="00475514">
              <w:rPr>
                <w:rFonts w:ascii="Arial" w:hAnsi="Arial" w:cs="Arial"/>
                <w:b/>
              </w:rPr>
              <w:t>JUICIO PARA LA PROTECCIÓN DE LOS DERECHOS POLÍTICO-ELECTORALES DEL CIUDADANO</w:t>
            </w:r>
          </w:p>
          <w:p w14:paraId="4D29B8EC" w14:textId="35E4F475" w:rsidR="00097796" w:rsidRPr="00475514" w:rsidRDefault="001913AB" w:rsidP="00752FB9">
            <w:pPr>
              <w:spacing w:before="240" w:after="240"/>
              <w:jc w:val="both"/>
              <w:rPr>
                <w:rFonts w:ascii="Arial" w:eastAsia="Calibri" w:hAnsi="Arial" w:cs="Arial"/>
                <w:lang w:val="es-MX" w:eastAsia="en-US"/>
              </w:rPr>
            </w:pPr>
            <w:r w:rsidRPr="00475514">
              <w:rPr>
                <w:rFonts w:ascii="Arial" w:eastAsia="Calibri" w:hAnsi="Arial" w:cs="Arial"/>
                <w:b/>
                <w:lang w:val="es-MX" w:eastAsia="en-US"/>
              </w:rPr>
              <w:t>EXPEDIENTE:</w:t>
            </w:r>
            <w:r w:rsidRPr="00475514">
              <w:rPr>
                <w:rFonts w:ascii="Arial" w:eastAsia="Calibri" w:hAnsi="Arial" w:cs="Arial"/>
                <w:lang w:val="es-MX" w:eastAsia="en-US"/>
              </w:rPr>
              <w:t xml:space="preserve"> SM-JDC-</w:t>
            </w:r>
            <w:r w:rsidR="006A28C1" w:rsidRPr="00475514">
              <w:rPr>
                <w:rFonts w:ascii="Arial" w:eastAsia="Calibri" w:hAnsi="Arial" w:cs="Arial"/>
                <w:lang w:val="es-MX" w:eastAsia="en-US"/>
              </w:rPr>
              <w:t>449</w:t>
            </w:r>
            <w:r w:rsidRPr="00475514">
              <w:rPr>
                <w:rFonts w:ascii="Arial" w:eastAsia="Calibri" w:hAnsi="Arial" w:cs="Arial"/>
                <w:lang w:val="es-MX" w:eastAsia="en-US"/>
              </w:rPr>
              <w:t>/2021</w:t>
            </w:r>
          </w:p>
          <w:p w14:paraId="54A80D8D" w14:textId="079B477C" w:rsidR="00097796" w:rsidRPr="00475514" w:rsidRDefault="001913AB" w:rsidP="00752FB9">
            <w:pPr>
              <w:spacing w:before="240" w:after="240"/>
              <w:jc w:val="both"/>
              <w:rPr>
                <w:rFonts w:ascii="Arial" w:hAnsi="Arial" w:cs="Arial"/>
                <w:bCs/>
              </w:rPr>
            </w:pPr>
            <w:r w:rsidRPr="00475514">
              <w:rPr>
                <w:rFonts w:ascii="Arial" w:eastAsia="Calibri" w:hAnsi="Arial" w:cs="Arial"/>
                <w:b/>
                <w:lang w:val="es-MX" w:eastAsia="en-US"/>
              </w:rPr>
              <w:t>ACTOR</w:t>
            </w:r>
            <w:r w:rsidR="006A28C1" w:rsidRPr="00475514">
              <w:rPr>
                <w:rFonts w:ascii="Arial" w:eastAsia="Calibri" w:hAnsi="Arial" w:cs="Arial"/>
                <w:b/>
                <w:lang w:val="es-MX" w:eastAsia="en-US"/>
              </w:rPr>
              <w:t>ES</w:t>
            </w:r>
            <w:r w:rsidRPr="00475514">
              <w:rPr>
                <w:rFonts w:ascii="Arial" w:eastAsia="Calibri" w:hAnsi="Arial" w:cs="Arial"/>
                <w:b/>
                <w:lang w:val="es-MX" w:eastAsia="en-US"/>
              </w:rPr>
              <w:t>:</w:t>
            </w:r>
            <w:r w:rsidRPr="00475514">
              <w:rPr>
                <w:rFonts w:ascii="Arial" w:hAnsi="Arial" w:cs="Arial"/>
                <w:b/>
              </w:rPr>
              <w:t xml:space="preserve"> </w:t>
            </w:r>
            <w:r w:rsidR="006A28C1" w:rsidRPr="00475514">
              <w:rPr>
                <w:rFonts w:ascii="Arial" w:hAnsi="Arial" w:cs="Arial"/>
                <w:bCs/>
              </w:rPr>
              <w:t>MARÍA GUADALUPE NICASIO MEZA Y JOSÉ LUIS FONSECA MELÉNDEZ</w:t>
            </w:r>
          </w:p>
          <w:p w14:paraId="4E1CAF91" w14:textId="7A055B15" w:rsidR="00097796" w:rsidRPr="00475514" w:rsidRDefault="001913AB" w:rsidP="00752FB9">
            <w:pPr>
              <w:spacing w:before="240" w:after="240"/>
              <w:jc w:val="both"/>
              <w:rPr>
                <w:rFonts w:ascii="Arial" w:hAnsi="Arial" w:cs="Arial"/>
              </w:rPr>
            </w:pPr>
            <w:r w:rsidRPr="00475514">
              <w:rPr>
                <w:rFonts w:ascii="Arial" w:eastAsia="Calibri" w:hAnsi="Arial" w:cs="Arial"/>
                <w:b/>
                <w:lang w:val="es-MX" w:eastAsia="en-US"/>
              </w:rPr>
              <w:t>RESPONSABLE:</w:t>
            </w:r>
            <w:r w:rsidRPr="00475514">
              <w:rPr>
                <w:rFonts w:ascii="Arial" w:hAnsi="Arial" w:cs="Arial"/>
              </w:rPr>
              <w:t xml:space="preserve"> </w:t>
            </w:r>
            <w:r w:rsidR="00280958" w:rsidRPr="00475514">
              <w:rPr>
                <w:rFonts w:ascii="Arial" w:hAnsi="Arial" w:cs="Arial"/>
              </w:rPr>
              <w:t xml:space="preserve">MAGISTRADO PRESIDENTE DEL </w:t>
            </w:r>
            <w:r w:rsidR="006A28C1" w:rsidRPr="00475514">
              <w:rPr>
                <w:rFonts w:ascii="Arial" w:hAnsi="Arial" w:cs="Arial"/>
              </w:rPr>
              <w:t>TRIBUNAL ESTATAL ELECTORAL DE GUANAJUATO</w:t>
            </w:r>
          </w:p>
          <w:p w14:paraId="4C433482" w14:textId="77777777" w:rsidR="006A28C1" w:rsidRPr="00475514" w:rsidRDefault="001913AB" w:rsidP="00EC68D4">
            <w:pPr>
              <w:spacing w:before="240" w:after="240"/>
              <w:jc w:val="both"/>
              <w:rPr>
                <w:rFonts w:ascii="Arial" w:hAnsi="Arial" w:cs="Arial"/>
              </w:rPr>
            </w:pPr>
            <w:r w:rsidRPr="00475514">
              <w:rPr>
                <w:rFonts w:ascii="Arial" w:hAnsi="Arial" w:cs="Arial"/>
                <w:b/>
              </w:rPr>
              <w:t>MAGISTRAD</w:t>
            </w:r>
            <w:r w:rsidR="006A28C1" w:rsidRPr="00475514">
              <w:rPr>
                <w:rFonts w:ascii="Arial" w:hAnsi="Arial" w:cs="Arial"/>
                <w:b/>
              </w:rPr>
              <w:t>O</w:t>
            </w:r>
            <w:r w:rsidRPr="00475514">
              <w:rPr>
                <w:rFonts w:ascii="Arial" w:hAnsi="Arial" w:cs="Arial"/>
                <w:b/>
              </w:rPr>
              <w:t>:</w:t>
            </w:r>
            <w:r w:rsidRPr="00475514">
              <w:rPr>
                <w:rFonts w:ascii="Arial" w:hAnsi="Arial" w:cs="Arial"/>
              </w:rPr>
              <w:t xml:space="preserve"> </w:t>
            </w:r>
            <w:r w:rsidR="006A28C1" w:rsidRPr="00475514">
              <w:rPr>
                <w:rFonts w:ascii="Arial" w:hAnsi="Arial" w:cs="Arial"/>
              </w:rPr>
              <w:t>YAIRSINIO DAVID GARCÍA ORTIZ</w:t>
            </w:r>
          </w:p>
          <w:p w14:paraId="6123108F" w14:textId="41548F84" w:rsidR="00542325" w:rsidRPr="00475514" w:rsidRDefault="001913AB" w:rsidP="00EC68D4">
            <w:pPr>
              <w:spacing w:before="240" w:after="240"/>
              <w:jc w:val="both"/>
              <w:rPr>
                <w:rFonts w:ascii="Arial" w:hAnsi="Arial" w:cs="Arial"/>
              </w:rPr>
            </w:pPr>
            <w:r w:rsidRPr="00475514">
              <w:rPr>
                <w:rFonts w:ascii="Arial" w:hAnsi="Arial" w:cs="Arial"/>
                <w:b/>
              </w:rPr>
              <w:t>SECRETARI</w:t>
            </w:r>
            <w:r w:rsidR="006A28C1" w:rsidRPr="00475514">
              <w:rPr>
                <w:rFonts w:ascii="Arial" w:hAnsi="Arial" w:cs="Arial"/>
                <w:b/>
              </w:rPr>
              <w:t>O</w:t>
            </w:r>
            <w:r w:rsidR="00F4522F" w:rsidRPr="00475514">
              <w:rPr>
                <w:rFonts w:ascii="Arial" w:hAnsi="Arial" w:cs="Arial"/>
                <w:b/>
              </w:rPr>
              <w:t>:</w:t>
            </w:r>
            <w:r w:rsidR="00542325" w:rsidRPr="00475514">
              <w:rPr>
                <w:rFonts w:ascii="Arial" w:hAnsi="Arial" w:cs="Arial"/>
              </w:rPr>
              <w:t xml:space="preserve"> </w:t>
            </w:r>
            <w:r w:rsidR="006A28C1" w:rsidRPr="00475514">
              <w:rPr>
                <w:rFonts w:ascii="Arial" w:hAnsi="Arial" w:cs="Arial"/>
              </w:rPr>
              <w:t>HOMERO TREVIÑO LANDIN</w:t>
            </w:r>
          </w:p>
          <w:p w14:paraId="2ABCEC00" w14:textId="0254F8D2" w:rsidR="00260F7A" w:rsidRPr="00475514" w:rsidRDefault="00F4522F" w:rsidP="00EC68D4">
            <w:pPr>
              <w:spacing w:before="240" w:after="240"/>
              <w:jc w:val="both"/>
              <w:rPr>
                <w:rFonts w:ascii="Arial" w:hAnsi="Arial" w:cs="Arial"/>
              </w:rPr>
            </w:pPr>
            <w:r w:rsidRPr="00475514">
              <w:rPr>
                <w:rFonts w:ascii="Arial" w:hAnsi="Arial" w:cs="Arial"/>
                <w:b/>
              </w:rPr>
              <w:t xml:space="preserve"> </w:t>
            </w:r>
          </w:p>
        </w:tc>
      </w:tr>
    </w:tbl>
    <w:p w14:paraId="6E83459E" w14:textId="6E21C02A" w:rsidR="00097796" w:rsidRPr="00475514" w:rsidRDefault="00097796" w:rsidP="00EC68D4">
      <w:pPr>
        <w:spacing w:after="240" w:line="360" w:lineRule="auto"/>
        <w:jc w:val="both"/>
        <w:rPr>
          <w:rFonts w:ascii="Arial" w:hAnsi="Arial" w:cs="Arial"/>
        </w:rPr>
      </w:pPr>
      <w:r w:rsidRPr="00475514">
        <w:rPr>
          <w:rFonts w:ascii="Arial" w:hAnsi="Arial" w:cs="Arial"/>
        </w:rPr>
        <w:t xml:space="preserve">Monterrey, Nuevo León, a </w:t>
      </w:r>
      <w:r w:rsidR="008D4373" w:rsidRPr="00475514">
        <w:rPr>
          <w:rFonts w:ascii="Arial" w:hAnsi="Arial" w:cs="Arial"/>
        </w:rPr>
        <w:t>quince</w:t>
      </w:r>
      <w:r w:rsidR="00542325" w:rsidRPr="00475514">
        <w:rPr>
          <w:rFonts w:ascii="Arial" w:hAnsi="Arial" w:cs="Arial"/>
        </w:rPr>
        <w:t xml:space="preserve"> </w:t>
      </w:r>
      <w:r w:rsidRPr="00475514">
        <w:rPr>
          <w:rFonts w:ascii="Arial" w:hAnsi="Arial" w:cs="Arial"/>
        </w:rPr>
        <w:t xml:space="preserve">de </w:t>
      </w:r>
      <w:r w:rsidR="00F83116" w:rsidRPr="00475514">
        <w:rPr>
          <w:rFonts w:ascii="Arial" w:hAnsi="Arial" w:cs="Arial"/>
        </w:rPr>
        <w:t xml:space="preserve">mayo </w:t>
      </w:r>
      <w:r w:rsidRPr="00475514">
        <w:rPr>
          <w:rFonts w:ascii="Arial" w:hAnsi="Arial" w:cs="Arial"/>
        </w:rPr>
        <w:t>de dos mil vein</w:t>
      </w:r>
      <w:r w:rsidR="00385AAA" w:rsidRPr="00475514">
        <w:rPr>
          <w:rFonts w:ascii="Arial" w:hAnsi="Arial" w:cs="Arial"/>
        </w:rPr>
        <w:t>tiuno</w:t>
      </w:r>
      <w:r w:rsidRPr="00475514">
        <w:rPr>
          <w:rFonts w:ascii="Arial" w:hAnsi="Arial" w:cs="Arial"/>
        </w:rPr>
        <w:t>.</w:t>
      </w:r>
    </w:p>
    <w:p w14:paraId="3D12B96E" w14:textId="1D169D19" w:rsidR="00097796" w:rsidRPr="00475514" w:rsidRDefault="00097796" w:rsidP="00EC68D4">
      <w:pPr>
        <w:spacing w:after="240" w:line="360" w:lineRule="auto"/>
        <w:jc w:val="both"/>
        <w:rPr>
          <w:rFonts w:ascii="Arial" w:hAnsi="Arial" w:cs="Arial"/>
          <w:b/>
          <w:bCs/>
        </w:rPr>
      </w:pPr>
      <w:r w:rsidRPr="00475514">
        <w:rPr>
          <w:rFonts w:ascii="Arial" w:hAnsi="Arial" w:cs="Arial"/>
          <w:lang w:val="es-ES_tradnl"/>
        </w:rPr>
        <w:t>Con fundamento</w:t>
      </w:r>
      <w:r w:rsidRPr="00475514">
        <w:rPr>
          <w:rFonts w:ascii="Arial" w:hAnsi="Arial" w:cs="Arial"/>
          <w:b/>
        </w:rPr>
        <w:t xml:space="preserve"> </w:t>
      </w:r>
      <w:r w:rsidRPr="00475514">
        <w:rPr>
          <w:rFonts w:ascii="Arial" w:hAnsi="Arial" w:cs="Arial"/>
        </w:rPr>
        <w:t>en los artículos 10, párrafo 1, inciso d)</w:t>
      </w:r>
      <w:r w:rsidR="0041139C" w:rsidRPr="00475514">
        <w:rPr>
          <w:rFonts w:ascii="Arial" w:hAnsi="Arial" w:cs="Arial"/>
        </w:rPr>
        <w:t>,</w:t>
      </w:r>
      <w:r w:rsidRPr="00475514">
        <w:rPr>
          <w:rFonts w:ascii="Arial" w:hAnsi="Arial" w:cs="Arial"/>
        </w:rPr>
        <w:t xml:space="preserve"> y 80, párrafo</w:t>
      </w:r>
      <w:r w:rsidR="00F36A4A" w:rsidRPr="00475514">
        <w:rPr>
          <w:rFonts w:ascii="Arial" w:hAnsi="Arial" w:cs="Arial"/>
        </w:rPr>
        <w:t xml:space="preserve"> </w:t>
      </w:r>
      <w:r w:rsidR="0066418D" w:rsidRPr="00475514">
        <w:rPr>
          <w:rFonts w:ascii="Arial" w:hAnsi="Arial" w:cs="Arial"/>
        </w:rPr>
        <w:t>2</w:t>
      </w:r>
      <w:r w:rsidR="00983728" w:rsidRPr="00475514">
        <w:rPr>
          <w:rFonts w:ascii="Arial" w:hAnsi="Arial" w:cs="Arial"/>
        </w:rPr>
        <w:t>,</w:t>
      </w:r>
      <w:r w:rsidRPr="00475514">
        <w:rPr>
          <w:rFonts w:ascii="Arial" w:hAnsi="Arial" w:cs="Arial"/>
        </w:rPr>
        <w:t xml:space="preserve"> de la Ley General del Sistema de Medios de Impugnación en Materia Electoral</w:t>
      </w:r>
      <w:r w:rsidRPr="00475514">
        <w:rPr>
          <w:rStyle w:val="Refdenotaalpie"/>
          <w:rFonts w:ascii="Arial" w:hAnsi="Arial" w:cs="Arial"/>
        </w:rPr>
        <w:footnoteReference w:id="1"/>
      </w:r>
      <w:r w:rsidRPr="00475514">
        <w:rPr>
          <w:rFonts w:ascii="Arial" w:hAnsi="Arial" w:cs="Arial"/>
        </w:rPr>
        <w:t>, 46</w:t>
      </w:r>
      <w:r w:rsidRPr="00475514">
        <w:rPr>
          <w:rFonts w:ascii="Arial" w:hAnsi="Arial" w:cs="Arial"/>
          <w:bCs/>
        </w:rPr>
        <w:t>, fracción II</w:t>
      </w:r>
      <w:r w:rsidR="0041139C" w:rsidRPr="00475514">
        <w:rPr>
          <w:rFonts w:ascii="Arial" w:hAnsi="Arial" w:cs="Arial"/>
          <w:bCs/>
        </w:rPr>
        <w:t>,</w:t>
      </w:r>
      <w:r w:rsidRPr="00475514">
        <w:rPr>
          <w:rFonts w:ascii="Arial" w:hAnsi="Arial" w:cs="Arial"/>
          <w:bCs/>
        </w:rPr>
        <w:t xml:space="preserve"> 49 y 75 del Reglamento Interno del Tribunal Electoral del Poder Judicial de la Federación, esta Sala Regional </w:t>
      </w:r>
      <w:r w:rsidRPr="00475514">
        <w:rPr>
          <w:rFonts w:ascii="Arial" w:hAnsi="Arial" w:cs="Arial"/>
          <w:b/>
          <w:bCs/>
        </w:rPr>
        <w:t>ACUERDA:</w:t>
      </w:r>
    </w:p>
    <w:p w14:paraId="6C4BC20B" w14:textId="59E7BBC6" w:rsidR="00EC68D4" w:rsidRPr="00475514" w:rsidRDefault="00097796" w:rsidP="00EC68D4">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b/>
          <w:lang w:val="es-ES_tradnl"/>
        </w:rPr>
        <w:t>I. Improcedencia.</w:t>
      </w:r>
      <w:r w:rsidR="004A1D31" w:rsidRPr="00475514">
        <w:rPr>
          <w:rFonts w:ascii="Arial" w:hAnsi="Arial" w:cs="Arial"/>
        </w:rPr>
        <w:t xml:space="preserve"> </w:t>
      </w:r>
      <w:r w:rsidR="00EC68D4" w:rsidRPr="00475514">
        <w:rPr>
          <w:rFonts w:ascii="Arial" w:hAnsi="Arial" w:cs="Arial"/>
        </w:rPr>
        <w:t xml:space="preserve">El presente juicio es improcedente toda vez que </w:t>
      </w:r>
      <w:r w:rsidR="00E330E1" w:rsidRPr="00475514">
        <w:rPr>
          <w:rFonts w:ascii="Arial" w:hAnsi="Arial" w:cs="Arial"/>
        </w:rPr>
        <w:t>los actores</w:t>
      </w:r>
      <w:r w:rsidR="00B32E2B" w:rsidRPr="00475514">
        <w:rPr>
          <w:rFonts w:ascii="Arial" w:hAnsi="Arial" w:cs="Arial"/>
        </w:rPr>
        <w:t xml:space="preserve"> </w:t>
      </w:r>
      <w:r w:rsidR="00E330E1" w:rsidRPr="00475514">
        <w:rPr>
          <w:rFonts w:ascii="Arial" w:hAnsi="Arial" w:cs="Arial"/>
        </w:rPr>
        <w:t>debieron</w:t>
      </w:r>
      <w:r w:rsidR="00EC68D4" w:rsidRPr="00475514">
        <w:rPr>
          <w:rFonts w:ascii="Arial" w:hAnsi="Arial" w:cs="Arial"/>
        </w:rPr>
        <w:t xml:space="preserve"> acudir ante el </w:t>
      </w:r>
      <w:r w:rsidR="00EC68D4" w:rsidRPr="00475514">
        <w:rPr>
          <w:rFonts w:ascii="Arial" w:hAnsi="Arial" w:cs="Arial"/>
          <w:b/>
          <w:bCs/>
        </w:rPr>
        <w:t xml:space="preserve">Pleno del </w:t>
      </w:r>
      <w:r w:rsidR="004467AD" w:rsidRPr="00475514">
        <w:rPr>
          <w:rFonts w:ascii="Arial" w:hAnsi="Arial" w:cs="Arial"/>
          <w:b/>
          <w:bCs/>
        </w:rPr>
        <w:t xml:space="preserve">Tribunal Estatal Electoral de Guanajuato, </w:t>
      </w:r>
      <w:r w:rsidR="00EC68D4" w:rsidRPr="00475514">
        <w:rPr>
          <w:rFonts w:ascii="Arial" w:hAnsi="Arial" w:cs="Arial"/>
        </w:rPr>
        <w:t xml:space="preserve">antes de promover ante esta Sala Regional su respectivo medio de impugnación, a fin de cumplir con el principio de definitividad, el cual es un requisito de procedibilidad de los juicios y recursos previstos en la </w:t>
      </w:r>
      <w:r w:rsidR="00EC68D4" w:rsidRPr="00475514">
        <w:rPr>
          <w:rFonts w:ascii="Arial" w:hAnsi="Arial" w:cs="Arial"/>
          <w:i/>
          <w:iCs/>
        </w:rPr>
        <w:t>Ley de Medios</w:t>
      </w:r>
      <w:r w:rsidR="00EC68D4" w:rsidRPr="00475514">
        <w:rPr>
          <w:rFonts w:ascii="Arial" w:hAnsi="Arial" w:cs="Arial"/>
        </w:rPr>
        <w:t>.</w:t>
      </w:r>
    </w:p>
    <w:p w14:paraId="42BB5180" w14:textId="24C9724D" w:rsidR="00280958" w:rsidRPr="00475514" w:rsidRDefault="00EC68D4" w:rsidP="00D96E16">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 xml:space="preserve">En el caso, </w:t>
      </w:r>
      <w:r w:rsidR="004A6FAC" w:rsidRPr="00475514">
        <w:rPr>
          <w:rFonts w:ascii="Arial" w:hAnsi="Arial" w:cs="Arial"/>
        </w:rPr>
        <w:t xml:space="preserve">se </w:t>
      </w:r>
      <w:r w:rsidRPr="00475514">
        <w:rPr>
          <w:rFonts w:ascii="Arial" w:hAnsi="Arial" w:cs="Arial"/>
        </w:rPr>
        <w:t xml:space="preserve">controvierte el acuerdo de </w:t>
      </w:r>
      <w:r w:rsidR="004467AD" w:rsidRPr="00475514">
        <w:rPr>
          <w:rFonts w:ascii="Arial" w:hAnsi="Arial" w:cs="Arial"/>
        </w:rPr>
        <w:t>nueve</w:t>
      </w:r>
      <w:r w:rsidR="004A6FAC" w:rsidRPr="00475514">
        <w:rPr>
          <w:rFonts w:ascii="Arial" w:hAnsi="Arial" w:cs="Arial"/>
        </w:rPr>
        <w:t xml:space="preserve"> </w:t>
      </w:r>
      <w:r w:rsidRPr="00475514">
        <w:rPr>
          <w:rFonts w:ascii="Arial" w:hAnsi="Arial" w:cs="Arial"/>
        </w:rPr>
        <w:t xml:space="preserve">de </w:t>
      </w:r>
      <w:r w:rsidR="004A6FAC" w:rsidRPr="00475514">
        <w:rPr>
          <w:rFonts w:ascii="Arial" w:hAnsi="Arial" w:cs="Arial"/>
        </w:rPr>
        <w:t xml:space="preserve">mayo </w:t>
      </w:r>
      <w:r w:rsidRPr="00475514">
        <w:rPr>
          <w:rFonts w:ascii="Arial" w:hAnsi="Arial" w:cs="Arial"/>
        </w:rPr>
        <w:t xml:space="preserve">del año en curso, dictado por </w:t>
      </w:r>
      <w:r w:rsidR="004A6FAC" w:rsidRPr="00475514">
        <w:rPr>
          <w:rFonts w:ascii="Arial" w:hAnsi="Arial" w:cs="Arial"/>
        </w:rPr>
        <w:t xml:space="preserve">el </w:t>
      </w:r>
      <w:r w:rsidRPr="00475514">
        <w:rPr>
          <w:rFonts w:ascii="Arial" w:hAnsi="Arial" w:cs="Arial"/>
        </w:rPr>
        <w:t>Magistrad</w:t>
      </w:r>
      <w:r w:rsidR="004A6FAC" w:rsidRPr="00475514">
        <w:rPr>
          <w:rFonts w:ascii="Arial" w:hAnsi="Arial" w:cs="Arial"/>
        </w:rPr>
        <w:t>o</w:t>
      </w:r>
      <w:r w:rsidRPr="00475514">
        <w:rPr>
          <w:rFonts w:ascii="Arial" w:hAnsi="Arial" w:cs="Arial"/>
        </w:rPr>
        <w:t xml:space="preserve"> </w:t>
      </w:r>
      <w:r w:rsidR="004A6FAC" w:rsidRPr="00475514">
        <w:rPr>
          <w:rFonts w:ascii="Arial" w:hAnsi="Arial" w:cs="Arial"/>
        </w:rPr>
        <w:t xml:space="preserve">Presidente </w:t>
      </w:r>
      <w:r w:rsidRPr="00475514">
        <w:rPr>
          <w:rFonts w:ascii="Arial" w:hAnsi="Arial" w:cs="Arial"/>
        </w:rPr>
        <w:t xml:space="preserve">del </w:t>
      </w:r>
      <w:bookmarkStart w:id="0" w:name="_Hlk39054092"/>
      <w:r w:rsidR="004467AD" w:rsidRPr="00475514">
        <w:rPr>
          <w:rFonts w:ascii="Arial" w:hAnsi="Arial" w:cs="Arial"/>
        </w:rPr>
        <w:t>Tribunal Estatal Electoral de Guanajuato</w:t>
      </w:r>
      <w:r w:rsidR="004A6FAC" w:rsidRPr="00475514">
        <w:rPr>
          <w:rStyle w:val="Refdenotaalpie"/>
          <w:rFonts w:ascii="Arial" w:hAnsi="Arial" w:cs="Arial"/>
        </w:rPr>
        <w:footnoteReference w:id="2"/>
      </w:r>
      <w:r w:rsidR="004A6FAC" w:rsidRPr="00475514">
        <w:rPr>
          <w:rFonts w:ascii="Arial" w:hAnsi="Arial" w:cs="Arial"/>
        </w:rPr>
        <w:t xml:space="preserve">, </w:t>
      </w:r>
      <w:r w:rsidRPr="00475514">
        <w:rPr>
          <w:rFonts w:ascii="Arial" w:hAnsi="Arial" w:cs="Arial"/>
        </w:rPr>
        <w:t xml:space="preserve">en el </w:t>
      </w:r>
      <w:r w:rsidR="004A6FAC" w:rsidRPr="00475514">
        <w:rPr>
          <w:rFonts w:ascii="Arial" w:hAnsi="Arial" w:cs="Arial"/>
        </w:rPr>
        <w:t xml:space="preserve">juicio ciudadano local </w:t>
      </w:r>
      <w:bookmarkEnd w:id="0"/>
      <w:r w:rsidR="004467AD" w:rsidRPr="00475514">
        <w:rPr>
          <w:rFonts w:ascii="Arial" w:hAnsi="Arial" w:cs="Arial"/>
        </w:rPr>
        <w:t>TEEG-JPDC-50/2021 y su acumulado</w:t>
      </w:r>
      <w:r w:rsidRPr="00475514">
        <w:rPr>
          <w:rFonts w:ascii="Arial" w:hAnsi="Arial" w:cs="Arial"/>
        </w:rPr>
        <w:t>,</w:t>
      </w:r>
      <w:r w:rsidR="004A6FAC" w:rsidRPr="00475514">
        <w:rPr>
          <w:rFonts w:ascii="Arial" w:hAnsi="Arial" w:cs="Arial"/>
        </w:rPr>
        <w:t xml:space="preserve"> en el cual </w:t>
      </w:r>
      <w:r w:rsidR="004467AD" w:rsidRPr="00475514">
        <w:rPr>
          <w:rFonts w:ascii="Arial" w:hAnsi="Arial" w:cs="Arial"/>
        </w:rPr>
        <w:t>los promoventes</w:t>
      </w:r>
      <w:r w:rsidR="004A6FAC" w:rsidRPr="00475514">
        <w:rPr>
          <w:rFonts w:ascii="Arial" w:hAnsi="Arial" w:cs="Arial"/>
        </w:rPr>
        <w:t xml:space="preserve"> figura</w:t>
      </w:r>
      <w:r w:rsidR="004467AD" w:rsidRPr="00475514">
        <w:rPr>
          <w:rFonts w:ascii="Arial" w:hAnsi="Arial" w:cs="Arial"/>
        </w:rPr>
        <w:t>n</w:t>
      </w:r>
      <w:r w:rsidR="004A6FAC" w:rsidRPr="00475514">
        <w:rPr>
          <w:rFonts w:ascii="Arial" w:hAnsi="Arial" w:cs="Arial"/>
        </w:rPr>
        <w:t xml:space="preserve"> como </w:t>
      </w:r>
      <w:r w:rsidR="004467AD" w:rsidRPr="00475514">
        <w:rPr>
          <w:rFonts w:ascii="Arial" w:hAnsi="Arial" w:cs="Arial"/>
        </w:rPr>
        <w:t>actores</w:t>
      </w:r>
      <w:r w:rsidR="004A6FAC" w:rsidRPr="00475514">
        <w:rPr>
          <w:rFonts w:ascii="Arial" w:hAnsi="Arial" w:cs="Arial"/>
        </w:rPr>
        <w:t xml:space="preserve">, en el que </w:t>
      </w:r>
      <w:r w:rsidRPr="00475514">
        <w:rPr>
          <w:rFonts w:ascii="Arial" w:hAnsi="Arial" w:cs="Arial"/>
        </w:rPr>
        <w:t xml:space="preserve">determinó que </w:t>
      </w:r>
      <w:r w:rsidR="004467AD" w:rsidRPr="00475514">
        <w:rPr>
          <w:rFonts w:ascii="Arial" w:hAnsi="Arial" w:cs="Arial"/>
        </w:rPr>
        <w:t xml:space="preserve">no daba lugar favorablemente su petición (en base a lo resuelto por el </w:t>
      </w:r>
      <w:r w:rsidR="00F40E1A" w:rsidRPr="00475514">
        <w:rPr>
          <w:rFonts w:ascii="Arial" w:hAnsi="Arial" w:cs="Arial"/>
        </w:rPr>
        <w:t xml:space="preserve">órgano de justicia </w:t>
      </w:r>
      <w:proofErr w:type="spellStart"/>
      <w:r w:rsidR="00F40E1A" w:rsidRPr="00475514">
        <w:rPr>
          <w:rFonts w:ascii="Arial" w:hAnsi="Arial" w:cs="Arial"/>
        </w:rPr>
        <w:t>intapartidaria</w:t>
      </w:r>
      <w:proofErr w:type="spellEnd"/>
      <w:r w:rsidR="00F40E1A" w:rsidRPr="00475514">
        <w:rPr>
          <w:rFonts w:ascii="Arial" w:hAnsi="Arial" w:cs="Arial"/>
        </w:rPr>
        <w:t xml:space="preserve"> </w:t>
      </w:r>
      <w:r w:rsidR="004467AD" w:rsidRPr="00475514">
        <w:rPr>
          <w:rFonts w:ascii="Arial" w:hAnsi="Arial" w:cs="Arial"/>
        </w:rPr>
        <w:t>del Partido de la Revolución Democrática</w:t>
      </w:r>
      <w:r w:rsidR="004467AD" w:rsidRPr="00475514">
        <w:rPr>
          <w:rStyle w:val="Refdenotaalpie"/>
          <w:rFonts w:ascii="Arial" w:hAnsi="Arial" w:cs="Arial"/>
        </w:rPr>
        <w:footnoteReference w:id="3"/>
      </w:r>
      <w:r w:rsidR="004467AD" w:rsidRPr="00475514">
        <w:rPr>
          <w:rFonts w:ascii="Arial" w:hAnsi="Arial" w:cs="Arial"/>
        </w:rPr>
        <w:t xml:space="preserve">) respecto a solicitar al Consejo General del Instituto Electoral del </w:t>
      </w:r>
      <w:r w:rsidR="004467AD" w:rsidRPr="00475514">
        <w:rPr>
          <w:rFonts w:ascii="Arial" w:hAnsi="Arial" w:cs="Arial"/>
        </w:rPr>
        <w:lastRenderedPageBreak/>
        <w:t xml:space="preserve">Estado de Guanajuato, su registro como candidatos en la planilla del </w:t>
      </w:r>
      <w:r w:rsidR="004467AD" w:rsidRPr="00475514">
        <w:rPr>
          <w:rFonts w:ascii="Arial" w:hAnsi="Arial" w:cs="Arial"/>
          <w:i/>
          <w:iCs/>
        </w:rPr>
        <w:t>PRD</w:t>
      </w:r>
      <w:r w:rsidR="004467AD" w:rsidRPr="00475514">
        <w:rPr>
          <w:rFonts w:ascii="Arial" w:hAnsi="Arial" w:cs="Arial"/>
        </w:rPr>
        <w:t xml:space="preserve"> al Ayuntamiento de León, Guanajuato</w:t>
      </w:r>
    </w:p>
    <w:p w14:paraId="723A5840" w14:textId="0D4FD291" w:rsidR="004467AD" w:rsidRPr="00475514" w:rsidRDefault="00280958" w:rsidP="00D96E16">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Lo anterior,</w:t>
      </w:r>
      <w:r w:rsidR="00E330E1" w:rsidRPr="00475514">
        <w:rPr>
          <w:rFonts w:ascii="Arial" w:hAnsi="Arial" w:cs="Arial"/>
        </w:rPr>
        <w:t xml:space="preserve"> lo consideró así, pues desde su perspectiva,</w:t>
      </w:r>
      <w:r w:rsidRPr="00475514">
        <w:rPr>
          <w:rFonts w:ascii="Arial" w:hAnsi="Arial" w:cs="Arial"/>
        </w:rPr>
        <w:t xml:space="preserve"> </w:t>
      </w:r>
      <w:r w:rsidR="004467AD" w:rsidRPr="00475514">
        <w:rPr>
          <w:rFonts w:ascii="Arial" w:hAnsi="Arial" w:cs="Arial"/>
        </w:rPr>
        <w:t xml:space="preserve">la determinación del órgano partidista en que basaban su solicitud fue en el sentido de no solicitar ninguna modificación al Instituto Electoral del Estado de Guanajuato, porque dentro de sus razonamientos expresó que existe una falta de vinculación de ese órgano </w:t>
      </w:r>
      <w:proofErr w:type="spellStart"/>
      <w:r w:rsidR="004467AD" w:rsidRPr="00475514">
        <w:rPr>
          <w:rFonts w:ascii="Arial" w:hAnsi="Arial" w:cs="Arial"/>
        </w:rPr>
        <w:t>intrapartidario</w:t>
      </w:r>
      <w:proofErr w:type="spellEnd"/>
      <w:r w:rsidR="004467AD" w:rsidRPr="00475514">
        <w:rPr>
          <w:rFonts w:ascii="Arial" w:hAnsi="Arial" w:cs="Arial"/>
        </w:rPr>
        <w:t xml:space="preserve">  para poder interpretar y ordenar al órgano público local electoral de Guanajuato, revoque diversos acuerdos, porque ese órgano se encuentra circunscrito a los miembros y órganos del </w:t>
      </w:r>
      <w:r w:rsidR="004467AD" w:rsidRPr="00475514">
        <w:rPr>
          <w:rFonts w:ascii="Arial" w:hAnsi="Arial" w:cs="Arial"/>
          <w:i/>
          <w:iCs/>
        </w:rPr>
        <w:t>PRD</w:t>
      </w:r>
      <w:r w:rsidR="004467AD" w:rsidRPr="00475514">
        <w:rPr>
          <w:rFonts w:ascii="Arial" w:hAnsi="Arial" w:cs="Arial"/>
        </w:rPr>
        <w:t>, por lo que si estaban inconformes con tal decisión podían impugnar la misma en términos previstos de la ley.</w:t>
      </w:r>
    </w:p>
    <w:p w14:paraId="4EEE3FCA" w14:textId="3932FBCA" w:rsidR="00EC68D4" w:rsidRPr="00475514" w:rsidRDefault="00EC68D4" w:rsidP="00F41265">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 xml:space="preserve">En su demanda, </w:t>
      </w:r>
      <w:r w:rsidR="00E877B9" w:rsidRPr="00475514">
        <w:rPr>
          <w:rFonts w:ascii="Arial" w:hAnsi="Arial" w:cs="Arial"/>
        </w:rPr>
        <w:t>los promoventes</w:t>
      </w:r>
      <w:r w:rsidR="0060346E" w:rsidRPr="00475514">
        <w:rPr>
          <w:rFonts w:ascii="Arial" w:hAnsi="Arial" w:cs="Arial"/>
        </w:rPr>
        <w:t xml:space="preserve"> </w:t>
      </w:r>
      <w:r w:rsidRPr="00475514">
        <w:rPr>
          <w:rFonts w:ascii="Arial" w:hAnsi="Arial" w:cs="Arial"/>
        </w:rPr>
        <w:t>hace</w:t>
      </w:r>
      <w:r w:rsidR="004635B6" w:rsidRPr="00475514">
        <w:rPr>
          <w:rFonts w:ascii="Arial" w:hAnsi="Arial" w:cs="Arial"/>
        </w:rPr>
        <w:t>n</w:t>
      </w:r>
      <w:r w:rsidRPr="00475514">
        <w:rPr>
          <w:rFonts w:ascii="Arial" w:hAnsi="Arial" w:cs="Arial"/>
        </w:rPr>
        <w:t xml:space="preserve"> valer, esencialmente, que </w:t>
      </w:r>
      <w:r w:rsidR="004467AD" w:rsidRPr="00475514">
        <w:rPr>
          <w:rFonts w:ascii="Arial" w:hAnsi="Arial" w:cs="Arial"/>
        </w:rPr>
        <w:t xml:space="preserve">indebidamente su solicitud fue respondida de manera unilateral por el Magistrado Presidente y no por el Pleno del </w:t>
      </w:r>
      <w:r w:rsidR="004467AD" w:rsidRPr="00475514">
        <w:rPr>
          <w:rFonts w:ascii="Arial" w:hAnsi="Arial" w:cs="Arial"/>
          <w:i/>
          <w:iCs/>
        </w:rPr>
        <w:t>Tribunal Local</w:t>
      </w:r>
      <w:r w:rsidR="004467AD" w:rsidRPr="00475514">
        <w:rPr>
          <w:rFonts w:ascii="Arial" w:hAnsi="Arial" w:cs="Arial"/>
        </w:rPr>
        <w:t xml:space="preserve">, </w:t>
      </w:r>
      <w:r w:rsidR="009108EA" w:rsidRPr="00475514">
        <w:rPr>
          <w:rFonts w:ascii="Arial" w:hAnsi="Arial" w:cs="Arial"/>
        </w:rPr>
        <w:t xml:space="preserve">además de que se redujo la impugnación que presentaron a un conflicto </w:t>
      </w:r>
      <w:proofErr w:type="spellStart"/>
      <w:r w:rsidR="009108EA" w:rsidRPr="00475514">
        <w:rPr>
          <w:rFonts w:ascii="Arial" w:hAnsi="Arial" w:cs="Arial"/>
        </w:rPr>
        <w:t>intrapartidista</w:t>
      </w:r>
      <w:proofErr w:type="spellEnd"/>
      <w:r w:rsidR="009108EA" w:rsidRPr="00475514">
        <w:rPr>
          <w:rFonts w:ascii="Arial" w:hAnsi="Arial" w:cs="Arial"/>
        </w:rPr>
        <w:t xml:space="preserve">, cuando debió haber un pronunciamiento en cuanto al fondo </w:t>
      </w:r>
      <w:r w:rsidR="00F40E1A" w:rsidRPr="00475514">
        <w:rPr>
          <w:rFonts w:ascii="Arial" w:hAnsi="Arial" w:cs="Arial"/>
        </w:rPr>
        <w:t>(</w:t>
      </w:r>
      <w:r w:rsidR="009108EA" w:rsidRPr="00475514">
        <w:rPr>
          <w:rFonts w:ascii="Arial" w:hAnsi="Arial" w:cs="Arial"/>
        </w:rPr>
        <w:t xml:space="preserve">de lo resuelto </w:t>
      </w:r>
      <w:r w:rsidR="00F40E1A" w:rsidRPr="00475514">
        <w:rPr>
          <w:rFonts w:ascii="Arial" w:hAnsi="Arial" w:cs="Arial"/>
        </w:rPr>
        <w:t xml:space="preserve">por el órgano de justicia </w:t>
      </w:r>
      <w:proofErr w:type="spellStart"/>
      <w:r w:rsidR="00F40E1A" w:rsidRPr="00475514">
        <w:rPr>
          <w:rFonts w:ascii="Arial" w:hAnsi="Arial" w:cs="Arial"/>
        </w:rPr>
        <w:t>intapartidaria</w:t>
      </w:r>
      <w:proofErr w:type="spellEnd"/>
      <w:r w:rsidR="00F40E1A" w:rsidRPr="00475514">
        <w:rPr>
          <w:rFonts w:ascii="Arial" w:hAnsi="Arial" w:cs="Arial"/>
        </w:rPr>
        <w:t xml:space="preserve"> del </w:t>
      </w:r>
      <w:r w:rsidR="00F40E1A" w:rsidRPr="00475514">
        <w:rPr>
          <w:rFonts w:ascii="Arial" w:hAnsi="Arial" w:cs="Arial"/>
          <w:i/>
          <w:iCs/>
        </w:rPr>
        <w:t>PRD)</w:t>
      </w:r>
      <w:r w:rsidR="00F40E1A" w:rsidRPr="00475514">
        <w:rPr>
          <w:rFonts w:ascii="Arial" w:hAnsi="Arial" w:cs="Arial"/>
        </w:rPr>
        <w:t xml:space="preserve"> </w:t>
      </w:r>
      <w:r w:rsidR="009108EA" w:rsidRPr="00475514">
        <w:rPr>
          <w:rFonts w:ascii="Arial" w:hAnsi="Arial" w:cs="Arial"/>
        </w:rPr>
        <w:t xml:space="preserve">por </w:t>
      </w:r>
      <w:r w:rsidR="00F40E1A" w:rsidRPr="00475514">
        <w:rPr>
          <w:rFonts w:ascii="Arial" w:hAnsi="Arial" w:cs="Arial"/>
        </w:rPr>
        <w:t>parte d</w:t>
      </w:r>
      <w:r w:rsidR="009108EA" w:rsidRPr="00475514">
        <w:rPr>
          <w:rFonts w:ascii="Arial" w:hAnsi="Arial" w:cs="Arial"/>
        </w:rPr>
        <w:t xml:space="preserve">el </w:t>
      </w:r>
      <w:r w:rsidR="009108EA" w:rsidRPr="00475514">
        <w:rPr>
          <w:rFonts w:ascii="Arial" w:hAnsi="Arial" w:cs="Arial"/>
          <w:i/>
          <w:iCs/>
        </w:rPr>
        <w:t>Tribunal Local</w:t>
      </w:r>
      <w:r w:rsidR="00F40E1A" w:rsidRPr="00475514">
        <w:rPr>
          <w:rFonts w:ascii="Arial" w:hAnsi="Arial" w:cs="Arial"/>
          <w:i/>
          <w:iCs/>
        </w:rPr>
        <w:t>.</w:t>
      </w:r>
    </w:p>
    <w:p w14:paraId="66472038" w14:textId="358E9AE3" w:rsidR="00F40E1A" w:rsidRPr="00475514" w:rsidRDefault="00EC68D4" w:rsidP="00EC68D4">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 xml:space="preserve">De lo anterior, se advierte que la pretensión </w:t>
      </w:r>
      <w:r w:rsidR="00F41265" w:rsidRPr="00475514">
        <w:rPr>
          <w:rFonts w:ascii="Arial" w:hAnsi="Arial" w:cs="Arial"/>
        </w:rPr>
        <w:t xml:space="preserve">de la promovente </w:t>
      </w:r>
      <w:r w:rsidRPr="00475514">
        <w:rPr>
          <w:rFonts w:ascii="Arial" w:hAnsi="Arial" w:cs="Arial"/>
        </w:rPr>
        <w:t xml:space="preserve">consiste en que </w:t>
      </w:r>
      <w:r w:rsidRPr="00475514">
        <w:rPr>
          <w:rFonts w:ascii="Arial" w:hAnsi="Arial" w:cs="Arial"/>
          <w:b/>
          <w:bCs/>
        </w:rPr>
        <w:t xml:space="preserve">se deje sin efectos </w:t>
      </w:r>
      <w:r w:rsidRPr="00475514">
        <w:rPr>
          <w:rFonts w:ascii="Arial" w:hAnsi="Arial" w:cs="Arial"/>
        </w:rPr>
        <w:t xml:space="preserve">el acuerdo dictado por </w:t>
      </w:r>
      <w:r w:rsidR="00F41265" w:rsidRPr="00475514">
        <w:rPr>
          <w:rFonts w:ascii="Arial" w:hAnsi="Arial" w:cs="Arial"/>
        </w:rPr>
        <w:t xml:space="preserve">el </w:t>
      </w:r>
      <w:r w:rsidR="00E9144D" w:rsidRPr="00475514">
        <w:rPr>
          <w:rFonts w:ascii="Arial" w:hAnsi="Arial" w:cs="Arial"/>
        </w:rPr>
        <w:t>Magistrado</w:t>
      </w:r>
      <w:r w:rsidRPr="00475514">
        <w:rPr>
          <w:rFonts w:ascii="Arial" w:hAnsi="Arial" w:cs="Arial"/>
        </w:rPr>
        <w:t xml:space="preserve"> </w:t>
      </w:r>
      <w:r w:rsidR="00F41265" w:rsidRPr="00475514">
        <w:rPr>
          <w:rFonts w:ascii="Arial" w:hAnsi="Arial" w:cs="Arial"/>
        </w:rPr>
        <w:t>Presidente</w:t>
      </w:r>
      <w:r w:rsidR="00167417" w:rsidRPr="00475514">
        <w:rPr>
          <w:rFonts w:ascii="Arial" w:hAnsi="Arial" w:cs="Arial"/>
        </w:rPr>
        <w:t xml:space="preserve"> </w:t>
      </w:r>
      <w:r w:rsidRPr="00475514">
        <w:rPr>
          <w:rFonts w:ascii="Arial" w:hAnsi="Arial" w:cs="Arial"/>
        </w:rPr>
        <w:t>y</w:t>
      </w:r>
      <w:r w:rsidR="00167417" w:rsidRPr="00475514">
        <w:rPr>
          <w:rFonts w:ascii="Arial" w:hAnsi="Arial" w:cs="Arial"/>
        </w:rPr>
        <w:t>,</w:t>
      </w:r>
      <w:r w:rsidRPr="00475514">
        <w:rPr>
          <w:rFonts w:ascii="Arial" w:hAnsi="Arial" w:cs="Arial"/>
        </w:rPr>
        <w:t xml:space="preserve"> </w:t>
      </w:r>
      <w:r w:rsidR="00F41265" w:rsidRPr="00475514">
        <w:rPr>
          <w:rFonts w:ascii="Arial" w:hAnsi="Arial" w:cs="Arial"/>
        </w:rPr>
        <w:t>en vía de consecuencia</w:t>
      </w:r>
      <w:r w:rsidR="00863228" w:rsidRPr="00475514">
        <w:rPr>
          <w:rFonts w:ascii="Arial" w:hAnsi="Arial" w:cs="Arial"/>
        </w:rPr>
        <w:t>,</w:t>
      </w:r>
      <w:r w:rsidR="00F41265" w:rsidRPr="00475514">
        <w:rPr>
          <w:rFonts w:ascii="Arial" w:hAnsi="Arial" w:cs="Arial"/>
        </w:rPr>
        <w:t xml:space="preserve"> se proceda </w:t>
      </w:r>
      <w:r w:rsidR="00167417" w:rsidRPr="00475514">
        <w:rPr>
          <w:rFonts w:ascii="Arial" w:hAnsi="Arial" w:cs="Arial"/>
        </w:rPr>
        <w:t xml:space="preserve">al análisis </w:t>
      </w:r>
      <w:r w:rsidR="00F40E1A" w:rsidRPr="00475514">
        <w:rPr>
          <w:rFonts w:ascii="Arial" w:hAnsi="Arial" w:cs="Arial"/>
        </w:rPr>
        <w:t xml:space="preserve">de la impugnación presentada en contra de lo resuelto por el órgano de justicia </w:t>
      </w:r>
      <w:proofErr w:type="spellStart"/>
      <w:r w:rsidR="00F40E1A" w:rsidRPr="00475514">
        <w:rPr>
          <w:rFonts w:ascii="Arial" w:hAnsi="Arial" w:cs="Arial"/>
        </w:rPr>
        <w:t>intapartidaria</w:t>
      </w:r>
      <w:proofErr w:type="spellEnd"/>
      <w:r w:rsidR="00F40E1A" w:rsidRPr="00475514">
        <w:rPr>
          <w:rFonts w:ascii="Arial" w:hAnsi="Arial" w:cs="Arial"/>
        </w:rPr>
        <w:t xml:space="preserve"> del </w:t>
      </w:r>
      <w:r w:rsidR="00F40E1A" w:rsidRPr="00475514">
        <w:rPr>
          <w:rFonts w:ascii="Arial" w:hAnsi="Arial" w:cs="Arial"/>
          <w:i/>
          <w:iCs/>
        </w:rPr>
        <w:t>PRD</w:t>
      </w:r>
      <w:r w:rsidR="00F40E1A" w:rsidRPr="00475514">
        <w:rPr>
          <w:rFonts w:ascii="Arial" w:hAnsi="Arial" w:cs="Arial"/>
        </w:rPr>
        <w:t>.</w:t>
      </w:r>
    </w:p>
    <w:p w14:paraId="4008A993" w14:textId="18CFD8E2" w:rsidR="00EC68D4" w:rsidRPr="00475514" w:rsidRDefault="00EC68D4" w:rsidP="00EC68D4">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 xml:space="preserve">Al respecto, esta Sala Regional considera </w:t>
      </w:r>
      <w:r w:rsidRPr="00475514">
        <w:rPr>
          <w:rFonts w:ascii="Arial" w:hAnsi="Arial" w:cs="Arial"/>
          <w:b/>
          <w:bCs/>
        </w:rPr>
        <w:t>que corresponde al Pleno</w:t>
      </w:r>
      <w:r w:rsidRPr="00475514">
        <w:rPr>
          <w:rFonts w:ascii="Arial" w:hAnsi="Arial" w:cs="Arial"/>
        </w:rPr>
        <w:t xml:space="preserve">, como máxima autoridad del </w:t>
      </w:r>
      <w:r w:rsidRPr="00475514">
        <w:rPr>
          <w:rFonts w:ascii="Arial" w:hAnsi="Arial" w:cs="Arial"/>
          <w:i/>
        </w:rPr>
        <w:t xml:space="preserve">Tribunal </w:t>
      </w:r>
      <w:r w:rsidR="00F40E1A" w:rsidRPr="00475514">
        <w:rPr>
          <w:rFonts w:ascii="Arial" w:hAnsi="Arial" w:cs="Arial"/>
          <w:i/>
        </w:rPr>
        <w:t>L</w:t>
      </w:r>
      <w:r w:rsidRPr="00475514">
        <w:rPr>
          <w:rFonts w:ascii="Arial" w:hAnsi="Arial" w:cs="Arial"/>
          <w:i/>
        </w:rPr>
        <w:t>ocal</w:t>
      </w:r>
      <w:r w:rsidRPr="00475514">
        <w:rPr>
          <w:rFonts w:ascii="Arial" w:hAnsi="Arial" w:cs="Arial"/>
        </w:rPr>
        <w:t xml:space="preserve">, conocer y resolver la controversia planteada, al tratarse de un acuerdo dictado por una de las magistraturas que lo integra, en su calidad de </w:t>
      </w:r>
      <w:r w:rsidR="00167417" w:rsidRPr="00475514">
        <w:rPr>
          <w:rFonts w:ascii="Arial" w:hAnsi="Arial" w:cs="Arial"/>
        </w:rPr>
        <w:t>Magistrado Presidente</w:t>
      </w:r>
      <w:r w:rsidRPr="00475514">
        <w:rPr>
          <w:rFonts w:ascii="Arial" w:hAnsi="Arial" w:cs="Arial"/>
        </w:rPr>
        <w:t xml:space="preserve">, el cual puede ser susceptible de modificación por decisión que adopten </w:t>
      </w:r>
      <w:r w:rsidR="00E9144D" w:rsidRPr="00475514">
        <w:rPr>
          <w:rFonts w:ascii="Arial" w:hAnsi="Arial" w:cs="Arial"/>
        </w:rPr>
        <w:t xml:space="preserve">los </w:t>
      </w:r>
      <w:r w:rsidRPr="00475514">
        <w:rPr>
          <w:rFonts w:ascii="Arial" w:hAnsi="Arial" w:cs="Arial"/>
        </w:rPr>
        <w:t>integrantes de ese órgano colegiado</w:t>
      </w:r>
      <w:bookmarkStart w:id="1" w:name="_ftnref3"/>
      <w:bookmarkEnd w:id="1"/>
      <w:r w:rsidR="00167417" w:rsidRPr="00475514">
        <w:rPr>
          <w:rStyle w:val="Refdenotaalpie"/>
          <w:rFonts w:ascii="Arial" w:hAnsi="Arial" w:cs="Arial"/>
        </w:rPr>
        <w:footnoteReference w:id="4"/>
      </w:r>
      <w:r w:rsidRPr="00475514">
        <w:rPr>
          <w:rFonts w:ascii="Arial" w:hAnsi="Arial" w:cs="Arial"/>
          <w:i/>
          <w:iCs/>
        </w:rPr>
        <w:t>.</w:t>
      </w:r>
    </w:p>
    <w:p w14:paraId="275E53CE" w14:textId="2970D751" w:rsidR="00EC68D4" w:rsidRPr="00475514" w:rsidRDefault="00EC68D4" w:rsidP="00EC68D4">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 xml:space="preserve">Lo anterior, aun cuando no esté previsto en su normativa una vía o procedimiento específico, toda vez que, </w:t>
      </w:r>
      <w:r w:rsidR="00167417" w:rsidRPr="00475514">
        <w:rPr>
          <w:rFonts w:ascii="Arial" w:hAnsi="Arial" w:cs="Arial"/>
        </w:rPr>
        <w:t xml:space="preserve">es </w:t>
      </w:r>
      <w:r w:rsidRPr="00475514">
        <w:rPr>
          <w:rFonts w:ascii="Arial" w:hAnsi="Arial" w:cs="Arial"/>
        </w:rPr>
        <w:t xml:space="preserve">criterio de </w:t>
      </w:r>
      <w:r w:rsidR="00167417" w:rsidRPr="00475514">
        <w:rPr>
          <w:rFonts w:ascii="Arial" w:hAnsi="Arial" w:cs="Arial"/>
        </w:rPr>
        <w:t>esta Sala Regional</w:t>
      </w:r>
      <w:r w:rsidRPr="00475514">
        <w:rPr>
          <w:rFonts w:ascii="Arial" w:hAnsi="Arial" w:cs="Arial"/>
        </w:rPr>
        <w:t xml:space="preserve">, </w:t>
      </w:r>
      <w:r w:rsidR="00167417" w:rsidRPr="00475514">
        <w:rPr>
          <w:rFonts w:ascii="Arial" w:hAnsi="Arial" w:cs="Arial"/>
        </w:rPr>
        <w:t xml:space="preserve">que </w:t>
      </w:r>
      <w:r w:rsidRPr="00475514">
        <w:rPr>
          <w:rFonts w:ascii="Arial" w:hAnsi="Arial" w:cs="Arial"/>
        </w:rPr>
        <w:t xml:space="preserve">los órganos jurisdiccionales locales deben garantizar el derecho de acceso a la justicia y tutela judicial efectiva de los promoventes, por lo que deben </w:t>
      </w:r>
      <w:r w:rsidRPr="00475514">
        <w:rPr>
          <w:rFonts w:ascii="Arial" w:hAnsi="Arial" w:cs="Arial"/>
        </w:rPr>
        <w:lastRenderedPageBreak/>
        <w:t>implementar un medio de impugnación idóneo para controvertir sus determinaciones</w:t>
      </w:r>
      <w:bookmarkStart w:id="2" w:name="_ftnref4"/>
      <w:bookmarkEnd w:id="2"/>
      <w:r w:rsidR="00167417" w:rsidRPr="00475514">
        <w:rPr>
          <w:rStyle w:val="Refdenotaalpie"/>
          <w:rFonts w:ascii="Arial" w:hAnsi="Arial" w:cs="Arial"/>
        </w:rPr>
        <w:footnoteReference w:id="5"/>
      </w:r>
      <w:r w:rsidRPr="00475514">
        <w:rPr>
          <w:rFonts w:ascii="Arial" w:hAnsi="Arial" w:cs="Arial"/>
        </w:rPr>
        <w:t xml:space="preserve"> y así garantizar el federalismo judicial</w:t>
      </w:r>
      <w:bookmarkStart w:id="3" w:name="_ftnref5"/>
      <w:bookmarkEnd w:id="3"/>
      <w:r w:rsidR="00167417" w:rsidRPr="00475514">
        <w:rPr>
          <w:rStyle w:val="Refdenotaalpie"/>
          <w:rFonts w:ascii="Arial" w:hAnsi="Arial" w:cs="Arial"/>
        </w:rPr>
        <w:footnoteReference w:id="6"/>
      </w:r>
      <w:r w:rsidRPr="00475514">
        <w:rPr>
          <w:rFonts w:ascii="Arial" w:hAnsi="Arial" w:cs="Arial"/>
        </w:rPr>
        <w:t>.</w:t>
      </w:r>
    </w:p>
    <w:p w14:paraId="68C1D2C9" w14:textId="29EC4BF2" w:rsidR="00EC68D4" w:rsidRPr="00475514" w:rsidRDefault="00EC68D4" w:rsidP="00EC68D4">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 xml:space="preserve">De ahí que el presente juicio resulte </w:t>
      </w:r>
      <w:r w:rsidRPr="00475514">
        <w:rPr>
          <w:rFonts w:ascii="Arial" w:hAnsi="Arial" w:cs="Arial"/>
          <w:b/>
          <w:bCs/>
        </w:rPr>
        <w:t xml:space="preserve">improcedente, </w:t>
      </w:r>
      <w:r w:rsidRPr="00475514">
        <w:rPr>
          <w:rFonts w:ascii="Arial" w:hAnsi="Arial" w:cs="Arial"/>
        </w:rPr>
        <w:t>en virtud de que el acuerdo impugnado no es definitivo ni firme</w:t>
      </w:r>
      <w:r w:rsidR="00167417" w:rsidRPr="00475514">
        <w:rPr>
          <w:rFonts w:ascii="Arial" w:hAnsi="Arial" w:cs="Arial"/>
        </w:rPr>
        <w:t xml:space="preserve"> y,</w:t>
      </w:r>
      <w:r w:rsidRPr="00475514">
        <w:rPr>
          <w:rFonts w:ascii="Arial" w:hAnsi="Arial" w:cs="Arial"/>
        </w:rPr>
        <w:t xml:space="preserve"> en todo caso, será hasta que el Pleno del </w:t>
      </w:r>
      <w:r w:rsidRPr="00475514">
        <w:rPr>
          <w:rFonts w:ascii="Arial" w:hAnsi="Arial" w:cs="Arial"/>
          <w:i/>
        </w:rPr>
        <w:t xml:space="preserve">Tribunal </w:t>
      </w:r>
      <w:r w:rsidR="00702DE6" w:rsidRPr="00475514">
        <w:rPr>
          <w:rFonts w:ascii="Arial" w:hAnsi="Arial" w:cs="Arial"/>
          <w:i/>
        </w:rPr>
        <w:t>L</w:t>
      </w:r>
      <w:r w:rsidRPr="00475514">
        <w:rPr>
          <w:rFonts w:ascii="Arial" w:hAnsi="Arial" w:cs="Arial"/>
          <w:i/>
        </w:rPr>
        <w:t>ocal</w:t>
      </w:r>
      <w:r w:rsidRPr="00475514">
        <w:rPr>
          <w:rFonts w:ascii="Arial" w:hAnsi="Arial" w:cs="Arial"/>
        </w:rPr>
        <w:t xml:space="preserve"> resuelva sobre la legalidad del acto controvertido, cuando </w:t>
      </w:r>
      <w:r w:rsidR="00702DE6" w:rsidRPr="00475514">
        <w:rPr>
          <w:rFonts w:ascii="Arial" w:hAnsi="Arial" w:cs="Arial"/>
        </w:rPr>
        <w:t>los promoventes</w:t>
      </w:r>
      <w:r w:rsidR="00167417" w:rsidRPr="00475514">
        <w:rPr>
          <w:rFonts w:ascii="Arial" w:hAnsi="Arial" w:cs="Arial"/>
        </w:rPr>
        <w:t xml:space="preserve"> </w:t>
      </w:r>
      <w:r w:rsidRPr="00475514">
        <w:rPr>
          <w:rFonts w:ascii="Arial" w:hAnsi="Arial" w:cs="Arial"/>
        </w:rPr>
        <w:t>esté</w:t>
      </w:r>
      <w:r w:rsidR="00702DE6" w:rsidRPr="00475514">
        <w:rPr>
          <w:rFonts w:ascii="Arial" w:hAnsi="Arial" w:cs="Arial"/>
        </w:rPr>
        <w:t>n</w:t>
      </w:r>
      <w:r w:rsidRPr="00475514">
        <w:rPr>
          <w:rFonts w:ascii="Arial" w:hAnsi="Arial" w:cs="Arial"/>
        </w:rPr>
        <w:t xml:space="preserve"> en posibilidad de acudir a este órgano jurisdiccional, de así estimarlo conveniente.</w:t>
      </w:r>
    </w:p>
    <w:p w14:paraId="175E51C0" w14:textId="6FB94571" w:rsidR="002718E5" w:rsidRPr="00475514" w:rsidRDefault="002718E5" w:rsidP="00EC68D4">
      <w:pPr>
        <w:pStyle w:val="NormalWeb"/>
        <w:shd w:val="clear" w:color="auto" w:fill="FFFFFF"/>
        <w:spacing w:before="0" w:beforeAutospacing="0" w:after="240" w:afterAutospacing="0" w:line="360" w:lineRule="auto"/>
        <w:jc w:val="both"/>
        <w:rPr>
          <w:rFonts w:ascii="Arial" w:hAnsi="Arial" w:cs="Arial"/>
        </w:rPr>
      </w:pPr>
      <w:r w:rsidRPr="00475514">
        <w:rPr>
          <w:rFonts w:ascii="Arial" w:hAnsi="Arial" w:cs="Arial"/>
        </w:rPr>
        <w:t>Similar criterio fue sostenido por esta Sala Regional en el acuerdo de siete de mayo del año en curso, dictado en el diverso expediente</w:t>
      </w:r>
      <w:r w:rsidRPr="00475514">
        <w:t xml:space="preserve"> </w:t>
      </w:r>
      <w:r w:rsidRPr="00475514">
        <w:rPr>
          <w:rFonts w:ascii="Arial" w:hAnsi="Arial" w:cs="Arial"/>
        </w:rPr>
        <w:t xml:space="preserve">SM-JDC-355/2021. </w:t>
      </w:r>
    </w:p>
    <w:p w14:paraId="714ACA8F" w14:textId="5D49CB94" w:rsidR="003C2BB4" w:rsidRPr="00475514" w:rsidRDefault="00FD3C15" w:rsidP="00EC68D4">
      <w:pPr>
        <w:spacing w:after="240" w:line="360" w:lineRule="auto"/>
        <w:jc w:val="both"/>
        <w:rPr>
          <w:rFonts w:ascii="Arial" w:hAnsi="Arial" w:cs="Arial"/>
        </w:rPr>
      </w:pPr>
      <w:r w:rsidRPr="00475514">
        <w:rPr>
          <w:rFonts w:ascii="Arial" w:hAnsi="Arial" w:cs="Arial"/>
          <w:b/>
        </w:rPr>
        <w:t>II. Reencauzamiento.</w:t>
      </w:r>
      <w:r w:rsidRPr="00475514">
        <w:rPr>
          <w:rFonts w:ascii="Arial" w:hAnsi="Arial" w:cs="Arial"/>
        </w:rPr>
        <w:t xml:space="preserve"> </w:t>
      </w:r>
      <w:r w:rsidR="00010C73" w:rsidRPr="00475514">
        <w:rPr>
          <w:rFonts w:ascii="Arial" w:hAnsi="Arial" w:cs="Arial"/>
        </w:rPr>
        <w:t xml:space="preserve">Aun cuando el juicio ante esta Sala Regional es improcedente, con el fin de garantizar </w:t>
      </w:r>
      <w:r w:rsidR="00806C61" w:rsidRPr="00475514">
        <w:rPr>
          <w:rFonts w:ascii="Arial" w:hAnsi="Arial" w:cs="Arial"/>
        </w:rPr>
        <w:t xml:space="preserve">el derecho de acceso a la justicia, previsto en el artículo 17, párrafo segundo, de la Constitución Política de los Estados Unidos Mexicanos, </w:t>
      </w:r>
      <w:r w:rsidR="00806C61" w:rsidRPr="00475514">
        <w:rPr>
          <w:rFonts w:ascii="Arial" w:hAnsi="Arial" w:cs="Arial"/>
          <w:b/>
        </w:rPr>
        <w:t xml:space="preserve">procede reencauzar </w:t>
      </w:r>
      <w:r w:rsidR="00806C61" w:rsidRPr="00475514">
        <w:rPr>
          <w:rFonts w:ascii="Arial" w:hAnsi="Arial" w:cs="Arial"/>
        </w:rPr>
        <w:t>la demanda</w:t>
      </w:r>
      <w:r w:rsidR="00EB2AEF" w:rsidRPr="00475514">
        <w:rPr>
          <w:rFonts w:ascii="Arial" w:hAnsi="Arial" w:cs="Arial"/>
        </w:rPr>
        <w:t xml:space="preserve"> </w:t>
      </w:r>
      <w:r w:rsidR="00806C61" w:rsidRPr="00475514">
        <w:rPr>
          <w:rFonts w:ascii="Arial" w:hAnsi="Arial" w:cs="Arial"/>
        </w:rPr>
        <w:t>a</w:t>
      </w:r>
      <w:r w:rsidR="00215DAF" w:rsidRPr="00475514">
        <w:rPr>
          <w:rFonts w:ascii="Arial" w:hAnsi="Arial" w:cs="Arial"/>
        </w:rPr>
        <w:t xml:space="preserve">l </w:t>
      </w:r>
      <w:r w:rsidR="00E9144D" w:rsidRPr="00475514">
        <w:rPr>
          <w:rFonts w:ascii="Arial" w:hAnsi="Arial" w:cs="Arial"/>
          <w:i/>
          <w:iCs/>
        </w:rPr>
        <w:t xml:space="preserve">Tribunal </w:t>
      </w:r>
      <w:r w:rsidR="00E330E1" w:rsidRPr="00475514">
        <w:rPr>
          <w:rFonts w:ascii="Arial" w:hAnsi="Arial" w:cs="Arial"/>
          <w:i/>
          <w:iCs/>
        </w:rPr>
        <w:t>L</w:t>
      </w:r>
      <w:r w:rsidR="00215DAF" w:rsidRPr="00475514">
        <w:rPr>
          <w:rFonts w:ascii="Arial" w:hAnsi="Arial" w:cs="Arial"/>
          <w:i/>
          <w:iCs/>
        </w:rPr>
        <w:t>ocal</w:t>
      </w:r>
      <w:r w:rsidR="00806C61" w:rsidRPr="00475514">
        <w:rPr>
          <w:rFonts w:ascii="Arial" w:hAnsi="Arial" w:cs="Arial"/>
          <w:i/>
          <w:iCs/>
        </w:rPr>
        <w:t>,</w:t>
      </w:r>
      <w:r w:rsidR="00806C61" w:rsidRPr="00475514">
        <w:rPr>
          <w:rFonts w:ascii="Arial" w:hAnsi="Arial" w:cs="Arial"/>
        </w:rPr>
        <w:t xml:space="preserve"> </w:t>
      </w:r>
      <w:r w:rsidR="003C2BB4" w:rsidRPr="00475514">
        <w:rPr>
          <w:rFonts w:ascii="Arial" w:hAnsi="Arial" w:cs="Arial"/>
        </w:rPr>
        <w:t xml:space="preserve">para que resuelva </w:t>
      </w:r>
      <w:r w:rsidR="003C2BB4" w:rsidRPr="00475514">
        <w:rPr>
          <w:rFonts w:ascii="Arial" w:hAnsi="Arial" w:cs="Arial"/>
          <w:b/>
        </w:rPr>
        <w:t>dentro del plazo de dos días naturales</w:t>
      </w:r>
      <w:r w:rsidR="003C2BB4" w:rsidRPr="00475514">
        <w:rPr>
          <w:rFonts w:ascii="Arial" w:hAnsi="Arial" w:cs="Arial"/>
          <w:bCs/>
        </w:rPr>
        <w:t>, contados a partir de que reciba las constancias relacionadas con el medio de impugnación.</w:t>
      </w:r>
    </w:p>
    <w:p w14:paraId="385F8724" w14:textId="6E325F96" w:rsidR="00290DF2" w:rsidRPr="00475514" w:rsidRDefault="00CC2787" w:rsidP="00EC68D4">
      <w:pPr>
        <w:spacing w:after="240" w:line="360" w:lineRule="auto"/>
        <w:jc w:val="both"/>
        <w:rPr>
          <w:rFonts w:ascii="Arial" w:hAnsi="Arial" w:cs="Arial"/>
          <w:lang w:val="es-ES_tradnl"/>
        </w:rPr>
      </w:pPr>
      <w:r w:rsidRPr="00475514">
        <w:rPr>
          <w:rFonts w:ascii="Arial" w:hAnsi="Arial" w:cs="Arial"/>
          <w:bCs/>
        </w:rPr>
        <w:t>E</w:t>
      </w:r>
      <w:r w:rsidRPr="00475514">
        <w:rPr>
          <w:rFonts w:ascii="Arial" w:hAnsi="Arial" w:cs="Arial"/>
        </w:rPr>
        <w:t xml:space="preserve">n el entendido de que corresponde al citado órgano </w:t>
      </w:r>
      <w:r w:rsidR="000124D6" w:rsidRPr="00475514">
        <w:rPr>
          <w:rFonts w:ascii="Arial" w:hAnsi="Arial" w:cs="Arial"/>
        </w:rPr>
        <w:t>jurisdiccional</w:t>
      </w:r>
      <w:r w:rsidRPr="00475514">
        <w:rPr>
          <w:rFonts w:ascii="Arial" w:hAnsi="Arial" w:cs="Arial"/>
        </w:rPr>
        <w:t xml:space="preserve"> la revisión </w:t>
      </w:r>
      <w:r w:rsidR="00B32E2B" w:rsidRPr="00475514">
        <w:rPr>
          <w:rFonts w:ascii="Arial" w:hAnsi="Arial" w:cs="Arial"/>
        </w:rPr>
        <w:t xml:space="preserve">de </w:t>
      </w:r>
      <w:r w:rsidR="00E9144D" w:rsidRPr="00475514">
        <w:rPr>
          <w:rFonts w:ascii="Arial" w:hAnsi="Arial" w:cs="Arial"/>
        </w:rPr>
        <w:t xml:space="preserve">la </w:t>
      </w:r>
      <w:r w:rsidRPr="00475514">
        <w:rPr>
          <w:rFonts w:ascii="Arial" w:hAnsi="Arial" w:cs="Arial"/>
        </w:rPr>
        <w:t xml:space="preserve">procedencia del medio de </w:t>
      </w:r>
      <w:r w:rsidR="00E9144D" w:rsidRPr="00475514">
        <w:rPr>
          <w:rFonts w:ascii="Arial" w:hAnsi="Arial" w:cs="Arial"/>
        </w:rPr>
        <w:t>defensa</w:t>
      </w:r>
      <w:r w:rsidRPr="00475514">
        <w:rPr>
          <w:rFonts w:ascii="Arial" w:hAnsi="Arial" w:cs="Arial"/>
        </w:rPr>
        <w:t>, por ser el competente para ello</w:t>
      </w:r>
      <w:r w:rsidRPr="00475514">
        <w:rPr>
          <w:rStyle w:val="Refdenotaalpie"/>
          <w:rFonts w:ascii="Arial" w:hAnsi="Arial" w:cs="Arial"/>
        </w:rPr>
        <w:footnoteReference w:id="7"/>
      </w:r>
      <w:r w:rsidRPr="00475514">
        <w:rPr>
          <w:rFonts w:ascii="Arial" w:hAnsi="Arial" w:cs="Arial"/>
        </w:rPr>
        <w:t>.</w:t>
      </w:r>
      <w:r w:rsidR="005662D2" w:rsidRPr="00475514">
        <w:rPr>
          <w:rFonts w:ascii="Arial" w:hAnsi="Arial" w:cs="Arial"/>
          <w:lang w:val="es-ES_tradnl"/>
        </w:rPr>
        <w:t xml:space="preserve"> </w:t>
      </w:r>
    </w:p>
    <w:p w14:paraId="195556F8" w14:textId="334965F7" w:rsidR="005662D2" w:rsidRPr="00475514" w:rsidRDefault="005662D2" w:rsidP="00EC68D4">
      <w:pPr>
        <w:spacing w:after="240" w:line="360" w:lineRule="auto"/>
        <w:jc w:val="both"/>
        <w:rPr>
          <w:rFonts w:ascii="Arial" w:hAnsi="Arial" w:cs="Arial"/>
          <w:lang w:val="es-ES_tradnl"/>
        </w:rPr>
      </w:pPr>
      <w:r w:rsidRPr="00475514">
        <w:rPr>
          <w:rFonts w:ascii="Arial" w:hAnsi="Arial" w:cs="Arial"/>
          <w:lang w:val="es-ES_tradnl"/>
        </w:rPr>
        <w:t xml:space="preserve">Hecho lo anterior, el </w:t>
      </w:r>
      <w:r w:rsidRPr="00475514">
        <w:rPr>
          <w:rFonts w:ascii="Arial" w:hAnsi="Arial" w:cs="Arial"/>
          <w:i/>
          <w:iCs/>
          <w:lang w:val="es-ES_tradnl"/>
        </w:rPr>
        <w:t xml:space="preserve">Tribunal </w:t>
      </w:r>
      <w:r w:rsidR="00702DE6" w:rsidRPr="00475514">
        <w:rPr>
          <w:rFonts w:ascii="Arial" w:hAnsi="Arial" w:cs="Arial"/>
          <w:i/>
          <w:iCs/>
          <w:lang w:val="es-ES_tradnl"/>
        </w:rPr>
        <w:t>L</w:t>
      </w:r>
      <w:r w:rsidRPr="00475514">
        <w:rPr>
          <w:rFonts w:ascii="Arial" w:hAnsi="Arial" w:cs="Arial"/>
          <w:i/>
          <w:iCs/>
          <w:lang w:val="es-ES_tradnl"/>
        </w:rPr>
        <w:t>ocal</w:t>
      </w:r>
      <w:r w:rsidRPr="00475514">
        <w:rPr>
          <w:rFonts w:ascii="Arial" w:hAnsi="Arial" w:cs="Arial"/>
          <w:lang w:val="es-ES_tradnl"/>
        </w:rPr>
        <w:t xml:space="preserve"> deberá informarlo a esta Sala Regional dentro de las veinticuatro horas siguientes, anexando las constancias que así lo acrediten, primero, vía correo electrónico a la cuenta </w:t>
      </w:r>
      <w:r w:rsidRPr="00475514">
        <w:rPr>
          <w:rFonts w:ascii="Arial" w:hAnsi="Arial" w:cs="Arial"/>
          <w:i/>
          <w:iCs/>
          <w:lang w:val="es-ES_tradnl"/>
        </w:rPr>
        <w:t>cumplimientos.salamonterrey@te.gob.mx</w:t>
      </w:r>
      <w:r w:rsidRPr="00475514">
        <w:rPr>
          <w:rFonts w:ascii="Arial" w:hAnsi="Arial" w:cs="Arial"/>
          <w:lang w:val="es-ES_tradnl"/>
        </w:rPr>
        <w:t xml:space="preserve">, luego, en </w:t>
      </w:r>
      <w:r w:rsidR="00290DF2" w:rsidRPr="00475514">
        <w:rPr>
          <w:rFonts w:ascii="Arial" w:hAnsi="Arial" w:cs="Arial"/>
          <w:lang w:val="es-ES_tradnl"/>
        </w:rPr>
        <w:t xml:space="preserve">original o </w:t>
      </w:r>
      <w:r w:rsidRPr="00475514">
        <w:rPr>
          <w:rFonts w:ascii="Arial" w:hAnsi="Arial" w:cs="Arial"/>
          <w:lang w:val="es-ES_tradnl"/>
        </w:rPr>
        <w:t>copia certificada por el medio más rápido</w:t>
      </w:r>
      <w:r w:rsidR="001316AD" w:rsidRPr="00475514">
        <w:rPr>
          <w:rFonts w:ascii="Arial" w:hAnsi="Arial" w:cs="Arial"/>
          <w:lang w:val="es-ES_tradnl"/>
        </w:rPr>
        <w:t>.</w:t>
      </w:r>
    </w:p>
    <w:p w14:paraId="6793D891" w14:textId="10966596" w:rsidR="00995405" w:rsidRPr="00475514" w:rsidRDefault="00995405" w:rsidP="00EC68D4">
      <w:pPr>
        <w:spacing w:after="240" w:line="360" w:lineRule="auto"/>
        <w:jc w:val="both"/>
        <w:rPr>
          <w:rFonts w:ascii="Arial" w:hAnsi="Arial" w:cs="Arial"/>
        </w:rPr>
      </w:pPr>
      <w:r w:rsidRPr="00475514">
        <w:rPr>
          <w:rFonts w:ascii="Arial" w:eastAsiaTheme="minorHAnsi" w:hAnsi="Arial" w:cs="Arial"/>
          <w:lang w:val="es-MX" w:eastAsia="en-US"/>
        </w:rPr>
        <w:lastRenderedPageBreak/>
        <w:t>En caso de que se reciba documentación relacionada con la publicitación del</w:t>
      </w:r>
      <w:r w:rsidRPr="00475514">
        <w:rPr>
          <w:rFonts w:ascii="Arial" w:hAnsi="Arial" w:cs="Arial"/>
        </w:rPr>
        <w:t xml:space="preserve"> </w:t>
      </w:r>
      <w:r w:rsidRPr="00475514">
        <w:rPr>
          <w:rFonts w:ascii="Arial" w:eastAsiaTheme="minorHAnsi" w:hAnsi="Arial" w:cs="Arial"/>
          <w:lang w:val="es-MX" w:eastAsia="en-US"/>
        </w:rPr>
        <w:t xml:space="preserve">medio de defensa, remítase sin mayor trámite al </w:t>
      </w:r>
      <w:r w:rsidR="00E9144D" w:rsidRPr="00475514">
        <w:rPr>
          <w:rFonts w:ascii="Arial" w:eastAsiaTheme="minorHAnsi" w:hAnsi="Arial" w:cs="Arial"/>
          <w:i/>
          <w:iCs/>
          <w:lang w:val="es-MX" w:eastAsia="en-US"/>
        </w:rPr>
        <w:t xml:space="preserve">Tribunal </w:t>
      </w:r>
      <w:r w:rsidR="00773680" w:rsidRPr="00475514">
        <w:rPr>
          <w:rFonts w:ascii="Arial" w:eastAsiaTheme="minorHAnsi" w:hAnsi="Arial" w:cs="Arial"/>
          <w:i/>
          <w:iCs/>
          <w:lang w:val="es-MX" w:eastAsia="en-US"/>
        </w:rPr>
        <w:t>L</w:t>
      </w:r>
      <w:r w:rsidRPr="00475514">
        <w:rPr>
          <w:rFonts w:ascii="Arial" w:eastAsiaTheme="minorHAnsi" w:hAnsi="Arial" w:cs="Arial"/>
          <w:i/>
          <w:iCs/>
          <w:lang w:val="es-MX" w:eastAsia="en-US"/>
        </w:rPr>
        <w:t>ocal,</w:t>
      </w:r>
      <w:r w:rsidRPr="00475514">
        <w:rPr>
          <w:rFonts w:ascii="Arial" w:hAnsi="Arial" w:cs="Arial"/>
        </w:rPr>
        <w:t xml:space="preserve"> </w:t>
      </w:r>
      <w:r w:rsidRPr="00475514">
        <w:rPr>
          <w:rFonts w:ascii="Arial" w:eastAsiaTheme="minorHAnsi" w:hAnsi="Arial" w:cs="Arial"/>
          <w:lang w:val="es-MX" w:eastAsia="en-US"/>
        </w:rPr>
        <w:t>dejando una impresión o una copia certificada de la misma en el presente</w:t>
      </w:r>
      <w:r w:rsidRPr="00475514">
        <w:rPr>
          <w:rFonts w:ascii="Arial" w:hAnsi="Arial" w:cs="Arial"/>
        </w:rPr>
        <w:t xml:space="preserve"> </w:t>
      </w:r>
      <w:r w:rsidRPr="00475514">
        <w:rPr>
          <w:rFonts w:ascii="Arial" w:eastAsiaTheme="minorHAnsi" w:hAnsi="Arial" w:cs="Arial"/>
          <w:lang w:val="es-MX" w:eastAsia="en-US"/>
        </w:rPr>
        <w:t>expediente, según se haya recibido por correo electrónico o físicamente en la</w:t>
      </w:r>
      <w:r w:rsidRPr="00475514">
        <w:rPr>
          <w:rFonts w:ascii="Arial" w:hAnsi="Arial" w:cs="Arial"/>
        </w:rPr>
        <w:t xml:space="preserve"> </w:t>
      </w:r>
      <w:r w:rsidRPr="00475514">
        <w:rPr>
          <w:rFonts w:ascii="Arial" w:eastAsiaTheme="minorHAnsi" w:hAnsi="Arial" w:cs="Arial"/>
          <w:lang w:val="es-MX" w:eastAsia="en-US"/>
        </w:rPr>
        <w:t>Oficialía de Partes de esta Sala Regional, respectivamente.</w:t>
      </w:r>
      <w:r w:rsidRPr="00475514">
        <w:rPr>
          <w:rFonts w:ascii="Arial" w:hAnsi="Arial" w:cs="Arial"/>
        </w:rPr>
        <w:t xml:space="preserve"> </w:t>
      </w:r>
    </w:p>
    <w:p w14:paraId="2DE825FE" w14:textId="77777777" w:rsidR="00995405" w:rsidRPr="00475514" w:rsidRDefault="00995405" w:rsidP="00EC68D4">
      <w:pPr>
        <w:spacing w:after="240" w:line="360" w:lineRule="auto"/>
        <w:jc w:val="both"/>
        <w:rPr>
          <w:rFonts w:ascii="Arial" w:hAnsi="Arial" w:cs="Arial"/>
        </w:rPr>
      </w:pPr>
      <w:r w:rsidRPr="00475514">
        <w:rPr>
          <w:rFonts w:ascii="Arial" w:hAnsi="Arial" w:cs="Arial"/>
        </w:rPr>
        <w:t xml:space="preserve">A efecto de dar pleno cumplimiento a la presente determinación, se </w:t>
      </w:r>
      <w:r w:rsidRPr="00475514">
        <w:rPr>
          <w:rFonts w:ascii="Arial" w:hAnsi="Arial" w:cs="Arial"/>
          <w:b/>
        </w:rPr>
        <w:t xml:space="preserve">instruye </w:t>
      </w:r>
      <w:r w:rsidRPr="00475514">
        <w:rPr>
          <w:rFonts w:ascii="Arial" w:hAnsi="Arial" w:cs="Arial"/>
        </w:rPr>
        <w:t>a la Secretaría General de Acuerdos de esta Sala Regional para que realice las gestiones conducentes.</w:t>
      </w:r>
    </w:p>
    <w:p w14:paraId="3E0649A8" w14:textId="1325C98B" w:rsidR="00995405" w:rsidRPr="00475514" w:rsidRDefault="00324E5A" w:rsidP="00EC68D4">
      <w:pPr>
        <w:spacing w:after="240" w:line="360" w:lineRule="auto"/>
        <w:jc w:val="both"/>
        <w:rPr>
          <w:rFonts w:ascii="Arial" w:hAnsi="Arial" w:cs="Arial"/>
        </w:rPr>
      </w:pPr>
      <w:r w:rsidRPr="00475514">
        <w:rPr>
          <w:rFonts w:ascii="Arial" w:hAnsi="Arial" w:cs="Arial"/>
          <w:b/>
        </w:rPr>
        <w:t>III</w:t>
      </w:r>
      <w:r w:rsidR="00995405" w:rsidRPr="00475514">
        <w:rPr>
          <w:rFonts w:ascii="Arial" w:hAnsi="Arial" w:cs="Arial"/>
          <w:b/>
        </w:rPr>
        <w:t>. Archivo.</w:t>
      </w:r>
      <w:r w:rsidR="00995405" w:rsidRPr="00475514">
        <w:rPr>
          <w:rFonts w:ascii="Arial" w:hAnsi="Arial" w:cs="Arial"/>
        </w:rPr>
        <w:t xml:space="preserve"> En su oportunidad, archívese el expediente como asunto concluido.</w:t>
      </w:r>
    </w:p>
    <w:p w14:paraId="258693DC" w14:textId="77777777" w:rsidR="00097796" w:rsidRPr="00475514" w:rsidRDefault="00097796" w:rsidP="00EC68D4">
      <w:pPr>
        <w:spacing w:after="240" w:line="360" w:lineRule="auto"/>
        <w:jc w:val="both"/>
        <w:rPr>
          <w:rFonts w:ascii="Arial" w:hAnsi="Arial" w:cs="Arial"/>
          <w:b/>
          <w:lang w:val="es-ES_tradnl"/>
        </w:rPr>
      </w:pPr>
      <w:r w:rsidRPr="00475514">
        <w:rPr>
          <w:rFonts w:ascii="Arial" w:hAnsi="Arial" w:cs="Arial"/>
          <w:b/>
          <w:lang w:val="es-ES_tradnl"/>
        </w:rPr>
        <w:t>NOTIFÍQUESE.</w:t>
      </w:r>
    </w:p>
    <w:p w14:paraId="4454F549" w14:textId="352FEDE5" w:rsidR="00E40946" w:rsidRPr="00475514" w:rsidRDefault="00E40946" w:rsidP="00EC68D4">
      <w:pPr>
        <w:spacing w:after="240" w:line="360" w:lineRule="auto"/>
        <w:jc w:val="both"/>
        <w:rPr>
          <w:rFonts w:ascii="Arial" w:hAnsi="Arial" w:cs="Arial"/>
        </w:rPr>
      </w:pPr>
      <w:r w:rsidRPr="00475514">
        <w:rPr>
          <w:rFonts w:ascii="Arial" w:hAnsi="Arial" w:cs="Arial"/>
        </w:rPr>
        <w:t xml:space="preserve">Así lo acordaron por </w:t>
      </w:r>
      <w:r w:rsidR="008D4373" w:rsidRPr="00475514">
        <w:rPr>
          <w:rFonts w:ascii="Arial" w:hAnsi="Arial" w:cs="Arial"/>
          <w:b/>
        </w:rPr>
        <w:t>unanimidad</w:t>
      </w:r>
      <w:r w:rsidRPr="00475514">
        <w:rPr>
          <w:rFonts w:ascii="Arial" w:hAnsi="Arial" w:cs="Arial"/>
        </w:rPr>
        <w:t xml:space="preserve"> de votos, </w:t>
      </w:r>
      <w:r w:rsidR="00E9144D" w:rsidRPr="00475514">
        <w:rPr>
          <w:rFonts w:ascii="Arial" w:hAnsi="Arial" w:cs="Arial"/>
        </w:rPr>
        <w:t xml:space="preserve">la </w:t>
      </w:r>
      <w:r w:rsidRPr="00475514">
        <w:rPr>
          <w:rFonts w:ascii="Arial" w:hAnsi="Arial" w:cs="Arial"/>
        </w:rPr>
        <w:t>Magistrad</w:t>
      </w:r>
      <w:r w:rsidR="00E9144D" w:rsidRPr="00475514">
        <w:rPr>
          <w:rFonts w:ascii="Arial" w:hAnsi="Arial" w:cs="Arial"/>
        </w:rPr>
        <w:t xml:space="preserve">a y los Magistrados </w:t>
      </w:r>
      <w:r w:rsidRPr="00475514">
        <w:rPr>
          <w:rFonts w:ascii="Arial" w:hAnsi="Arial" w:cs="Arial"/>
        </w:rPr>
        <w:t>integrantes de la Sala Regional del Tribunal Electoral del Poder Judicial de la Federación, correspondiente a la Segunda Circunscripción Electoral Plurinominal, ante el Secretario General de Acuerdos, quien autoriza y da fe.</w:t>
      </w:r>
    </w:p>
    <w:p w14:paraId="1DD5F374" w14:textId="396C8F31" w:rsidR="009B2F3B" w:rsidRDefault="0001682F" w:rsidP="00A20F4B">
      <w:pPr>
        <w:spacing w:before="100" w:beforeAutospacing="1" w:after="100" w:afterAutospacing="1"/>
        <w:jc w:val="both"/>
        <w:rPr>
          <w:rFonts w:ascii="Arial" w:hAnsi="Arial" w:cs="Arial"/>
          <w:i/>
          <w:szCs w:val="22"/>
        </w:rPr>
      </w:pPr>
      <w:r w:rsidRPr="00475514">
        <w:rPr>
          <w:rFonts w:ascii="Arial" w:hAnsi="Arial" w:cs="Arial"/>
          <w:i/>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9B2F3B" w:rsidSect="00E9144D">
      <w:headerReference w:type="even" r:id="rId8"/>
      <w:headerReference w:type="default" r:id="rId9"/>
      <w:footerReference w:type="even" r:id="rId10"/>
      <w:footerReference w:type="default" r:id="rId11"/>
      <w:headerReference w:type="first" r:id="rId12"/>
      <w:pgSz w:w="12242" w:h="19295" w:code="119"/>
      <w:pgMar w:top="1134" w:right="1134" w:bottom="1985" w:left="2835"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6440" w14:textId="77777777" w:rsidR="0042070D" w:rsidRDefault="0042070D" w:rsidP="00097796">
      <w:r>
        <w:separator/>
      </w:r>
    </w:p>
  </w:endnote>
  <w:endnote w:type="continuationSeparator" w:id="0">
    <w:p w14:paraId="285E9AFA" w14:textId="77777777" w:rsidR="0042070D" w:rsidRDefault="0042070D" w:rsidP="000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8492" w14:textId="77777777" w:rsidR="00752FB9" w:rsidRDefault="00752FB9" w:rsidP="00752FB9">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05E0" w14:textId="77777777" w:rsidR="00752FB9" w:rsidRDefault="00752FB9" w:rsidP="00752FB9">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089B" w14:textId="77777777" w:rsidR="0042070D" w:rsidRDefault="0042070D" w:rsidP="00097796">
      <w:r>
        <w:separator/>
      </w:r>
    </w:p>
  </w:footnote>
  <w:footnote w:type="continuationSeparator" w:id="0">
    <w:p w14:paraId="1EBB87B8" w14:textId="77777777" w:rsidR="0042070D" w:rsidRDefault="0042070D" w:rsidP="00097796">
      <w:r>
        <w:continuationSeparator/>
      </w:r>
    </w:p>
  </w:footnote>
  <w:footnote w:id="1">
    <w:p w14:paraId="41580E2D" w14:textId="6A434707" w:rsidR="00097796" w:rsidRPr="00167417" w:rsidRDefault="00097796" w:rsidP="00167417">
      <w:pPr>
        <w:pStyle w:val="Textonotapie"/>
        <w:jc w:val="both"/>
      </w:pPr>
      <w:r w:rsidRPr="00167417">
        <w:rPr>
          <w:rStyle w:val="Refdenotaalpie"/>
        </w:rPr>
        <w:footnoteRef/>
      </w:r>
      <w:r w:rsidRPr="00167417">
        <w:t xml:space="preserve"> En lo sucesivo </w:t>
      </w:r>
      <w:r w:rsidRPr="00167417">
        <w:rPr>
          <w:i/>
        </w:rPr>
        <w:t>Ley de Medios.</w:t>
      </w:r>
    </w:p>
  </w:footnote>
  <w:footnote w:id="2">
    <w:p w14:paraId="7D4BA476" w14:textId="7B057B62" w:rsidR="004A6FAC" w:rsidRPr="00167417" w:rsidRDefault="004A6FAC" w:rsidP="00167417">
      <w:pPr>
        <w:pStyle w:val="Textonotapie"/>
        <w:jc w:val="both"/>
        <w:rPr>
          <w:lang w:val="es-MX"/>
        </w:rPr>
      </w:pPr>
      <w:r w:rsidRPr="00167417">
        <w:rPr>
          <w:rStyle w:val="Refdenotaalpie"/>
        </w:rPr>
        <w:footnoteRef/>
      </w:r>
      <w:r w:rsidRPr="00167417">
        <w:t xml:space="preserve"> </w:t>
      </w:r>
      <w:r w:rsidRPr="00167417">
        <w:rPr>
          <w:lang w:val="es-MX"/>
        </w:rPr>
        <w:t xml:space="preserve">En lo subsecuente </w:t>
      </w:r>
      <w:r w:rsidRPr="00167417">
        <w:rPr>
          <w:i/>
          <w:lang w:val="es-MX"/>
        </w:rPr>
        <w:t xml:space="preserve">Tribunal </w:t>
      </w:r>
      <w:r w:rsidR="00702DE6">
        <w:rPr>
          <w:i/>
          <w:lang w:val="es-MX"/>
        </w:rPr>
        <w:t>L</w:t>
      </w:r>
      <w:r w:rsidRPr="00167417">
        <w:rPr>
          <w:i/>
          <w:lang w:val="es-MX"/>
        </w:rPr>
        <w:t>ocal.</w:t>
      </w:r>
    </w:p>
  </w:footnote>
  <w:footnote w:id="3">
    <w:p w14:paraId="3172DA5D" w14:textId="6B02B501" w:rsidR="004467AD" w:rsidRPr="004467AD" w:rsidRDefault="004467AD">
      <w:pPr>
        <w:pStyle w:val="Textonotapie"/>
        <w:rPr>
          <w:lang w:val="es-MX"/>
        </w:rPr>
      </w:pPr>
      <w:r>
        <w:rPr>
          <w:rStyle w:val="Refdenotaalpie"/>
        </w:rPr>
        <w:footnoteRef/>
      </w:r>
      <w:r>
        <w:t xml:space="preserve"> </w:t>
      </w:r>
      <w:r>
        <w:rPr>
          <w:lang w:val="es-MX"/>
        </w:rPr>
        <w:t xml:space="preserve">En adelante </w:t>
      </w:r>
      <w:r w:rsidRPr="004467AD">
        <w:rPr>
          <w:i/>
          <w:iCs/>
          <w:lang w:val="es-MX"/>
        </w:rPr>
        <w:t>PRD</w:t>
      </w:r>
      <w:r>
        <w:rPr>
          <w:lang w:val="es-MX"/>
        </w:rPr>
        <w:t>.</w:t>
      </w:r>
    </w:p>
  </w:footnote>
  <w:footnote w:id="4">
    <w:p w14:paraId="209BBA9E" w14:textId="69834F63" w:rsidR="00167417" w:rsidRPr="002E32D6" w:rsidRDefault="00167417" w:rsidP="00167417">
      <w:pPr>
        <w:pStyle w:val="Textonotapie"/>
        <w:jc w:val="both"/>
        <w:rPr>
          <w:lang w:val="es-MX"/>
        </w:rPr>
      </w:pPr>
      <w:r w:rsidRPr="00167417">
        <w:rPr>
          <w:rStyle w:val="Refdenotaalpie"/>
        </w:rPr>
        <w:footnoteRef/>
      </w:r>
      <w:r w:rsidRPr="00167417">
        <w:t xml:space="preserve"> </w:t>
      </w:r>
      <w:r w:rsidRPr="00167417">
        <w:rPr>
          <w:rFonts w:cs="Arial"/>
          <w:shd w:val="clear" w:color="auto" w:fill="FFFFFF"/>
        </w:rPr>
        <w:t>Conforme a lo dispuesto por el artículo</w:t>
      </w:r>
      <w:r w:rsidR="00E86A99">
        <w:rPr>
          <w:rFonts w:cs="Arial"/>
          <w:shd w:val="clear" w:color="auto" w:fill="FFFFFF"/>
        </w:rPr>
        <w:t xml:space="preserve"> 9 del Reglamento Interior del </w:t>
      </w:r>
      <w:r w:rsidR="00E86A99" w:rsidRPr="002E32D6">
        <w:rPr>
          <w:rFonts w:cs="Arial"/>
          <w:i/>
          <w:iCs/>
          <w:shd w:val="clear" w:color="auto" w:fill="FFFFFF"/>
        </w:rPr>
        <w:t>Tribunal Local</w:t>
      </w:r>
      <w:r w:rsidR="002E32D6">
        <w:rPr>
          <w:rFonts w:cs="Arial"/>
          <w:shd w:val="clear" w:color="auto" w:fill="FFFFFF"/>
        </w:rPr>
        <w:t>, que señala que e</w:t>
      </w:r>
      <w:r w:rsidR="00E86A99" w:rsidRPr="002E32D6">
        <w:rPr>
          <w:rFonts w:cs="Arial"/>
          <w:shd w:val="clear" w:color="auto" w:fill="FFFFFF"/>
        </w:rPr>
        <w:t>l Pleno es la máxima autoridad del Tribunal y se integra por tres Magistrados Electorales que actuarán en forma colegiada.</w:t>
      </w:r>
    </w:p>
  </w:footnote>
  <w:footnote w:id="5">
    <w:p w14:paraId="77DF70AD" w14:textId="50E982D4" w:rsidR="00167417" w:rsidRPr="00167417" w:rsidRDefault="00167417" w:rsidP="00167417">
      <w:pPr>
        <w:pStyle w:val="Textonotapie"/>
        <w:jc w:val="both"/>
        <w:rPr>
          <w:lang w:val="es-MX"/>
        </w:rPr>
      </w:pPr>
      <w:r w:rsidRPr="00167417">
        <w:rPr>
          <w:rStyle w:val="Refdenotaalpie"/>
        </w:rPr>
        <w:footnoteRef/>
      </w:r>
      <w:r w:rsidRPr="00167417">
        <w:t xml:space="preserve"> </w:t>
      </w:r>
      <w:r w:rsidRPr="00167417">
        <w:rPr>
          <w:rFonts w:cs="Arial"/>
          <w:shd w:val="clear" w:color="auto" w:fill="FFFFFF"/>
        </w:rPr>
        <w:t>Véase la jurisprudencia 14/2014 de la Sala Superior, de rubro: MEDIOS DE IMPUGNACIÓN EN MATERIA ELECTORAL. ANTE SU FALTA DE PREVISIÓN EN LA NORMATIVA LOCAL, LA AUTORIDAD ELECTORAL ESTATAL O DEL DISTRITO FEDERAL COMPETENTE DEBE IMPLEMENTAR UN PROCEDIMIENTO IDÓNEO, publicada en </w:t>
      </w:r>
      <w:r w:rsidRPr="00167417">
        <w:rPr>
          <w:rFonts w:cs="Arial"/>
          <w:i/>
          <w:iCs/>
          <w:shd w:val="clear" w:color="auto" w:fill="FFFFFF"/>
        </w:rPr>
        <w:t>Justicia Electoral. </w:t>
      </w:r>
      <w:r w:rsidRPr="00167417">
        <w:rPr>
          <w:rFonts w:cs="Arial"/>
          <w:shd w:val="clear" w:color="auto" w:fill="FFFFFF"/>
        </w:rPr>
        <w:t>Revista del Tribunal Electoral del Poder Judicial de la Federación, suplemento 15, año 2014, pp. 46, 47 y 48.</w:t>
      </w:r>
    </w:p>
  </w:footnote>
  <w:footnote w:id="6">
    <w:p w14:paraId="6900F618" w14:textId="1C775518" w:rsidR="00167417" w:rsidRPr="00167417" w:rsidRDefault="00167417" w:rsidP="00167417">
      <w:pPr>
        <w:pStyle w:val="Textonotapie"/>
        <w:jc w:val="both"/>
        <w:rPr>
          <w:lang w:val="es-MX"/>
        </w:rPr>
      </w:pPr>
      <w:r w:rsidRPr="00167417">
        <w:rPr>
          <w:rStyle w:val="Refdenotaalpie"/>
        </w:rPr>
        <w:footnoteRef/>
      </w:r>
      <w:r w:rsidRPr="00167417">
        <w:t xml:space="preserve"> </w:t>
      </w:r>
      <w:bookmarkStart w:id="4" w:name="_Hlk39055534"/>
      <w:r w:rsidRPr="00167417">
        <w:rPr>
          <w:rFonts w:cs="Arial"/>
          <w:shd w:val="clear" w:color="auto" w:fill="FFFFFF"/>
        </w:rPr>
        <w:t>Resulta aplicable la tesis de jurisprudencia 15/2014 emitida por la Sala Superior, de rubro: FEDERALISMO JUDICIAL. SE GARANTIZA A TRAVÉS DEL REENCAUZAMIENTO DE ASUNTOS A LA AUTORIDAD LOCAL COMPETENTE AUN CUANDO NO ESTÉ PREVISTA UNA VÍA O MEDIO DE IMPUGNACIÓN ESPECÍFICO PARA IMPUGNAR EL ACTO RECLAMADO, publicada en </w:t>
      </w:r>
      <w:r w:rsidRPr="00167417">
        <w:rPr>
          <w:rFonts w:cs="Arial"/>
          <w:i/>
          <w:iCs/>
          <w:shd w:val="clear" w:color="auto" w:fill="FFFFFF"/>
        </w:rPr>
        <w:t>Gaceta de Jurisprudencia y Tesis en materia electoral</w:t>
      </w:r>
      <w:r w:rsidRPr="00167417">
        <w:rPr>
          <w:rFonts w:cs="Arial"/>
          <w:shd w:val="clear" w:color="auto" w:fill="FFFFFF"/>
        </w:rPr>
        <w:t>, Tribunal Electoral del Poder Judicial de la Federación, año 7, número 15, 2014, p.p. 38, 39 y 40.</w:t>
      </w:r>
      <w:bookmarkEnd w:id="4"/>
    </w:p>
  </w:footnote>
  <w:footnote w:id="7">
    <w:p w14:paraId="1680905B" w14:textId="77777777" w:rsidR="00CC2787" w:rsidRPr="00167417" w:rsidRDefault="00CC2787" w:rsidP="00167417">
      <w:pPr>
        <w:pStyle w:val="Textonotapie"/>
        <w:jc w:val="both"/>
        <w:rPr>
          <w:lang w:val="es-MX"/>
        </w:rPr>
      </w:pPr>
      <w:r w:rsidRPr="00167417">
        <w:rPr>
          <w:rStyle w:val="Refdenotaalpie"/>
        </w:rPr>
        <w:footnoteRef/>
      </w:r>
      <w:r w:rsidRPr="00167417">
        <w:t xml:space="preserve"> Véase jurisprudencia 9/2012, de este Tribunal Electoral, de rubro: REENCAUZAMIENTO. EL ANÁLISIS DE LA PROCEDENCIA DEL MEDIO DE IMPUGNACIÓN CORRESPONDE A LA AUTORIDAD Y ÓRGANO COMPETENTE, publicada en </w:t>
      </w:r>
      <w:r w:rsidRPr="00167417">
        <w:rPr>
          <w:i/>
        </w:rPr>
        <w:t>Gaceta de Jurisprudencia y Tesis en materia electoral</w:t>
      </w:r>
      <w:r w:rsidRPr="00167417">
        <w:t>, Tribunal Electoral del Poder Judicial de la Federación, año 5, número 10, 2012, pp. 34 y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9C0C" w14:textId="6362EF95" w:rsidR="00752FB9" w:rsidRPr="00FD2F33" w:rsidRDefault="0042070D" w:rsidP="00752FB9">
    <w:pPr>
      <w:pStyle w:val="Encabezado"/>
      <w:rPr>
        <w:rFonts w:ascii="Arial" w:hAnsi="Arial" w:cs="Arial"/>
        <w:b/>
        <w:sz w:val="22"/>
      </w:rPr>
    </w:pPr>
    <w:sdt>
      <w:sdtPr>
        <w:rPr>
          <w:rFonts w:ascii="Arial" w:hAnsi="Arial" w:cs="Arial"/>
          <w:b/>
          <w:sz w:val="22"/>
          <w:szCs w:val="22"/>
        </w:rPr>
        <w:id w:val="2065671749"/>
        <w:docPartObj>
          <w:docPartGallery w:val="Page Numbers (Margins)"/>
          <w:docPartUnique/>
        </w:docPartObj>
      </w:sdtPr>
      <w:sdtEndPr/>
      <w:sdtContent>
        <w:r w:rsidR="00EE6FEE" w:rsidRPr="00B73C10">
          <w:rPr>
            <w:rFonts w:ascii="Arial" w:hAnsi="Arial" w:cs="Arial"/>
            <w:b/>
            <w:noProof/>
            <w:sz w:val="22"/>
            <w:szCs w:val="22"/>
            <w:lang w:val="es-MX" w:eastAsia="es-MX"/>
          </w:rPr>
          <mc:AlternateContent>
            <mc:Choice Requires="wps">
              <w:drawing>
                <wp:anchor distT="0" distB="0" distL="114300" distR="114300" simplePos="0" relativeHeight="251660288" behindDoc="0" locked="0" layoutInCell="0" allowOverlap="1" wp14:anchorId="49FD2AA6" wp14:editId="1059FDDF">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64"/>
                                  <w:szCs w:val="64"/>
                                </w:rPr>
                                <w:id w:val="117659854"/>
                              </w:sdtPr>
                              <w:sdtEndPr/>
                              <w:sdtContent>
                                <w:sdt>
                                  <w:sdtPr>
                                    <w:rPr>
                                      <w:rFonts w:asciiTheme="majorHAnsi" w:eastAsiaTheme="majorEastAsia" w:hAnsiTheme="majorHAnsi" w:cstheme="majorBidi"/>
                                      <w:sz w:val="64"/>
                                      <w:szCs w:val="64"/>
                                    </w:rPr>
                                    <w:id w:val="706912283"/>
                                  </w:sdtPr>
                                  <w:sdtEndPr/>
                                  <w:sdtContent>
                                    <w:p w14:paraId="21AE5D00" w14:textId="77777777" w:rsidR="00752FB9" w:rsidRPr="00C45362" w:rsidRDefault="00EE6FEE">
                                      <w:pPr>
                                        <w:jc w:val="center"/>
                                        <w:rPr>
                                          <w:rFonts w:asciiTheme="majorHAnsi" w:eastAsiaTheme="majorEastAsia" w:hAnsiTheme="majorHAnsi" w:cstheme="majorBidi"/>
                                          <w:sz w:val="64"/>
                                          <w:szCs w:val="64"/>
                                        </w:rPr>
                                      </w:pPr>
                                      <w:r w:rsidRPr="00C45362">
                                        <w:rPr>
                                          <w:rFonts w:asciiTheme="minorHAnsi" w:eastAsiaTheme="minorEastAsia" w:hAnsiTheme="minorHAnsi" w:cstheme="minorBidi"/>
                                          <w:sz w:val="64"/>
                                          <w:szCs w:val="64"/>
                                        </w:rPr>
                                        <w:fldChar w:fldCharType="begin"/>
                                      </w:r>
                                      <w:r w:rsidRPr="00C45362">
                                        <w:rPr>
                                          <w:sz w:val="64"/>
                                          <w:szCs w:val="64"/>
                                        </w:rPr>
                                        <w:instrText>PAGE   \* MERGEFORMAT</w:instrText>
                                      </w:r>
                                      <w:r w:rsidRPr="00C45362">
                                        <w:rPr>
                                          <w:rFonts w:asciiTheme="minorHAnsi" w:eastAsiaTheme="minorEastAsia" w:hAnsiTheme="minorHAnsi" w:cstheme="minorBidi"/>
                                          <w:sz w:val="64"/>
                                          <w:szCs w:val="64"/>
                                        </w:rPr>
                                        <w:fldChar w:fldCharType="separate"/>
                                      </w:r>
                                      <w:r w:rsidR="00E9144D" w:rsidRPr="00E9144D">
                                        <w:rPr>
                                          <w:rFonts w:asciiTheme="majorHAnsi" w:eastAsiaTheme="majorEastAsia" w:hAnsiTheme="majorHAnsi" w:cstheme="majorBidi"/>
                                          <w:noProof/>
                                          <w:sz w:val="64"/>
                                          <w:szCs w:val="64"/>
                                        </w:rPr>
                                        <w:t>2</w:t>
                                      </w:r>
                                      <w:r w:rsidRPr="00C45362">
                                        <w:rPr>
                                          <w:rFonts w:asciiTheme="majorHAnsi" w:eastAsiaTheme="majorEastAsia" w:hAnsiTheme="majorHAnsi" w:cstheme="majorBidi"/>
                                          <w:sz w:val="64"/>
                                          <w:szCs w:val="6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2AA6"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64"/>
                            <w:szCs w:val="64"/>
                          </w:rPr>
                          <w:id w:val="117659854"/>
                        </w:sdtPr>
                        <w:sdtEndPr/>
                        <w:sdtContent>
                          <w:sdt>
                            <w:sdtPr>
                              <w:rPr>
                                <w:rFonts w:asciiTheme="majorHAnsi" w:eastAsiaTheme="majorEastAsia" w:hAnsiTheme="majorHAnsi" w:cstheme="majorBidi"/>
                                <w:sz w:val="64"/>
                                <w:szCs w:val="64"/>
                              </w:rPr>
                              <w:id w:val="706912283"/>
                            </w:sdtPr>
                            <w:sdtEndPr/>
                            <w:sdtContent>
                              <w:p w14:paraId="21AE5D00" w14:textId="77777777" w:rsidR="00752FB9" w:rsidRPr="00C45362" w:rsidRDefault="00EE6FEE">
                                <w:pPr>
                                  <w:jc w:val="center"/>
                                  <w:rPr>
                                    <w:rFonts w:asciiTheme="majorHAnsi" w:eastAsiaTheme="majorEastAsia" w:hAnsiTheme="majorHAnsi" w:cstheme="majorBidi"/>
                                    <w:sz w:val="64"/>
                                    <w:szCs w:val="64"/>
                                  </w:rPr>
                                </w:pPr>
                                <w:r w:rsidRPr="00C45362">
                                  <w:rPr>
                                    <w:rFonts w:asciiTheme="minorHAnsi" w:eastAsiaTheme="minorEastAsia" w:hAnsiTheme="minorHAnsi" w:cstheme="minorBidi"/>
                                    <w:sz w:val="64"/>
                                    <w:szCs w:val="64"/>
                                  </w:rPr>
                                  <w:fldChar w:fldCharType="begin"/>
                                </w:r>
                                <w:r w:rsidRPr="00C45362">
                                  <w:rPr>
                                    <w:sz w:val="64"/>
                                    <w:szCs w:val="64"/>
                                  </w:rPr>
                                  <w:instrText>PAGE   \* MERGEFORMAT</w:instrText>
                                </w:r>
                                <w:r w:rsidRPr="00C45362">
                                  <w:rPr>
                                    <w:rFonts w:asciiTheme="minorHAnsi" w:eastAsiaTheme="minorEastAsia" w:hAnsiTheme="minorHAnsi" w:cstheme="minorBidi"/>
                                    <w:sz w:val="64"/>
                                    <w:szCs w:val="64"/>
                                  </w:rPr>
                                  <w:fldChar w:fldCharType="separate"/>
                                </w:r>
                                <w:r w:rsidR="00E9144D" w:rsidRPr="00E9144D">
                                  <w:rPr>
                                    <w:rFonts w:asciiTheme="majorHAnsi" w:eastAsiaTheme="majorEastAsia" w:hAnsiTheme="majorHAnsi" w:cstheme="majorBidi"/>
                                    <w:noProof/>
                                    <w:sz w:val="64"/>
                                    <w:szCs w:val="64"/>
                                  </w:rPr>
                                  <w:t>2</w:t>
                                </w:r>
                                <w:r w:rsidRPr="00C45362">
                                  <w:rPr>
                                    <w:rFonts w:asciiTheme="majorHAnsi" w:eastAsiaTheme="majorEastAsia" w:hAnsiTheme="majorHAnsi" w:cstheme="majorBidi"/>
                                    <w:sz w:val="64"/>
                                    <w:szCs w:val="64"/>
                                  </w:rPr>
                                  <w:fldChar w:fldCharType="end"/>
                                </w:r>
                              </w:p>
                            </w:sdtContent>
                          </w:sdt>
                        </w:sdtContent>
                      </w:sdt>
                    </w:txbxContent>
                  </v:textbox>
                  <w10:wrap anchorx="margin" anchory="page"/>
                </v:rect>
              </w:pict>
            </mc:Fallback>
          </mc:AlternateContent>
        </w:r>
      </w:sdtContent>
    </w:sdt>
    <w:r w:rsidR="00EE6FEE" w:rsidRPr="00FD2F33">
      <w:rPr>
        <w:rFonts w:ascii="Arial" w:hAnsi="Arial" w:cs="Arial"/>
        <w:b/>
        <w:sz w:val="22"/>
      </w:rPr>
      <w:t>SM-JDC-</w:t>
    </w:r>
    <w:r w:rsidR="00E23BD1">
      <w:rPr>
        <w:rFonts w:ascii="Arial" w:hAnsi="Arial" w:cs="Arial"/>
        <w:b/>
        <w:sz w:val="22"/>
      </w:rPr>
      <w:t>449</w:t>
    </w:r>
    <w:r w:rsidR="00EE6FEE" w:rsidRPr="00FD2F33">
      <w:rPr>
        <w:rFonts w:ascii="Arial" w:hAnsi="Arial" w:cs="Arial"/>
        <w:b/>
        <w:sz w:val="22"/>
      </w:rPr>
      <w:t>/202</w:t>
    </w:r>
    <w:r w:rsidR="003427B7" w:rsidRPr="00FD2F33">
      <w:rPr>
        <w:rFonts w:ascii="Arial" w:hAnsi="Arial" w:cs="Arial"/>
        <w:b/>
        <w:sz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B23B" w14:textId="2D861F4E" w:rsidR="00752FB9" w:rsidRPr="00FD2F33" w:rsidRDefault="00EE6FEE" w:rsidP="00752FB9">
    <w:pPr>
      <w:pStyle w:val="Encabezado"/>
      <w:jc w:val="right"/>
      <w:rPr>
        <w:rFonts w:ascii="Arial" w:hAnsi="Arial" w:cs="Arial"/>
        <w:b/>
        <w:sz w:val="22"/>
      </w:rPr>
    </w:pPr>
    <w:r>
      <w:rPr>
        <w:noProof/>
        <w:lang w:val="es-MX" w:eastAsia="es-MX"/>
      </w:rPr>
      <w:drawing>
        <wp:anchor distT="0" distB="0" distL="114300" distR="114300" simplePos="0" relativeHeight="251662336" behindDoc="1" locked="0" layoutInCell="1" allowOverlap="1" wp14:anchorId="676D0623" wp14:editId="5C915A69">
          <wp:simplePos x="0" y="0"/>
          <wp:positionH relativeFrom="column">
            <wp:posOffset>-1561465</wp:posOffset>
          </wp:positionH>
          <wp:positionV relativeFrom="paragraph">
            <wp:posOffset>-179070</wp:posOffset>
          </wp:positionV>
          <wp:extent cx="1371600" cy="1143000"/>
          <wp:effectExtent l="0" t="0" r="0" b="0"/>
          <wp:wrapTight wrapText="bothSides">
            <wp:wrapPolygon edited="0">
              <wp:start x="0" y="0"/>
              <wp:lineTo x="0" y="21240"/>
              <wp:lineTo x="21300" y="21240"/>
              <wp:lineTo x="21300" y="0"/>
              <wp:lineTo x="0" y="0"/>
            </wp:wrapPolygon>
          </wp:wrapTight>
          <wp:docPr id="9" name="Imagen 9"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trike/>
          <w:sz w:val="20"/>
          <w:szCs w:val="20"/>
        </w:rPr>
        <w:id w:val="380211856"/>
        <w:docPartObj>
          <w:docPartGallery w:val="Page Numbers (Margins)"/>
          <w:docPartUnique/>
        </w:docPartObj>
      </w:sdtPr>
      <w:sdtEndPr/>
      <w:sdtContent>
        <w:r w:rsidRPr="0055667F">
          <w:rPr>
            <w:rFonts w:ascii="Arial" w:hAnsi="Arial" w:cs="Arial"/>
            <w:b/>
            <w:strike/>
            <w:noProof/>
            <w:sz w:val="20"/>
            <w:szCs w:val="20"/>
            <w:lang w:val="es-MX" w:eastAsia="es-MX"/>
          </w:rPr>
          <mc:AlternateContent>
            <mc:Choice Requires="wps">
              <w:drawing>
                <wp:anchor distT="0" distB="0" distL="114300" distR="114300" simplePos="0" relativeHeight="251661312" behindDoc="0" locked="0" layoutInCell="0" allowOverlap="1" wp14:anchorId="4F4644FC" wp14:editId="55D1656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64"/>
                                  <w:szCs w:val="64"/>
                                </w:rPr>
                                <w:id w:val="-2052217359"/>
                              </w:sdtPr>
                              <w:sdtEndPr/>
                              <w:sdtContent>
                                <w:p w14:paraId="62C11043" w14:textId="77777777" w:rsidR="00752FB9" w:rsidRPr="00C45362" w:rsidRDefault="00EE6FEE">
                                  <w:pPr>
                                    <w:jc w:val="center"/>
                                    <w:rPr>
                                      <w:rFonts w:asciiTheme="majorHAnsi" w:eastAsiaTheme="majorEastAsia" w:hAnsiTheme="majorHAnsi" w:cstheme="majorBidi"/>
                                      <w:sz w:val="64"/>
                                      <w:szCs w:val="64"/>
                                    </w:rPr>
                                  </w:pPr>
                                  <w:r w:rsidRPr="00C45362">
                                    <w:rPr>
                                      <w:rFonts w:asciiTheme="minorHAnsi" w:eastAsiaTheme="minorEastAsia" w:hAnsiTheme="minorHAnsi" w:cstheme="minorBidi"/>
                                      <w:sz w:val="64"/>
                                      <w:szCs w:val="64"/>
                                    </w:rPr>
                                    <w:fldChar w:fldCharType="begin"/>
                                  </w:r>
                                  <w:r w:rsidRPr="00C45362">
                                    <w:rPr>
                                      <w:sz w:val="64"/>
                                      <w:szCs w:val="64"/>
                                    </w:rPr>
                                    <w:instrText>PAGE  \* MERGEFORMAT</w:instrText>
                                  </w:r>
                                  <w:r w:rsidRPr="00C45362">
                                    <w:rPr>
                                      <w:rFonts w:asciiTheme="minorHAnsi" w:eastAsiaTheme="minorEastAsia" w:hAnsiTheme="minorHAnsi" w:cstheme="minorBidi"/>
                                      <w:sz w:val="64"/>
                                      <w:szCs w:val="64"/>
                                    </w:rPr>
                                    <w:fldChar w:fldCharType="separate"/>
                                  </w:r>
                                  <w:r w:rsidR="00E9144D" w:rsidRPr="00E9144D">
                                    <w:rPr>
                                      <w:rFonts w:asciiTheme="majorHAnsi" w:eastAsiaTheme="majorEastAsia" w:hAnsiTheme="majorHAnsi" w:cstheme="majorBidi"/>
                                      <w:noProof/>
                                      <w:sz w:val="64"/>
                                      <w:szCs w:val="64"/>
                                    </w:rPr>
                                    <w:t>3</w:t>
                                  </w:r>
                                  <w:r w:rsidRPr="00C45362">
                                    <w:rPr>
                                      <w:rFonts w:asciiTheme="majorHAnsi" w:eastAsiaTheme="majorEastAsia" w:hAnsiTheme="majorHAnsi" w:cstheme="majorBidi"/>
                                      <w:sz w:val="64"/>
                                      <w:szCs w:val="6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44FC"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64"/>
                            <w:szCs w:val="64"/>
                          </w:rPr>
                          <w:id w:val="-2052217359"/>
                        </w:sdtPr>
                        <w:sdtEndPr/>
                        <w:sdtContent>
                          <w:p w14:paraId="62C11043" w14:textId="77777777" w:rsidR="00752FB9" w:rsidRPr="00C45362" w:rsidRDefault="00EE6FEE">
                            <w:pPr>
                              <w:jc w:val="center"/>
                              <w:rPr>
                                <w:rFonts w:asciiTheme="majorHAnsi" w:eastAsiaTheme="majorEastAsia" w:hAnsiTheme="majorHAnsi" w:cstheme="majorBidi"/>
                                <w:sz w:val="64"/>
                                <w:szCs w:val="64"/>
                              </w:rPr>
                            </w:pPr>
                            <w:r w:rsidRPr="00C45362">
                              <w:rPr>
                                <w:rFonts w:asciiTheme="minorHAnsi" w:eastAsiaTheme="minorEastAsia" w:hAnsiTheme="minorHAnsi" w:cstheme="minorBidi"/>
                                <w:sz w:val="64"/>
                                <w:szCs w:val="64"/>
                              </w:rPr>
                              <w:fldChar w:fldCharType="begin"/>
                            </w:r>
                            <w:r w:rsidRPr="00C45362">
                              <w:rPr>
                                <w:sz w:val="64"/>
                                <w:szCs w:val="64"/>
                              </w:rPr>
                              <w:instrText>PAGE  \* MERGEFORMAT</w:instrText>
                            </w:r>
                            <w:r w:rsidRPr="00C45362">
                              <w:rPr>
                                <w:rFonts w:asciiTheme="minorHAnsi" w:eastAsiaTheme="minorEastAsia" w:hAnsiTheme="minorHAnsi" w:cstheme="minorBidi"/>
                                <w:sz w:val="64"/>
                                <w:szCs w:val="64"/>
                              </w:rPr>
                              <w:fldChar w:fldCharType="separate"/>
                            </w:r>
                            <w:r w:rsidR="00E9144D" w:rsidRPr="00E9144D">
                              <w:rPr>
                                <w:rFonts w:asciiTheme="majorHAnsi" w:eastAsiaTheme="majorEastAsia" w:hAnsiTheme="majorHAnsi" w:cstheme="majorBidi"/>
                                <w:noProof/>
                                <w:sz w:val="64"/>
                                <w:szCs w:val="64"/>
                              </w:rPr>
                              <w:t>3</w:t>
                            </w:r>
                            <w:r w:rsidRPr="00C45362">
                              <w:rPr>
                                <w:rFonts w:asciiTheme="majorHAnsi" w:eastAsiaTheme="majorEastAsia" w:hAnsiTheme="majorHAnsi" w:cstheme="majorBidi"/>
                                <w:sz w:val="64"/>
                                <w:szCs w:val="64"/>
                              </w:rPr>
                              <w:fldChar w:fldCharType="end"/>
                            </w:r>
                          </w:p>
                        </w:sdtContent>
                      </w:sdt>
                    </w:txbxContent>
                  </v:textbox>
                  <w10:wrap anchorx="margin" anchory="page"/>
                </v:rect>
              </w:pict>
            </mc:Fallback>
          </mc:AlternateContent>
        </w:r>
      </w:sdtContent>
    </w:sdt>
    <w:r w:rsidRPr="00FD2F33">
      <w:rPr>
        <w:rFonts w:ascii="Arial" w:hAnsi="Arial" w:cs="Arial"/>
        <w:b/>
        <w:sz w:val="22"/>
      </w:rPr>
      <w:t>SM-JDC-</w:t>
    </w:r>
    <w:r w:rsidR="00E23BD1">
      <w:rPr>
        <w:rFonts w:ascii="Arial" w:hAnsi="Arial" w:cs="Arial"/>
        <w:b/>
        <w:sz w:val="22"/>
      </w:rPr>
      <w:t>449</w:t>
    </w:r>
    <w:r w:rsidRPr="00FD2F33">
      <w:rPr>
        <w:rFonts w:ascii="Arial" w:hAnsi="Arial" w:cs="Arial"/>
        <w:b/>
        <w:sz w:val="22"/>
      </w:rPr>
      <w:t>/202</w:t>
    </w:r>
    <w:r w:rsidR="003427B7" w:rsidRPr="00FD2F33">
      <w:rPr>
        <w:rFonts w:ascii="Arial" w:hAnsi="Arial" w:cs="Arial"/>
        <w:b/>
        <w:sz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C3ED" w14:textId="085155B8" w:rsidR="00752FB9" w:rsidRDefault="00EE6FEE">
    <w:pPr>
      <w:pStyle w:val="Encabezado"/>
    </w:pPr>
    <w:r>
      <w:rPr>
        <w:noProof/>
        <w:lang w:val="es-MX" w:eastAsia="es-MX"/>
      </w:rPr>
      <w:drawing>
        <wp:anchor distT="0" distB="0" distL="114300" distR="114300" simplePos="0" relativeHeight="251659264" behindDoc="1" locked="0" layoutInCell="1" allowOverlap="1" wp14:anchorId="5D2B921B" wp14:editId="6DF12715">
          <wp:simplePos x="0" y="0"/>
          <wp:positionH relativeFrom="column">
            <wp:posOffset>-1455420</wp:posOffset>
          </wp:positionH>
          <wp:positionV relativeFrom="paragraph">
            <wp:posOffset>-217170</wp:posOffset>
          </wp:positionV>
          <wp:extent cx="1371600" cy="1143000"/>
          <wp:effectExtent l="0" t="0" r="0" b="0"/>
          <wp:wrapTight wrapText="bothSides">
            <wp:wrapPolygon edited="0">
              <wp:start x="0" y="0"/>
              <wp:lineTo x="0" y="21240"/>
              <wp:lineTo x="21300" y="21240"/>
              <wp:lineTo x="21300" y="0"/>
              <wp:lineTo x="0" y="0"/>
            </wp:wrapPolygon>
          </wp:wrapTight>
          <wp:docPr id="10" name="Imagen 10"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120"/>
    <w:multiLevelType w:val="hybridMultilevel"/>
    <w:tmpl w:val="C8E0EC82"/>
    <w:lvl w:ilvl="0" w:tplc="F54AAB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1632E"/>
    <w:multiLevelType w:val="hybridMultilevel"/>
    <w:tmpl w:val="41781F3A"/>
    <w:lvl w:ilvl="0" w:tplc="4A261FC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566BC"/>
    <w:multiLevelType w:val="hybridMultilevel"/>
    <w:tmpl w:val="2D36F8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C2255E"/>
    <w:multiLevelType w:val="hybridMultilevel"/>
    <w:tmpl w:val="825C8702"/>
    <w:lvl w:ilvl="0" w:tplc="C7D6E0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6A7FB4"/>
    <w:multiLevelType w:val="hybridMultilevel"/>
    <w:tmpl w:val="FEC0A802"/>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77612854"/>
    <w:multiLevelType w:val="hybridMultilevel"/>
    <w:tmpl w:val="C8E0EC82"/>
    <w:lvl w:ilvl="0" w:tplc="F54AAB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96"/>
    <w:rsid w:val="00004DDB"/>
    <w:rsid w:val="00010C73"/>
    <w:rsid w:val="000124D6"/>
    <w:rsid w:val="000141DC"/>
    <w:rsid w:val="0001528F"/>
    <w:rsid w:val="0001682F"/>
    <w:rsid w:val="00016B79"/>
    <w:rsid w:val="00017087"/>
    <w:rsid w:val="0003035E"/>
    <w:rsid w:val="00032D34"/>
    <w:rsid w:val="000352FC"/>
    <w:rsid w:val="0004179E"/>
    <w:rsid w:val="000433ED"/>
    <w:rsid w:val="00046094"/>
    <w:rsid w:val="0005019A"/>
    <w:rsid w:val="0005334F"/>
    <w:rsid w:val="00055A00"/>
    <w:rsid w:val="00063EF3"/>
    <w:rsid w:val="00066A27"/>
    <w:rsid w:val="00077BDE"/>
    <w:rsid w:val="00080B1F"/>
    <w:rsid w:val="0008219A"/>
    <w:rsid w:val="00086C6B"/>
    <w:rsid w:val="0009128B"/>
    <w:rsid w:val="000932C2"/>
    <w:rsid w:val="00093B7B"/>
    <w:rsid w:val="00097796"/>
    <w:rsid w:val="000B33DF"/>
    <w:rsid w:val="000C0CE1"/>
    <w:rsid w:val="000C100C"/>
    <w:rsid w:val="000D3C23"/>
    <w:rsid w:val="000D3CE6"/>
    <w:rsid w:val="000D58E2"/>
    <w:rsid w:val="000E2001"/>
    <w:rsid w:val="000E50B1"/>
    <w:rsid w:val="000E7D8D"/>
    <w:rsid w:val="000F243D"/>
    <w:rsid w:val="000F506C"/>
    <w:rsid w:val="000F6BD4"/>
    <w:rsid w:val="000F72B3"/>
    <w:rsid w:val="0010594A"/>
    <w:rsid w:val="00106C17"/>
    <w:rsid w:val="00107BC5"/>
    <w:rsid w:val="001100F5"/>
    <w:rsid w:val="00113F5D"/>
    <w:rsid w:val="00113F86"/>
    <w:rsid w:val="00115DDB"/>
    <w:rsid w:val="00117F6C"/>
    <w:rsid w:val="0012106A"/>
    <w:rsid w:val="00125C61"/>
    <w:rsid w:val="001316AD"/>
    <w:rsid w:val="00137689"/>
    <w:rsid w:val="001423E8"/>
    <w:rsid w:val="00143260"/>
    <w:rsid w:val="00150219"/>
    <w:rsid w:val="00152FDF"/>
    <w:rsid w:val="00167417"/>
    <w:rsid w:val="001870E6"/>
    <w:rsid w:val="00187A83"/>
    <w:rsid w:val="001907FE"/>
    <w:rsid w:val="001913AB"/>
    <w:rsid w:val="00192556"/>
    <w:rsid w:val="00194F8D"/>
    <w:rsid w:val="00194FE9"/>
    <w:rsid w:val="00195964"/>
    <w:rsid w:val="00195C78"/>
    <w:rsid w:val="001B4028"/>
    <w:rsid w:val="001B656E"/>
    <w:rsid w:val="001B6767"/>
    <w:rsid w:val="001B745F"/>
    <w:rsid w:val="001C1F21"/>
    <w:rsid w:val="001C73A9"/>
    <w:rsid w:val="001D0066"/>
    <w:rsid w:val="001D30FB"/>
    <w:rsid w:val="001D546C"/>
    <w:rsid w:val="001E138F"/>
    <w:rsid w:val="001F3E41"/>
    <w:rsid w:val="001F7BB0"/>
    <w:rsid w:val="001F7E60"/>
    <w:rsid w:val="0021260A"/>
    <w:rsid w:val="00213252"/>
    <w:rsid w:val="0021553D"/>
    <w:rsid w:val="00215DAF"/>
    <w:rsid w:val="002163EF"/>
    <w:rsid w:val="0022287A"/>
    <w:rsid w:val="00226ADB"/>
    <w:rsid w:val="002319F7"/>
    <w:rsid w:val="00232E3A"/>
    <w:rsid w:val="00232F25"/>
    <w:rsid w:val="00236BFE"/>
    <w:rsid w:val="00242B63"/>
    <w:rsid w:val="00243760"/>
    <w:rsid w:val="0024557D"/>
    <w:rsid w:val="00247828"/>
    <w:rsid w:val="002517BD"/>
    <w:rsid w:val="002551B8"/>
    <w:rsid w:val="00260F7A"/>
    <w:rsid w:val="002646D3"/>
    <w:rsid w:val="00264851"/>
    <w:rsid w:val="002655B9"/>
    <w:rsid w:val="002678CC"/>
    <w:rsid w:val="002679E2"/>
    <w:rsid w:val="0027123E"/>
    <w:rsid w:val="002718E5"/>
    <w:rsid w:val="00271999"/>
    <w:rsid w:val="002725B3"/>
    <w:rsid w:val="00273FFD"/>
    <w:rsid w:val="00280958"/>
    <w:rsid w:val="00282017"/>
    <w:rsid w:val="0028628A"/>
    <w:rsid w:val="0028676E"/>
    <w:rsid w:val="00290DF2"/>
    <w:rsid w:val="00292857"/>
    <w:rsid w:val="00292D0C"/>
    <w:rsid w:val="00292F76"/>
    <w:rsid w:val="002A170B"/>
    <w:rsid w:val="002A64A3"/>
    <w:rsid w:val="002C3106"/>
    <w:rsid w:val="002C617D"/>
    <w:rsid w:val="002D4595"/>
    <w:rsid w:val="002D6578"/>
    <w:rsid w:val="002E0B78"/>
    <w:rsid w:val="002E19CC"/>
    <w:rsid w:val="002E31B6"/>
    <w:rsid w:val="002E32D6"/>
    <w:rsid w:val="002E3B3E"/>
    <w:rsid w:val="002E773C"/>
    <w:rsid w:val="0030323F"/>
    <w:rsid w:val="00303A28"/>
    <w:rsid w:val="00304041"/>
    <w:rsid w:val="00312F5C"/>
    <w:rsid w:val="003149CA"/>
    <w:rsid w:val="00315067"/>
    <w:rsid w:val="00315AB5"/>
    <w:rsid w:val="0031728F"/>
    <w:rsid w:val="00324E5A"/>
    <w:rsid w:val="0032548F"/>
    <w:rsid w:val="003277B9"/>
    <w:rsid w:val="003323F2"/>
    <w:rsid w:val="003427B7"/>
    <w:rsid w:val="00343F38"/>
    <w:rsid w:val="00356B02"/>
    <w:rsid w:val="0035732C"/>
    <w:rsid w:val="003648B6"/>
    <w:rsid w:val="00366803"/>
    <w:rsid w:val="0036726C"/>
    <w:rsid w:val="0037556D"/>
    <w:rsid w:val="0037616D"/>
    <w:rsid w:val="00381B4F"/>
    <w:rsid w:val="00385AAA"/>
    <w:rsid w:val="00392726"/>
    <w:rsid w:val="003930F5"/>
    <w:rsid w:val="003948BE"/>
    <w:rsid w:val="00394A23"/>
    <w:rsid w:val="003C2566"/>
    <w:rsid w:val="003C2BB4"/>
    <w:rsid w:val="003C406A"/>
    <w:rsid w:val="003C66B2"/>
    <w:rsid w:val="003D78AB"/>
    <w:rsid w:val="003E0E15"/>
    <w:rsid w:val="003E3273"/>
    <w:rsid w:val="003F17C3"/>
    <w:rsid w:val="003F2C4A"/>
    <w:rsid w:val="004059F6"/>
    <w:rsid w:val="00406686"/>
    <w:rsid w:val="0041139C"/>
    <w:rsid w:val="00412C27"/>
    <w:rsid w:val="00413F46"/>
    <w:rsid w:val="0042070D"/>
    <w:rsid w:val="00422CF2"/>
    <w:rsid w:val="00427D52"/>
    <w:rsid w:val="0043054C"/>
    <w:rsid w:val="004310F2"/>
    <w:rsid w:val="00444CE3"/>
    <w:rsid w:val="004467AD"/>
    <w:rsid w:val="0045611D"/>
    <w:rsid w:val="00460E12"/>
    <w:rsid w:val="004623C7"/>
    <w:rsid w:val="00462E39"/>
    <w:rsid w:val="004635B6"/>
    <w:rsid w:val="00463612"/>
    <w:rsid w:val="00463A27"/>
    <w:rsid w:val="00464B7E"/>
    <w:rsid w:val="00465DF2"/>
    <w:rsid w:val="004668CC"/>
    <w:rsid w:val="00475514"/>
    <w:rsid w:val="004773B8"/>
    <w:rsid w:val="00477CBE"/>
    <w:rsid w:val="0048582B"/>
    <w:rsid w:val="0049771D"/>
    <w:rsid w:val="004A1D31"/>
    <w:rsid w:val="004A5D38"/>
    <w:rsid w:val="004A6FAC"/>
    <w:rsid w:val="004B0D9D"/>
    <w:rsid w:val="004B4AE1"/>
    <w:rsid w:val="004C36D6"/>
    <w:rsid w:val="004C5069"/>
    <w:rsid w:val="004C618A"/>
    <w:rsid w:val="004C6663"/>
    <w:rsid w:val="004D11D1"/>
    <w:rsid w:val="004D2335"/>
    <w:rsid w:val="004D3EE8"/>
    <w:rsid w:val="004D401D"/>
    <w:rsid w:val="004D5597"/>
    <w:rsid w:val="004D6968"/>
    <w:rsid w:val="004E1523"/>
    <w:rsid w:val="004E52CC"/>
    <w:rsid w:val="004F2E35"/>
    <w:rsid w:val="00500F9B"/>
    <w:rsid w:val="00500FB2"/>
    <w:rsid w:val="00502089"/>
    <w:rsid w:val="00502CFA"/>
    <w:rsid w:val="005112C5"/>
    <w:rsid w:val="00514300"/>
    <w:rsid w:val="00514AC3"/>
    <w:rsid w:val="0051616B"/>
    <w:rsid w:val="00517E71"/>
    <w:rsid w:val="005215E9"/>
    <w:rsid w:val="0052161D"/>
    <w:rsid w:val="00521A76"/>
    <w:rsid w:val="0052678C"/>
    <w:rsid w:val="005322CF"/>
    <w:rsid w:val="00534269"/>
    <w:rsid w:val="00542325"/>
    <w:rsid w:val="00544643"/>
    <w:rsid w:val="00544691"/>
    <w:rsid w:val="00547591"/>
    <w:rsid w:val="005531D6"/>
    <w:rsid w:val="005553FE"/>
    <w:rsid w:val="005560C2"/>
    <w:rsid w:val="0055667F"/>
    <w:rsid w:val="005662D2"/>
    <w:rsid w:val="005715D0"/>
    <w:rsid w:val="005751CC"/>
    <w:rsid w:val="005821CE"/>
    <w:rsid w:val="00586C66"/>
    <w:rsid w:val="005902AF"/>
    <w:rsid w:val="00592676"/>
    <w:rsid w:val="00595D85"/>
    <w:rsid w:val="005975B5"/>
    <w:rsid w:val="005B0038"/>
    <w:rsid w:val="005B3408"/>
    <w:rsid w:val="005C2540"/>
    <w:rsid w:val="005C5861"/>
    <w:rsid w:val="005C6D9A"/>
    <w:rsid w:val="005E1AD3"/>
    <w:rsid w:val="005E5087"/>
    <w:rsid w:val="005E513D"/>
    <w:rsid w:val="005E5EB6"/>
    <w:rsid w:val="005E6899"/>
    <w:rsid w:val="005F196A"/>
    <w:rsid w:val="005F34F3"/>
    <w:rsid w:val="005F3ECD"/>
    <w:rsid w:val="00602A0B"/>
    <w:rsid w:val="0060346E"/>
    <w:rsid w:val="00603CBC"/>
    <w:rsid w:val="00615C0F"/>
    <w:rsid w:val="006165E3"/>
    <w:rsid w:val="00616926"/>
    <w:rsid w:val="006204DC"/>
    <w:rsid w:val="00620779"/>
    <w:rsid w:val="00621D40"/>
    <w:rsid w:val="00623AB7"/>
    <w:rsid w:val="006262B2"/>
    <w:rsid w:val="00626ED0"/>
    <w:rsid w:val="0063208B"/>
    <w:rsid w:val="0063281C"/>
    <w:rsid w:val="006347AC"/>
    <w:rsid w:val="0064069A"/>
    <w:rsid w:val="0064222B"/>
    <w:rsid w:val="00643320"/>
    <w:rsid w:val="00644951"/>
    <w:rsid w:val="0065220B"/>
    <w:rsid w:val="00653186"/>
    <w:rsid w:val="006538B6"/>
    <w:rsid w:val="006606D5"/>
    <w:rsid w:val="0066283B"/>
    <w:rsid w:val="0066418D"/>
    <w:rsid w:val="006677B4"/>
    <w:rsid w:val="006757F7"/>
    <w:rsid w:val="00675F4E"/>
    <w:rsid w:val="00677C8F"/>
    <w:rsid w:val="006966E0"/>
    <w:rsid w:val="006A1032"/>
    <w:rsid w:val="006A28C1"/>
    <w:rsid w:val="006A5B1E"/>
    <w:rsid w:val="006B60E4"/>
    <w:rsid w:val="006C0487"/>
    <w:rsid w:val="006C2E57"/>
    <w:rsid w:val="006C3894"/>
    <w:rsid w:val="006C6186"/>
    <w:rsid w:val="006C798A"/>
    <w:rsid w:val="006D16BB"/>
    <w:rsid w:val="006D44F6"/>
    <w:rsid w:val="006E66A9"/>
    <w:rsid w:val="006F16B0"/>
    <w:rsid w:val="006F383C"/>
    <w:rsid w:val="006F785F"/>
    <w:rsid w:val="006F7978"/>
    <w:rsid w:val="00702DE6"/>
    <w:rsid w:val="00703E04"/>
    <w:rsid w:val="007050D6"/>
    <w:rsid w:val="00711EF6"/>
    <w:rsid w:val="00725E64"/>
    <w:rsid w:val="00736006"/>
    <w:rsid w:val="00743205"/>
    <w:rsid w:val="00745B77"/>
    <w:rsid w:val="00752FB9"/>
    <w:rsid w:val="00753A07"/>
    <w:rsid w:val="00756682"/>
    <w:rsid w:val="00762EE6"/>
    <w:rsid w:val="0076465B"/>
    <w:rsid w:val="00765146"/>
    <w:rsid w:val="0076726A"/>
    <w:rsid w:val="007679E0"/>
    <w:rsid w:val="0077089E"/>
    <w:rsid w:val="00773680"/>
    <w:rsid w:val="0077370F"/>
    <w:rsid w:val="00782B9C"/>
    <w:rsid w:val="0078519C"/>
    <w:rsid w:val="007868E7"/>
    <w:rsid w:val="007A172B"/>
    <w:rsid w:val="007A1E29"/>
    <w:rsid w:val="007A5702"/>
    <w:rsid w:val="007A5849"/>
    <w:rsid w:val="007B58E8"/>
    <w:rsid w:val="007B6541"/>
    <w:rsid w:val="007B6F11"/>
    <w:rsid w:val="007C1D1C"/>
    <w:rsid w:val="007C6CA9"/>
    <w:rsid w:val="007D0EFC"/>
    <w:rsid w:val="007D52A0"/>
    <w:rsid w:val="007D6F63"/>
    <w:rsid w:val="007E0883"/>
    <w:rsid w:val="007E27BC"/>
    <w:rsid w:val="007E6EB2"/>
    <w:rsid w:val="007F2835"/>
    <w:rsid w:val="007F45CE"/>
    <w:rsid w:val="00800626"/>
    <w:rsid w:val="008009CC"/>
    <w:rsid w:val="00806C08"/>
    <w:rsid w:val="00806C61"/>
    <w:rsid w:val="00810D96"/>
    <w:rsid w:val="00815301"/>
    <w:rsid w:val="00816A2C"/>
    <w:rsid w:val="0082178A"/>
    <w:rsid w:val="00825262"/>
    <w:rsid w:val="00825A31"/>
    <w:rsid w:val="00830E5B"/>
    <w:rsid w:val="00830F15"/>
    <w:rsid w:val="008341F1"/>
    <w:rsid w:val="00834478"/>
    <w:rsid w:val="00841200"/>
    <w:rsid w:val="0085666B"/>
    <w:rsid w:val="00863228"/>
    <w:rsid w:val="008638EE"/>
    <w:rsid w:val="00865DE3"/>
    <w:rsid w:val="00874D20"/>
    <w:rsid w:val="00883051"/>
    <w:rsid w:val="00887C61"/>
    <w:rsid w:val="00897AE4"/>
    <w:rsid w:val="008A1399"/>
    <w:rsid w:val="008A7E36"/>
    <w:rsid w:val="008B0C92"/>
    <w:rsid w:val="008B336D"/>
    <w:rsid w:val="008B3951"/>
    <w:rsid w:val="008B6520"/>
    <w:rsid w:val="008C5068"/>
    <w:rsid w:val="008D1408"/>
    <w:rsid w:val="008D3715"/>
    <w:rsid w:val="008D4373"/>
    <w:rsid w:val="008E0434"/>
    <w:rsid w:val="008E44ED"/>
    <w:rsid w:val="008F099A"/>
    <w:rsid w:val="008F0A81"/>
    <w:rsid w:val="008F0E1A"/>
    <w:rsid w:val="008F3C66"/>
    <w:rsid w:val="009108EA"/>
    <w:rsid w:val="00910953"/>
    <w:rsid w:val="00910A52"/>
    <w:rsid w:val="00916084"/>
    <w:rsid w:val="0092621A"/>
    <w:rsid w:val="00931398"/>
    <w:rsid w:val="00931E87"/>
    <w:rsid w:val="00937132"/>
    <w:rsid w:val="00937CF3"/>
    <w:rsid w:val="0095291B"/>
    <w:rsid w:val="009532BB"/>
    <w:rsid w:val="00953BAE"/>
    <w:rsid w:val="00954F6F"/>
    <w:rsid w:val="00956ABD"/>
    <w:rsid w:val="00963F99"/>
    <w:rsid w:val="00964B23"/>
    <w:rsid w:val="009659CD"/>
    <w:rsid w:val="00966720"/>
    <w:rsid w:val="00970932"/>
    <w:rsid w:val="00970D07"/>
    <w:rsid w:val="009756C3"/>
    <w:rsid w:val="00982A0E"/>
    <w:rsid w:val="00983728"/>
    <w:rsid w:val="009849DE"/>
    <w:rsid w:val="00987367"/>
    <w:rsid w:val="00991518"/>
    <w:rsid w:val="009940AD"/>
    <w:rsid w:val="00995405"/>
    <w:rsid w:val="009975F5"/>
    <w:rsid w:val="009A05E9"/>
    <w:rsid w:val="009A521D"/>
    <w:rsid w:val="009A6F4A"/>
    <w:rsid w:val="009B1C6B"/>
    <w:rsid w:val="009B2F3B"/>
    <w:rsid w:val="009B47D3"/>
    <w:rsid w:val="009B5007"/>
    <w:rsid w:val="009B6000"/>
    <w:rsid w:val="009B724B"/>
    <w:rsid w:val="009C68FE"/>
    <w:rsid w:val="009D517C"/>
    <w:rsid w:val="009E27C1"/>
    <w:rsid w:val="009E5ACE"/>
    <w:rsid w:val="009F0EB1"/>
    <w:rsid w:val="009F2B95"/>
    <w:rsid w:val="009F7F9A"/>
    <w:rsid w:val="00A01FBE"/>
    <w:rsid w:val="00A10572"/>
    <w:rsid w:val="00A12F58"/>
    <w:rsid w:val="00A13296"/>
    <w:rsid w:val="00A175F7"/>
    <w:rsid w:val="00A20F4B"/>
    <w:rsid w:val="00A37245"/>
    <w:rsid w:val="00A40825"/>
    <w:rsid w:val="00A434F1"/>
    <w:rsid w:val="00A461C5"/>
    <w:rsid w:val="00A500DB"/>
    <w:rsid w:val="00A534C1"/>
    <w:rsid w:val="00A54061"/>
    <w:rsid w:val="00A57065"/>
    <w:rsid w:val="00A578AC"/>
    <w:rsid w:val="00A61628"/>
    <w:rsid w:val="00A63E89"/>
    <w:rsid w:val="00A660CC"/>
    <w:rsid w:val="00A67993"/>
    <w:rsid w:val="00A71843"/>
    <w:rsid w:val="00A7209D"/>
    <w:rsid w:val="00A72337"/>
    <w:rsid w:val="00A729B2"/>
    <w:rsid w:val="00A737BB"/>
    <w:rsid w:val="00A81120"/>
    <w:rsid w:val="00A85DD3"/>
    <w:rsid w:val="00A91940"/>
    <w:rsid w:val="00A95ACA"/>
    <w:rsid w:val="00A966A6"/>
    <w:rsid w:val="00AA2266"/>
    <w:rsid w:val="00AA2B72"/>
    <w:rsid w:val="00AA6658"/>
    <w:rsid w:val="00AB3F12"/>
    <w:rsid w:val="00AB4A9A"/>
    <w:rsid w:val="00AC0DBB"/>
    <w:rsid w:val="00AC1340"/>
    <w:rsid w:val="00AC1B3F"/>
    <w:rsid w:val="00AC44ED"/>
    <w:rsid w:val="00AD18FE"/>
    <w:rsid w:val="00AD32C1"/>
    <w:rsid w:val="00AD4843"/>
    <w:rsid w:val="00AE4764"/>
    <w:rsid w:val="00B01534"/>
    <w:rsid w:val="00B02A14"/>
    <w:rsid w:val="00B1196E"/>
    <w:rsid w:val="00B145E4"/>
    <w:rsid w:val="00B16F32"/>
    <w:rsid w:val="00B17348"/>
    <w:rsid w:val="00B22BEF"/>
    <w:rsid w:val="00B32E2B"/>
    <w:rsid w:val="00B34FAF"/>
    <w:rsid w:val="00B511C1"/>
    <w:rsid w:val="00B66A35"/>
    <w:rsid w:val="00B70D76"/>
    <w:rsid w:val="00B74E8E"/>
    <w:rsid w:val="00B95167"/>
    <w:rsid w:val="00B96028"/>
    <w:rsid w:val="00B978B4"/>
    <w:rsid w:val="00BA1565"/>
    <w:rsid w:val="00BA65F3"/>
    <w:rsid w:val="00BB1907"/>
    <w:rsid w:val="00BB2F88"/>
    <w:rsid w:val="00BC304D"/>
    <w:rsid w:val="00BC782F"/>
    <w:rsid w:val="00BC78E0"/>
    <w:rsid w:val="00BD5687"/>
    <w:rsid w:val="00BD5DEF"/>
    <w:rsid w:val="00BE06F4"/>
    <w:rsid w:val="00BE0AFF"/>
    <w:rsid w:val="00BE2231"/>
    <w:rsid w:val="00BF0B3B"/>
    <w:rsid w:val="00C0080B"/>
    <w:rsid w:val="00C016D6"/>
    <w:rsid w:val="00C03E2E"/>
    <w:rsid w:val="00C05E6C"/>
    <w:rsid w:val="00C12EAA"/>
    <w:rsid w:val="00C24D57"/>
    <w:rsid w:val="00C37E0C"/>
    <w:rsid w:val="00C445FA"/>
    <w:rsid w:val="00C45362"/>
    <w:rsid w:val="00C46611"/>
    <w:rsid w:val="00C625A8"/>
    <w:rsid w:val="00C62FCB"/>
    <w:rsid w:val="00C65E7A"/>
    <w:rsid w:val="00C71458"/>
    <w:rsid w:val="00C84ED4"/>
    <w:rsid w:val="00C85847"/>
    <w:rsid w:val="00C90BBE"/>
    <w:rsid w:val="00CA1C89"/>
    <w:rsid w:val="00CA35FE"/>
    <w:rsid w:val="00CA3D7C"/>
    <w:rsid w:val="00CA5DBE"/>
    <w:rsid w:val="00CB08FB"/>
    <w:rsid w:val="00CB3E07"/>
    <w:rsid w:val="00CB412B"/>
    <w:rsid w:val="00CC2787"/>
    <w:rsid w:val="00CC2EAF"/>
    <w:rsid w:val="00CC5A7D"/>
    <w:rsid w:val="00CD292A"/>
    <w:rsid w:val="00CD36DD"/>
    <w:rsid w:val="00CE3973"/>
    <w:rsid w:val="00CE4380"/>
    <w:rsid w:val="00CE51AD"/>
    <w:rsid w:val="00CE6AAF"/>
    <w:rsid w:val="00D16FDD"/>
    <w:rsid w:val="00D31ED9"/>
    <w:rsid w:val="00D341E6"/>
    <w:rsid w:val="00D36EF6"/>
    <w:rsid w:val="00D36F2B"/>
    <w:rsid w:val="00D37384"/>
    <w:rsid w:val="00D47B0D"/>
    <w:rsid w:val="00D47B78"/>
    <w:rsid w:val="00D52808"/>
    <w:rsid w:val="00D53FF5"/>
    <w:rsid w:val="00D55358"/>
    <w:rsid w:val="00D62E31"/>
    <w:rsid w:val="00D66DDF"/>
    <w:rsid w:val="00D807C4"/>
    <w:rsid w:val="00D85984"/>
    <w:rsid w:val="00D92A37"/>
    <w:rsid w:val="00D94A24"/>
    <w:rsid w:val="00D9684F"/>
    <w:rsid w:val="00D96E16"/>
    <w:rsid w:val="00D97CF4"/>
    <w:rsid w:val="00DA08A1"/>
    <w:rsid w:val="00DA5C3B"/>
    <w:rsid w:val="00DB203B"/>
    <w:rsid w:val="00DB2060"/>
    <w:rsid w:val="00DB20F0"/>
    <w:rsid w:val="00DB219F"/>
    <w:rsid w:val="00DC01BD"/>
    <w:rsid w:val="00DC1B11"/>
    <w:rsid w:val="00DD04EF"/>
    <w:rsid w:val="00DD37E7"/>
    <w:rsid w:val="00DD4879"/>
    <w:rsid w:val="00DE1176"/>
    <w:rsid w:val="00DF368A"/>
    <w:rsid w:val="00DF416F"/>
    <w:rsid w:val="00DF536D"/>
    <w:rsid w:val="00DF54CE"/>
    <w:rsid w:val="00DF6202"/>
    <w:rsid w:val="00DF6A2D"/>
    <w:rsid w:val="00E034B7"/>
    <w:rsid w:val="00E115EA"/>
    <w:rsid w:val="00E125EB"/>
    <w:rsid w:val="00E20F66"/>
    <w:rsid w:val="00E23979"/>
    <w:rsid w:val="00E23BD1"/>
    <w:rsid w:val="00E24136"/>
    <w:rsid w:val="00E2424A"/>
    <w:rsid w:val="00E26C1F"/>
    <w:rsid w:val="00E30048"/>
    <w:rsid w:val="00E32A1E"/>
    <w:rsid w:val="00E330E1"/>
    <w:rsid w:val="00E34C00"/>
    <w:rsid w:val="00E3554E"/>
    <w:rsid w:val="00E40946"/>
    <w:rsid w:val="00E4449E"/>
    <w:rsid w:val="00E46BF1"/>
    <w:rsid w:val="00E47106"/>
    <w:rsid w:val="00E47850"/>
    <w:rsid w:val="00E5204D"/>
    <w:rsid w:val="00E53CF6"/>
    <w:rsid w:val="00E63E61"/>
    <w:rsid w:val="00E6422B"/>
    <w:rsid w:val="00E64B15"/>
    <w:rsid w:val="00E67DC3"/>
    <w:rsid w:val="00E70544"/>
    <w:rsid w:val="00E71375"/>
    <w:rsid w:val="00E7333F"/>
    <w:rsid w:val="00E77009"/>
    <w:rsid w:val="00E83B11"/>
    <w:rsid w:val="00E84420"/>
    <w:rsid w:val="00E855FB"/>
    <w:rsid w:val="00E86A99"/>
    <w:rsid w:val="00E877B9"/>
    <w:rsid w:val="00E90277"/>
    <w:rsid w:val="00E9144D"/>
    <w:rsid w:val="00EA3E37"/>
    <w:rsid w:val="00EB24E4"/>
    <w:rsid w:val="00EB2AEF"/>
    <w:rsid w:val="00EC06EA"/>
    <w:rsid w:val="00EC2D5D"/>
    <w:rsid w:val="00EC68D4"/>
    <w:rsid w:val="00ED0155"/>
    <w:rsid w:val="00ED5153"/>
    <w:rsid w:val="00EE3232"/>
    <w:rsid w:val="00EE6FEE"/>
    <w:rsid w:val="00EF1BB5"/>
    <w:rsid w:val="00EF29A5"/>
    <w:rsid w:val="00F01E4F"/>
    <w:rsid w:val="00F05E74"/>
    <w:rsid w:val="00F127BC"/>
    <w:rsid w:val="00F13AC6"/>
    <w:rsid w:val="00F13D3C"/>
    <w:rsid w:val="00F164A3"/>
    <w:rsid w:val="00F229A5"/>
    <w:rsid w:val="00F25957"/>
    <w:rsid w:val="00F32E7E"/>
    <w:rsid w:val="00F32EA2"/>
    <w:rsid w:val="00F33D77"/>
    <w:rsid w:val="00F33EB1"/>
    <w:rsid w:val="00F34949"/>
    <w:rsid w:val="00F36A4A"/>
    <w:rsid w:val="00F40E1A"/>
    <w:rsid w:val="00F41265"/>
    <w:rsid w:val="00F43B2F"/>
    <w:rsid w:val="00F445AB"/>
    <w:rsid w:val="00F45175"/>
    <w:rsid w:val="00F4522F"/>
    <w:rsid w:val="00F46F05"/>
    <w:rsid w:val="00F5370D"/>
    <w:rsid w:val="00F72AC4"/>
    <w:rsid w:val="00F81EDF"/>
    <w:rsid w:val="00F83116"/>
    <w:rsid w:val="00F83DA5"/>
    <w:rsid w:val="00F91516"/>
    <w:rsid w:val="00F93493"/>
    <w:rsid w:val="00F94D3E"/>
    <w:rsid w:val="00F97DEC"/>
    <w:rsid w:val="00FA07C0"/>
    <w:rsid w:val="00FB1278"/>
    <w:rsid w:val="00FB6570"/>
    <w:rsid w:val="00FB712E"/>
    <w:rsid w:val="00FB7873"/>
    <w:rsid w:val="00FC20EC"/>
    <w:rsid w:val="00FC5A99"/>
    <w:rsid w:val="00FC7EAF"/>
    <w:rsid w:val="00FD0D4C"/>
    <w:rsid w:val="00FD2F33"/>
    <w:rsid w:val="00FD3C15"/>
    <w:rsid w:val="00FD631A"/>
    <w:rsid w:val="00FD66DF"/>
    <w:rsid w:val="00FE732A"/>
    <w:rsid w:val="00FE7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2A5C"/>
  <w15:docId w15:val="{D5966FD6-8A16-46AB-AB1F-55D1CE10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7796"/>
    <w:pPr>
      <w:tabs>
        <w:tab w:val="center" w:pos="4252"/>
        <w:tab w:val="right" w:pos="8504"/>
      </w:tabs>
    </w:pPr>
  </w:style>
  <w:style w:type="character" w:customStyle="1" w:styleId="EncabezadoCar">
    <w:name w:val="Encabezado Car"/>
    <w:basedOn w:val="Fuentedeprrafopredeter"/>
    <w:link w:val="Encabezado"/>
    <w:rsid w:val="0009779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97796"/>
    <w:pPr>
      <w:tabs>
        <w:tab w:val="center" w:pos="4252"/>
        <w:tab w:val="right" w:pos="8504"/>
      </w:tabs>
    </w:pPr>
  </w:style>
  <w:style w:type="character" w:customStyle="1" w:styleId="PiedepginaCar">
    <w:name w:val="Pie de página Car"/>
    <w:basedOn w:val="Fuentedeprrafopredeter"/>
    <w:link w:val="Piedepgina"/>
    <w:rsid w:val="0009779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9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qFormat/>
    <w:rsid w:val="00097796"/>
    <w:rPr>
      <w:rFonts w:ascii="Arial" w:hAnsi="Arial"/>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qFormat/>
    <w:rsid w:val="00097796"/>
    <w:rPr>
      <w:rFonts w:ascii="Arial" w:eastAsia="Times New Roman" w:hAnsi="Arial" w:cs="Times New Roman"/>
      <w:sz w:val="20"/>
      <w:szCs w:val="20"/>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link w:val="4GChar"/>
    <w:qFormat/>
    <w:rsid w:val="000977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97796"/>
    <w:pPr>
      <w:jc w:val="both"/>
    </w:pPr>
    <w:rPr>
      <w:rFonts w:asciiTheme="minorHAnsi" w:eastAsiaTheme="minorHAnsi" w:hAnsiTheme="minorHAnsi" w:cstheme="minorBidi"/>
      <w:sz w:val="22"/>
      <w:szCs w:val="22"/>
      <w:vertAlign w:val="superscript"/>
      <w:lang w:val="es-MX" w:eastAsia="en-US"/>
    </w:rPr>
  </w:style>
  <w:style w:type="paragraph" w:styleId="Prrafodelista">
    <w:name w:val="List Paragraph"/>
    <w:basedOn w:val="Normal"/>
    <w:uiPriority w:val="34"/>
    <w:qFormat/>
    <w:rsid w:val="00F25957"/>
    <w:pPr>
      <w:ind w:left="720"/>
      <w:contextualSpacing/>
    </w:pPr>
  </w:style>
  <w:style w:type="character" w:styleId="Refdecomentario">
    <w:name w:val="annotation reference"/>
    <w:basedOn w:val="Fuentedeprrafopredeter"/>
    <w:uiPriority w:val="99"/>
    <w:semiHidden/>
    <w:unhideWhenUsed/>
    <w:rsid w:val="00C85847"/>
    <w:rPr>
      <w:sz w:val="16"/>
      <w:szCs w:val="16"/>
    </w:rPr>
  </w:style>
  <w:style w:type="paragraph" w:styleId="Textocomentario">
    <w:name w:val="annotation text"/>
    <w:basedOn w:val="Normal"/>
    <w:link w:val="TextocomentarioCar"/>
    <w:uiPriority w:val="99"/>
    <w:semiHidden/>
    <w:unhideWhenUsed/>
    <w:rsid w:val="00C85847"/>
    <w:rPr>
      <w:sz w:val="20"/>
      <w:szCs w:val="20"/>
    </w:rPr>
  </w:style>
  <w:style w:type="character" w:customStyle="1" w:styleId="TextocomentarioCar">
    <w:name w:val="Texto comentario Car"/>
    <w:basedOn w:val="Fuentedeprrafopredeter"/>
    <w:link w:val="Textocomentario"/>
    <w:uiPriority w:val="99"/>
    <w:semiHidden/>
    <w:rsid w:val="00C858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5847"/>
    <w:rPr>
      <w:b/>
      <w:bCs/>
    </w:rPr>
  </w:style>
  <w:style w:type="character" w:customStyle="1" w:styleId="AsuntodelcomentarioCar">
    <w:name w:val="Asunto del comentario Car"/>
    <w:basedOn w:val="TextocomentarioCar"/>
    <w:link w:val="Asuntodelcomentario"/>
    <w:uiPriority w:val="99"/>
    <w:semiHidden/>
    <w:rsid w:val="00C8584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858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84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71458"/>
    <w:rPr>
      <w:color w:val="0563C1" w:themeColor="hyperlink"/>
      <w:u w:val="single"/>
    </w:rPr>
  </w:style>
  <w:style w:type="character" w:customStyle="1" w:styleId="Mencinsinresolver1">
    <w:name w:val="Mención sin resolver1"/>
    <w:basedOn w:val="Fuentedeprrafopredeter"/>
    <w:uiPriority w:val="99"/>
    <w:semiHidden/>
    <w:unhideWhenUsed/>
    <w:rsid w:val="00C71458"/>
    <w:rPr>
      <w:color w:val="605E5C"/>
      <w:shd w:val="clear" w:color="auto" w:fill="E1DFDD"/>
    </w:rPr>
  </w:style>
  <w:style w:type="paragraph" w:customStyle="1" w:styleId="Style5">
    <w:name w:val="Style5"/>
    <w:basedOn w:val="Normal"/>
    <w:uiPriority w:val="99"/>
    <w:rsid w:val="0022287A"/>
    <w:pPr>
      <w:widowControl w:val="0"/>
      <w:autoSpaceDE w:val="0"/>
      <w:autoSpaceDN w:val="0"/>
      <w:adjustRightInd w:val="0"/>
      <w:spacing w:line="440" w:lineRule="exact"/>
      <w:jc w:val="both"/>
    </w:pPr>
    <w:rPr>
      <w:rFonts w:ascii="Arial" w:hAnsi="Arial" w:cs="Arial"/>
      <w:lang w:val="es-MX" w:eastAsia="es-MX"/>
    </w:rPr>
  </w:style>
  <w:style w:type="paragraph" w:customStyle="1" w:styleId="TEXTOLIBRE">
    <w:name w:val="TEXTO LIBRE"/>
    <w:basedOn w:val="Normal"/>
    <w:rsid w:val="0022287A"/>
    <w:pPr>
      <w:spacing w:before="120" w:after="120" w:line="360" w:lineRule="auto"/>
      <w:ind w:firstLine="709"/>
      <w:jc w:val="both"/>
    </w:pPr>
    <w:rPr>
      <w:sz w:val="28"/>
    </w:rPr>
  </w:style>
  <w:style w:type="paragraph" w:styleId="Sinespaciado">
    <w:name w:val="No Spacing"/>
    <w:link w:val="SinespaciadoCar"/>
    <w:uiPriority w:val="1"/>
    <w:qFormat/>
    <w:rsid w:val="00521A76"/>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21A76"/>
  </w:style>
  <w:style w:type="character" w:customStyle="1" w:styleId="SinespaciadoCar">
    <w:name w:val="Sin espaciado Car"/>
    <w:basedOn w:val="Fuentedeprrafopredeter"/>
    <w:link w:val="Sinespaciado"/>
    <w:uiPriority w:val="1"/>
    <w:rsid w:val="00521A76"/>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C68D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4848">
      <w:bodyDiv w:val="1"/>
      <w:marLeft w:val="0"/>
      <w:marRight w:val="0"/>
      <w:marTop w:val="0"/>
      <w:marBottom w:val="0"/>
      <w:divBdr>
        <w:top w:val="none" w:sz="0" w:space="0" w:color="auto"/>
        <w:left w:val="none" w:sz="0" w:space="0" w:color="auto"/>
        <w:bottom w:val="none" w:sz="0" w:space="0" w:color="auto"/>
        <w:right w:val="none" w:sz="0" w:space="0" w:color="auto"/>
      </w:divBdr>
      <w:divsChild>
        <w:div w:id="932393480">
          <w:marLeft w:val="0"/>
          <w:marRight w:val="0"/>
          <w:marTop w:val="0"/>
          <w:marBottom w:val="0"/>
          <w:divBdr>
            <w:top w:val="none" w:sz="0" w:space="0" w:color="auto"/>
            <w:left w:val="none" w:sz="0" w:space="0" w:color="auto"/>
            <w:bottom w:val="none" w:sz="0" w:space="0" w:color="auto"/>
            <w:right w:val="none" w:sz="0" w:space="0" w:color="auto"/>
          </w:divBdr>
        </w:div>
      </w:divsChild>
    </w:div>
    <w:div w:id="102506416">
      <w:bodyDiv w:val="1"/>
      <w:marLeft w:val="0"/>
      <w:marRight w:val="0"/>
      <w:marTop w:val="0"/>
      <w:marBottom w:val="0"/>
      <w:divBdr>
        <w:top w:val="none" w:sz="0" w:space="0" w:color="auto"/>
        <w:left w:val="none" w:sz="0" w:space="0" w:color="auto"/>
        <w:bottom w:val="none" w:sz="0" w:space="0" w:color="auto"/>
        <w:right w:val="none" w:sz="0" w:space="0" w:color="auto"/>
      </w:divBdr>
      <w:divsChild>
        <w:div w:id="669286285">
          <w:marLeft w:val="0"/>
          <w:marRight w:val="0"/>
          <w:marTop w:val="0"/>
          <w:marBottom w:val="0"/>
          <w:divBdr>
            <w:top w:val="none" w:sz="0" w:space="0" w:color="auto"/>
            <w:left w:val="none" w:sz="0" w:space="0" w:color="auto"/>
            <w:bottom w:val="none" w:sz="0" w:space="0" w:color="auto"/>
            <w:right w:val="none" w:sz="0" w:space="0" w:color="auto"/>
          </w:divBdr>
        </w:div>
        <w:div w:id="1757511186">
          <w:marLeft w:val="0"/>
          <w:marRight w:val="0"/>
          <w:marTop w:val="0"/>
          <w:marBottom w:val="0"/>
          <w:divBdr>
            <w:top w:val="none" w:sz="0" w:space="0" w:color="auto"/>
            <w:left w:val="none" w:sz="0" w:space="0" w:color="auto"/>
            <w:bottom w:val="none" w:sz="0" w:space="0" w:color="auto"/>
            <w:right w:val="none" w:sz="0" w:space="0" w:color="auto"/>
          </w:divBdr>
        </w:div>
        <w:div w:id="658265640">
          <w:marLeft w:val="0"/>
          <w:marRight w:val="0"/>
          <w:marTop w:val="0"/>
          <w:marBottom w:val="0"/>
          <w:divBdr>
            <w:top w:val="none" w:sz="0" w:space="0" w:color="auto"/>
            <w:left w:val="none" w:sz="0" w:space="0" w:color="auto"/>
            <w:bottom w:val="none" w:sz="0" w:space="0" w:color="auto"/>
            <w:right w:val="none" w:sz="0" w:space="0" w:color="auto"/>
          </w:divBdr>
        </w:div>
        <w:div w:id="1394888774">
          <w:marLeft w:val="0"/>
          <w:marRight w:val="0"/>
          <w:marTop w:val="0"/>
          <w:marBottom w:val="0"/>
          <w:divBdr>
            <w:top w:val="none" w:sz="0" w:space="0" w:color="auto"/>
            <w:left w:val="none" w:sz="0" w:space="0" w:color="auto"/>
            <w:bottom w:val="none" w:sz="0" w:space="0" w:color="auto"/>
            <w:right w:val="none" w:sz="0" w:space="0" w:color="auto"/>
          </w:divBdr>
        </w:div>
        <w:div w:id="578368204">
          <w:marLeft w:val="0"/>
          <w:marRight w:val="0"/>
          <w:marTop w:val="0"/>
          <w:marBottom w:val="0"/>
          <w:divBdr>
            <w:top w:val="none" w:sz="0" w:space="0" w:color="auto"/>
            <w:left w:val="none" w:sz="0" w:space="0" w:color="auto"/>
            <w:bottom w:val="none" w:sz="0" w:space="0" w:color="auto"/>
            <w:right w:val="none" w:sz="0" w:space="0" w:color="auto"/>
          </w:divBdr>
        </w:div>
        <w:div w:id="1667198593">
          <w:marLeft w:val="0"/>
          <w:marRight w:val="0"/>
          <w:marTop w:val="0"/>
          <w:marBottom w:val="0"/>
          <w:divBdr>
            <w:top w:val="none" w:sz="0" w:space="0" w:color="auto"/>
            <w:left w:val="none" w:sz="0" w:space="0" w:color="auto"/>
            <w:bottom w:val="none" w:sz="0" w:space="0" w:color="auto"/>
            <w:right w:val="none" w:sz="0" w:space="0" w:color="auto"/>
          </w:divBdr>
        </w:div>
      </w:divsChild>
    </w:div>
    <w:div w:id="179204112">
      <w:bodyDiv w:val="1"/>
      <w:marLeft w:val="0"/>
      <w:marRight w:val="0"/>
      <w:marTop w:val="0"/>
      <w:marBottom w:val="0"/>
      <w:divBdr>
        <w:top w:val="none" w:sz="0" w:space="0" w:color="auto"/>
        <w:left w:val="none" w:sz="0" w:space="0" w:color="auto"/>
        <w:bottom w:val="none" w:sz="0" w:space="0" w:color="auto"/>
        <w:right w:val="none" w:sz="0" w:space="0" w:color="auto"/>
      </w:divBdr>
    </w:div>
    <w:div w:id="179977802">
      <w:bodyDiv w:val="1"/>
      <w:marLeft w:val="0"/>
      <w:marRight w:val="0"/>
      <w:marTop w:val="0"/>
      <w:marBottom w:val="0"/>
      <w:divBdr>
        <w:top w:val="none" w:sz="0" w:space="0" w:color="auto"/>
        <w:left w:val="none" w:sz="0" w:space="0" w:color="auto"/>
        <w:bottom w:val="none" w:sz="0" w:space="0" w:color="auto"/>
        <w:right w:val="none" w:sz="0" w:space="0" w:color="auto"/>
      </w:divBdr>
      <w:divsChild>
        <w:div w:id="1669550963">
          <w:marLeft w:val="0"/>
          <w:marRight w:val="0"/>
          <w:marTop w:val="0"/>
          <w:marBottom w:val="0"/>
          <w:divBdr>
            <w:top w:val="none" w:sz="0" w:space="0" w:color="auto"/>
            <w:left w:val="none" w:sz="0" w:space="0" w:color="auto"/>
            <w:bottom w:val="none" w:sz="0" w:space="0" w:color="auto"/>
            <w:right w:val="none" w:sz="0" w:space="0" w:color="auto"/>
          </w:divBdr>
        </w:div>
      </w:divsChild>
    </w:div>
    <w:div w:id="770468820">
      <w:bodyDiv w:val="1"/>
      <w:marLeft w:val="0"/>
      <w:marRight w:val="0"/>
      <w:marTop w:val="0"/>
      <w:marBottom w:val="0"/>
      <w:divBdr>
        <w:top w:val="none" w:sz="0" w:space="0" w:color="auto"/>
        <w:left w:val="none" w:sz="0" w:space="0" w:color="auto"/>
        <w:bottom w:val="none" w:sz="0" w:space="0" w:color="auto"/>
        <w:right w:val="none" w:sz="0" w:space="0" w:color="auto"/>
      </w:divBdr>
    </w:div>
    <w:div w:id="830295177">
      <w:bodyDiv w:val="1"/>
      <w:marLeft w:val="0"/>
      <w:marRight w:val="0"/>
      <w:marTop w:val="0"/>
      <w:marBottom w:val="0"/>
      <w:divBdr>
        <w:top w:val="none" w:sz="0" w:space="0" w:color="auto"/>
        <w:left w:val="none" w:sz="0" w:space="0" w:color="auto"/>
        <w:bottom w:val="none" w:sz="0" w:space="0" w:color="auto"/>
        <w:right w:val="none" w:sz="0" w:space="0" w:color="auto"/>
      </w:divBdr>
    </w:div>
    <w:div w:id="1064253681">
      <w:bodyDiv w:val="1"/>
      <w:marLeft w:val="0"/>
      <w:marRight w:val="0"/>
      <w:marTop w:val="0"/>
      <w:marBottom w:val="0"/>
      <w:divBdr>
        <w:top w:val="none" w:sz="0" w:space="0" w:color="auto"/>
        <w:left w:val="none" w:sz="0" w:space="0" w:color="auto"/>
        <w:bottom w:val="none" w:sz="0" w:space="0" w:color="auto"/>
        <w:right w:val="none" w:sz="0" w:space="0" w:color="auto"/>
      </w:divBdr>
      <w:divsChild>
        <w:div w:id="1924220297">
          <w:marLeft w:val="0"/>
          <w:marRight w:val="0"/>
          <w:marTop w:val="0"/>
          <w:marBottom w:val="0"/>
          <w:divBdr>
            <w:top w:val="none" w:sz="0" w:space="0" w:color="auto"/>
            <w:left w:val="none" w:sz="0" w:space="0" w:color="auto"/>
            <w:bottom w:val="none" w:sz="0" w:space="0" w:color="auto"/>
            <w:right w:val="none" w:sz="0" w:space="0" w:color="auto"/>
          </w:divBdr>
        </w:div>
      </w:divsChild>
    </w:div>
    <w:div w:id="1087965551">
      <w:bodyDiv w:val="1"/>
      <w:marLeft w:val="0"/>
      <w:marRight w:val="0"/>
      <w:marTop w:val="0"/>
      <w:marBottom w:val="0"/>
      <w:divBdr>
        <w:top w:val="none" w:sz="0" w:space="0" w:color="auto"/>
        <w:left w:val="none" w:sz="0" w:space="0" w:color="auto"/>
        <w:bottom w:val="none" w:sz="0" w:space="0" w:color="auto"/>
        <w:right w:val="none" w:sz="0" w:space="0" w:color="auto"/>
      </w:divBdr>
    </w:div>
    <w:div w:id="1170944426">
      <w:bodyDiv w:val="1"/>
      <w:marLeft w:val="0"/>
      <w:marRight w:val="0"/>
      <w:marTop w:val="0"/>
      <w:marBottom w:val="0"/>
      <w:divBdr>
        <w:top w:val="none" w:sz="0" w:space="0" w:color="auto"/>
        <w:left w:val="none" w:sz="0" w:space="0" w:color="auto"/>
        <w:bottom w:val="none" w:sz="0" w:space="0" w:color="auto"/>
        <w:right w:val="none" w:sz="0" w:space="0" w:color="auto"/>
      </w:divBdr>
    </w:div>
    <w:div w:id="1451626772">
      <w:bodyDiv w:val="1"/>
      <w:marLeft w:val="0"/>
      <w:marRight w:val="0"/>
      <w:marTop w:val="0"/>
      <w:marBottom w:val="0"/>
      <w:divBdr>
        <w:top w:val="none" w:sz="0" w:space="0" w:color="auto"/>
        <w:left w:val="none" w:sz="0" w:space="0" w:color="auto"/>
        <w:bottom w:val="none" w:sz="0" w:space="0" w:color="auto"/>
        <w:right w:val="none" w:sz="0" w:space="0" w:color="auto"/>
      </w:divBdr>
      <w:divsChild>
        <w:div w:id="284898053">
          <w:marLeft w:val="0"/>
          <w:marRight w:val="0"/>
          <w:marTop w:val="0"/>
          <w:marBottom w:val="0"/>
          <w:divBdr>
            <w:top w:val="none" w:sz="0" w:space="0" w:color="auto"/>
            <w:left w:val="none" w:sz="0" w:space="0" w:color="auto"/>
            <w:bottom w:val="none" w:sz="0" w:space="0" w:color="auto"/>
            <w:right w:val="none" w:sz="0" w:space="0" w:color="auto"/>
          </w:divBdr>
        </w:div>
      </w:divsChild>
    </w:div>
    <w:div w:id="1597519275">
      <w:bodyDiv w:val="1"/>
      <w:marLeft w:val="0"/>
      <w:marRight w:val="0"/>
      <w:marTop w:val="0"/>
      <w:marBottom w:val="0"/>
      <w:divBdr>
        <w:top w:val="none" w:sz="0" w:space="0" w:color="auto"/>
        <w:left w:val="none" w:sz="0" w:space="0" w:color="auto"/>
        <w:bottom w:val="none" w:sz="0" w:space="0" w:color="auto"/>
        <w:right w:val="none" w:sz="0" w:space="0" w:color="auto"/>
      </w:divBdr>
    </w:div>
    <w:div w:id="1693608743">
      <w:bodyDiv w:val="1"/>
      <w:marLeft w:val="0"/>
      <w:marRight w:val="0"/>
      <w:marTop w:val="0"/>
      <w:marBottom w:val="0"/>
      <w:divBdr>
        <w:top w:val="none" w:sz="0" w:space="0" w:color="auto"/>
        <w:left w:val="none" w:sz="0" w:space="0" w:color="auto"/>
        <w:bottom w:val="none" w:sz="0" w:space="0" w:color="auto"/>
        <w:right w:val="none" w:sz="0" w:space="0" w:color="auto"/>
      </w:divBdr>
    </w:div>
    <w:div w:id="1773165584">
      <w:bodyDiv w:val="1"/>
      <w:marLeft w:val="0"/>
      <w:marRight w:val="0"/>
      <w:marTop w:val="0"/>
      <w:marBottom w:val="0"/>
      <w:divBdr>
        <w:top w:val="none" w:sz="0" w:space="0" w:color="auto"/>
        <w:left w:val="none" w:sz="0" w:space="0" w:color="auto"/>
        <w:bottom w:val="none" w:sz="0" w:space="0" w:color="auto"/>
        <w:right w:val="none" w:sz="0" w:space="0" w:color="auto"/>
      </w:divBdr>
    </w:div>
    <w:div w:id="1844130028">
      <w:bodyDiv w:val="1"/>
      <w:marLeft w:val="0"/>
      <w:marRight w:val="0"/>
      <w:marTop w:val="0"/>
      <w:marBottom w:val="0"/>
      <w:divBdr>
        <w:top w:val="none" w:sz="0" w:space="0" w:color="auto"/>
        <w:left w:val="none" w:sz="0" w:space="0" w:color="auto"/>
        <w:bottom w:val="none" w:sz="0" w:space="0" w:color="auto"/>
        <w:right w:val="none" w:sz="0" w:space="0" w:color="auto"/>
      </w:divBdr>
      <w:divsChild>
        <w:div w:id="1201095197">
          <w:marLeft w:val="0"/>
          <w:marRight w:val="0"/>
          <w:marTop w:val="0"/>
          <w:marBottom w:val="0"/>
          <w:divBdr>
            <w:top w:val="none" w:sz="0" w:space="0" w:color="auto"/>
            <w:left w:val="none" w:sz="0" w:space="0" w:color="auto"/>
            <w:bottom w:val="none" w:sz="0" w:space="0" w:color="auto"/>
            <w:right w:val="none" w:sz="0" w:space="0" w:color="auto"/>
          </w:divBdr>
        </w:div>
      </w:divsChild>
    </w:div>
    <w:div w:id="19691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9854ED-A9F0-4173-B920-FCC6F0DB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zyanya.avilesn@te.gob.mx</dc:creator>
  <cp:lastModifiedBy>Homero Treviño Landin</cp:lastModifiedBy>
  <cp:revision>4</cp:revision>
  <cp:lastPrinted>2021-04-20T18:00:00Z</cp:lastPrinted>
  <dcterms:created xsi:type="dcterms:W3CDTF">2021-05-16T02:22:00Z</dcterms:created>
  <dcterms:modified xsi:type="dcterms:W3CDTF">2021-05-16T02:22:00Z</dcterms:modified>
</cp:coreProperties>
</file>