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1"/>
        <w:tblW w:w="5125" w:type="dxa"/>
        <w:jc w:val="right"/>
        <w:tblLook w:val="04A0" w:firstRow="1" w:lastRow="0" w:firstColumn="1" w:lastColumn="0" w:noHBand="0" w:noVBand="1"/>
      </w:tblPr>
      <w:tblGrid>
        <w:gridCol w:w="5125"/>
      </w:tblGrid>
      <w:tr w:rsidR="00F330F2" w:rsidRPr="00B24593" w14:paraId="774D3347" w14:textId="77777777" w:rsidTr="00946148">
        <w:trPr>
          <w:trHeight w:val="4053"/>
          <w:jc w:val="right"/>
        </w:trPr>
        <w:tc>
          <w:tcPr>
            <w:tcW w:w="5125" w:type="dxa"/>
            <w:tcBorders>
              <w:top w:val="nil"/>
              <w:left w:val="nil"/>
              <w:bottom w:val="nil"/>
              <w:right w:val="nil"/>
            </w:tcBorders>
            <w:hideMark/>
          </w:tcPr>
          <w:p w14:paraId="23F22A4D" w14:textId="6C1F849D" w:rsidR="00F330F2" w:rsidRPr="00B24593" w:rsidRDefault="00F330F2" w:rsidP="00F330F2">
            <w:pPr>
              <w:spacing w:after="0" w:line="240" w:lineRule="auto"/>
              <w:rPr>
                <w:b/>
              </w:rPr>
            </w:pPr>
            <w:bookmarkStart w:id="0" w:name="_Hlk52562345"/>
            <w:r w:rsidRPr="00A000DC">
              <w:rPr>
                <w:b/>
              </w:rPr>
              <w:t>JUICIO</w:t>
            </w:r>
            <w:r w:rsidR="00E64005" w:rsidRPr="00A000DC">
              <w:rPr>
                <w:b/>
              </w:rPr>
              <w:t>S</w:t>
            </w:r>
            <w:r w:rsidRPr="00B24593">
              <w:rPr>
                <w:b/>
              </w:rPr>
              <w:t xml:space="preserve"> PARA LA PROTECCIÓN DE LOS DERECHOS POLÍTICO-ELECTORALES DEL CIUDADANO </w:t>
            </w:r>
          </w:p>
          <w:p w14:paraId="1C4D81EC" w14:textId="77777777" w:rsidR="00F330F2" w:rsidRPr="00B24593" w:rsidRDefault="00F330F2" w:rsidP="00F330F2">
            <w:pPr>
              <w:spacing w:after="0" w:line="240" w:lineRule="auto"/>
              <w:rPr>
                <w:b/>
              </w:rPr>
            </w:pPr>
          </w:p>
          <w:p w14:paraId="647E0C2E" w14:textId="2DC118F2" w:rsidR="00F330F2" w:rsidRPr="00B24593" w:rsidRDefault="00F330F2" w:rsidP="00F330F2">
            <w:pPr>
              <w:spacing w:after="0" w:line="240" w:lineRule="auto"/>
              <w:rPr>
                <w:rFonts w:eastAsia="Calibri"/>
              </w:rPr>
            </w:pPr>
            <w:r w:rsidRPr="00B24593">
              <w:rPr>
                <w:rFonts w:eastAsia="Calibri"/>
                <w:b/>
              </w:rPr>
              <w:t>EXPEDIENTE</w:t>
            </w:r>
            <w:r w:rsidR="002535B9">
              <w:rPr>
                <w:rFonts w:eastAsia="Calibri"/>
                <w:b/>
              </w:rPr>
              <w:t>S</w:t>
            </w:r>
            <w:r w:rsidRPr="00B24593">
              <w:rPr>
                <w:rFonts w:eastAsia="Calibri"/>
                <w:b/>
              </w:rPr>
              <w:t>:</w:t>
            </w:r>
            <w:r w:rsidRPr="00B24593">
              <w:rPr>
                <w:rFonts w:eastAsia="Calibri"/>
              </w:rPr>
              <w:t xml:space="preserve"> SM-JDC-</w:t>
            </w:r>
            <w:r w:rsidR="002544D0" w:rsidRPr="00B24593">
              <w:rPr>
                <w:rFonts w:eastAsia="Calibri"/>
              </w:rPr>
              <w:t>5</w:t>
            </w:r>
            <w:r w:rsidR="0009021A">
              <w:rPr>
                <w:rFonts w:eastAsia="Calibri"/>
              </w:rPr>
              <w:t>50</w:t>
            </w:r>
            <w:r w:rsidRPr="00B24593">
              <w:rPr>
                <w:rFonts w:eastAsia="Calibri"/>
              </w:rPr>
              <w:t>/2021</w:t>
            </w:r>
            <w:r w:rsidR="0009021A">
              <w:rPr>
                <w:rFonts w:eastAsia="Calibri"/>
              </w:rPr>
              <w:t xml:space="preserve"> Y SM-JDC-554/2021 ACUMULADOS</w:t>
            </w:r>
          </w:p>
          <w:p w14:paraId="52A62B8F" w14:textId="77777777" w:rsidR="00F330F2" w:rsidRPr="00B24593" w:rsidRDefault="00F330F2" w:rsidP="00F330F2">
            <w:pPr>
              <w:tabs>
                <w:tab w:val="left" w:pos="3341"/>
              </w:tabs>
              <w:spacing w:after="0" w:line="240" w:lineRule="auto"/>
              <w:rPr>
                <w:rFonts w:eastAsia="Calibri"/>
                <w:b/>
              </w:rPr>
            </w:pPr>
          </w:p>
          <w:p w14:paraId="347C63C3" w14:textId="63574CD0" w:rsidR="00F330F2" w:rsidRPr="00B24593" w:rsidRDefault="00F330F2" w:rsidP="00F330F2">
            <w:pPr>
              <w:spacing w:after="0" w:line="240" w:lineRule="auto"/>
              <w:rPr>
                <w:rFonts w:eastAsia="Times New Roman"/>
                <w:bCs/>
                <w:spacing w:val="-4"/>
                <w:lang w:eastAsia="es-ES"/>
              </w:rPr>
            </w:pPr>
            <w:r w:rsidRPr="00B24593">
              <w:rPr>
                <w:rFonts w:eastAsia="Times New Roman"/>
                <w:b/>
                <w:spacing w:val="-4"/>
                <w:lang w:eastAsia="es-ES"/>
              </w:rPr>
              <w:t>ACTOR</w:t>
            </w:r>
            <w:r w:rsidR="00F555A2" w:rsidRPr="00B24593">
              <w:rPr>
                <w:rFonts w:eastAsia="Times New Roman"/>
                <w:b/>
                <w:spacing w:val="-4"/>
                <w:lang w:eastAsia="es-ES"/>
              </w:rPr>
              <w:t>ES</w:t>
            </w:r>
            <w:r w:rsidRPr="00B24593">
              <w:rPr>
                <w:rFonts w:eastAsia="Times New Roman"/>
                <w:b/>
                <w:spacing w:val="-4"/>
                <w:lang w:eastAsia="es-ES"/>
              </w:rPr>
              <w:t xml:space="preserve">: </w:t>
            </w:r>
            <w:r w:rsidR="002535B9">
              <w:rPr>
                <w:rFonts w:eastAsia="Times New Roman"/>
                <w:bCs/>
                <w:spacing w:val="-4"/>
                <w:lang w:eastAsia="es-ES"/>
              </w:rPr>
              <w:t>JOSÉ ANTONIO RODRÍGUEZ OJEDA Y PAOLA DE LA LUZ ACEVES FLORES</w:t>
            </w:r>
          </w:p>
          <w:p w14:paraId="02CFC9B7" w14:textId="77777777" w:rsidR="00F555A2" w:rsidRPr="00B24593" w:rsidRDefault="00F555A2" w:rsidP="00F330F2">
            <w:pPr>
              <w:spacing w:after="0" w:line="240" w:lineRule="auto"/>
              <w:rPr>
                <w:rFonts w:eastAsia="Calibri"/>
                <w:b/>
                <w:bCs/>
              </w:rPr>
            </w:pPr>
          </w:p>
          <w:p w14:paraId="230C0662" w14:textId="6F8CE3D1" w:rsidR="00F330F2" w:rsidRPr="00B24593" w:rsidRDefault="00F330F2" w:rsidP="00F330F2">
            <w:pPr>
              <w:spacing w:after="0" w:line="240" w:lineRule="auto"/>
              <w:rPr>
                <w:rFonts w:eastAsia="Times New Roman"/>
                <w:lang w:eastAsia="es-ES"/>
              </w:rPr>
            </w:pPr>
            <w:r w:rsidRPr="00B24593">
              <w:rPr>
                <w:rFonts w:eastAsia="Times New Roman"/>
                <w:b/>
                <w:lang w:eastAsia="es-ES"/>
              </w:rPr>
              <w:t xml:space="preserve">RESPONSABLE: </w:t>
            </w:r>
            <w:r w:rsidR="00F555A2" w:rsidRPr="00B24593">
              <w:rPr>
                <w:rFonts w:eastAsia="Times New Roman"/>
                <w:lang w:eastAsia="es-ES"/>
              </w:rPr>
              <w:t>TRIBUNAL ESTATAL ELECTORAL DE GUANAJUATO</w:t>
            </w:r>
          </w:p>
          <w:p w14:paraId="0B0CB919" w14:textId="0225A46A" w:rsidR="0055705E" w:rsidRPr="00B24593" w:rsidRDefault="0055705E" w:rsidP="00F330F2">
            <w:pPr>
              <w:spacing w:after="0" w:line="240" w:lineRule="auto"/>
              <w:rPr>
                <w:rFonts w:eastAsia="Times New Roman"/>
                <w:bCs/>
                <w:lang w:eastAsia="es-ES"/>
              </w:rPr>
            </w:pPr>
          </w:p>
          <w:p w14:paraId="6825694D" w14:textId="77777777" w:rsidR="00F330F2" w:rsidRPr="00B24593" w:rsidRDefault="00F330F2" w:rsidP="00F330F2">
            <w:pPr>
              <w:spacing w:after="0" w:line="240" w:lineRule="auto"/>
              <w:rPr>
                <w:rFonts w:eastAsia="Calibri"/>
              </w:rPr>
            </w:pPr>
            <w:r w:rsidRPr="00B24593">
              <w:rPr>
                <w:rFonts w:eastAsia="Calibri"/>
                <w:b/>
              </w:rPr>
              <w:t>MAGISTRADO PONENTE:</w:t>
            </w:r>
            <w:r w:rsidRPr="00B24593">
              <w:rPr>
                <w:rFonts w:eastAsia="Calibri"/>
              </w:rPr>
              <w:t xml:space="preserve"> YAIRSINIO DAVID GARCÍA ORTIZ</w:t>
            </w:r>
          </w:p>
          <w:p w14:paraId="7E459313" w14:textId="77777777" w:rsidR="00F330F2" w:rsidRPr="00B24593" w:rsidRDefault="00F330F2" w:rsidP="00F330F2">
            <w:pPr>
              <w:spacing w:after="0" w:line="240" w:lineRule="auto"/>
              <w:rPr>
                <w:rFonts w:eastAsia="Calibri"/>
                <w:b/>
              </w:rPr>
            </w:pPr>
          </w:p>
          <w:p w14:paraId="4E283384" w14:textId="058FDE6F" w:rsidR="00F330F2" w:rsidRPr="00B24593" w:rsidRDefault="00F330F2" w:rsidP="00F330F2">
            <w:pPr>
              <w:spacing w:after="0" w:line="240" w:lineRule="auto"/>
              <w:rPr>
                <w:rFonts w:eastAsia="Calibri"/>
              </w:rPr>
            </w:pPr>
            <w:r w:rsidRPr="00B24593">
              <w:rPr>
                <w:rFonts w:eastAsia="Calibri"/>
                <w:b/>
              </w:rPr>
              <w:t>SECRETARI</w:t>
            </w:r>
            <w:r w:rsidR="00946148" w:rsidRPr="00B24593">
              <w:rPr>
                <w:rFonts w:eastAsia="Calibri"/>
                <w:b/>
              </w:rPr>
              <w:t>O</w:t>
            </w:r>
            <w:r w:rsidRPr="00B24593">
              <w:rPr>
                <w:rFonts w:eastAsia="Calibri"/>
                <w:b/>
              </w:rPr>
              <w:t xml:space="preserve">: </w:t>
            </w:r>
            <w:r w:rsidR="002535B9">
              <w:rPr>
                <w:rFonts w:eastAsia="Calibri"/>
              </w:rPr>
              <w:t>MARCOTULIO CÓRDOBA GARCÍA</w:t>
            </w:r>
            <w:r w:rsidRPr="00B24593">
              <w:rPr>
                <w:rFonts w:eastAsia="Calibri"/>
              </w:rPr>
              <w:t xml:space="preserve"> </w:t>
            </w:r>
          </w:p>
        </w:tc>
      </w:tr>
    </w:tbl>
    <w:p w14:paraId="7F43A273" w14:textId="77777777" w:rsidR="00235D92" w:rsidRPr="00B24593" w:rsidRDefault="00235D92" w:rsidP="004E4EAE">
      <w:bookmarkStart w:id="1" w:name="_Toc65780052"/>
      <w:bookmarkStart w:id="2" w:name="_Toc27649896"/>
      <w:bookmarkStart w:id="3" w:name="_Hlk15540932"/>
    </w:p>
    <w:p w14:paraId="26F4F492" w14:textId="5BB0556B" w:rsidR="00235D92" w:rsidRPr="00B24593" w:rsidRDefault="00235D92" w:rsidP="004E4EAE">
      <w:r w:rsidRPr="00B24593">
        <w:t xml:space="preserve">Monterrey, Nuevo León, a </w:t>
      </w:r>
      <w:r w:rsidR="00A000DC">
        <w:t>cinco</w:t>
      </w:r>
      <w:r w:rsidRPr="00B24593">
        <w:t xml:space="preserve"> de </w:t>
      </w:r>
      <w:r w:rsidR="002535B9">
        <w:t xml:space="preserve">junio </w:t>
      </w:r>
      <w:r w:rsidRPr="00B24593">
        <w:t xml:space="preserve">de dos mil veintiuno. </w:t>
      </w:r>
    </w:p>
    <w:p w14:paraId="776B5F14" w14:textId="3E5AC691" w:rsidR="00065A5D" w:rsidRPr="00B24593" w:rsidRDefault="00235D92" w:rsidP="00A67652">
      <w:pPr>
        <w:pStyle w:val="NormalWeb"/>
        <w:spacing w:line="360" w:lineRule="auto"/>
        <w:rPr>
          <w:rFonts w:ascii="Arial" w:hAnsi="Arial"/>
        </w:rPr>
      </w:pPr>
      <w:r w:rsidRPr="00B24593">
        <w:rPr>
          <w:rFonts w:ascii="Arial" w:hAnsi="Arial"/>
        </w:rPr>
        <w:t xml:space="preserve">Sentencia definitiva que </w:t>
      </w:r>
      <w:r w:rsidR="00060224">
        <w:rPr>
          <w:rFonts w:ascii="Arial" w:hAnsi="Arial"/>
        </w:rPr>
        <w:t xml:space="preserve">confirma la resolución impugnada </w:t>
      </w:r>
      <w:r w:rsidR="00060224" w:rsidRPr="00060224">
        <w:rPr>
          <w:rFonts w:ascii="Arial" w:hAnsi="Arial"/>
        </w:rPr>
        <w:t>en atención a que el propio</w:t>
      </w:r>
      <w:r w:rsidR="00060224" w:rsidRPr="00060224">
        <w:rPr>
          <w:rFonts w:ascii="Arial" w:eastAsiaTheme="minorHAnsi" w:hAnsi="Arial"/>
          <w:sz w:val="20"/>
          <w:szCs w:val="16"/>
          <w:lang w:eastAsia="en-US"/>
        </w:rPr>
        <w:t xml:space="preserve"> </w:t>
      </w:r>
      <w:r w:rsidR="00060224" w:rsidRPr="00060224">
        <w:rPr>
          <w:rFonts w:ascii="Arial" w:hAnsi="Arial"/>
        </w:rPr>
        <w:t>Órgano de Justicia Intrapartidaria del Partido de la Revolución Democrática reconoce el error que se cometió por el partido al solicitar el registro de la planilla de candidat</w:t>
      </w:r>
      <w:r w:rsidR="00A000DC">
        <w:rPr>
          <w:rFonts w:ascii="Arial" w:hAnsi="Arial"/>
        </w:rPr>
        <w:t>uras</w:t>
      </w:r>
      <w:r w:rsidR="00060224" w:rsidRPr="00060224">
        <w:rPr>
          <w:rFonts w:ascii="Arial" w:hAnsi="Arial"/>
        </w:rPr>
        <w:t xml:space="preserve"> al ayuntamiento de León Guanajuato</w:t>
      </w:r>
      <w:r w:rsidR="00060224">
        <w:rPr>
          <w:rFonts w:ascii="Arial" w:hAnsi="Arial"/>
        </w:rPr>
        <w:t>.</w:t>
      </w:r>
    </w:p>
    <w:p w14:paraId="3A7EA034" w14:textId="7F34ABA3" w:rsidR="00A67652" w:rsidRPr="00B24593" w:rsidRDefault="00A67652" w:rsidP="00073FBF">
      <w:pPr>
        <w:spacing w:after="0" w:line="240" w:lineRule="auto"/>
        <w:jc w:val="center"/>
        <w:rPr>
          <w:rFonts w:eastAsia="Times New Roman"/>
          <w:b/>
          <w:lang w:eastAsia="es-ES"/>
        </w:rPr>
      </w:pPr>
      <w:r w:rsidRPr="00B24593">
        <w:rPr>
          <w:rFonts w:eastAsia="Times New Roman"/>
          <w:b/>
          <w:lang w:eastAsia="es-ES"/>
        </w:rPr>
        <w:t>ÍNDICE</w:t>
      </w:r>
    </w:p>
    <w:tbl>
      <w:tblPr>
        <w:tblStyle w:val="Tablaconcuadrcula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6"/>
        <w:gridCol w:w="587"/>
      </w:tblGrid>
      <w:tr w:rsidR="00A67652" w:rsidRPr="00B24593" w14:paraId="68BD0020" w14:textId="77777777" w:rsidTr="00094D87">
        <w:tc>
          <w:tcPr>
            <w:tcW w:w="7516" w:type="dxa"/>
          </w:tcPr>
          <w:p w14:paraId="26D4B60C" w14:textId="77777777" w:rsidR="00A67652" w:rsidRPr="00B24593" w:rsidRDefault="00A67652" w:rsidP="002C2A33">
            <w:pPr>
              <w:spacing w:after="0" w:line="240" w:lineRule="auto"/>
              <w:ind w:left="462"/>
              <w:rPr>
                <w:rFonts w:eastAsia="Times New Roman"/>
                <w:sz w:val="20"/>
                <w:szCs w:val="16"/>
                <w:lang w:eastAsia="es-ES"/>
              </w:rPr>
            </w:pPr>
            <w:bookmarkStart w:id="4" w:name="_Hlk73673955"/>
            <w:r w:rsidRPr="00B24593">
              <w:rPr>
                <w:rFonts w:eastAsia="Times New Roman"/>
                <w:b/>
                <w:sz w:val="20"/>
                <w:szCs w:val="16"/>
                <w:lang w:eastAsia="es-ES"/>
              </w:rPr>
              <w:t xml:space="preserve">GLOSARIO </w:t>
            </w:r>
            <w:r w:rsidRPr="00B24593">
              <w:rPr>
                <w:rFonts w:eastAsia="Times New Roman"/>
                <w:sz w:val="20"/>
                <w:szCs w:val="16"/>
                <w:lang w:eastAsia="es-ES"/>
              </w:rPr>
              <w:t>………………………………………………………………………</w:t>
            </w:r>
          </w:p>
        </w:tc>
        <w:tc>
          <w:tcPr>
            <w:tcW w:w="587" w:type="dxa"/>
          </w:tcPr>
          <w:p w14:paraId="4958A4F4" w14:textId="77777777" w:rsidR="00A67652" w:rsidRPr="00B24593" w:rsidRDefault="00A67652" w:rsidP="002C2A33">
            <w:pPr>
              <w:spacing w:after="0" w:line="240" w:lineRule="auto"/>
              <w:jc w:val="center"/>
              <w:rPr>
                <w:rFonts w:eastAsia="Times New Roman"/>
                <w:sz w:val="20"/>
                <w:szCs w:val="16"/>
                <w:lang w:eastAsia="es-ES"/>
              </w:rPr>
            </w:pPr>
            <w:r w:rsidRPr="00B24593">
              <w:rPr>
                <w:rFonts w:eastAsia="Times New Roman"/>
                <w:sz w:val="20"/>
                <w:szCs w:val="16"/>
                <w:lang w:eastAsia="es-ES"/>
              </w:rPr>
              <w:t>1</w:t>
            </w:r>
          </w:p>
        </w:tc>
      </w:tr>
      <w:tr w:rsidR="00A67652" w:rsidRPr="00B24593" w14:paraId="549E3076" w14:textId="77777777" w:rsidTr="00094D87">
        <w:tc>
          <w:tcPr>
            <w:tcW w:w="7516" w:type="dxa"/>
          </w:tcPr>
          <w:p w14:paraId="35BAC383" w14:textId="77777777" w:rsidR="00A67652" w:rsidRPr="00B24593" w:rsidRDefault="00A67652" w:rsidP="002C2A33">
            <w:pPr>
              <w:spacing w:after="0" w:line="240" w:lineRule="auto"/>
              <w:ind w:left="462"/>
              <w:rPr>
                <w:rFonts w:eastAsia="Times New Roman"/>
                <w:b/>
                <w:sz w:val="20"/>
                <w:szCs w:val="16"/>
                <w:lang w:eastAsia="es-ES"/>
              </w:rPr>
            </w:pPr>
            <w:r w:rsidRPr="00B24593">
              <w:rPr>
                <w:rFonts w:eastAsia="Times New Roman"/>
                <w:b/>
                <w:sz w:val="20"/>
                <w:szCs w:val="16"/>
                <w:lang w:eastAsia="es-ES"/>
              </w:rPr>
              <w:t>1. ANTECEDENTES DEL CASO</w:t>
            </w:r>
            <w:r w:rsidRPr="00B24593">
              <w:rPr>
                <w:rFonts w:eastAsia="Times New Roman"/>
                <w:sz w:val="20"/>
                <w:szCs w:val="16"/>
                <w:lang w:eastAsia="es-ES"/>
              </w:rPr>
              <w:t>………………………………………………</w:t>
            </w:r>
          </w:p>
        </w:tc>
        <w:tc>
          <w:tcPr>
            <w:tcW w:w="587" w:type="dxa"/>
          </w:tcPr>
          <w:p w14:paraId="58EB440B" w14:textId="75DFA626" w:rsidR="00A67652" w:rsidRPr="00B24593" w:rsidRDefault="00D070A5" w:rsidP="002C2A33">
            <w:pPr>
              <w:spacing w:after="0" w:line="240" w:lineRule="auto"/>
              <w:jc w:val="center"/>
              <w:rPr>
                <w:rFonts w:eastAsia="Times New Roman"/>
                <w:sz w:val="20"/>
                <w:szCs w:val="16"/>
                <w:lang w:eastAsia="es-ES"/>
              </w:rPr>
            </w:pPr>
            <w:r w:rsidRPr="00B24593">
              <w:rPr>
                <w:rFonts w:eastAsia="Times New Roman"/>
                <w:sz w:val="20"/>
                <w:szCs w:val="16"/>
                <w:lang w:eastAsia="es-ES"/>
              </w:rPr>
              <w:t>2</w:t>
            </w:r>
          </w:p>
        </w:tc>
      </w:tr>
      <w:tr w:rsidR="00A67652" w:rsidRPr="00B24593" w14:paraId="42BB55A8" w14:textId="77777777" w:rsidTr="00094D87">
        <w:tc>
          <w:tcPr>
            <w:tcW w:w="7516" w:type="dxa"/>
          </w:tcPr>
          <w:p w14:paraId="53B6103C" w14:textId="77777777" w:rsidR="00A67652" w:rsidRPr="00B24593" w:rsidRDefault="00A67652" w:rsidP="002C2A33">
            <w:pPr>
              <w:spacing w:after="0" w:line="240" w:lineRule="auto"/>
              <w:ind w:left="462"/>
              <w:rPr>
                <w:rFonts w:eastAsia="Times New Roman"/>
                <w:sz w:val="20"/>
                <w:szCs w:val="16"/>
                <w:lang w:eastAsia="es-ES"/>
              </w:rPr>
            </w:pPr>
            <w:r w:rsidRPr="00B24593">
              <w:rPr>
                <w:rFonts w:eastAsia="Times New Roman"/>
                <w:b/>
                <w:sz w:val="20"/>
                <w:szCs w:val="16"/>
                <w:lang w:eastAsia="es-ES"/>
              </w:rPr>
              <w:t>2. COMPETENCIA</w:t>
            </w:r>
            <w:r w:rsidRPr="00B24593">
              <w:rPr>
                <w:rFonts w:eastAsia="Times New Roman"/>
                <w:sz w:val="20"/>
                <w:szCs w:val="16"/>
                <w:lang w:eastAsia="es-ES"/>
              </w:rPr>
              <w:t>………………………………………………………………</w:t>
            </w:r>
          </w:p>
        </w:tc>
        <w:tc>
          <w:tcPr>
            <w:tcW w:w="587" w:type="dxa"/>
          </w:tcPr>
          <w:p w14:paraId="0A99A0D2" w14:textId="4829C550" w:rsidR="00A67652" w:rsidRPr="00B24593" w:rsidRDefault="009931D3" w:rsidP="002C2A33">
            <w:pPr>
              <w:spacing w:after="0" w:line="240" w:lineRule="auto"/>
              <w:jc w:val="center"/>
              <w:rPr>
                <w:rFonts w:eastAsia="Times New Roman"/>
                <w:sz w:val="20"/>
                <w:szCs w:val="16"/>
                <w:lang w:eastAsia="es-ES"/>
              </w:rPr>
            </w:pPr>
            <w:r>
              <w:rPr>
                <w:rFonts w:eastAsia="Times New Roman"/>
                <w:sz w:val="20"/>
                <w:szCs w:val="16"/>
                <w:lang w:eastAsia="es-ES"/>
              </w:rPr>
              <w:t>4</w:t>
            </w:r>
          </w:p>
        </w:tc>
      </w:tr>
      <w:tr w:rsidR="009931D3" w:rsidRPr="00B24593" w14:paraId="3EE60085" w14:textId="77777777" w:rsidTr="00094D87">
        <w:tc>
          <w:tcPr>
            <w:tcW w:w="7516" w:type="dxa"/>
          </w:tcPr>
          <w:p w14:paraId="6FABF984" w14:textId="66D927D4" w:rsidR="009931D3" w:rsidRPr="00B24593" w:rsidRDefault="009931D3" w:rsidP="002C2A33">
            <w:pPr>
              <w:spacing w:after="0" w:line="240" w:lineRule="auto"/>
              <w:ind w:left="462"/>
              <w:rPr>
                <w:rFonts w:eastAsia="Times New Roman"/>
                <w:b/>
                <w:sz w:val="20"/>
                <w:szCs w:val="16"/>
                <w:lang w:eastAsia="es-ES"/>
              </w:rPr>
            </w:pPr>
            <w:r>
              <w:rPr>
                <w:rFonts w:eastAsia="Times New Roman"/>
                <w:b/>
                <w:sz w:val="20"/>
                <w:szCs w:val="16"/>
                <w:lang w:eastAsia="es-ES"/>
              </w:rPr>
              <w:t xml:space="preserve">3. ACUMULACIÓN </w:t>
            </w:r>
            <w:r>
              <w:rPr>
                <w:rFonts w:eastAsia="Times New Roman"/>
                <w:sz w:val="20"/>
                <w:szCs w:val="16"/>
                <w:lang w:eastAsia="es-ES"/>
              </w:rPr>
              <w:t>……………………………………………………………..</w:t>
            </w:r>
            <w:r>
              <w:rPr>
                <w:rFonts w:eastAsia="Times New Roman"/>
                <w:b/>
                <w:sz w:val="20"/>
                <w:szCs w:val="16"/>
                <w:lang w:eastAsia="es-ES"/>
              </w:rPr>
              <w:t xml:space="preserve"> </w:t>
            </w:r>
          </w:p>
        </w:tc>
        <w:tc>
          <w:tcPr>
            <w:tcW w:w="587" w:type="dxa"/>
          </w:tcPr>
          <w:p w14:paraId="339038F6" w14:textId="0583674E" w:rsidR="009931D3" w:rsidRPr="00B24593" w:rsidRDefault="009931D3" w:rsidP="002C2A33">
            <w:pPr>
              <w:spacing w:after="0" w:line="240" w:lineRule="auto"/>
              <w:jc w:val="center"/>
              <w:rPr>
                <w:rFonts w:eastAsia="Times New Roman"/>
                <w:sz w:val="20"/>
                <w:szCs w:val="16"/>
                <w:lang w:eastAsia="es-ES"/>
              </w:rPr>
            </w:pPr>
            <w:r>
              <w:rPr>
                <w:rFonts w:eastAsia="Times New Roman"/>
                <w:sz w:val="20"/>
                <w:szCs w:val="16"/>
                <w:lang w:eastAsia="es-ES"/>
              </w:rPr>
              <w:t>4</w:t>
            </w:r>
          </w:p>
        </w:tc>
      </w:tr>
      <w:tr w:rsidR="00A67652" w:rsidRPr="00B24593" w14:paraId="4CEC3131" w14:textId="77777777" w:rsidTr="00094D87">
        <w:tc>
          <w:tcPr>
            <w:tcW w:w="7516" w:type="dxa"/>
          </w:tcPr>
          <w:p w14:paraId="27D1DECE" w14:textId="51CDEA87" w:rsidR="00A67652" w:rsidRPr="00B24593" w:rsidRDefault="00073FBF" w:rsidP="002C2A33">
            <w:pPr>
              <w:spacing w:after="0" w:line="240" w:lineRule="auto"/>
              <w:ind w:left="462"/>
              <w:rPr>
                <w:rFonts w:eastAsia="Times New Roman"/>
                <w:sz w:val="20"/>
                <w:szCs w:val="16"/>
                <w:lang w:eastAsia="es-ES"/>
              </w:rPr>
            </w:pPr>
            <w:r>
              <w:rPr>
                <w:rFonts w:eastAsia="Times New Roman"/>
                <w:b/>
                <w:sz w:val="20"/>
                <w:szCs w:val="16"/>
                <w:lang w:eastAsia="es-ES"/>
              </w:rPr>
              <w:t>4</w:t>
            </w:r>
            <w:r w:rsidR="00A67652" w:rsidRPr="00B24593">
              <w:rPr>
                <w:rFonts w:eastAsia="Times New Roman"/>
                <w:b/>
                <w:sz w:val="20"/>
                <w:szCs w:val="16"/>
                <w:lang w:eastAsia="es-ES"/>
              </w:rPr>
              <w:t xml:space="preserve">. PROCEDENCIA </w:t>
            </w:r>
            <w:r w:rsidR="00A67652" w:rsidRPr="00B24593">
              <w:rPr>
                <w:rFonts w:eastAsia="Times New Roman"/>
                <w:sz w:val="20"/>
                <w:szCs w:val="16"/>
                <w:lang w:eastAsia="es-ES"/>
              </w:rPr>
              <w:t>……………………………………………………………...</w:t>
            </w:r>
          </w:p>
        </w:tc>
        <w:tc>
          <w:tcPr>
            <w:tcW w:w="587" w:type="dxa"/>
          </w:tcPr>
          <w:p w14:paraId="395D5755" w14:textId="62C35855" w:rsidR="00A67652" w:rsidRPr="00B24593" w:rsidRDefault="009931D3" w:rsidP="002C2A33">
            <w:pPr>
              <w:spacing w:after="0" w:line="240" w:lineRule="auto"/>
              <w:jc w:val="center"/>
              <w:rPr>
                <w:rFonts w:eastAsia="Times New Roman"/>
                <w:sz w:val="20"/>
                <w:szCs w:val="16"/>
                <w:lang w:eastAsia="es-ES"/>
              </w:rPr>
            </w:pPr>
            <w:r>
              <w:rPr>
                <w:rFonts w:eastAsia="Times New Roman"/>
                <w:sz w:val="20"/>
                <w:szCs w:val="16"/>
                <w:lang w:eastAsia="es-ES"/>
              </w:rPr>
              <w:t>5</w:t>
            </w:r>
          </w:p>
        </w:tc>
      </w:tr>
      <w:tr w:rsidR="00A67652" w:rsidRPr="00B24593" w14:paraId="6133C2C6" w14:textId="77777777" w:rsidTr="00094D87">
        <w:tc>
          <w:tcPr>
            <w:tcW w:w="7516" w:type="dxa"/>
          </w:tcPr>
          <w:p w14:paraId="1C28126C" w14:textId="34889A0F" w:rsidR="00A67652" w:rsidRPr="00B24593" w:rsidRDefault="00073FBF" w:rsidP="002C2A33">
            <w:pPr>
              <w:spacing w:after="0" w:line="240" w:lineRule="auto"/>
              <w:ind w:left="462"/>
              <w:rPr>
                <w:rFonts w:eastAsia="Times New Roman"/>
                <w:b/>
                <w:sz w:val="20"/>
                <w:szCs w:val="16"/>
                <w:lang w:eastAsia="es-ES"/>
              </w:rPr>
            </w:pPr>
            <w:r>
              <w:rPr>
                <w:rFonts w:eastAsia="Times New Roman"/>
                <w:b/>
                <w:sz w:val="20"/>
                <w:szCs w:val="16"/>
                <w:lang w:eastAsia="es-ES"/>
              </w:rPr>
              <w:t>5</w:t>
            </w:r>
            <w:r w:rsidR="00A67652" w:rsidRPr="00B24593">
              <w:rPr>
                <w:rFonts w:eastAsia="Times New Roman"/>
                <w:b/>
                <w:sz w:val="20"/>
                <w:szCs w:val="16"/>
                <w:lang w:eastAsia="es-ES"/>
              </w:rPr>
              <w:t>. ESTUDIO DE FONDO</w:t>
            </w:r>
          </w:p>
        </w:tc>
        <w:tc>
          <w:tcPr>
            <w:tcW w:w="587" w:type="dxa"/>
          </w:tcPr>
          <w:p w14:paraId="4857891C" w14:textId="77777777" w:rsidR="00A67652" w:rsidRPr="00B24593" w:rsidRDefault="00A67652" w:rsidP="002C2A33">
            <w:pPr>
              <w:spacing w:after="0" w:line="240" w:lineRule="auto"/>
              <w:jc w:val="center"/>
              <w:rPr>
                <w:rFonts w:eastAsia="Times New Roman"/>
                <w:sz w:val="20"/>
                <w:szCs w:val="16"/>
                <w:lang w:eastAsia="es-ES"/>
              </w:rPr>
            </w:pPr>
          </w:p>
        </w:tc>
      </w:tr>
      <w:tr w:rsidR="00A67652" w:rsidRPr="00B24593" w14:paraId="2E502222" w14:textId="77777777" w:rsidTr="00094D87">
        <w:tc>
          <w:tcPr>
            <w:tcW w:w="7516" w:type="dxa"/>
          </w:tcPr>
          <w:p w14:paraId="19C40A56" w14:textId="2D597AC1" w:rsidR="00A67652" w:rsidRPr="00B24593" w:rsidRDefault="00A67652" w:rsidP="002C2A33">
            <w:pPr>
              <w:spacing w:after="0" w:line="240" w:lineRule="auto"/>
              <w:ind w:left="462"/>
              <w:rPr>
                <w:rFonts w:eastAsia="Times New Roman"/>
                <w:sz w:val="20"/>
                <w:szCs w:val="16"/>
                <w:lang w:eastAsia="es-ES"/>
              </w:rPr>
            </w:pPr>
            <w:r w:rsidRPr="00B24593">
              <w:rPr>
                <w:rFonts w:eastAsia="Times New Roman"/>
                <w:b/>
                <w:sz w:val="20"/>
                <w:szCs w:val="16"/>
                <w:lang w:eastAsia="es-ES"/>
              </w:rPr>
              <w:t xml:space="preserve">          </w:t>
            </w:r>
            <w:r w:rsidR="00073FBF">
              <w:rPr>
                <w:rFonts w:eastAsia="Times New Roman"/>
                <w:b/>
                <w:sz w:val="20"/>
                <w:szCs w:val="16"/>
                <w:lang w:eastAsia="es-ES"/>
              </w:rPr>
              <w:t>5</w:t>
            </w:r>
            <w:r w:rsidRPr="00B24593">
              <w:rPr>
                <w:rFonts w:eastAsia="Times New Roman"/>
                <w:b/>
                <w:sz w:val="20"/>
                <w:szCs w:val="16"/>
                <w:lang w:eastAsia="es-ES"/>
              </w:rPr>
              <w:t xml:space="preserve">.1. </w:t>
            </w:r>
            <w:r w:rsidRPr="00B24593">
              <w:rPr>
                <w:rFonts w:eastAsia="Times New Roman"/>
                <w:sz w:val="20"/>
                <w:szCs w:val="16"/>
                <w:lang w:eastAsia="es-ES"/>
              </w:rPr>
              <w:t>Materia de la controversia ………………………………………….</w:t>
            </w:r>
          </w:p>
        </w:tc>
        <w:tc>
          <w:tcPr>
            <w:tcW w:w="587" w:type="dxa"/>
          </w:tcPr>
          <w:p w14:paraId="10CD4802" w14:textId="46AC6922" w:rsidR="00A67652" w:rsidRPr="00B24593" w:rsidRDefault="00073FBF" w:rsidP="002C2A33">
            <w:pPr>
              <w:spacing w:after="0" w:line="240" w:lineRule="auto"/>
              <w:jc w:val="center"/>
              <w:rPr>
                <w:rFonts w:eastAsia="Times New Roman"/>
                <w:sz w:val="20"/>
                <w:szCs w:val="16"/>
                <w:lang w:eastAsia="es-ES"/>
              </w:rPr>
            </w:pPr>
            <w:r>
              <w:rPr>
                <w:rFonts w:eastAsia="Times New Roman"/>
                <w:sz w:val="20"/>
                <w:szCs w:val="16"/>
                <w:lang w:eastAsia="es-ES"/>
              </w:rPr>
              <w:t>5</w:t>
            </w:r>
          </w:p>
        </w:tc>
      </w:tr>
      <w:tr w:rsidR="00A67652" w:rsidRPr="00B24593" w14:paraId="64DD4431" w14:textId="77777777" w:rsidTr="00094D87">
        <w:tc>
          <w:tcPr>
            <w:tcW w:w="7516" w:type="dxa"/>
          </w:tcPr>
          <w:p w14:paraId="533A4F09" w14:textId="593A27FD" w:rsidR="00A67652" w:rsidRPr="00B24593" w:rsidRDefault="00A67652" w:rsidP="002C2A33">
            <w:pPr>
              <w:spacing w:after="0" w:line="240" w:lineRule="auto"/>
              <w:ind w:left="462"/>
              <w:rPr>
                <w:rFonts w:eastAsia="Times New Roman"/>
                <w:sz w:val="20"/>
                <w:szCs w:val="16"/>
                <w:lang w:eastAsia="es-ES"/>
              </w:rPr>
            </w:pPr>
            <w:r w:rsidRPr="00B24593">
              <w:rPr>
                <w:rFonts w:eastAsia="Times New Roman"/>
                <w:b/>
                <w:sz w:val="20"/>
                <w:szCs w:val="16"/>
                <w:lang w:eastAsia="es-ES"/>
              </w:rPr>
              <w:t xml:space="preserve">          </w:t>
            </w:r>
            <w:r w:rsidR="00073FBF">
              <w:rPr>
                <w:rFonts w:eastAsia="Times New Roman"/>
                <w:b/>
                <w:sz w:val="20"/>
                <w:szCs w:val="16"/>
                <w:lang w:eastAsia="es-ES"/>
              </w:rPr>
              <w:t>5</w:t>
            </w:r>
            <w:r w:rsidRPr="00B24593">
              <w:rPr>
                <w:rFonts w:eastAsia="Times New Roman"/>
                <w:b/>
                <w:sz w:val="20"/>
                <w:szCs w:val="16"/>
                <w:lang w:eastAsia="es-ES"/>
              </w:rPr>
              <w:t xml:space="preserve">.2. </w:t>
            </w:r>
            <w:r w:rsidRPr="00B24593">
              <w:rPr>
                <w:rFonts w:eastAsia="Times New Roman"/>
                <w:sz w:val="20"/>
                <w:szCs w:val="16"/>
                <w:lang w:eastAsia="es-ES"/>
              </w:rPr>
              <w:t>Decisión……………………….………………………………………</w:t>
            </w:r>
          </w:p>
        </w:tc>
        <w:tc>
          <w:tcPr>
            <w:tcW w:w="587" w:type="dxa"/>
          </w:tcPr>
          <w:p w14:paraId="7EF7008E" w14:textId="5F4A12C5" w:rsidR="00A67652" w:rsidRPr="00B24593" w:rsidRDefault="00073FBF" w:rsidP="002C2A33">
            <w:pPr>
              <w:spacing w:after="0" w:line="240" w:lineRule="auto"/>
              <w:jc w:val="center"/>
              <w:rPr>
                <w:rFonts w:eastAsia="Times New Roman"/>
                <w:sz w:val="20"/>
                <w:szCs w:val="16"/>
                <w:lang w:eastAsia="es-ES"/>
              </w:rPr>
            </w:pPr>
            <w:r>
              <w:rPr>
                <w:rFonts w:eastAsia="Times New Roman"/>
                <w:sz w:val="20"/>
                <w:szCs w:val="16"/>
                <w:lang w:eastAsia="es-ES"/>
              </w:rPr>
              <w:t>6</w:t>
            </w:r>
          </w:p>
        </w:tc>
      </w:tr>
      <w:tr w:rsidR="00A67652" w:rsidRPr="00B24593" w14:paraId="220AD2B5" w14:textId="77777777" w:rsidTr="00094D87">
        <w:tc>
          <w:tcPr>
            <w:tcW w:w="7516" w:type="dxa"/>
          </w:tcPr>
          <w:p w14:paraId="178DE857" w14:textId="1E83F075" w:rsidR="00A67652" w:rsidRPr="00B24593" w:rsidRDefault="00A67652" w:rsidP="002C2A33">
            <w:pPr>
              <w:spacing w:after="0" w:line="240" w:lineRule="auto"/>
              <w:ind w:left="462"/>
              <w:rPr>
                <w:rFonts w:eastAsia="Times New Roman"/>
                <w:sz w:val="20"/>
                <w:szCs w:val="16"/>
                <w:lang w:eastAsia="es-ES"/>
              </w:rPr>
            </w:pPr>
            <w:r w:rsidRPr="00B24593">
              <w:rPr>
                <w:rFonts w:eastAsia="Times New Roman"/>
                <w:b/>
                <w:sz w:val="20"/>
                <w:szCs w:val="16"/>
                <w:lang w:eastAsia="es-ES"/>
              </w:rPr>
              <w:t xml:space="preserve">          </w:t>
            </w:r>
            <w:r w:rsidR="00073FBF">
              <w:rPr>
                <w:rFonts w:eastAsia="Times New Roman"/>
                <w:b/>
                <w:sz w:val="20"/>
                <w:szCs w:val="16"/>
                <w:lang w:eastAsia="es-ES"/>
              </w:rPr>
              <w:t>5</w:t>
            </w:r>
            <w:r w:rsidRPr="00B24593">
              <w:rPr>
                <w:rFonts w:eastAsia="Times New Roman"/>
                <w:b/>
                <w:sz w:val="20"/>
                <w:szCs w:val="16"/>
                <w:lang w:eastAsia="es-ES"/>
              </w:rPr>
              <w:t xml:space="preserve">.3. </w:t>
            </w:r>
            <w:r w:rsidRPr="00B24593">
              <w:rPr>
                <w:rFonts w:eastAsia="Times New Roman"/>
                <w:sz w:val="20"/>
                <w:szCs w:val="16"/>
                <w:lang w:eastAsia="es-ES"/>
              </w:rPr>
              <w:t>Justificación de la decisión……...…..………………………………</w:t>
            </w:r>
          </w:p>
        </w:tc>
        <w:tc>
          <w:tcPr>
            <w:tcW w:w="587" w:type="dxa"/>
          </w:tcPr>
          <w:p w14:paraId="3A171198" w14:textId="37BEEC1B" w:rsidR="00A67652" w:rsidRPr="00B24593" w:rsidRDefault="00073FBF" w:rsidP="002C2A33">
            <w:pPr>
              <w:spacing w:after="0" w:line="240" w:lineRule="auto"/>
              <w:jc w:val="center"/>
              <w:rPr>
                <w:rFonts w:eastAsia="Times New Roman"/>
                <w:sz w:val="20"/>
                <w:szCs w:val="16"/>
                <w:lang w:eastAsia="es-ES"/>
              </w:rPr>
            </w:pPr>
            <w:r>
              <w:rPr>
                <w:rFonts w:eastAsia="Times New Roman"/>
                <w:sz w:val="20"/>
                <w:szCs w:val="16"/>
                <w:lang w:eastAsia="es-ES"/>
              </w:rPr>
              <w:t>7</w:t>
            </w:r>
          </w:p>
        </w:tc>
      </w:tr>
      <w:tr w:rsidR="00A67652" w:rsidRPr="00B24593" w14:paraId="48376677" w14:textId="77777777" w:rsidTr="00094D87">
        <w:tc>
          <w:tcPr>
            <w:tcW w:w="7516" w:type="dxa"/>
          </w:tcPr>
          <w:p w14:paraId="14421F1B" w14:textId="46AE7A7A" w:rsidR="00A67652" w:rsidRPr="00B24593" w:rsidRDefault="004D342C" w:rsidP="002C2A33">
            <w:pPr>
              <w:spacing w:after="0" w:line="240" w:lineRule="auto"/>
              <w:ind w:left="462"/>
              <w:rPr>
                <w:rFonts w:eastAsia="Times New Roman"/>
                <w:sz w:val="20"/>
                <w:szCs w:val="16"/>
                <w:lang w:eastAsia="es-ES"/>
              </w:rPr>
            </w:pPr>
            <w:r>
              <w:rPr>
                <w:rFonts w:eastAsia="Times New Roman"/>
                <w:b/>
                <w:sz w:val="20"/>
                <w:szCs w:val="16"/>
                <w:lang w:eastAsia="es-ES"/>
              </w:rPr>
              <w:t>8</w:t>
            </w:r>
            <w:r w:rsidR="00A67652" w:rsidRPr="00B24593">
              <w:rPr>
                <w:rFonts w:eastAsia="Times New Roman"/>
                <w:b/>
                <w:sz w:val="20"/>
                <w:szCs w:val="16"/>
                <w:lang w:eastAsia="es-ES"/>
              </w:rPr>
              <w:t>. RESOLUTIVO</w:t>
            </w:r>
            <w:r w:rsidR="00065A5D" w:rsidRPr="00B24593">
              <w:rPr>
                <w:rFonts w:eastAsia="Times New Roman"/>
                <w:b/>
                <w:sz w:val="20"/>
                <w:szCs w:val="16"/>
                <w:lang w:eastAsia="es-ES"/>
              </w:rPr>
              <w:t>S</w:t>
            </w:r>
            <w:r w:rsidR="00A67652" w:rsidRPr="00B24593">
              <w:rPr>
                <w:rFonts w:eastAsia="Times New Roman"/>
                <w:sz w:val="20"/>
                <w:szCs w:val="16"/>
                <w:lang w:eastAsia="es-ES"/>
              </w:rPr>
              <w:t>..…………………………………………………………...</w:t>
            </w:r>
            <w:r w:rsidR="00065A5D" w:rsidRPr="00B24593">
              <w:rPr>
                <w:rFonts w:eastAsia="Times New Roman"/>
                <w:sz w:val="20"/>
                <w:szCs w:val="16"/>
                <w:lang w:eastAsia="es-ES"/>
              </w:rPr>
              <w:t>.....</w:t>
            </w:r>
          </w:p>
        </w:tc>
        <w:tc>
          <w:tcPr>
            <w:tcW w:w="587" w:type="dxa"/>
          </w:tcPr>
          <w:p w14:paraId="47B00EDF" w14:textId="2029DF71" w:rsidR="00A67652" w:rsidRPr="00B24593" w:rsidRDefault="00073FBF" w:rsidP="002C2A33">
            <w:pPr>
              <w:spacing w:after="0" w:line="240" w:lineRule="auto"/>
              <w:jc w:val="center"/>
              <w:rPr>
                <w:rFonts w:eastAsia="Times New Roman"/>
                <w:sz w:val="20"/>
                <w:szCs w:val="16"/>
                <w:lang w:eastAsia="es-ES"/>
              </w:rPr>
            </w:pPr>
            <w:r>
              <w:rPr>
                <w:rFonts w:eastAsia="Times New Roman"/>
                <w:sz w:val="20"/>
                <w:szCs w:val="16"/>
                <w:lang w:eastAsia="es-ES"/>
              </w:rPr>
              <w:t>1</w:t>
            </w:r>
            <w:r w:rsidR="00A000DC">
              <w:rPr>
                <w:rFonts w:eastAsia="Times New Roman"/>
                <w:sz w:val="20"/>
                <w:szCs w:val="16"/>
                <w:lang w:eastAsia="es-ES"/>
              </w:rPr>
              <w:t>1</w:t>
            </w:r>
          </w:p>
        </w:tc>
      </w:tr>
    </w:tbl>
    <w:p w14:paraId="1062BAD3" w14:textId="77777777" w:rsidR="00A67652" w:rsidRPr="00B24593" w:rsidRDefault="00A67652" w:rsidP="00A67652">
      <w:pPr>
        <w:spacing w:after="0" w:line="240" w:lineRule="auto"/>
        <w:contextualSpacing/>
        <w:rPr>
          <w:b/>
          <w:bCs/>
          <w:sz w:val="18"/>
          <w:szCs w:val="18"/>
        </w:rPr>
      </w:pPr>
    </w:p>
    <w:p w14:paraId="13874CEC" w14:textId="77777777" w:rsidR="002C2A33" w:rsidRPr="00B24593" w:rsidRDefault="002C2A33" w:rsidP="00A67652">
      <w:pPr>
        <w:jc w:val="center"/>
        <w:rPr>
          <w:b/>
          <w:bCs/>
          <w:szCs w:val="24"/>
        </w:rPr>
      </w:pPr>
      <w:bookmarkStart w:id="5" w:name="_Toc27649894"/>
    </w:p>
    <w:p w14:paraId="36A5F117" w14:textId="6DAFFCEF" w:rsidR="00A67652" w:rsidRPr="00B24593" w:rsidRDefault="00A67652" w:rsidP="00A67652">
      <w:pPr>
        <w:jc w:val="center"/>
        <w:rPr>
          <w:b/>
          <w:bCs/>
          <w:szCs w:val="24"/>
        </w:rPr>
      </w:pPr>
      <w:r w:rsidRPr="00B24593">
        <w:rPr>
          <w:b/>
          <w:bCs/>
          <w:szCs w:val="24"/>
        </w:rPr>
        <w:t>GLOSARIO</w:t>
      </w:r>
      <w:bookmarkEnd w:id="5"/>
    </w:p>
    <w:tbl>
      <w:tblPr>
        <w:tblW w:w="0" w:type="auto"/>
        <w:jc w:val="center"/>
        <w:tblLook w:val="01E0" w:firstRow="1" w:lastRow="1" w:firstColumn="1" w:lastColumn="1" w:noHBand="0" w:noVBand="0"/>
      </w:tblPr>
      <w:tblGrid>
        <w:gridCol w:w="2835"/>
        <w:gridCol w:w="5148"/>
      </w:tblGrid>
      <w:tr w:rsidR="00073FBF" w:rsidRPr="00B24593" w14:paraId="40D4D32C" w14:textId="77777777" w:rsidTr="00094D87">
        <w:trPr>
          <w:trHeight w:val="471"/>
          <w:jc w:val="center"/>
        </w:trPr>
        <w:tc>
          <w:tcPr>
            <w:tcW w:w="2835" w:type="dxa"/>
          </w:tcPr>
          <w:p w14:paraId="6793D2EA" w14:textId="4D596C73" w:rsidR="00073FBF" w:rsidRPr="00B24593" w:rsidRDefault="00073FBF" w:rsidP="00094D87">
            <w:pPr>
              <w:spacing w:after="0" w:line="240" w:lineRule="auto"/>
              <w:ind w:left="-4"/>
              <w:rPr>
                <w:b/>
                <w:i/>
                <w:sz w:val="20"/>
                <w:szCs w:val="16"/>
              </w:rPr>
            </w:pPr>
            <w:r>
              <w:rPr>
                <w:b/>
                <w:i/>
                <w:sz w:val="20"/>
                <w:szCs w:val="16"/>
              </w:rPr>
              <w:t>Ley de Medios</w:t>
            </w:r>
          </w:p>
        </w:tc>
        <w:tc>
          <w:tcPr>
            <w:tcW w:w="5148" w:type="dxa"/>
          </w:tcPr>
          <w:p w14:paraId="375EECB3" w14:textId="77777777" w:rsidR="00073FBF" w:rsidRDefault="00073FBF" w:rsidP="00094D87">
            <w:pPr>
              <w:pStyle w:val="Default"/>
              <w:jc w:val="both"/>
              <w:rPr>
                <w:sz w:val="20"/>
                <w:szCs w:val="16"/>
              </w:rPr>
            </w:pPr>
            <w:r>
              <w:rPr>
                <w:sz w:val="20"/>
                <w:szCs w:val="16"/>
              </w:rPr>
              <w:t>Ley General del Sistema de Medios de Impugnación en Materia Electoral.</w:t>
            </w:r>
          </w:p>
          <w:p w14:paraId="2D0F58F7" w14:textId="42B1BAFA" w:rsidR="00073FBF" w:rsidRPr="00B24593" w:rsidRDefault="00073FBF" w:rsidP="00094D87">
            <w:pPr>
              <w:pStyle w:val="Default"/>
              <w:jc w:val="both"/>
              <w:rPr>
                <w:sz w:val="20"/>
                <w:szCs w:val="16"/>
              </w:rPr>
            </w:pPr>
          </w:p>
        </w:tc>
      </w:tr>
      <w:tr w:rsidR="008415FD" w:rsidRPr="00B24593" w14:paraId="72FF368B" w14:textId="77777777" w:rsidTr="00094D87">
        <w:trPr>
          <w:trHeight w:val="471"/>
          <w:jc w:val="center"/>
        </w:trPr>
        <w:tc>
          <w:tcPr>
            <w:tcW w:w="2835" w:type="dxa"/>
          </w:tcPr>
          <w:p w14:paraId="55E23548" w14:textId="29BFB898" w:rsidR="008415FD" w:rsidRPr="00B24593" w:rsidRDefault="00D12644" w:rsidP="00094D87">
            <w:pPr>
              <w:spacing w:after="0" w:line="240" w:lineRule="auto"/>
              <w:ind w:left="-4"/>
              <w:rPr>
                <w:b/>
                <w:i/>
                <w:sz w:val="20"/>
                <w:szCs w:val="16"/>
              </w:rPr>
            </w:pPr>
            <w:r w:rsidRPr="00B24593">
              <w:rPr>
                <w:b/>
                <w:i/>
                <w:sz w:val="20"/>
                <w:szCs w:val="16"/>
              </w:rPr>
              <w:t>Órgano de Justicia</w:t>
            </w:r>
            <w:r w:rsidR="008415FD" w:rsidRPr="00B24593">
              <w:rPr>
                <w:b/>
                <w:i/>
                <w:sz w:val="20"/>
                <w:szCs w:val="16"/>
              </w:rPr>
              <w:t>:</w:t>
            </w:r>
          </w:p>
        </w:tc>
        <w:tc>
          <w:tcPr>
            <w:tcW w:w="5148" w:type="dxa"/>
          </w:tcPr>
          <w:p w14:paraId="084983AC" w14:textId="77777777" w:rsidR="008415FD" w:rsidRPr="00B24593" w:rsidRDefault="00D12644" w:rsidP="00094D87">
            <w:pPr>
              <w:pStyle w:val="Default"/>
              <w:jc w:val="both"/>
              <w:rPr>
                <w:sz w:val="20"/>
                <w:szCs w:val="16"/>
              </w:rPr>
            </w:pPr>
            <w:r w:rsidRPr="00B24593">
              <w:rPr>
                <w:sz w:val="20"/>
                <w:szCs w:val="16"/>
              </w:rPr>
              <w:t xml:space="preserve">Órgano de Justicia </w:t>
            </w:r>
            <w:bookmarkStart w:id="6" w:name="_Hlk73673872"/>
            <w:r w:rsidRPr="00B24593">
              <w:rPr>
                <w:sz w:val="20"/>
                <w:szCs w:val="16"/>
              </w:rPr>
              <w:t xml:space="preserve">Intrapartidaria del </w:t>
            </w:r>
            <w:r w:rsidR="008415FD" w:rsidRPr="00B24593">
              <w:rPr>
                <w:sz w:val="20"/>
                <w:szCs w:val="16"/>
              </w:rPr>
              <w:t>Partido de la Revolución Democrática</w:t>
            </w:r>
            <w:bookmarkEnd w:id="6"/>
          </w:p>
          <w:p w14:paraId="6222FADF" w14:textId="76BB3E14" w:rsidR="00D12644" w:rsidRPr="00B24593" w:rsidRDefault="00D12644" w:rsidP="00094D87">
            <w:pPr>
              <w:pStyle w:val="Default"/>
              <w:jc w:val="both"/>
              <w:rPr>
                <w:sz w:val="20"/>
                <w:szCs w:val="16"/>
              </w:rPr>
            </w:pPr>
          </w:p>
        </w:tc>
      </w:tr>
      <w:tr w:rsidR="00F850B2" w:rsidRPr="00B24593" w14:paraId="2FF7014C" w14:textId="77777777" w:rsidTr="00094D87">
        <w:trPr>
          <w:trHeight w:val="471"/>
          <w:jc w:val="center"/>
        </w:trPr>
        <w:tc>
          <w:tcPr>
            <w:tcW w:w="2835" w:type="dxa"/>
          </w:tcPr>
          <w:p w14:paraId="51221AF8" w14:textId="133E18AE" w:rsidR="00F850B2" w:rsidRPr="00B24593" w:rsidRDefault="00F850B2" w:rsidP="00094D87">
            <w:pPr>
              <w:spacing w:after="0" w:line="240" w:lineRule="auto"/>
              <w:ind w:left="-4"/>
              <w:rPr>
                <w:b/>
                <w:i/>
                <w:sz w:val="20"/>
                <w:szCs w:val="16"/>
              </w:rPr>
            </w:pPr>
            <w:r w:rsidRPr="00B24593">
              <w:rPr>
                <w:b/>
                <w:i/>
                <w:sz w:val="20"/>
                <w:szCs w:val="16"/>
              </w:rPr>
              <w:t>PRD:</w:t>
            </w:r>
          </w:p>
        </w:tc>
        <w:tc>
          <w:tcPr>
            <w:tcW w:w="5148" w:type="dxa"/>
          </w:tcPr>
          <w:p w14:paraId="24717735" w14:textId="698F08AD" w:rsidR="00F850B2" w:rsidRPr="00B24593" w:rsidRDefault="00F850B2" w:rsidP="00094D87">
            <w:pPr>
              <w:pStyle w:val="Default"/>
              <w:jc w:val="both"/>
              <w:rPr>
                <w:sz w:val="20"/>
                <w:szCs w:val="16"/>
              </w:rPr>
            </w:pPr>
            <w:r w:rsidRPr="00B24593">
              <w:rPr>
                <w:sz w:val="20"/>
                <w:szCs w:val="16"/>
              </w:rPr>
              <w:t>Partido de la Revolución Democrática</w:t>
            </w:r>
          </w:p>
        </w:tc>
      </w:tr>
      <w:tr w:rsidR="00A67652" w:rsidRPr="00B24593" w14:paraId="014B7D8C" w14:textId="77777777" w:rsidTr="00094D87">
        <w:trPr>
          <w:trHeight w:val="471"/>
          <w:jc w:val="center"/>
        </w:trPr>
        <w:tc>
          <w:tcPr>
            <w:tcW w:w="2835" w:type="dxa"/>
          </w:tcPr>
          <w:p w14:paraId="7156D011" w14:textId="77777777" w:rsidR="00A67652" w:rsidRPr="00B24593" w:rsidRDefault="00A67652" w:rsidP="00094D87">
            <w:pPr>
              <w:spacing w:after="0" w:line="240" w:lineRule="auto"/>
              <w:ind w:left="-4"/>
              <w:rPr>
                <w:b/>
                <w:i/>
                <w:sz w:val="20"/>
                <w:szCs w:val="16"/>
              </w:rPr>
            </w:pPr>
            <w:r w:rsidRPr="00B24593">
              <w:rPr>
                <w:b/>
                <w:i/>
                <w:sz w:val="20"/>
                <w:szCs w:val="16"/>
              </w:rPr>
              <w:t>Tribunal Local:</w:t>
            </w:r>
          </w:p>
        </w:tc>
        <w:tc>
          <w:tcPr>
            <w:tcW w:w="5148" w:type="dxa"/>
          </w:tcPr>
          <w:p w14:paraId="2A790F44" w14:textId="7F0687DA" w:rsidR="00A67652" w:rsidRPr="00B24593" w:rsidRDefault="00A67652" w:rsidP="00094D87">
            <w:pPr>
              <w:spacing w:after="0" w:line="240" w:lineRule="auto"/>
              <w:rPr>
                <w:sz w:val="20"/>
                <w:szCs w:val="16"/>
              </w:rPr>
            </w:pPr>
            <w:r w:rsidRPr="00B24593">
              <w:rPr>
                <w:sz w:val="20"/>
                <w:szCs w:val="16"/>
                <w:lang w:eastAsia="es-MX"/>
              </w:rPr>
              <w:t xml:space="preserve">Tribunal </w:t>
            </w:r>
            <w:r w:rsidR="00E94E7D" w:rsidRPr="00B24593">
              <w:rPr>
                <w:sz w:val="20"/>
                <w:szCs w:val="16"/>
                <w:lang w:eastAsia="es-MX"/>
              </w:rPr>
              <w:t>Estatal Electoral de Guanajuato</w:t>
            </w:r>
          </w:p>
        </w:tc>
      </w:tr>
      <w:tr w:rsidR="00073FBF" w:rsidRPr="00B24593" w14:paraId="0F587307" w14:textId="77777777" w:rsidTr="00094D87">
        <w:trPr>
          <w:trHeight w:val="471"/>
          <w:jc w:val="center"/>
        </w:trPr>
        <w:tc>
          <w:tcPr>
            <w:tcW w:w="2835" w:type="dxa"/>
          </w:tcPr>
          <w:p w14:paraId="3E25B423" w14:textId="5793F665" w:rsidR="00073FBF" w:rsidRPr="00B24593" w:rsidRDefault="00073FBF" w:rsidP="00094D87">
            <w:pPr>
              <w:spacing w:after="0" w:line="240" w:lineRule="auto"/>
              <w:ind w:left="-4"/>
              <w:rPr>
                <w:b/>
                <w:i/>
                <w:sz w:val="20"/>
                <w:szCs w:val="16"/>
              </w:rPr>
            </w:pPr>
            <w:r>
              <w:rPr>
                <w:b/>
                <w:i/>
                <w:sz w:val="20"/>
                <w:szCs w:val="16"/>
              </w:rPr>
              <w:t>Instituto local</w:t>
            </w:r>
          </w:p>
        </w:tc>
        <w:tc>
          <w:tcPr>
            <w:tcW w:w="5148" w:type="dxa"/>
          </w:tcPr>
          <w:p w14:paraId="477C871E" w14:textId="6260549C" w:rsidR="00073FBF" w:rsidRPr="00073FBF" w:rsidRDefault="00073FBF" w:rsidP="00094D87">
            <w:pPr>
              <w:spacing w:after="0" w:line="240" w:lineRule="auto"/>
              <w:rPr>
                <w:sz w:val="20"/>
                <w:szCs w:val="16"/>
                <w:lang w:eastAsia="es-MX"/>
              </w:rPr>
            </w:pPr>
            <w:r w:rsidRPr="00073FBF">
              <w:rPr>
                <w:sz w:val="20"/>
                <w:szCs w:val="16"/>
              </w:rPr>
              <w:t>Instituto Electoral del Estado de Guanajuato</w:t>
            </w:r>
          </w:p>
        </w:tc>
      </w:tr>
    </w:tbl>
    <w:p w14:paraId="7E9DB5E9" w14:textId="77777777" w:rsidR="00073FBF" w:rsidRDefault="00073FBF" w:rsidP="00946C99">
      <w:pPr>
        <w:rPr>
          <w:b/>
          <w:bCs/>
        </w:rPr>
      </w:pPr>
    </w:p>
    <w:bookmarkEnd w:id="4"/>
    <w:p w14:paraId="586B29C3" w14:textId="2F0501A7" w:rsidR="00235D92" w:rsidRPr="00B24593" w:rsidRDefault="00946C99" w:rsidP="00946C99">
      <w:pPr>
        <w:rPr>
          <w:b/>
          <w:bCs/>
        </w:rPr>
      </w:pPr>
      <w:r w:rsidRPr="00B24593">
        <w:rPr>
          <w:b/>
          <w:bCs/>
        </w:rPr>
        <w:t xml:space="preserve">1. </w:t>
      </w:r>
      <w:r w:rsidR="00235D92" w:rsidRPr="00B24593">
        <w:rPr>
          <w:b/>
          <w:bCs/>
        </w:rPr>
        <w:t xml:space="preserve">ANTECEDENTES DEL CASO </w:t>
      </w:r>
    </w:p>
    <w:p w14:paraId="48856FB8" w14:textId="7D49E39E" w:rsidR="00235D92" w:rsidRPr="00B24593" w:rsidRDefault="00235D92" w:rsidP="00913F47">
      <w:r w:rsidRPr="00B24593">
        <w:lastRenderedPageBreak/>
        <w:t>Las fechas que se citan corresponden a dos mil veintiuno, salvo distinta precisión.</w:t>
      </w:r>
    </w:p>
    <w:p w14:paraId="0348D67B" w14:textId="2D08BEA7" w:rsidR="003606FB" w:rsidRDefault="003606FB" w:rsidP="00794E88">
      <w:pPr>
        <w:rPr>
          <w:rFonts w:eastAsia="Calibri"/>
          <w:szCs w:val="24"/>
        </w:rPr>
      </w:pPr>
      <w:r w:rsidRPr="00B24593">
        <w:rPr>
          <w:b/>
          <w:bCs/>
        </w:rPr>
        <w:t xml:space="preserve">1.1. </w:t>
      </w:r>
      <w:r w:rsidR="00E9095C" w:rsidRPr="00B24593">
        <w:rPr>
          <w:rFonts w:eastAsia="Calibri"/>
          <w:b/>
          <w:bCs/>
          <w:szCs w:val="24"/>
        </w:rPr>
        <w:t xml:space="preserve">Inicio del proceso electoral. </w:t>
      </w:r>
      <w:r w:rsidR="00E9095C" w:rsidRPr="00B24593">
        <w:rPr>
          <w:rFonts w:eastAsia="Calibri"/>
          <w:szCs w:val="24"/>
        </w:rPr>
        <w:t>El siete de septiembre de dos mil veinte, inició el proceso electoral local 2020-2021, a fin de renovar Ayuntamientos y Diputaciones del Estado de Guanajuato.</w:t>
      </w:r>
    </w:p>
    <w:p w14:paraId="5A47BB2B" w14:textId="7EC87993" w:rsidR="007558BA" w:rsidRDefault="00267536" w:rsidP="00794E88">
      <w:r w:rsidRPr="009931D3">
        <w:rPr>
          <w:b/>
        </w:rPr>
        <w:t>1.2. Acuerdo del</w:t>
      </w:r>
      <w:r w:rsidRPr="00267536">
        <w:rPr>
          <w:b/>
        </w:rPr>
        <w:t xml:space="preserve"> </w:t>
      </w:r>
      <w:r w:rsidRPr="005B5DE4">
        <w:rPr>
          <w:b/>
          <w:i/>
          <w:iCs/>
        </w:rPr>
        <w:t>PRD</w:t>
      </w:r>
      <w:r w:rsidRPr="00267536">
        <w:rPr>
          <w:b/>
        </w:rPr>
        <w:t>.</w:t>
      </w:r>
      <w:r>
        <w:t xml:space="preserve"> El nueve de marzo el Pleno Ordinario del Consejo Estatal del </w:t>
      </w:r>
      <w:r w:rsidRPr="005B5DE4">
        <w:rPr>
          <w:i/>
          <w:iCs/>
        </w:rPr>
        <w:t>P</w:t>
      </w:r>
      <w:r w:rsidR="005B5DE4" w:rsidRPr="005B5DE4">
        <w:rPr>
          <w:i/>
          <w:iCs/>
        </w:rPr>
        <w:t>RD</w:t>
      </w:r>
      <w:r>
        <w:t xml:space="preserve"> en el estado de Guanajuato, emitió un acuerdo mediante el cual fueron aprobadas las personas que integrarían las planillas que fueron postuladas para contender </w:t>
      </w:r>
      <w:r w:rsidR="00FC70A0">
        <w:t xml:space="preserve">bajo las siglas de dicho </w:t>
      </w:r>
      <w:r w:rsidR="00073FBF">
        <w:t>partido</w:t>
      </w:r>
      <w:r w:rsidR="00FC70A0">
        <w:t xml:space="preserve"> </w:t>
      </w:r>
      <w:r w:rsidR="007558BA">
        <w:t>en el proceso electoral actual para integrar los ayuntamientos de la referida entidad federativa.</w:t>
      </w:r>
    </w:p>
    <w:p w14:paraId="7D5B6555" w14:textId="6BD64771" w:rsidR="00E9095C" w:rsidRDefault="003606FB" w:rsidP="00794E88">
      <w:r w:rsidRPr="00BB08DC">
        <w:rPr>
          <w:b/>
          <w:bCs/>
        </w:rPr>
        <w:t>1.</w:t>
      </w:r>
      <w:r w:rsidR="008668A8">
        <w:rPr>
          <w:b/>
          <w:bCs/>
        </w:rPr>
        <w:t>3</w:t>
      </w:r>
      <w:r w:rsidRPr="00BB08DC">
        <w:rPr>
          <w:b/>
          <w:bCs/>
        </w:rPr>
        <w:t xml:space="preserve">. </w:t>
      </w:r>
      <w:r w:rsidR="00E9095C" w:rsidRPr="00BB08DC">
        <w:rPr>
          <w:b/>
          <w:bCs/>
        </w:rPr>
        <w:t>Registro de</w:t>
      </w:r>
      <w:r w:rsidR="00E9095C" w:rsidRPr="00B24593">
        <w:rPr>
          <w:b/>
          <w:bCs/>
        </w:rPr>
        <w:t xml:space="preserve"> planillas. </w:t>
      </w:r>
      <w:r w:rsidR="00E9095C" w:rsidRPr="00B24593">
        <w:t xml:space="preserve">En la sesión especial del cuatro de abril, el Consejo General del Instituto Electoral del Estado de Guanajuato, emitió el acuerdo CGIEEG/100/2021 mediante el cual se registraron las planillas de candidaturas a integrar los ayuntamientos del Estado de Guanajuato, propuestos por el </w:t>
      </w:r>
      <w:r w:rsidR="00E9095C" w:rsidRPr="00B24593">
        <w:rPr>
          <w:i/>
          <w:iCs/>
        </w:rPr>
        <w:t>PRD</w:t>
      </w:r>
      <w:r w:rsidR="00E9095C" w:rsidRPr="00B24593">
        <w:t xml:space="preserve"> para contender en el proceso electoral local 2020-2021.</w:t>
      </w:r>
    </w:p>
    <w:p w14:paraId="7701BE7E" w14:textId="3537ACED" w:rsidR="00BB08DC" w:rsidRPr="00BB08DC" w:rsidRDefault="00BB08DC" w:rsidP="00794E88">
      <w:pPr>
        <w:rPr>
          <w:bCs/>
        </w:rPr>
      </w:pPr>
      <w:r w:rsidRPr="00BB08DC">
        <w:rPr>
          <w:bCs/>
        </w:rPr>
        <w:t xml:space="preserve">En dicho acuerdo quedaron registrados como candidata a presidenta municipal y segunda regidora propietaria Paola de Luz Aceves Flores y como primer regidor propietario José Antonio Rodríguez Ojeda, de la planilla para contender por el ayuntamiento de León, Guanajuato.  </w:t>
      </w:r>
    </w:p>
    <w:p w14:paraId="055AFDEF" w14:textId="45070151" w:rsidR="00E9095C" w:rsidRPr="00B24593" w:rsidRDefault="00794E88" w:rsidP="00383651">
      <w:r w:rsidRPr="00B24593">
        <w:rPr>
          <w:b/>
          <w:bCs/>
        </w:rPr>
        <w:t>1.</w:t>
      </w:r>
      <w:r w:rsidR="008668A8">
        <w:rPr>
          <w:b/>
          <w:bCs/>
        </w:rPr>
        <w:t>4</w:t>
      </w:r>
      <w:r w:rsidRPr="00B24593">
        <w:rPr>
          <w:b/>
          <w:bCs/>
        </w:rPr>
        <w:t>. Juicio local.</w:t>
      </w:r>
      <w:r w:rsidRPr="00B24593">
        <w:t xml:space="preserve"> Inconformes con la determinación asumida por el </w:t>
      </w:r>
      <w:r w:rsidRPr="00B24593">
        <w:rPr>
          <w:i/>
          <w:iCs/>
        </w:rPr>
        <w:t>PRD</w:t>
      </w:r>
      <w:r w:rsidRPr="00B24593">
        <w:t xml:space="preserve"> en la designación de candidaturas</w:t>
      </w:r>
      <w:r w:rsidR="00383651" w:rsidRPr="00B24593">
        <w:t>, el ocho de abril</w:t>
      </w:r>
      <w:r w:rsidRPr="00B24593">
        <w:t xml:space="preserve">, </w:t>
      </w:r>
      <w:bookmarkStart w:id="7" w:name="_Hlk71978434"/>
      <w:r w:rsidR="005C39AA">
        <w:t>María Guadalupe Nicasio Meza y José Luis Fonsec</w:t>
      </w:r>
      <w:r w:rsidR="002936F9">
        <w:t xml:space="preserve">a Meléndez </w:t>
      </w:r>
      <w:r w:rsidRPr="00B24593">
        <w:t xml:space="preserve">interpusieron ante el </w:t>
      </w:r>
      <w:r w:rsidRPr="00B24593">
        <w:rPr>
          <w:i/>
          <w:iCs/>
        </w:rPr>
        <w:t>Tribunal Local</w:t>
      </w:r>
      <w:r w:rsidRPr="00B24593">
        <w:t xml:space="preserve"> </w:t>
      </w:r>
      <w:r w:rsidR="00383651" w:rsidRPr="00B24593">
        <w:t>juicios para la protección de los derechos político-electorales del ciudadano, respectivamente, quedando radicados con los números de expedientes TEEG-JPDC-50/2021 y TEEG-JPDC-51/202</w:t>
      </w:r>
      <w:r w:rsidR="006B1156" w:rsidRPr="00B24593">
        <w:t>.</w:t>
      </w:r>
    </w:p>
    <w:bookmarkEnd w:id="7"/>
    <w:p w14:paraId="09CBEE33" w14:textId="4CDA08B5" w:rsidR="00E94E7D" w:rsidRPr="00B24593" w:rsidRDefault="00E94E7D" w:rsidP="00794E88">
      <w:r w:rsidRPr="00B24593">
        <w:rPr>
          <w:b/>
          <w:bCs/>
        </w:rPr>
        <w:t>1.</w:t>
      </w:r>
      <w:r w:rsidR="009931D3">
        <w:rPr>
          <w:b/>
          <w:bCs/>
        </w:rPr>
        <w:t>5</w:t>
      </w:r>
      <w:r w:rsidRPr="00B24593">
        <w:rPr>
          <w:b/>
          <w:bCs/>
        </w:rPr>
        <w:t xml:space="preserve">. </w:t>
      </w:r>
      <w:r w:rsidR="007B1B42" w:rsidRPr="00B24593">
        <w:rPr>
          <w:b/>
          <w:bCs/>
        </w:rPr>
        <w:t xml:space="preserve">Acumulación. </w:t>
      </w:r>
      <w:r w:rsidR="007B1B42" w:rsidRPr="00B24593">
        <w:t>Mediante acuerdo de veinte de abril, dictado en los autos del expediente TEEG-JPDC-50/2021, se decretó la acumulación del diverso juicio TEEG-JPDC-51/202, pues en ambos se impugnaba el mismo acto.</w:t>
      </w:r>
    </w:p>
    <w:p w14:paraId="71A6D8F3" w14:textId="317A7614" w:rsidR="007B1B42" w:rsidRPr="00B24593" w:rsidRDefault="007B1B42" w:rsidP="00693F15">
      <w:r w:rsidRPr="00B24593">
        <w:rPr>
          <w:b/>
          <w:bCs/>
        </w:rPr>
        <w:t>1.</w:t>
      </w:r>
      <w:r w:rsidR="009931D3">
        <w:rPr>
          <w:b/>
          <w:bCs/>
        </w:rPr>
        <w:t>6</w:t>
      </w:r>
      <w:r w:rsidRPr="00B24593">
        <w:rPr>
          <w:b/>
          <w:bCs/>
        </w:rPr>
        <w:t xml:space="preserve">. Acuerdo plenario de reencauzamiento. </w:t>
      </w:r>
      <w:r w:rsidRPr="00B24593">
        <w:t xml:space="preserve">El </w:t>
      </w:r>
      <w:r w:rsidRPr="00B24593">
        <w:rPr>
          <w:i/>
          <w:iCs/>
        </w:rPr>
        <w:t>Tribunal Local</w:t>
      </w:r>
      <w:r w:rsidRPr="00B24593">
        <w:t xml:space="preserve"> mediante acuerdo de veinticuatro de abril, declaró improcedentes</w:t>
      </w:r>
      <w:r w:rsidR="00693F15" w:rsidRPr="00B24593">
        <w:t xml:space="preserve"> los medios de impugnación por no haberse agotado el principio de definitividad, </w:t>
      </w:r>
      <w:r w:rsidRPr="00B24593">
        <w:t>y ordenó reencauzar las demandas al órgano partidista competente.</w:t>
      </w:r>
    </w:p>
    <w:p w14:paraId="2197CC09" w14:textId="7E0B2A53" w:rsidR="007B1B42" w:rsidRDefault="007B1B42" w:rsidP="007B1B42">
      <w:pPr>
        <w:rPr>
          <w:bCs/>
        </w:rPr>
      </w:pPr>
      <w:r w:rsidRPr="00B24593">
        <w:rPr>
          <w:b/>
          <w:bCs/>
        </w:rPr>
        <w:t>1.</w:t>
      </w:r>
      <w:r w:rsidR="009931D3">
        <w:rPr>
          <w:b/>
          <w:bCs/>
        </w:rPr>
        <w:t>7</w:t>
      </w:r>
      <w:r w:rsidRPr="00B24593">
        <w:rPr>
          <w:b/>
          <w:bCs/>
        </w:rPr>
        <w:t>. Resolución intrapartidista.</w:t>
      </w:r>
      <w:r w:rsidRPr="00B24593">
        <w:t xml:space="preserve"> El </w:t>
      </w:r>
      <w:r w:rsidR="00F850B2" w:rsidRPr="00B24593">
        <w:rPr>
          <w:i/>
          <w:iCs/>
        </w:rPr>
        <w:t>Ó</w:t>
      </w:r>
      <w:r w:rsidRPr="00B24593">
        <w:rPr>
          <w:i/>
          <w:iCs/>
        </w:rPr>
        <w:t xml:space="preserve">rgano de </w:t>
      </w:r>
      <w:r w:rsidR="00F850B2" w:rsidRPr="00B24593">
        <w:rPr>
          <w:i/>
          <w:iCs/>
        </w:rPr>
        <w:t>J</w:t>
      </w:r>
      <w:r w:rsidRPr="00B24593">
        <w:rPr>
          <w:i/>
          <w:iCs/>
        </w:rPr>
        <w:t>usticia</w:t>
      </w:r>
      <w:r w:rsidRPr="00B24593">
        <w:t xml:space="preserve"> </w:t>
      </w:r>
      <w:r w:rsidR="001910F5" w:rsidRPr="00B24593">
        <w:t>mediante resolución de cuatro de mayo, resolvió los medios de impugnación de</w:t>
      </w:r>
      <w:r w:rsidR="00FE4EB5">
        <w:t xml:space="preserve"> </w:t>
      </w:r>
      <w:r w:rsidR="00FE4EB5" w:rsidRPr="00B24593">
        <w:t>María Guadalupe Nicasio Meza y José Luis Fonseca Meléndez</w:t>
      </w:r>
      <w:r w:rsidR="003C28FC">
        <w:t xml:space="preserve">, en el sentido de acumular los </w:t>
      </w:r>
      <w:r w:rsidR="003C28FC">
        <w:lastRenderedPageBreak/>
        <w:t xml:space="preserve">expedientes </w:t>
      </w:r>
      <w:r w:rsidR="003C28FC" w:rsidRPr="003C28FC">
        <w:rPr>
          <w:bCs/>
        </w:rPr>
        <w:t>AG/GTO/51/2021,</w:t>
      </w:r>
      <w:r w:rsidR="003C28FC" w:rsidRPr="003C28FC">
        <w:rPr>
          <w:bCs/>
          <w:spacing w:val="1"/>
        </w:rPr>
        <w:t xml:space="preserve"> </w:t>
      </w:r>
      <w:r w:rsidR="003C28FC" w:rsidRPr="003C28FC">
        <w:rPr>
          <w:bCs/>
        </w:rPr>
        <w:t>AG/GTO/52/2021</w:t>
      </w:r>
      <w:r w:rsidR="003C28FC" w:rsidRPr="003C28FC">
        <w:rPr>
          <w:bCs/>
          <w:spacing w:val="1"/>
        </w:rPr>
        <w:t xml:space="preserve"> </w:t>
      </w:r>
      <w:r w:rsidR="003C28FC" w:rsidRPr="003C28FC">
        <w:rPr>
          <w:bCs/>
        </w:rPr>
        <w:t>y</w:t>
      </w:r>
      <w:r w:rsidR="003C28FC" w:rsidRPr="003C28FC">
        <w:rPr>
          <w:bCs/>
          <w:spacing w:val="1"/>
        </w:rPr>
        <w:t xml:space="preserve"> </w:t>
      </w:r>
      <w:r w:rsidR="003C28FC" w:rsidRPr="003C28FC">
        <w:rPr>
          <w:bCs/>
        </w:rPr>
        <w:t>AG/GTO/53/2021</w:t>
      </w:r>
      <w:r w:rsidR="003C28FC">
        <w:rPr>
          <w:bCs/>
        </w:rPr>
        <w:t xml:space="preserve"> y de</w:t>
      </w:r>
      <w:r w:rsidR="00073FBF">
        <w:rPr>
          <w:bCs/>
        </w:rPr>
        <w:t>c</w:t>
      </w:r>
      <w:r w:rsidR="003C28FC">
        <w:rPr>
          <w:bCs/>
        </w:rPr>
        <w:t>larar fundados pero inoperantes los motivos de agravio.</w:t>
      </w:r>
    </w:p>
    <w:p w14:paraId="531419F2" w14:textId="0E78DCD3" w:rsidR="00E9095C" w:rsidRPr="00B24593" w:rsidRDefault="001910F5" w:rsidP="003606FB">
      <w:r w:rsidRPr="00B24593">
        <w:rPr>
          <w:b/>
          <w:bCs/>
        </w:rPr>
        <w:t>1.</w:t>
      </w:r>
      <w:r w:rsidR="009931D3">
        <w:rPr>
          <w:b/>
          <w:bCs/>
        </w:rPr>
        <w:t>8</w:t>
      </w:r>
      <w:r w:rsidRPr="00B24593">
        <w:rPr>
          <w:b/>
          <w:bCs/>
        </w:rPr>
        <w:t xml:space="preserve">. Escrito ante el </w:t>
      </w:r>
      <w:r w:rsidRPr="00B24593">
        <w:rPr>
          <w:b/>
          <w:bCs/>
          <w:i/>
          <w:iCs/>
        </w:rPr>
        <w:t>Tribunal Local</w:t>
      </w:r>
      <w:r w:rsidRPr="00B24593">
        <w:rPr>
          <w:b/>
          <w:bCs/>
        </w:rPr>
        <w:t>.</w:t>
      </w:r>
      <w:r w:rsidRPr="00B24593">
        <w:t xml:space="preserve"> María Guadalupe Nicasio Meza y José Luis Fonseca Meléndez, presentaron un escrito </w:t>
      </w:r>
      <w:r w:rsidR="00286BA4" w:rsidRPr="00B24593">
        <w:t xml:space="preserve">el siete de mayo, </w:t>
      </w:r>
      <w:r w:rsidR="008A311C" w:rsidRPr="00B24593">
        <w:t xml:space="preserve">en los autos del juicio ciudadano local TEEG-JPDC-50/2021 y su acumulado, </w:t>
      </w:r>
      <w:r w:rsidRPr="00B24593">
        <w:t xml:space="preserve">en el cual le </w:t>
      </w:r>
      <w:r w:rsidR="008A311C" w:rsidRPr="00B24593">
        <w:t>señalaron</w:t>
      </w:r>
      <w:r w:rsidRPr="00B24593">
        <w:t xml:space="preserve"> al </w:t>
      </w:r>
      <w:r w:rsidRPr="00B24593">
        <w:rPr>
          <w:i/>
          <w:iCs/>
        </w:rPr>
        <w:t>Tribunal Local</w:t>
      </w:r>
      <w:r w:rsidRPr="00B24593">
        <w:t xml:space="preserve">, </w:t>
      </w:r>
      <w:r w:rsidR="001F0B0E" w:rsidRPr="00B24593">
        <w:t>que,</w:t>
      </w:r>
      <w:r w:rsidRPr="00B24593">
        <w:t xml:space="preserve"> atendiendo a lo resuelto por el </w:t>
      </w:r>
      <w:r w:rsidR="001F0B0E" w:rsidRPr="00B24593">
        <w:rPr>
          <w:i/>
          <w:iCs/>
        </w:rPr>
        <w:t>Ó</w:t>
      </w:r>
      <w:r w:rsidRPr="00B24593">
        <w:rPr>
          <w:i/>
          <w:iCs/>
        </w:rPr>
        <w:t>rgano</w:t>
      </w:r>
      <w:r w:rsidR="001F0B0E" w:rsidRPr="00B24593">
        <w:rPr>
          <w:i/>
          <w:iCs/>
        </w:rPr>
        <w:t xml:space="preserve"> de Justicia</w:t>
      </w:r>
      <w:r w:rsidRPr="00B24593">
        <w:t xml:space="preserve">, ordenaran al Consejo General del </w:t>
      </w:r>
      <w:r w:rsidRPr="00073FBF">
        <w:rPr>
          <w:i/>
          <w:iCs/>
        </w:rPr>
        <w:t xml:space="preserve">Instituto </w:t>
      </w:r>
      <w:r w:rsidR="00073FBF" w:rsidRPr="00073FBF">
        <w:rPr>
          <w:i/>
          <w:iCs/>
        </w:rPr>
        <w:t>local</w:t>
      </w:r>
      <w:r w:rsidRPr="00B24593">
        <w:t xml:space="preserve">, los incorporaran como candidatos del </w:t>
      </w:r>
      <w:r w:rsidR="001F0B0E" w:rsidRPr="00B24593">
        <w:rPr>
          <w:i/>
          <w:iCs/>
        </w:rPr>
        <w:t>PRD</w:t>
      </w:r>
      <w:r w:rsidRPr="00B24593">
        <w:t xml:space="preserve"> en la planilla de León, Guanajuato.</w:t>
      </w:r>
    </w:p>
    <w:p w14:paraId="2B17F913" w14:textId="689286F1" w:rsidR="001910F5" w:rsidRPr="00B24593" w:rsidRDefault="001910F5" w:rsidP="003606FB">
      <w:r w:rsidRPr="00B24593">
        <w:rPr>
          <w:b/>
          <w:bCs/>
        </w:rPr>
        <w:t>1.</w:t>
      </w:r>
      <w:r w:rsidR="009931D3">
        <w:rPr>
          <w:b/>
          <w:bCs/>
        </w:rPr>
        <w:t>9</w:t>
      </w:r>
      <w:r w:rsidRPr="00B24593">
        <w:rPr>
          <w:b/>
          <w:bCs/>
        </w:rPr>
        <w:t xml:space="preserve">. </w:t>
      </w:r>
      <w:r w:rsidR="002544D0" w:rsidRPr="00B24593">
        <w:rPr>
          <w:b/>
          <w:bCs/>
        </w:rPr>
        <w:t xml:space="preserve">Acuerdo de Presidencia del </w:t>
      </w:r>
      <w:r w:rsidR="002544D0" w:rsidRPr="00B24593">
        <w:rPr>
          <w:b/>
          <w:bCs/>
          <w:i/>
          <w:iCs/>
        </w:rPr>
        <w:t>Tribunal Local</w:t>
      </w:r>
      <w:r w:rsidR="009144A7" w:rsidRPr="00B24593">
        <w:rPr>
          <w:b/>
          <w:bCs/>
        </w:rPr>
        <w:t>.</w:t>
      </w:r>
      <w:r w:rsidR="009144A7" w:rsidRPr="00B24593">
        <w:t xml:space="preserve"> Mediante acuerdo de nueve de mayo, el Magistrado Presidente del </w:t>
      </w:r>
      <w:r w:rsidR="009144A7" w:rsidRPr="00B24593">
        <w:rPr>
          <w:i/>
          <w:iCs/>
        </w:rPr>
        <w:t>Tribunal Local</w:t>
      </w:r>
      <w:r w:rsidR="009144A7" w:rsidRPr="00B24593">
        <w:t xml:space="preserve">, entre otras cuestiones, </w:t>
      </w:r>
      <w:r w:rsidR="00E64005" w:rsidRPr="00A000DC">
        <w:t>determinó</w:t>
      </w:r>
      <w:r w:rsidR="00E64005">
        <w:t xml:space="preserve"> </w:t>
      </w:r>
      <w:r w:rsidR="009144A7" w:rsidRPr="00B24593">
        <w:t xml:space="preserve">que no daba lugar </w:t>
      </w:r>
      <w:r w:rsidR="00D12644" w:rsidRPr="00B24593">
        <w:t>acordar la petición</w:t>
      </w:r>
      <w:r w:rsidR="009144A7" w:rsidRPr="00B24593">
        <w:t>.</w:t>
      </w:r>
    </w:p>
    <w:p w14:paraId="4C064193" w14:textId="22B95BC9" w:rsidR="002544D0" w:rsidRPr="00B24593" w:rsidRDefault="00235D92" w:rsidP="00913F47">
      <w:r w:rsidRPr="00B24593">
        <w:rPr>
          <w:b/>
          <w:bCs/>
        </w:rPr>
        <w:t>1.</w:t>
      </w:r>
      <w:r w:rsidR="009931D3">
        <w:rPr>
          <w:b/>
          <w:bCs/>
        </w:rPr>
        <w:t>10</w:t>
      </w:r>
      <w:r w:rsidRPr="00B24593">
        <w:rPr>
          <w:b/>
          <w:bCs/>
        </w:rPr>
        <w:t>. Juicio federal</w:t>
      </w:r>
      <w:r w:rsidR="002544D0" w:rsidRPr="00B24593">
        <w:rPr>
          <w:b/>
          <w:bCs/>
        </w:rPr>
        <w:t xml:space="preserve"> SM-JDC-449/2021</w:t>
      </w:r>
      <w:r w:rsidRPr="00B24593">
        <w:rPr>
          <w:b/>
          <w:bCs/>
        </w:rPr>
        <w:t>.</w:t>
      </w:r>
      <w:r w:rsidRPr="00B24593">
        <w:t xml:space="preserve"> </w:t>
      </w:r>
      <w:r w:rsidR="002544D0" w:rsidRPr="00B24593">
        <w:t xml:space="preserve">Inconformes con lo anterior, el doce de mayo, </w:t>
      </w:r>
      <w:r w:rsidR="00FE4EB5" w:rsidRPr="00B24593">
        <w:t>María Guadalupe Nicasio Meza y José Luis Fonseca Meléndez</w:t>
      </w:r>
      <w:r w:rsidR="00FE4EB5">
        <w:t>,</w:t>
      </w:r>
      <w:r w:rsidR="00FE4EB5" w:rsidRPr="00B24593">
        <w:t xml:space="preserve"> </w:t>
      </w:r>
      <w:r w:rsidR="002544D0" w:rsidRPr="00B24593">
        <w:t xml:space="preserve">presentaron juicio para la protección de los derechos político-electorales del ciudadano, y se reencauzó al </w:t>
      </w:r>
      <w:r w:rsidR="002544D0" w:rsidRPr="00B24593">
        <w:rPr>
          <w:i/>
          <w:iCs/>
        </w:rPr>
        <w:t>Tribunal Local</w:t>
      </w:r>
      <w:r w:rsidR="002544D0" w:rsidRPr="00B24593">
        <w:t xml:space="preserve"> el quince de mayo al considerar que debía agotarse la instancia local.</w:t>
      </w:r>
    </w:p>
    <w:p w14:paraId="7081340A" w14:textId="5A6E3ECF" w:rsidR="002544D0" w:rsidRPr="00B24593" w:rsidRDefault="002544D0" w:rsidP="00913F47">
      <w:r w:rsidRPr="00B24593">
        <w:rPr>
          <w:b/>
          <w:bCs/>
        </w:rPr>
        <w:t>1.1</w:t>
      </w:r>
      <w:r w:rsidR="009931D3">
        <w:rPr>
          <w:b/>
          <w:bCs/>
        </w:rPr>
        <w:t>1</w:t>
      </w:r>
      <w:r w:rsidRPr="00B24593">
        <w:rPr>
          <w:b/>
          <w:bCs/>
        </w:rPr>
        <w:t>. A</w:t>
      </w:r>
      <w:r w:rsidR="00FE4EB5">
        <w:rPr>
          <w:b/>
          <w:bCs/>
        </w:rPr>
        <w:t>cuerdo plenario</w:t>
      </w:r>
      <w:r w:rsidRPr="00B24593">
        <w:rPr>
          <w:b/>
          <w:bCs/>
        </w:rPr>
        <w:t>.</w:t>
      </w:r>
      <w:r w:rsidRPr="00B24593">
        <w:t xml:space="preserve"> Mediante </w:t>
      </w:r>
      <w:bookmarkStart w:id="8" w:name="_Hlk72839639"/>
      <w:r w:rsidRPr="00B24593">
        <w:t xml:space="preserve">acuerdo </w:t>
      </w:r>
      <w:r w:rsidR="00286BA4" w:rsidRPr="00B24593">
        <w:t xml:space="preserve">plenario de diecinueve de mayo, dictado por el </w:t>
      </w:r>
      <w:r w:rsidR="00286BA4" w:rsidRPr="00B24593">
        <w:rPr>
          <w:i/>
          <w:iCs/>
        </w:rPr>
        <w:t>Tribunal Local</w:t>
      </w:r>
      <w:r w:rsidR="00286BA4" w:rsidRPr="00B24593">
        <w:t>, en el Asunto General del Pleno con número de expediente TEEG-AGP-01/2021</w:t>
      </w:r>
      <w:bookmarkEnd w:id="8"/>
      <w:r w:rsidR="00286BA4" w:rsidRPr="00B24593">
        <w:t xml:space="preserve">, resolvió el medio de impugnación de </w:t>
      </w:r>
      <w:r w:rsidR="00FE4EB5" w:rsidRPr="00B24593">
        <w:t>María Guadalupe Nicasio Meza y José Luis Fonseca Meléndez</w:t>
      </w:r>
      <w:r w:rsidR="00FE4EB5">
        <w:t xml:space="preserve">, en el cual determinaron declarar como inoperantes e infundados </w:t>
      </w:r>
      <w:r w:rsidR="00263D41">
        <w:t>los agravios del referido medio de impugnación</w:t>
      </w:r>
      <w:r w:rsidR="00286BA4" w:rsidRPr="00B24593">
        <w:t xml:space="preserve">. </w:t>
      </w:r>
    </w:p>
    <w:p w14:paraId="179B5007" w14:textId="262782E1" w:rsidR="00913F47" w:rsidRDefault="00286BA4" w:rsidP="00913F47">
      <w:r w:rsidRPr="00B24593">
        <w:rPr>
          <w:b/>
          <w:bCs/>
        </w:rPr>
        <w:t>1.1</w:t>
      </w:r>
      <w:r w:rsidR="009931D3">
        <w:rPr>
          <w:b/>
          <w:bCs/>
        </w:rPr>
        <w:t>2</w:t>
      </w:r>
      <w:r w:rsidRPr="00B24593">
        <w:rPr>
          <w:b/>
          <w:bCs/>
        </w:rPr>
        <w:t>. Juicio federal SM-JDC-501/2021.</w:t>
      </w:r>
      <w:r w:rsidRPr="00B24593">
        <w:t xml:space="preserve"> </w:t>
      </w:r>
      <w:r w:rsidR="00235D92" w:rsidRPr="00B24593">
        <w:t>Inconforme</w:t>
      </w:r>
      <w:r w:rsidR="009144A7" w:rsidRPr="00B24593">
        <w:t>s</w:t>
      </w:r>
      <w:r w:rsidR="00235D92" w:rsidRPr="00B24593">
        <w:t xml:space="preserve"> con </w:t>
      </w:r>
      <w:r w:rsidR="002C414A" w:rsidRPr="00B24593">
        <w:t>lo anterior</w:t>
      </w:r>
      <w:r w:rsidR="00235D92" w:rsidRPr="00B24593">
        <w:t xml:space="preserve">, </w:t>
      </w:r>
      <w:r w:rsidR="00263D41" w:rsidRPr="00B24593">
        <w:t>María Guadalupe Nicasio Meza y José Luis Fonseca Meléndez</w:t>
      </w:r>
      <w:r w:rsidR="00235D92" w:rsidRPr="00B24593">
        <w:t xml:space="preserve"> </w:t>
      </w:r>
      <w:r w:rsidR="009144A7" w:rsidRPr="00B24593">
        <w:t>promovieron</w:t>
      </w:r>
      <w:r w:rsidR="00235D92" w:rsidRPr="00B24593">
        <w:t xml:space="preserve"> juicio ciudadano </w:t>
      </w:r>
      <w:r w:rsidR="00263D41">
        <w:t>ante esta Sala Regional, quedando registrado con la clave SM-JDC-501/2021</w:t>
      </w:r>
      <w:r w:rsidR="00235D92" w:rsidRPr="00B24593">
        <w:t xml:space="preserve">. </w:t>
      </w:r>
    </w:p>
    <w:p w14:paraId="642CFEA8" w14:textId="6BD39CF4" w:rsidR="009B59ED" w:rsidRPr="00B24593" w:rsidRDefault="009B59ED" w:rsidP="009B59ED">
      <w:pPr>
        <w:spacing w:before="280" w:beforeAutospacing="1" w:after="280" w:afterAutospacing="1"/>
        <w:rPr>
          <w:rFonts w:eastAsiaTheme="minorEastAsia"/>
          <w:bCs/>
          <w:szCs w:val="24"/>
          <w:lang w:eastAsia="es-MX"/>
        </w:rPr>
      </w:pPr>
      <w:r>
        <w:t xml:space="preserve">El veintiocho de mayo este órgano jurisdiccional emitió la sentencia correspondiente, en la cual determinó </w:t>
      </w:r>
      <w:r w:rsidRPr="009B59ED">
        <w:rPr>
          <w:bCs/>
        </w:rPr>
        <w:t>revocar</w:t>
      </w:r>
      <w:r w:rsidRPr="00B24593">
        <w:rPr>
          <w:b/>
          <w:bCs/>
        </w:rPr>
        <w:t xml:space="preserve"> </w:t>
      </w:r>
      <w:r w:rsidRPr="00B24593">
        <w:t xml:space="preserve">el acuerdo plenario de diecinueve de mayo, dictado por el </w:t>
      </w:r>
      <w:r w:rsidRPr="003C28FC">
        <w:rPr>
          <w:i/>
          <w:iCs/>
        </w:rPr>
        <w:t xml:space="preserve">Tribunal </w:t>
      </w:r>
      <w:r w:rsidR="003C28FC" w:rsidRPr="003C28FC">
        <w:rPr>
          <w:i/>
          <w:iCs/>
        </w:rPr>
        <w:t>local</w:t>
      </w:r>
      <w:r w:rsidRPr="00B24593">
        <w:t>, en el Asunto General del Pleno con número de expediente TEEG-AGP-01/2021</w:t>
      </w:r>
      <w:r>
        <w:t xml:space="preserve">, </w:t>
      </w:r>
      <w:r w:rsidRPr="00B24593">
        <w:rPr>
          <w:rFonts w:eastAsiaTheme="minorEastAsia"/>
          <w:bCs/>
          <w:szCs w:val="24"/>
          <w:lang w:eastAsia="es-MX"/>
        </w:rPr>
        <w:t xml:space="preserve">así como en lo que fue materia de impugnación el diverso acuerdo de fecha de nueve de mayo, dictado por el Magistrado Presidente del </w:t>
      </w:r>
      <w:r w:rsidRPr="00B24593">
        <w:rPr>
          <w:rFonts w:eastAsiaTheme="minorEastAsia"/>
          <w:bCs/>
          <w:i/>
          <w:iCs/>
          <w:szCs w:val="24"/>
          <w:lang w:eastAsia="es-MX"/>
        </w:rPr>
        <w:t>Tribunal Local</w:t>
      </w:r>
      <w:r w:rsidRPr="00B24593">
        <w:rPr>
          <w:rFonts w:eastAsiaTheme="minorEastAsia"/>
          <w:bCs/>
          <w:szCs w:val="24"/>
          <w:lang w:eastAsia="es-MX"/>
        </w:rPr>
        <w:t xml:space="preserve"> en el juicio ciudadano local TEEG-JPDC-50/2021 y su acumulado.</w:t>
      </w:r>
    </w:p>
    <w:p w14:paraId="30BCD489" w14:textId="49AC7458" w:rsidR="00CE394A" w:rsidRPr="00B24593" w:rsidRDefault="00073FBF" w:rsidP="00913F47">
      <w:r>
        <w:t xml:space="preserve">Asimismo, </w:t>
      </w:r>
      <w:r w:rsidR="009B59ED">
        <w:t>orden</w:t>
      </w:r>
      <w:r>
        <w:t>ó</w:t>
      </w:r>
      <w:r w:rsidR="009B59ED">
        <w:t xml:space="preserve"> </w:t>
      </w:r>
      <w:r w:rsidR="009B59ED" w:rsidRPr="00B24593">
        <w:rPr>
          <w:rFonts w:eastAsiaTheme="minorEastAsia"/>
          <w:bCs/>
          <w:szCs w:val="24"/>
          <w:lang w:eastAsia="es-MX"/>
        </w:rPr>
        <w:t xml:space="preserve">al </w:t>
      </w:r>
      <w:r w:rsidR="009B59ED" w:rsidRPr="00B24593">
        <w:rPr>
          <w:rFonts w:eastAsiaTheme="minorEastAsia"/>
          <w:bCs/>
          <w:i/>
          <w:iCs/>
          <w:szCs w:val="24"/>
          <w:lang w:eastAsia="es-MX"/>
        </w:rPr>
        <w:t>Tribunal Local</w:t>
      </w:r>
      <w:r w:rsidR="009B59ED" w:rsidRPr="00B24593">
        <w:rPr>
          <w:rFonts w:eastAsiaTheme="minorEastAsia"/>
          <w:bCs/>
          <w:szCs w:val="24"/>
          <w:lang w:eastAsia="es-MX"/>
        </w:rPr>
        <w:t xml:space="preserve"> d</w:t>
      </w:r>
      <w:r w:rsidR="009B59ED">
        <w:rPr>
          <w:rFonts w:eastAsiaTheme="minorEastAsia"/>
          <w:bCs/>
          <w:szCs w:val="24"/>
          <w:lang w:eastAsia="es-MX"/>
        </w:rPr>
        <w:t>iera</w:t>
      </w:r>
      <w:r w:rsidR="009B59ED" w:rsidRPr="00B24593">
        <w:rPr>
          <w:rFonts w:eastAsiaTheme="minorEastAsia"/>
          <w:bCs/>
          <w:szCs w:val="24"/>
          <w:lang w:eastAsia="es-MX"/>
        </w:rPr>
        <w:t xml:space="preserve"> trámite al escrito </w:t>
      </w:r>
      <w:r w:rsidR="009B59ED">
        <w:rPr>
          <w:rFonts w:eastAsiaTheme="minorEastAsia"/>
          <w:bCs/>
          <w:szCs w:val="24"/>
          <w:lang w:eastAsia="es-MX"/>
        </w:rPr>
        <w:t xml:space="preserve">que </w:t>
      </w:r>
      <w:r w:rsidR="009B59ED" w:rsidRPr="00B24593">
        <w:t>María Guadalupe Nicasio Meza y José Luis Fonseca Meléndez</w:t>
      </w:r>
      <w:r w:rsidR="009B59ED" w:rsidRPr="00B24593">
        <w:rPr>
          <w:rFonts w:eastAsiaTheme="minorEastAsia"/>
          <w:bCs/>
          <w:szCs w:val="24"/>
          <w:lang w:eastAsia="es-MX"/>
        </w:rPr>
        <w:t xml:space="preserve"> </w:t>
      </w:r>
      <w:r w:rsidR="009B59ED" w:rsidRPr="00B24593">
        <w:t>presenta</w:t>
      </w:r>
      <w:r w:rsidR="006F52DA">
        <w:t>ron</w:t>
      </w:r>
      <w:r w:rsidR="009B59ED" w:rsidRPr="00B24593">
        <w:t xml:space="preserve"> el </w:t>
      </w:r>
      <w:r w:rsidR="009B59ED" w:rsidRPr="00B24593">
        <w:rPr>
          <w:rFonts w:eastAsiaTheme="minorEastAsia"/>
          <w:bCs/>
          <w:szCs w:val="24"/>
          <w:lang w:eastAsia="es-MX"/>
        </w:rPr>
        <w:t xml:space="preserve">siete </w:t>
      </w:r>
      <w:r w:rsidR="009B59ED" w:rsidRPr="00B24593">
        <w:rPr>
          <w:rFonts w:eastAsiaTheme="minorEastAsia"/>
          <w:bCs/>
          <w:szCs w:val="24"/>
          <w:lang w:eastAsia="es-MX"/>
        </w:rPr>
        <w:lastRenderedPageBreak/>
        <w:t xml:space="preserve">de mayo, </w:t>
      </w:r>
      <w:r w:rsidR="009B59ED" w:rsidRPr="006F52DA">
        <w:rPr>
          <w:rFonts w:eastAsiaTheme="minorEastAsia"/>
          <w:szCs w:val="24"/>
          <w:lang w:eastAsia="es-MX"/>
        </w:rPr>
        <w:t>como medio de impugnación</w:t>
      </w:r>
      <w:r w:rsidR="009B59ED" w:rsidRPr="00B24593">
        <w:rPr>
          <w:rFonts w:eastAsiaTheme="minorEastAsia"/>
          <w:bCs/>
          <w:szCs w:val="24"/>
          <w:lang w:eastAsia="es-MX"/>
        </w:rPr>
        <w:t xml:space="preserve">, y </w:t>
      </w:r>
      <w:r w:rsidR="006F52DA">
        <w:rPr>
          <w:rFonts w:eastAsiaTheme="minorEastAsia"/>
          <w:bCs/>
          <w:szCs w:val="24"/>
          <w:lang w:eastAsia="es-MX"/>
        </w:rPr>
        <w:t xml:space="preserve">resolviera </w:t>
      </w:r>
      <w:r w:rsidR="009B59ED" w:rsidRPr="00B24593">
        <w:rPr>
          <w:rFonts w:eastAsiaTheme="minorEastAsia"/>
          <w:bCs/>
          <w:szCs w:val="24"/>
          <w:lang w:eastAsia="es-MX"/>
        </w:rPr>
        <w:t>en el término de veinticuatro horas</w:t>
      </w:r>
      <w:r w:rsidR="006F52DA">
        <w:rPr>
          <w:rFonts w:eastAsiaTheme="minorEastAsia"/>
          <w:bCs/>
          <w:szCs w:val="24"/>
          <w:lang w:eastAsia="es-MX"/>
        </w:rPr>
        <w:t>.</w:t>
      </w:r>
    </w:p>
    <w:p w14:paraId="5966E281" w14:textId="3D386C8C" w:rsidR="00F0052D" w:rsidRDefault="002F0BC6" w:rsidP="00913F47">
      <w:r w:rsidRPr="00B24593">
        <w:rPr>
          <w:b/>
          <w:bCs/>
        </w:rPr>
        <w:t>1.1</w:t>
      </w:r>
      <w:r w:rsidR="009931D3">
        <w:rPr>
          <w:b/>
          <w:bCs/>
        </w:rPr>
        <w:t>3</w:t>
      </w:r>
      <w:r w:rsidRPr="00B24593">
        <w:rPr>
          <w:b/>
          <w:bCs/>
        </w:rPr>
        <w:t>.</w:t>
      </w:r>
      <w:r w:rsidR="0055705E" w:rsidRPr="00B24593">
        <w:rPr>
          <w:b/>
          <w:bCs/>
        </w:rPr>
        <w:t xml:space="preserve"> </w:t>
      </w:r>
      <w:r w:rsidR="006F52DA">
        <w:rPr>
          <w:b/>
          <w:bCs/>
        </w:rPr>
        <w:t>Sentencia impugnada</w:t>
      </w:r>
      <w:r w:rsidRPr="00B24593">
        <w:t>.</w:t>
      </w:r>
      <w:r w:rsidR="0055705E" w:rsidRPr="00B24593">
        <w:t xml:space="preserve"> E</w:t>
      </w:r>
      <w:r w:rsidR="006F52DA">
        <w:t>l</w:t>
      </w:r>
      <w:r w:rsidR="0055705E" w:rsidRPr="00B24593">
        <w:t xml:space="preserve"> </w:t>
      </w:r>
      <w:r w:rsidR="006F52DA" w:rsidRPr="006F52DA">
        <w:rPr>
          <w:i/>
        </w:rPr>
        <w:t>Tribunal Local</w:t>
      </w:r>
      <w:r w:rsidR="006F52DA">
        <w:rPr>
          <w:i/>
        </w:rPr>
        <w:t xml:space="preserve"> </w:t>
      </w:r>
      <w:r w:rsidR="006F52DA">
        <w:t>mediante fallo de</w:t>
      </w:r>
      <w:r w:rsidR="006F52DA" w:rsidRPr="00B24593">
        <w:t xml:space="preserve"> </w:t>
      </w:r>
      <w:r w:rsidR="0055705E" w:rsidRPr="00B24593">
        <w:t xml:space="preserve">fecha </w:t>
      </w:r>
      <w:r w:rsidR="006F52DA">
        <w:t xml:space="preserve">treinta de mayo resolvió el juicio TEEG-JPDC-188/2021, en el cual revocó </w:t>
      </w:r>
      <w:r w:rsidR="00FE6D66">
        <w:t xml:space="preserve">la determinación emitida por el </w:t>
      </w:r>
      <w:r w:rsidR="00FE6D66">
        <w:rPr>
          <w:i/>
        </w:rPr>
        <w:t>Ó</w:t>
      </w:r>
      <w:r w:rsidR="00FE6D66" w:rsidRPr="00FE6D66">
        <w:rPr>
          <w:i/>
        </w:rPr>
        <w:t>rgano de Justicia</w:t>
      </w:r>
      <w:r w:rsidR="00FE6D66">
        <w:rPr>
          <w:i/>
        </w:rPr>
        <w:t xml:space="preserve"> </w:t>
      </w:r>
      <w:r w:rsidR="00FE6D66">
        <w:t>dentro del expediente AG/NAL/51/2021 y sus acumulados AG/NAL/52/2021 y AG/NAL/53/2021, en lo que fue materia de impugnación</w:t>
      </w:r>
      <w:r w:rsidR="00F0052D">
        <w:t xml:space="preserve">, por no encontrarse debidamente fundada y motivada. </w:t>
      </w:r>
    </w:p>
    <w:p w14:paraId="160AE5E1" w14:textId="3B6E5EF1" w:rsidR="00F0052D" w:rsidRDefault="00D46831" w:rsidP="00913F47">
      <w:r>
        <w:t xml:space="preserve">Por otra parte, </w:t>
      </w:r>
      <w:r w:rsidR="00F0052D">
        <w:t>orden</w:t>
      </w:r>
      <w:r>
        <w:t>ó</w:t>
      </w:r>
      <w:r w:rsidR="00F0052D">
        <w:t xml:space="preserve"> al Consejo Estatal Electivo, Dirección Estatal Ejecutiva y a la representación </w:t>
      </w:r>
      <w:r>
        <w:t xml:space="preserve">ante el Consejo General en el </w:t>
      </w:r>
      <w:r w:rsidRPr="00D46831">
        <w:rPr>
          <w:i/>
          <w:iCs/>
        </w:rPr>
        <w:t>Instituto local</w:t>
      </w:r>
      <w:r>
        <w:t xml:space="preserve"> todos </w:t>
      </w:r>
      <w:r w:rsidR="00F0052D">
        <w:t xml:space="preserve">del </w:t>
      </w:r>
      <w:r w:rsidR="00F0052D" w:rsidRPr="003C28FC">
        <w:rPr>
          <w:i/>
          <w:iCs/>
        </w:rPr>
        <w:t>P</w:t>
      </w:r>
      <w:r w:rsidR="003C28FC" w:rsidRPr="003C28FC">
        <w:rPr>
          <w:i/>
          <w:iCs/>
        </w:rPr>
        <w:t>RD</w:t>
      </w:r>
      <w:r w:rsidR="00F0052D">
        <w:t>, realizara</w:t>
      </w:r>
      <w:r>
        <w:t>n</w:t>
      </w:r>
      <w:r w:rsidR="00F0052D">
        <w:t xml:space="preserve"> las gestiones conducentes para </w:t>
      </w:r>
      <w:r>
        <w:t xml:space="preserve">sustituir </w:t>
      </w:r>
      <w:r w:rsidR="00F0052D">
        <w:t>las candidaturas de</w:t>
      </w:r>
      <w:r w:rsidR="00F0052D" w:rsidRPr="00F0052D">
        <w:t xml:space="preserve"> </w:t>
      </w:r>
      <w:r w:rsidR="003C28FC">
        <w:t>José Antonio Rodríguez Ojeda como primer regidor propietario y Paola de la Luz Aceves Flores como segunda regidora propietaria por la de J</w:t>
      </w:r>
      <w:r w:rsidR="00F0052D" w:rsidRPr="00B24593">
        <w:t>osé Luis Fonseca Meléndez</w:t>
      </w:r>
      <w:r w:rsidR="003C28FC" w:rsidRPr="003C28FC">
        <w:t xml:space="preserve"> </w:t>
      </w:r>
      <w:r w:rsidR="003C28FC">
        <w:t xml:space="preserve">y </w:t>
      </w:r>
      <w:r w:rsidR="003C28FC" w:rsidRPr="00B24593">
        <w:t>María Guadalupe Nicasio Meza</w:t>
      </w:r>
      <w:r w:rsidR="00F0052D">
        <w:t>.</w:t>
      </w:r>
    </w:p>
    <w:p w14:paraId="44F3D24F" w14:textId="650C1F04" w:rsidR="002F0BC6" w:rsidRPr="00B24593" w:rsidRDefault="00F0052D" w:rsidP="00913F47">
      <w:pPr>
        <w:rPr>
          <w:b/>
          <w:bCs/>
        </w:rPr>
      </w:pPr>
      <w:r w:rsidRPr="00F0052D">
        <w:rPr>
          <w:b/>
        </w:rPr>
        <w:t>1.1</w:t>
      </w:r>
      <w:r w:rsidR="009931D3">
        <w:rPr>
          <w:b/>
        </w:rPr>
        <w:t>4</w:t>
      </w:r>
      <w:r w:rsidRPr="00F0052D">
        <w:rPr>
          <w:b/>
        </w:rPr>
        <w:t>. Juicios federales.</w:t>
      </w:r>
      <w:r>
        <w:t xml:space="preserve"> Inconformes con dicha determinación los actores, promovieron los juicios que hoy nos ocupan.</w:t>
      </w:r>
    </w:p>
    <w:p w14:paraId="41AEA473" w14:textId="77777777" w:rsidR="00DF5950" w:rsidRPr="00B24593" w:rsidRDefault="00235D92" w:rsidP="00E0488F">
      <w:r w:rsidRPr="00B24593">
        <w:rPr>
          <w:b/>
          <w:bCs/>
        </w:rPr>
        <w:t xml:space="preserve">2. COMPETENCIA </w:t>
      </w:r>
    </w:p>
    <w:p w14:paraId="3F6334EA" w14:textId="355D1624" w:rsidR="00E0488F" w:rsidRPr="00B24593" w:rsidRDefault="00A67652" w:rsidP="00E0488F">
      <w:r w:rsidRPr="00B24593">
        <w:rPr>
          <w:color w:val="000000"/>
          <w:szCs w:val="24"/>
        </w:rPr>
        <w:t>Esta Sala Regional es competente para conocer y resolver el presente juicio, pues se controvierte un</w:t>
      </w:r>
      <w:r w:rsidR="009144A7" w:rsidRPr="00B24593">
        <w:rPr>
          <w:color w:val="000000"/>
          <w:szCs w:val="24"/>
        </w:rPr>
        <w:t>a determinació</w:t>
      </w:r>
      <w:r w:rsidR="0036606E">
        <w:rPr>
          <w:color w:val="000000"/>
          <w:szCs w:val="24"/>
        </w:rPr>
        <w:t xml:space="preserve">n emitida por el </w:t>
      </w:r>
      <w:r w:rsidR="0036606E" w:rsidRPr="0036606E">
        <w:rPr>
          <w:i/>
          <w:color w:val="000000"/>
          <w:szCs w:val="24"/>
        </w:rPr>
        <w:t>Tribunal Local</w:t>
      </w:r>
      <w:r w:rsidR="0036606E">
        <w:rPr>
          <w:color w:val="000000"/>
          <w:szCs w:val="24"/>
        </w:rPr>
        <w:t xml:space="preserve"> en la cual revoc</w:t>
      </w:r>
      <w:r w:rsidR="009E253B">
        <w:rPr>
          <w:color w:val="000000"/>
          <w:szCs w:val="24"/>
        </w:rPr>
        <w:t>ó</w:t>
      </w:r>
      <w:r w:rsidR="0036606E">
        <w:rPr>
          <w:color w:val="000000"/>
          <w:szCs w:val="24"/>
        </w:rPr>
        <w:t xml:space="preserve"> una resolución del </w:t>
      </w:r>
      <w:r w:rsidR="0036606E">
        <w:rPr>
          <w:i/>
        </w:rPr>
        <w:t>Ó</w:t>
      </w:r>
      <w:r w:rsidR="0036606E" w:rsidRPr="00FE6D66">
        <w:rPr>
          <w:i/>
        </w:rPr>
        <w:t>rgano de Justicia</w:t>
      </w:r>
      <w:r w:rsidR="0036606E">
        <w:rPr>
          <w:i/>
        </w:rPr>
        <w:t xml:space="preserve">, </w:t>
      </w:r>
      <w:r w:rsidR="0036606E">
        <w:t>y en consecuencia se sustituy</w:t>
      </w:r>
      <w:r w:rsidR="009E253B">
        <w:t>ó</w:t>
      </w:r>
      <w:r w:rsidR="0036606E">
        <w:t xml:space="preserve"> a los hoy actores </w:t>
      </w:r>
      <w:r w:rsidR="0036606E" w:rsidRPr="00BB08DC">
        <w:rPr>
          <w:bCs/>
        </w:rPr>
        <w:t>de la planilla</w:t>
      </w:r>
      <w:r w:rsidR="0036606E">
        <w:rPr>
          <w:bCs/>
        </w:rPr>
        <w:t xml:space="preserve"> postulada por el </w:t>
      </w:r>
      <w:r w:rsidR="0036606E" w:rsidRPr="0036606E">
        <w:rPr>
          <w:bCs/>
          <w:i/>
        </w:rPr>
        <w:t>PRD</w:t>
      </w:r>
      <w:r w:rsidR="0036606E" w:rsidRPr="00BB08DC">
        <w:rPr>
          <w:bCs/>
        </w:rPr>
        <w:t xml:space="preserve"> para contender por el ayuntamiento de León, Guanajuato</w:t>
      </w:r>
      <w:r w:rsidR="0036606E">
        <w:rPr>
          <w:bCs/>
        </w:rPr>
        <w:t xml:space="preserve">, </w:t>
      </w:r>
      <w:r w:rsidRPr="00B24593">
        <w:rPr>
          <w:color w:val="000000"/>
          <w:szCs w:val="24"/>
        </w:rPr>
        <w:t xml:space="preserve">entidad federativa que se ubica en la Segunda Circunscripción Electoral Plurinominal, en la cual se ejerce </w:t>
      </w:r>
      <w:r w:rsidR="00235D92" w:rsidRPr="00B24593">
        <w:t xml:space="preserve">jurisdicción. </w:t>
      </w:r>
    </w:p>
    <w:p w14:paraId="689BB55A" w14:textId="113449AE" w:rsidR="00E0488F" w:rsidRPr="00B24593" w:rsidRDefault="00235D92" w:rsidP="00E0488F">
      <w:r w:rsidRPr="00B24593">
        <w:t xml:space="preserve">Lo anterior, de conformidad con los artículos 195, fracción IV, inciso c), de la Ley Orgánica del Poder Judicial de la Federación; y 83, párrafo 1, inciso b), fracción III, de la </w:t>
      </w:r>
      <w:r w:rsidRPr="00D46831">
        <w:rPr>
          <w:i/>
          <w:iCs/>
        </w:rPr>
        <w:t xml:space="preserve">Ley </w:t>
      </w:r>
      <w:r w:rsidR="00D46831" w:rsidRPr="00D46831">
        <w:rPr>
          <w:i/>
          <w:iCs/>
        </w:rPr>
        <w:t>de medios</w:t>
      </w:r>
      <w:r w:rsidRPr="00B24593">
        <w:t>.</w:t>
      </w:r>
    </w:p>
    <w:p w14:paraId="30358D0D" w14:textId="77777777" w:rsidR="008668A8" w:rsidRDefault="008668A8" w:rsidP="008668A8">
      <w:pPr>
        <w:spacing w:before="100" w:beforeAutospacing="1" w:after="100" w:afterAutospacing="1"/>
        <w:rPr>
          <w:rFonts w:eastAsia="Calibri"/>
          <w:b/>
          <w:color w:val="000000"/>
          <w:szCs w:val="24"/>
        </w:rPr>
      </w:pPr>
      <w:r>
        <w:rPr>
          <w:rFonts w:eastAsia="Calibri"/>
          <w:b/>
          <w:color w:val="000000"/>
          <w:szCs w:val="24"/>
        </w:rPr>
        <w:t xml:space="preserve">3. ACUMULACIÓN </w:t>
      </w:r>
    </w:p>
    <w:p w14:paraId="1170F395" w14:textId="5690A380" w:rsidR="008668A8" w:rsidRDefault="008668A8" w:rsidP="008668A8">
      <w:pPr>
        <w:spacing w:before="100" w:beforeAutospacing="1" w:after="100" w:afterAutospacing="1"/>
        <w:rPr>
          <w:rFonts w:eastAsia="Times New Roman"/>
          <w:szCs w:val="27"/>
          <w:lang w:eastAsia="es-MX"/>
        </w:rPr>
      </w:pPr>
      <w:r>
        <w:rPr>
          <w:rFonts w:eastAsia="Times New Roman"/>
          <w:szCs w:val="27"/>
          <w:lang w:eastAsia="es-MX"/>
        </w:rPr>
        <w:t xml:space="preserve">Estos juicios guardan conexidad, ya que controvierten la misma sentencia emitida el pasado treinta de mayo por el </w:t>
      </w:r>
      <w:r w:rsidRPr="008668A8">
        <w:rPr>
          <w:rFonts w:eastAsia="Times New Roman"/>
          <w:i/>
          <w:szCs w:val="27"/>
          <w:lang w:eastAsia="es-MX"/>
        </w:rPr>
        <w:t>Tribunal Local</w:t>
      </w:r>
      <w:r>
        <w:rPr>
          <w:rFonts w:eastAsia="Times New Roman"/>
          <w:szCs w:val="24"/>
          <w:lang w:eastAsia="es-MX"/>
        </w:rPr>
        <w:t>; por tanto, a fin de</w:t>
      </w:r>
      <w:r w:rsidR="009E253B">
        <w:rPr>
          <w:rFonts w:eastAsia="Times New Roman"/>
          <w:szCs w:val="24"/>
          <w:lang w:eastAsia="es-MX"/>
        </w:rPr>
        <w:t xml:space="preserve"> </w:t>
      </w:r>
      <w:r>
        <w:rPr>
          <w:rFonts w:eastAsia="Times New Roman"/>
          <w:szCs w:val="24"/>
          <w:lang w:eastAsia="es-MX"/>
        </w:rPr>
        <w:t>evitar</w:t>
      </w:r>
      <w:r w:rsidR="009E253B">
        <w:rPr>
          <w:rFonts w:eastAsia="Times New Roman"/>
          <w:szCs w:val="24"/>
          <w:lang w:eastAsia="es-MX"/>
        </w:rPr>
        <w:t xml:space="preserve"> </w:t>
      </w:r>
      <w:r>
        <w:rPr>
          <w:rFonts w:eastAsia="Times New Roman"/>
          <w:szCs w:val="24"/>
          <w:lang w:eastAsia="es-MX"/>
        </w:rPr>
        <w:t>el riesgo</w:t>
      </w:r>
      <w:r w:rsidR="009E253B">
        <w:rPr>
          <w:rFonts w:eastAsia="Times New Roman"/>
          <w:szCs w:val="24"/>
          <w:lang w:eastAsia="es-MX"/>
        </w:rPr>
        <w:t xml:space="preserve"> </w:t>
      </w:r>
      <w:r>
        <w:rPr>
          <w:rFonts w:eastAsia="Times New Roman"/>
          <w:szCs w:val="24"/>
          <w:lang w:eastAsia="es-MX"/>
        </w:rPr>
        <w:t>de que se pronuncien</w:t>
      </w:r>
      <w:r w:rsidR="009E253B">
        <w:rPr>
          <w:rFonts w:eastAsia="Times New Roman"/>
          <w:szCs w:val="24"/>
          <w:lang w:eastAsia="es-MX"/>
        </w:rPr>
        <w:t xml:space="preserve"> </w:t>
      </w:r>
      <w:r>
        <w:rPr>
          <w:rFonts w:eastAsia="Times New Roman"/>
          <w:szCs w:val="24"/>
          <w:lang w:eastAsia="es-MX"/>
        </w:rPr>
        <w:t xml:space="preserve">sentencias contradictorias, procede acumular el expediente </w:t>
      </w:r>
      <w:bookmarkStart w:id="9" w:name="_Hlk8140904"/>
      <w:r>
        <w:rPr>
          <w:rFonts w:eastAsia="Times New Roman"/>
          <w:szCs w:val="24"/>
          <w:lang w:eastAsia="es-MX"/>
        </w:rPr>
        <w:t>SM-JDC-554/2021 al diverso SM-JDC-550/20</w:t>
      </w:r>
      <w:bookmarkEnd w:id="9"/>
      <w:r>
        <w:rPr>
          <w:rFonts w:eastAsia="Times New Roman"/>
          <w:szCs w:val="24"/>
          <w:lang w:eastAsia="es-MX"/>
        </w:rPr>
        <w:t>21, por ser</w:t>
      </w:r>
      <w:r w:rsidR="009E253B">
        <w:rPr>
          <w:rFonts w:eastAsia="Times New Roman"/>
          <w:szCs w:val="24"/>
          <w:lang w:eastAsia="es-MX"/>
        </w:rPr>
        <w:t xml:space="preserve"> </w:t>
      </w:r>
      <w:r>
        <w:rPr>
          <w:rFonts w:eastAsia="Times New Roman"/>
          <w:szCs w:val="24"/>
          <w:lang w:eastAsia="es-MX"/>
        </w:rPr>
        <w:t>éste</w:t>
      </w:r>
      <w:r w:rsidR="009E253B">
        <w:rPr>
          <w:rFonts w:eastAsia="Times New Roman"/>
          <w:szCs w:val="24"/>
          <w:lang w:eastAsia="es-MX"/>
        </w:rPr>
        <w:t xml:space="preserve"> </w:t>
      </w:r>
      <w:r>
        <w:rPr>
          <w:rFonts w:eastAsia="Times New Roman"/>
          <w:szCs w:val="24"/>
          <w:lang w:eastAsia="es-MX"/>
        </w:rPr>
        <w:t xml:space="preserve">el primero en registrarse en esta Sala </w:t>
      </w:r>
      <w:r>
        <w:rPr>
          <w:rFonts w:eastAsia="Times New Roman"/>
          <w:szCs w:val="27"/>
          <w:lang w:eastAsia="es-MX"/>
        </w:rPr>
        <w:t>Regional.</w:t>
      </w:r>
    </w:p>
    <w:p w14:paraId="353D5606" w14:textId="77777777" w:rsidR="008668A8" w:rsidRDefault="008668A8" w:rsidP="008668A8">
      <w:pPr>
        <w:spacing w:before="100" w:beforeAutospacing="1" w:after="100" w:afterAutospacing="1"/>
        <w:rPr>
          <w:rFonts w:eastAsia="Times New Roman"/>
          <w:szCs w:val="27"/>
          <w:lang w:eastAsia="es-MX"/>
        </w:rPr>
      </w:pPr>
      <w:r>
        <w:rPr>
          <w:rFonts w:eastAsia="Times New Roman"/>
          <w:szCs w:val="27"/>
          <w:lang w:eastAsia="es-MX"/>
        </w:rPr>
        <w:lastRenderedPageBreak/>
        <w:t xml:space="preserve">Lo anterior, en términos de los artículos 199, fracción XI, de la referida Ley Orgánica del Poder Judicial de la Federación, 31 de la </w:t>
      </w:r>
      <w:r>
        <w:rPr>
          <w:rFonts w:eastAsia="Times New Roman"/>
          <w:i/>
          <w:iCs/>
          <w:szCs w:val="27"/>
          <w:lang w:eastAsia="es-MX"/>
        </w:rPr>
        <w:t>Ley de Medios</w:t>
      </w:r>
      <w:r>
        <w:rPr>
          <w:rFonts w:eastAsia="Times New Roman"/>
          <w:szCs w:val="27"/>
          <w:lang w:eastAsia="es-MX"/>
        </w:rPr>
        <w:t>, y 79 del Reglamento Interno del Tribunal Electoral del Poder Judicial de la Federación.</w:t>
      </w:r>
    </w:p>
    <w:p w14:paraId="0D19F52E" w14:textId="77777777" w:rsidR="008668A8" w:rsidRDefault="008668A8" w:rsidP="008668A8">
      <w:pPr>
        <w:spacing w:before="100" w:beforeAutospacing="1" w:after="100" w:afterAutospacing="1"/>
        <w:rPr>
          <w:rFonts w:eastAsia="Times New Roman"/>
          <w:szCs w:val="27"/>
          <w:lang w:eastAsia="es-MX"/>
        </w:rPr>
      </w:pPr>
      <w:r>
        <w:rPr>
          <w:rFonts w:eastAsia="Times New Roman"/>
          <w:szCs w:val="27"/>
          <w:lang w:eastAsia="es-MX"/>
        </w:rPr>
        <w:t>En consecuencia, deberá glosarse copia certificada de los puntos resolutivos de esta sentencia a los autos del expediente acumulado.</w:t>
      </w:r>
    </w:p>
    <w:p w14:paraId="42162960" w14:textId="53A02F87" w:rsidR="00F4768F" w:rsidRPr="00B24593" w:rsidRDefault="008668A8" w:rsidP="00F4768F">
      <w:pPr>
        <w:rPr>
          <w:b/>
          <w:bCs/>
        </w:rPr>
      </w:pPr>
      <w:r>
        <w:rPr>
          <w:b/>
          <w:bCs/>
        </w:rPr>
        <w:t>4</w:t>
      </w:r>
      <w:r w:rsidR="00F4768F" w:rsidRPr="00B24593">
        <w:rPr>
          <w:b/>
          <w:bCs/>
        </w:rPr>
        <w:t xml:space="preserve">. </w:t>
      </w:r>
      <w:r w:rsidR="00235D92" w:rsidRPr="00B24593">
        <w:rPr>
          <w:b/>
          <w:bCs/>
        </w:rPr>
        <w:t>PROCEDENCIA</w:t>
      </w:r>
    </w:p>
    <w:bookmarkEnd w:id="0"/>
    <w:bookmarkEnd w:id="1"/>
    <w:bookmarkEnd w:id="2"/>
    <w:bookmarkEnd w:id="3"/>
    <w:p w14:paraId="4880E192" w14:textId="0F68536A" w:rsidR="004D342C" w:rsidRPr="00A4657B" w:rsidRDefault="004D342C" w:rsidP="004D342C">
      <w:pPr>
        <w:spacing w:before="240" w:after="240"/>
        <w:ind w:right="-35"/>
        <w:rPr>
          <w:rFonts w:eastAsia="Calibri"/>
          <w:bCs/>
          <w:szCs w:val="24"/>
          <w:lang w:val="es-ES_tradnl"/>
        </w:rPr>
      </w:pPr>
      <w:r>
        <w:rPr>
          <w:rFonts w:eastAsia="Calibri"/>
          <w:szCs w:val="24"/>
          <w:lang w:val="es-ES" w:eastAsia="es-ES"/>
        </w:rPr>
        <w:t>Los</w:t>
      </w:r>
      <w:r w:rsidRPr="00A4657B">
        <w:rPr>
          <w:rFonts w:eastAsia="Calibri"/>
          <w:szCs w:val="24"/>
          <w:lang w:val="es-ES" w:eastAsia="es-ES"/>
        </w:rPr>
        <w:t xml:space="preserve"> </w:t>
      </w:r>
      <w:r w:rsidRPr="00A4657B">
        <w:rPr>
          <w:rFonts w:eastAsia="Calibri"/>
          <w:bCs/>
          <w:szCs w:val="24"/>
          <w:lang w:val="es-ES_tradnl"/>
        </w:rPr>
        <w:t>juicio</w:t>
      </w:r>
      <w:r>
        <w:rPr>
          <w:rFonts w:eastAsia="Calibri"/>
          <w:bCs/>
          <w:szCs w:val="24"/>
          <w:lang w:val="es-ES_tradnl"/>
        </w:rPr>
        <w:t>s</w:t>
      </w:r>
      <w:r w:rsidRPr="00A4657B">
        <w:rPr>
          <w:rFonts w:eastAsia="Calibri"/>
          <w:bCs/>
          <w:szCs w:val="24"/>
          <w:lang w:val="es-ES_tradnl"/>
        </w:rPr>
        <w:t xml:space="preserve"> s</w:t>
      </w:r>
      <w:r>
        <w:rPr>
          <w:rFonts w:eastAsia="Calibri"/>
          <w:bCs/>
          <w:szCs w:val="24"/>
          <w:lang w:val="es-ES_tradnl"/>
        </w:rPr>
        <w:t>on</w:t>
      </w:r>
      <w:r w:rsidRPr="00A4657B">
        <w:rPr>
          <w:rFonts w:eastAsia="Calibri"/>
          <w:bCs/>
          <w:szCs w:val="24"/>
          <w:lang w:val="es-ES_tradnl"/>
        </w:rPr>
        <w:t xml:space="preserve"> procedente</w:t>
      </w:r>
      <w:r>
        <w:rPr>
          <w:rFonts w:eastAsia="Calibri"/>
          <w:bCs/>
          <w:szCs w:val="24"/>
          <w:lang w:val="es-ES_tradnl"/>
        </w:rPr>
        <w:t>s</w:t>
      </w:r>
      <w:r w:rsidRPr="00A4657B">
        <w:rPr>
          <w:rFonts w:eastAsia="Calibri"/>
          <w:bCs/>
          <w:szCs w:val="24"/>
          <w:lang w:val="es-ES_tradnl"/>
        </w:rPr>
        <w:t xml:space="preserve"> al reunir los requisitos previstos en los artículos 8, 9, párrafo 1, 13, párrafo 1, inciso b), 79 y 80, de la </w:t>
      </w:r>
      <w:r w:rsidRPr="00A4657B">
        <w:rPr>
          <w:rFonts w:eastAsia="Calibri"/>
          <w:bCs/>
          <w:i/>
          <w:szCs w:val="24"/>
          <w:lang w:val="es-ES_tradnl"/>
        </w:rPr>
        <w:t>Ley de Medios</w:t>
      </w:r>
      <w:r w:rsidRPr="00A4657B">
        <w:rPr>
          <w:rFonts w:eastAsia="Calibri"/>
          <w:bCs/>
          <w:szCs w:val="24"/>
          <w:lang w:val="es-ES_tradnl"/>
        </w:rPr>
        <w:t xml:space="preserve">, conforme a lo razonado en </w:t>
      </w:r>
      <w:r>
        <w:rPr>
          <w:rFonts w:eastAsia="Calibri"/>
          <w:bCs/>
          <w:szCs w:val="24"/>
          <w:lang w:val="es-ES_tradnl"/>
        </w:rPr>
        <w:t>los respectivos</w:t>
      </w:r>
      <w:r w:rsidRPr="00A4657B">
        <w:rPr>
          <w:rFonts w:eastAsia="Calibri"/>
          <w:bCs/>
          <w:szCs w:val="24"/>
          <w:lang w:val="es-ES_tradnl"/>
        </w:rPr>
        <w:t xml:space="preserve"> auto</w:t>
      </w:r>
      <w:r>
        <w:rPr>
          <w:rFonts w:eastAsia="Calibri"/>
          <w:bCs/>
          <w:szCs w:val="24"/>
          <w:lang w:val="es-ES_tradnl"/>
        </w:rPr>
        <w:t>s</w:t>
      </w:r>
      <w:r w:rsidRPr="00A4657B">
        <w:rPr>
          <w:rFonts w:eastAsia="Calibri"/>
          <w:bCs/>
          <w:szCs w:val="24"/>
          <w:lang w:val="es-ES_tradnl"/>
        </w:rPr>
        <w:t xml:space="preserve"> de admisión</w:t>
      </w:r>
      <w:r w:rsidRPr="00A4657B">
        <w:rPr>
          <w:rStyle w:val="Refdenotaalpie"/>
          <w:rFonts w:eastAsia="Calibri"/>
          <w:bCs/>
          <w:szCs w:val="24"/>
          <w:lang w:val="es-ES_tradnl"/>
        </w:rPr>
        <w:footnoteReference w:id="1"/>
      </w:r>
      <w:r w:rsidRPr="00A4657B">
        <w:rPr>
          <w:rFonts w:eastAsia="Calibri"/>
          <w:bCs/>
          <w:szCs w:val="24"/>
          <w:lang w:val="es-ES_tradnl"/>
        </w:rPr>
        <w:t>.</w:t>
      </w:r>
    </w:p>
    <w:p w14:paraId="0DF99FC8" w14:textId="38BE77C8" w:rsidR="002D29BD" w:rsidRPr="002D29BD" w:rsidRDefault="002D29BD" w:rsidP="002D29BD">
      <w:pPr>
        <w:tabs>
          <w:tab w:val="left" w:pos="1275"/>
        </w:tabs>
        <w:rPr>
          <w:b/>
          <w:bCs/>
        </w:rPr>
      </w:pPr>
      <w:r>
        <w:rPr>
          <w:b/>
          <w:bCs/>
        </w:rPr>
        <w:t>5</w:t>
      </w:r>
      <w:r w:rsidRPr="002D29BD">
        <w:rPr>
          <w:b/>
          <w:bCs/>
        </w:rPr>
        <w:t xml:space="preserve">. ESTUDIO DE FONDO </w:t>
      </w:r>
    </w:p>
    <w:p w14:paraId="3C738157" w14:textId="05DD5645" w:rsidR="002D29BD" w:rsidRPr="002D29BD" w:rsidRDefault="002D29BD" w:rsidP="002D29BD">
      <w:pPr>
        <w:tabs>
          <w:tab w:val="left" w:pos="1275"/>
        </w:tabs>
        <w:rPr>
          <w:b/>
          <w:bCs/>
        </w:rPr>
      </w:pPr>
      <w:r>
        <w:rPr>
          <w:b/>
          <w:bCs/>
        </w:rPr>
        <w:t>5</w:t>
      </w:r>
      <w:r w:rsidRPr="002D29BD">
        <w:rPr>
          <w:b/>
          <w:bCs/>
        </w:rPr>
        <w:t>.1. Materia de la controversia.</w:t>
      </w:r>
    </w:p>
    <w:p w14:paraId="3635BD99" w14:textId="199BF9D5" w:rsidR="002D29BD" w:rsidRPr="002D29BD" w:rsidRDefault="002D29BD" w:rsidP="002D29BD">
      <w:pPr>
        <w:tabs>
          <w:tab w:val="left" w:pos="1275"/>
        </w:tabs>
        <w:rPr>
          <w:b/>
          <w:bCs/>
        </w:rPr>
      </w:pPr>
      <w:r w:rsidRPr="002D29BD">
        <w:rPr>
          <w:b/>
          <w:bCs/>
        </w:rPr>
        <w:t>Antecedentes relevantes al caso</w:t>
      </w:r>
      <w:r w:rsidR="00A42B4E">
        <w:rPr>
          <w:b/>
          <w:bCs/>
        </w:rPr>
        <w:t>.</w:t>
      </w:r>
    </w:p>
    <w:p w14:paraId="7CEA299A" w14:textId="4D31897F" w:rsidR="009E253B" w:rsidRPr="009E253B" w:rsidRDefault="009E253B" w:rsidP="009E253B">
      <w:pPr>
        <w:rPr>
          <w:rFonts w:eastAsia="Calibri"/>
        </w:rPr>
      </w:pPr>
      <w:r w:rsidRPr="009E253B">
        <w:rPr>
          <w:rFonts w:eastAsia="Calibri"/>
        </w:rPr>
        <w:t xml:space="preserve">El pasado nueve de mayo, el Magistrado Presidente del </w:t>
      </w:r>
      <w:r w:rsidRPr="009E253B">
        <w:rPr>
          <w:rFonts w:eastAsia="Calibri"/>
          <w:i/>
          <w:iCs/>
        </w:rPr>
        <w:t>Tribunal Local</w:t>
      </w:r>
      <w:r w:rsidRPr="009E253B">
        <w:rPr>
          <w:rFonts w:eastAsia="Calibri"/>
        </w:rPr>
        <w:t xml:space="preserve"> en atención a un escrito presentado por </w:t>
      </w:r>
      <w:r w:rsidR="00A42B4E" w:rsidRPr="00B24593">
        <w:t>María Guadalupe Nicasio Meza y José Luis Fonseca Meléndez</w:t>
      </w:r>
      <w:r w:rsidRPr="009E253B">
        <w:rPr>
          <w:rFonts w:eastAsia="Calibri"/>
        </w:rPr>
        <w:t xml:space="preserve">, les señaló que no daba lugar acordar la petición respecto a solicitar al Consejo General del Instituto Electoral del Estado de Guanajuato, su registro como candidatos en la planilla del </w:t>
      </w:r>
      <w:r w:rsidRPr="009E253B">
        <w:rPr>
          <w:rFonts w:eastAsia="Calibri"/>
          <w:i/>
          <w:iCs/>
        </w:rPr>
        <w:t>PRD</w:t>
      </w:r>
      <w:r w:rsidRPr="009E253B">
        <w:rPr>
          <w:rFonts w:eastAsia="Calibri"/>
        </w:rPr>
        <w:t xml:space="preserve"> al </w:t>
      </w:r>
      <w:r w:rsidR="00D46831">
        <w:rPr>
          <w:rFonts w:eastAsia="Calibri"/>
        </w:rPr>
        <w:t>a</w:t>
      </w:r>
      <w:r w:rsidRPr="009E253B">
        <w:rPr>
          <w:rFonts w:eastAsia="Calibri"/>
        </w:rPr>
        <w:t>yuntamiento de León, Guanajuato.</w:t>
      </w:r>
    </w:p>
    <w:p w14:paraId="3E4B04C3" w14:textId="6329A68E" w:rsidR="009E253B" w:rsidRPr="009E253B" w:rsidRDefault="009E253B" w:rsidP="009E253B">
      <w:pPr>
        <w:rPr>
          <w:rFonts w:eastAsia="Calibri"/>
        </w:rPr>
      </w:pPr>
      <w:r w:rsidRPr="009E253B">
        <w:rPr>
          <w:rFonts w:eastAsia="Calibri"/>
        </w:rPr>
        <w:t xml:space="preserve">Esto pues, la determinación del </w:t>
      </w:r>
      <w:r w:rsidRPr="009E253B">
        <w:rPr>
          <w:rFonts w:eastAsia="Calibri"/>
          <w:i/>
          <w:iCs/>
        </w:rPr>
        <w:t>Órgano de Justicia</w:t>
      </w:r>
      <w:r w:rsidRPr="009E253B">
        <w:rPr>
          <w:rFonts w:eastAsia="Calibri"/>
        </w:rPr>
        <w:t xml:space="preserve"> fue en el sentido de no solicitar ninguna modificación al </w:t>
      </w:r>
      <w:r w:rsidRPr="00D46831">
        <w:rPr>
          <w:rFonts w:eastAsia="Calibri"/>
          <w:i/>
          <w:iCs/>
        </w:rPr>
        <w:t xml:space="preserve">Instituto </w:t>
      </w:r>
      <w:r w:rsidR="00D46831" w:rsidRPr="00D46831">
        <w:rPr>
          <w:rFonts w:eastAsia="Calibri"/>
          <w:i/>
          <w:iCs/>
        </w:rPr>
        <w:t>local</w:t>
      </w:r>
      <w:r w:rsidRPr="009E253B">
        <w:rPr>
          <w:rFonts w:eastAsia="Calibri"/>
        </w:rPr>
        <w:t xml:space="preserve">, porque dentro de sus razonamientos expresó que existe una falta de vinculación de ese órgano intrapartidario para poder ordenar al órgano público local electoral de Guanajuato, revoque </w:t>
      </w:r>
      <w:r w:rsidR="004C089F">
        <w:rPr>
          <w:rFonts w:eastAsia="Calibri"/>
        </w:rPr>
        <w:t xml:space="preserve">el acuerdo de registro para realizar una sustitución de candidatos, ya que eso correspondería al </w:t>
      </w:r>
      <w:r w:rsidR="004C089F" w:rsidRPr="004C089F">
        <w:rPr>
          <w:rFonts w:eastAsia="Calibri"/>
          <w:i/>
          <w:iCs/>
        </w:rPr>
        <w:t>Tribunal local</w:t>
      </w:r>
      <w:r w:rsidR="004C089F">
        <w:rPr>
          <w:rFonts w:eastAsia="Calibri"/>
        </w:rPr>
        <w:t xml:space="preserve"> en razón a que la justicia intr</w:t>
      </w:r>
      <w:r w:rsidR="00D46831">
        <w:rPr>
          <w:rFonts w:eastAsia="Calibri"/>
        </w:rPr>
        <w:t>a</w:t>
      </w:r>
      <w:r w:rsidR="004C089F">
        <w:rPr>
          <w:rFonts w:eastAsia="Calibri"/>
        </w:rPr>
        <w:t xml:space="preserve">partidista se encuentra circunscrita a los miembros y órganos del propio partido, </w:t>
      </w:r>
      <w:r w:rsidRPr="009E253B">
        <w:rPr>
          <w:rFonts w:eastAsia="Calibri"/>
        </w:rPr>
        <w:t>por lo que si estaban inconformes con tal decisión podían impugnar la misma en términos previstos de la ley.</w:t>
      </w:r>
    </w:p>
    <w:p w14:paraId="7FA1D379" w14:textId="0A320930" w:rsidR="00AD5A52" w:rsidRPr="00B24593" w:rsidRDefault="00AD5A52" w:rsidP="00AD5A52">
      <w:r>
        <w:t>Por instrucción de esta Sala Regional</w:t>
      </w:r>
      <w:r>
        <w:rPr>
          <w:rStyle w:val="Refdenotaalpie"/>
        </w:rPr>
        <w:footnoteReference w:id="2"/>
      </w:r>
      <w:r>
        <w:t xml:space="preserve">, se ordenó </w:t>
      </w:r>
      <w:r w:rsidRPr="00B24593">
        <w:rPr>
          <w:rFonts w:eastAsiaTheme="minorEastAsia"/>
          <w:bCs/>
          <w:szCs w:val="24"/>
          <w:lang w:eastAsia="es-MX"/>
        </w:rPr>
        <w:t xml:space="preserve">al </w:t>
      </w:r>
      <w:r w:rsidRPr="00B24593">
        <w:rPr>
          <w:rFonts w:eastAsiaTheme="minorEastAsia"/>
          <w:bCs/>
          <w:i/>
          <w:iCs/>
          <w:szCs w:val="24"/>
          <w:lang w:eastAsia="es-MX"/>
        </w:rPr>
        <w:t>Tribunal Local</w:t>
      </w:r>
      <w:r w:rsidRPr="00B24593">
        <w:rPr>
          <w:rFonts w:eastAsiaTheme="minorEastAsia"/>
          <w:bCs/>
          <w:szCs w:val="24"/>
          <w:lang w:eastAsia="es-MX"/>
        </w:rPr>
        <w:t xml:space="preserve"> d</w:t>
      </w:r>
      <w:r>
        <w:rPr>
          <w:rFonts w:eastAsiaTheme="minorEastAsia"/>
          <w:bCs/>
          <w:szCs w:val="24"/>
          <w:lang w:eastAsia="es-MX"/>
        </w:rPr>
        <w:t>iera</w:t>
      </w:r>
      <w:r w:rsidRPr="00B24593">
        <w:rPr>
          <w:rFonts w:eastAsiaTheme="minorEastAsia"/>
          <w:bCs/>
          <w:szCs w:val="24"/>
          <w:lang w:eastAsia="es-MX"/>
        </w:rPr>
        <w:t xml:space="preserve"> trámite al escrito </w:t>
      </w:r>
      <w:r>
        <w:rPr>
          <w:rFonts w:eastAsiaTheme="minorEastAsia"/>
          <w:bCs/>
          <w:szCs w:val="24"/>
          <w:lang w:eastAsia="es-MX"/>
        </w:rPr>
        <w:t xml:space="preserve">que </w:t>
      </w:r>
      <w:r w:rsidRPr="00B24593">
        <w:t>María Guadalupe Nicasio Meza y José Luis Fonseca Meléndez</w:t>
      </w:r>
      <w:r w:rsidRPr="00B24593">
        <w:rPr>
          <w:rFonts w:eastAsiaTheme="minorEastAsia"/>
          <w:bCs/>
          <w:szCs w:val="24"/>
          <w:lang w:eastAsia="es-MX"/>
        </w:rPr>
        <w:t xml:space="preserve"> </w:t>
      </w:r>
      <w:r w:rsidRPr="00B24593">
        <w:t>presenta</w:t>
      </w:r>
      <w:r>
        <w:t>ron</w:t>
      </w:r>
      <w:r w:rsidRPr="00B24593">
        <w:t xml:space="preserve"> el </w:t>
      </w:r>
      <w:r w:rsidRPr="00B24593">
        <w:rPr>
          <w:rFonts w:eastAsiaTheme="minorEastAsia"/>
          <w:bCs/>
          <w:szCs w:val="24"/>
          <w:lang w:eastAsia="es-MX"/>
        </w:rPr>
        <w:t xml:space="preserve">siete de mayo, </w:t>
      </w:r>
      <w:r w:rsidRPr="006F52DA">
        <w:rPr>
          <w:rFonts w:eastAsiaTheme="minorEastAsia"/>
          <w:szCs w:val="24"/>
          <w:lang w:eastAsia="es-MX"/>
        </w:rPr>
        <w:t>como medio de impugnación</w:t>
      </w:r>
      <w:r w:rsidRPr="00B24593">
        <w:rPr>
          <w:rFonts w:eastAsiaTheme="minorEastAsia"/>
          <w:bCs/>
          <w:szCs w:val="24"/>
          <w:lang w:eastAsia="es-MX"/>
        </w:rPr>
        <w:t xml:space="preserve">, y </w:t>
      </w:r>
      <w:r>
        <w:rPr>
          <w:rFonts w:eastAsiaTheme="minorEastAsia"/>
          <w:bCs/>
          <w:szCs w:val="24"/>
          <w:lang w:eastAsia="es-MX"/>
        </w:rPr>
        <w:t xml:space="preserve">resolviera </w:t>
      </w:r>
      <w:r w:rsidRPr="00B24593">
        <w:rPr>
          <w:rFonts w:eastAsiaTheme="minorEastAsia"/>
          <w:bCs/>
          <w:szCs w:val="24"/>
          <w:lang w:eastAsia="es-MX"/>
        </w:rPr>
        <w:t>en el término de veinticuatro horas</w:t>
      </w:r>
      <w:r>
        <w:rPr>
          <w:rFonts w:eastAsiaTheme="minorEastAsia"/>
          <w:bCs/>
          <w:szCs w:val="24"/>
          <w:lang w:eastAsia="es-MX"/>
        </w:rPr>
        <w:t>.</w:t>
      </w:r>
    </w:p>
    <w:p w14:paraId="7DC70D76" w14:textId="77777777" w:rsidR="00D46831" w:rsidRDefault="00D46831" w:rsidP="002D29BD">
      <w:pPr>
        <w:rPr>
          <w:rFonts w:eastAsia="Calibri"/>
          <w:b/>
          <w:bCs/>
        </w:rPr>
      </w:pPr>
    </w:p>
    <w:p w14:paraId="0A345AAA" w14:textId="4FE776D8" w:rsidR="00A9722D" w:rsidRDefault="00A9722D" w:rsidP="002D29BD">
      <w:pPr>
        <w:rPr>
          <w:rFonts w:eastAsia="Calibri"/>
          <w:b/>
          <w:bCs/>
        </w:rPr>
      </w:pPr>
      <w:r>
        <w:rPr>
          <w:rFonts w:eastAsia="Calibri"/>
          <w:b/>
          <w:bCs/>
        </w:rPr>
        <w:lastRenderedPageBreak/>
        <w:t>Sentencia impugnada.</w:t>
      </w:r>
    </w:p>
    <w:p w14:paraId="06124452" w14:textId="187BB699" w:rsidR="00A9722D" w:rsidRDefault="00A9722D" w:rsidP="002D29BD">
      <w:pPr>
        <w:rPr>
          <w:rFonts w:eastAsia="Calibri"/>
        </w:rPr>
      </w:pPr>
      <w:r>
        <w:rPr>
          <w:rFonts w:eastAsia="Calibri"/>
        </w:rPr>
        <w:t xml:space="preserve">El </w:t>
      </w:r>
      <w:r w:rsidRPr="00A9722D">
        <w:rPr>
          <w:rFonts w:eastAsia="Calibri"/>
          <w:i/>
          <w:iCs/>
        </w:rPr>
        <w:t>Tribunal local</w:t>
      </w:r>
      <w:r>
        <w:rPr>
          <w:rFonts w:eastAsia="Calibri"/>
        </w:rPr>
        <w:t xml:space="preserve"> determinó revocar la resolución del </w:t>
      </w:r>
      <w:r w:rsidRPr="00D46831">
        <w:rPr>
          <w:rFonts w:eastAsia="Calibri"/>
          <w:i/>
          <w:iCs/>
        </w:rPr>
        <w:t>Órgano de justicia</w:t>
      </w:r>
      <w:r>
        <w:rPr>
          <w:rFonts w:eastAsia="Calibri"/>
        </w:rPr>
        <w:t xml:space="preserve"> al considerar que no se encontraba debidamente fundada y motivada.</w:t>
      </w:r>
    </w:p>
    <w:p w14:paraId="5D18D95B" w14:textId="7FF04E71" w:rsidR="00A9722D" w:rsidRPr="00A9722D" w:rsidRDefault="00A9722D" w:rsidP="002D29BD">
      <w:pPr>
        <w:rPr>
          <w:rFonts w:eastAsia="Calibri"/>
        </w:rPr>
      </w:pPr>
      <w:r>
        <w:rPr>
          <w:rFonts w:eastAsia="Calibri"/>
        </w:rPr>
        <w:t xml:space="preserve">Por lo anterior ordenó al Consejo Estatal Electivo, a la Dirección Estatal Ejecutiva y a la representación ante el Consejo General del </w:t>
      </w:r>
      <w:r w:rsidRPr="00D46831">
        <w:rPr>
          <w:rFonts w:eastAsia="Calibri"/>
          <w:i/>
          <w:iCs/>
        </w:rPr>
        <w:t xml:space="preserve">Instituto </w:t>
      </w:r>
      <w:r w:rsidR="00D46831" w:rsidRPr="00D46831">
        <w:rPr>
          <w:rFonts w:eastAsia="Calibri"/>
          <w:i/>
          <w:iCs/>
        </w:rPr>
        <w:t>local</w:t>
      </w:r>
      <w:r>
        <w:rPr>
          <w:rFonts w:eastAsia="Calibri"/>
        </w:rPr>
        <w:t xml:space="preserve"> todos del </w:t>
      </w:r>
      <w:r w:rsidRPr="00A9722D">
        <w:rPr>
          <w:rFonts w:eastAsia="Calibri"/>
          <w:i/>
          <w:iCs/>
        </w:rPr>
        <w:t>PRD</w:t>
      </w:r>
      <w:r>
        <w:rPr>
          <w:rFonts w:eastAsia="Calibri"/>
        </w:rPr>
        <w:t>, realizar</w:t>
      </w:r>
      <w:r w:rsidR="00D46831">
        <w:rPr>
          <w:rFonts w:eastAsia="Calibri"/>
        </w:rPr>
        <w:t xml:space="preserve">an </w:t>
      </w:r>
      <w:r>
        <w:rPr>
          <w:rFonts w:eastAsia="Calibri"/>
        </w:rPr>
        <w:t xml:space="preserve">las gestiones necesarias para </w:t>
      </w:r>
      <w:r w:rsidR="0016741D">
        <w:rPr>
          <w:rFonts w:eastAsia="Calibri"/>
        </w:rPr>
        <w:t>que previo análisis de procedencia, se realice la sustitución de las candidaturas a la primera y segunda regidurías a favor de</w:t>
      </w:r>
      <w:r w:rsidR="001759EA" w:rsidRPr="00B24593">
        <w:t xml:space="preserve"> José Luis Fonseca Meléndez </w:t>
      </w:r>
      <w:r w:rsidR="001759EA">
        <w:t xml:space="preserve">y </w:t>
      </w:r>
      <w:r w:rsidR="0016741D" w:rsidRPr="00B24593">
        <w:t>María Guadalupe Nicasio Meza</w:t>
      </w:r>
      <w:r w:rsidR="0016741D">
        <w:rPr>
          <w:rFonts w:eastAsia="Calibri"/>
        </w:rPr>
        <w:t>, vinculando para ello al Consejo General del referido instituto para que recibida la documentación en el plazo de veinticuatro horas emita el acuerdo correspondiente.</w:t>
      </w:r>
    </w:p>
    <w:p w14:paraId="5534F8FF" w14:textId="28C9DA33" w:rsidR="002D29BD" w:rsidRPr="00B24593" w:rsidRDefault="002D29BD" w:rsidP="002D29BD">
      <w:pPr>
        <w:rPr>
          <w:rFonts w:eastAsia="Calibri"/>
          <w:bCs/>
        </w:rPr>
      </w:pPr>
      <w:r w:rsidRPr="00B24593">
        <w:rPr>
          <w:rFonts w:eastAsia="Calibri"/>
          <w:b/>
          <w:bCs/>
        </w:rPr>
        <w:t>Pretensión y planteamiento.</w:t>
      </w:r>
      <w:r w:rsidRPr="00B24593">
        <w:rPr>
          <w:rFonts w:eastAsia="Calibri"/>
        </w:rPr>
        <w:t xml:space="preserve"> </w:t>
      </w:r>
      <w:r w:rsidRPr="00B24593">
        <w:rPr>
          <w:rFonts w:eastAsia="Calibri"/>
          <w:bCs/>
        </w:rPr>
        <w:t xml:space="preserve">Inconformes con lo resuelto </w:t>
      </w:r>
      <w:bookmarkStart w:id="10" w:name="_Hlk71977978"/>
      <w:bookmarkStart w:id="11" w:name="_Hlk60780010"/>
      <w:r w:rsidR="00A9722D">
        <w:t>José Antonio Rodríguez Ojeda y Paola de la Luz Aceves Flores</w:t>
      </w:r>
      <w:bookmarkEnd w:id="10"/>
      <w:r w:rsidRPr="00B24593">
        <w:rPr>
          <w:rFonts w:eastAsia="Calibri"/>
          <w:bCs/>
        </w:rPr>
        <w:t>, pretenden se revoque la resolución impugnada</w:t>
      </w:r>
      <w:bookmarkEnd w:id="11"/>
      <w:r w:rsidR="00D325B5">
        <w:rPr>
          <w:rFonts w:eastAsia="Calibri"/>
          <w:bCs/>
        </w:rPr>
        <w:t xml:space="preserve"> haciendo valer los siguientes motivos de disenso.</w:t>
      </w:r>
    </w:p>
    <w:p w14:paraId="6DF95907" w14:textId="77777777" w:rsidR="00D325B5" w:rsidRPr="00CC627B" w:rsidRDefault="00D325B5" w:rsidP="00CC627B">
      <w:pPr>
        <w:pStyle w:val="Prrafodelista"/>
        <w:numPr>
          <w:ilvl w:val="0"/>
          <w:numId w:val="27"/>
        </w:numPr>
        <w:spacing w:before="100" w:beforeAutospacing="1" w:after="100" w:afterAutospacing="1"/>
        <w:rPr>
          <w:szCs w:val="24"/>
        </w:rPr>
      </w:pPr>
      <w:bookmarkStart w:id="12" w:name="_Hlk73668090"/>
      <w:r w:rsidRPr="00CC627B">
        <w:rPr>
          <w:szCs w:val="24"/>
        </w:rPr>
        <w:t xml:space="preserve">Que en la resolución impugnada el </w:t>
      </w:r>
      <w:r w:rsidRPr="00CC627B">
        <w:rPr>
          <w:i/>
          <w:iCs/>
          <w:szCs w:val="24"/>
        </w:rPr>
        <w:t>Tribunal local</w:t>
      </w:r>
      <w:r w:rsidRPr="00CC627B">
        <w:rPr>
          <w:szCs w:val="24"/>
        </w:rPr>
        <w:t xml:space="preserve"> no revisó de forma adecuada la normatividad interna del partido, así como la legalidad del acuerdo 158/PRD/DNE/2021 de veintinueve de marzo por el cual la Dirección Nacional Ejecutiva del </w:t>
      </w:r>
      <w:r w:rsidRPr="00CC627B">
        <w:rPr>
          <w:i/>
          <w:iCs/>
          <w:szCs w:val="24"/>
        </w:rPr>
        <w:t>PRD</w:t>
      </w:r>
      <w:r w:rsidRPr="00CC627B">
        <w:rPr>
          <w:szCs w:val="24"/>
        </w:rPr>
        <w:t xml:space="preserve"> incluyó como candidatos a primer regidor propietario y segunda regidora propietaria a María Guadalupe Nicasio Meza y a José Luis Fonseca Meléndez.</w:t>
      </w:r>
    </w:p>
    <w:p w14:paraId="11D95097" w14:textId="2D92F3FE" w:rsidR="00D325B5" w:rsidRPr="00CC627B" w:rsidRDefault="00D325B5" w:rsidP="00CC627B">
      <w:pPr>
        <w:pStyle w:val="Prrafodelista"/>
        <w:numPr>
          <w:ilvl w:val="0"/>
          <w:numId w:val="27"/>
        </w:numPr>
        <w:spacing w:before="100" w:beforeAutospacing="1" w:after="100" w:afterAutospacing="1"/>
        <w:rPr>
          <w:szCs w:val="24"/>
        </w:rPr>
      </w:pPr>
      <w:r w:rsidRPr="00CC627B">
        <w:rPr>
          <w:szCs w:val="24"/>
        </w:rPr>
        <w:t xml:space="preserve">Que los actos de la Dirección Nacional Ejecutiva del </w:t>
      </w:r>
      <w:r w:rsidRPr="00CC627B">
        <w:rPr>
          <w:i/>
          <w:iCs/>
          <w:szCs w:val="24"/>
        </w:rPr>
        <w:t>PRD</w:t>
      </w:r>
      <w:r w:rsidRPr="00CC627B">
        <w:rPr>
          <w:szCs w:val="24"/>
        </w:rPr>
        <w:t xml:space="preserve"> en específico el acuerdo 158/PRD/DNE/2021 carece de legalidad ya que le corresponde a los Consejos Estatales y Municipales resolver sobre la elección de candidaturas.</w:t>
      </w:r>
    </w:p>
    <w:p w14:paraId="58F56BD3" w14:textId="4F5CF6AB" w:rsidR="00D325B5" w:rsidRPr="00CC627B" w:rsidRDefault="00D325B5" w:rsidP="00CC627B">
      <w:pPr>
        <w:pStyle w:val="Prrafodelista"/>
        <w:numPr>
          <w:ilvl w:val="0"/>
          <w:numId w:val="27"/>
        </w:numPr>
        <w:spacing w:before="100" w:beforeAutospacing="1" w:after="100" w:afterAutospacing="1"/>
        <w:rPr>
          <w:szCs w:val="24"/>
        </w:rPr>
      </w:pPr>
      <w:r w:rsidRPr="00CC627B">
        <w:rPr>
          <w:szCs w:val="24"/>
        </w:rPr>
        <w:t xml:space="preserve">Que debe prevalecer en </w:t>
      </w:r>
      <w:r w:rsidR="00D46831">
        <w:rPr>
          <w:szCs w:val="24"/>
        </w:rPr>
        <w:t>s</w:t>
      </w:r>
      <w:r w:rsidRPr="00CC627B">
        <w:rPr>
          <w:szCs w:val="24"/>
        </w:rPr>
        <w:t xml:space="preserve">us términos el acuerdo del Consejo General del </w:t>
      </w:r>
      <w:r w:rsidRPr="00D46831">
        <w:rPr>
          <w:i/>
          <w:iCs/>
          <w:szCs w:val="24"/>
        </w:rPr>
        <w:t xml:space="preserve">Instituto </w:t>
      </w:r>
      <w:r w:rsidR="00D46831" w:rsidRPr="00D46831">
        <w:rPr>
          <w:i/>
          <w:iCs/>
          <w:szCs w:val="24"/>
        </w:rPr>
        <w:t>local</w:t>
      </w:r>
      <w:r w:rsidRPr="00CC627B">
        <w:rPr>
          <w:szCs w:val="24"/>
        </w:rPr>
        <w:t xml:space="preserve"> mediante el cual se aprobaron los registros de las candidaturas postuladas por el </w:t>
      </w:r>
      <w:r w:rsidRPr="00CC627B">
        <w:rPr>
          <w:i/>
          <w:iCs/>
          <w:szCs w:val="24"/>
        </w:rPr>
        <w:t>PRD</w:t>
      </w:r>
      <w:r w:rsidRPr="00CC627B">
        <w:rPr>
          <w:szCs w:val="24"/>
        </w:rPr>
        <w:t xml:space="preserve"> a los ayuntamientos de dicha entidad.</w:t>
      </w:r>
    </w:p>
    <w:p w14:paraId="5A36559E" w14:textId="4215FEA6" w:rsidR="00D325B5" w:rsidRPr="00CC627B" w:rsidRDefault="00D325B5" w:rsidP="00CC627B">
      <w:pPr>
        <w:pStyle w:val="Prrafodelista"/>
        <w:numPr>
          <w:ilvl w:val="0"/>
          <w:numId w:val="27"/>
        </w:numPr>
        <w:spacing w:before="100" w:beforeAutospacing="1" w:after="100" w:afterAutospacing="1"/>
        <w:rPr>
          <w:szCs w:val="24"/>
        </w:rPr>
      </w:pPr>
      <w:r w:rsidRPr="00CC627B">
        <w:rPr>
          <w:szCs w:val="24"/>
        </w:rPr>
        <w:t>Que no se consideró en la resolución impugnada el escrito de tercero interesado.</w:t>
      </w:r>
    </w:p>
    <w:bookmarkEnd w:id="12"/>
    <w:p w14:paraId="197B905A" w14:textId="77777777" w:rsidR="002D29BD" w:rsidRPr="00B24593" w:rsidRDefault="002D29BD" w:rsidP="002D29BD">
      <w:pPr>
        <w:spacing w:before="100" w:beforeAutospacing="1" w:after="100" w:afterAutospacing="1"/>
        <w:rPr>
          <w:szCs w:val="24"/>
        </w:rPr>
      </w:pPr>
      <w:r w:rsidRPr="00B24593">
        <w:rPr>
          <w:b/>
          <w:szCs w:val="24"/>
        </w:rPr>
        <w:t>Cuestión a resolver.</w:t>
      </w:r>
      <w:r w:rsidRPr="00B24593">
        <w:rPr>
          <w:szCs w:val="24"/>
        </w:rPr>
        <w:t xml:space="preserve"> Con base en lo anterior, en la presente sentencia se analizará </w:t>
      </w:r>
      <w:bookmarkStart w:id="13" w:name="_Hlk71983963"/>
      <w:r w:rsidRPr="00B24593">
        <w:rPr>
          <w:szCs w:val="24"/>
        </w:rPr>
        <w:t xml:space="preserve">si es correcta o no la determinación del </w:t>
      </w:r>
      <w:r w:rsidRPr="00B24593">
        <w:rPr>
          <w:i/>
          <w:iCs/>
          <w:szCs w:val="24"/>
        </w:rPr>
        <w:t>Tribunal Local</w:t>
      </w:r>
      <w:r w:rsidRPr="00B24593">
        <w:rPr>
          <w:szCs w:val="24"/>
        </w:rPr>
        <w:t>.</w:t>
      </w:r>
    </w:p>
    <w:bookmarkEnd w:id="13"/>
    <w:p w14:paraId="42329728" w14:textId="1569752E" w:rsidR="004E4EAE" w:rsidRDefault="002D29BD" w:rsidP="004D342C">
      <w:pPr>
        <w:tabs>
          <w:tab w:val="left" w:pos="1275"/>
        </w:tabs>
        <w:rPr>
          <w:b/>
          <w:bCs/>
        </w:rPr>
      </w:pPr>
      <w:r>
        <w:rPr>
          <w:b/>
          <w:bCs/>
        </w:rPr>
        <w:t>5.2 Decisión</w:t>
      </w:r>
    </w:p>
    <w:p w14:paraId="07DF5C7F" w14:textId="307E85FE" w:rsidR="002D29BD" w:rsidRPr="00B24593" w:rsidRDefault="002D29BD" w:rsidP="002D29BD">
      <w:pPr>
        <w:rPr>
          <w:rFonts w:eastAsia="Times New Roman"/>
          <w:szCs w:val="24"/>
        </w:rPr>
      </w:pPr>
      <w:r w:rsidRPr="00B24593">
        <w:rPr>
          <w:rFonts w:eastAsia="Times New Roman"/>
          <w:szCs w:val="24"/>
        </w:rPr>
        <w:t xml:space="preserve">Esta Sala Regional estima que debe </w:t>
      </w:r>
      <w:r w:rsidR="00BB79A0">
        <w:rPr>
          <w:rFonts w:eastAsia="Times New Roman"/>
          <w:b/>
          <w:bCs/>
          <w:szCs w:val="24"/>
        </w:rPr>
        <w:t>confirmarse</w:t>
      </w:r>
      <w:r w:rsidR="00BB79A0" w:rsidRPr="00BB79A0">
        <w:rPr>
          <w:rFonts w:eastAsia="Times New Roman"/>
          <w:szCs w:val="24"/>
        </w:rPr>
        <w:t xml:space="preserve"> la</w:t>
      </w:r>
      <w:r w:rsidR="00BB79A0">
        <w:rPr>
          <w:rFonts w:eastAsia="Times New Roman"/>
          <w:szCs w:val="24"/>
        </w:rPr>
        <w:t xml:space="preserve"> resolución impugnada</w:t>
      </w:r>
      <w:r w:rsidRPr="00B24593">
        <w:rPr>
          <w:rFonts w:eastAsia="Times New Roman"/>
          <w:szCs w:val="24"/>
        </w:rPr>
        <w:t xml:space="preserve">, </w:t>
      </w:r>
      <w:bookmarkStart w:id="14" w:name="_Hlk73673770"/>
      <w:r w:rsidRPr="00B24593">
        <w:rPr>
          <w:rFonts w:eastAsia="Times New Roman"/>
          <w:szCs w:val="24"/>
        </w:rPr>
        <w:t xml:space="preserve">en atención a que </w:t>
      </w:r>
      <w:r w:rsidR="00BB79A0">
        <w:rPr>
          <w:rFonts w:eastAsia="Times New Roman"/>
          <w:szCs w:val="24"/>
        </w:rPr>
        <w:t xml:space="preserve">el propio </w:t>
      </w:r>
      <w:r w:rsidR="00D46831" w:rsidRPr="00D46831">
        <w:rPr>
          <w:rFonts w:eastAsia="Times New Roman"/>
          <w:i/>
          <w:iCs/>
          <w:szCs w:val="24"/>
        </w:rPr>
        <w:t>Órgano</w:t>
      </w:r>
      <w:r w:rsidR="00D46831">
        <w:rPr>
          <w:rFonts w:eastAsia="Times New Roman"/>
          <w:szCs w:val="24"/>
        </w:rPr>
        <w:t xml:space="preserve"> </w:t>
      </w:r>
      <w:r w:rsidR="00BB79A0" w:rsidRPr="00D46831">
        <w:rPr>
          <w:rFonts w:eastAsia="Times New Roman"/>
          <w:i/>
          <w:iCs/>
          <w:szCs w:val="24"/>
        </w:rPr>
        <w:t>de justicia</w:t>
      </w:r>
      <w:r w:rsidR="00BB79A0">
        <w:rPr>
          <w:rFonts w:eastAsia="Times New Roman"/>
          <w:szCs w:val="24"/>
        </w:rPr>
        <w:t xml:space="preserve"> reconoce el error que se cometió </w:t>
      </w:r>
      <w:r w:rsidR="00BB79A0">
        <w:rPr>
          <w:rFonts w:eastAsia="Times New Roman"/>
          <w:szCs w:val="24"/>
        </w:rPr>
        <w:lastRenderedPageBreak/>
        <w:t>por el partido al solicitar el registro de la planilla de candidatos al ayuntamiento de León</w:t>
      </w:r>
      <w:r w:rsidR="00D46831">
        <w:rPr>
          <w:rFonts w:eastAsia="Times New Roman"/>
          <w:szCs w:val="24"/>
        </w:rPr>
        <w:t>,</w:t>
      </w:r>
      <w:r w:rsidR="00BB79A0">
        <w:rPr>
          <w:rFonts w:eastAsia="Times New Roman"/>
          <w:szCs w:val="24"/>
        </w:rPr>
        <w:t xml:space="preserve"> Guanajuato, por el </w:t>
      </w:r>
      <w:r w:rsidR="00BB79A0" w:rsidRPr="00BB79A0">
        <w:rPr>
          <w:rFonts w:eastAsia="Times New Roman"/>
          <w:i/>
          <w:iCs/>
          <w:szCs w:val="24"/>
        </w:rPr>
        <w:t>PRD</w:t>
      </w:r>
      <w:bookmarkEnd w:id="14"/>
      <w:r w:rsidR="00BB79A0">
        <w:rPr>
          <w:rFonts w:eastAsia="Times New Roman"/>
          <w:szCs w:val="24"/>
        </w:rPr>
        <w:t xml:space="preserve">; </w:t>
      </w:r>
      <w:r w:rsidR="0036306C">
        <w:rPr>
          <w:rFonts w:eastAsia="Times New Roman"/>
          <w:szCs w:val="24"/>
        </w:rPr>
        <w:t xml:space="preserve">aunado a que </w:t>
      </w:r>
      <w:r w:rsidR="00BB79A0">
        <w:rPr>
          <w:rFonts w:eastAsia="Times New Roman"/>
          <w:szCs w:val="24"/>
        </w:rPr>
        <w:t xml:space="preserve">los argumentos de los promoventes son ineficaces para controvertir las consideraciones del </w:t>
      </w:r>
      <w:r w:rsidR="00BB79A0" w:rsidRPr="00BB79A0">
        <w:rPr>
          <w:rFonts w:eastAsia="Times New Roman"/>
          <w:i/>
          <w:iCs/>
          <w:szCs w:val="24"/>
        </w:rPr>
        <w:t>Tribunal local</w:t>
      </w:r>
      <w:r w:rsidRPr="00B24593">
        <w:rPr>
          <w:rFonts w:eastAsia="Times New Roman"/>
          <w:szCs w:val="24"/>
        </w:rPr>
        <w:t>.</w:t>
      </w:r>
    </w:p>
    <w:p w14:paraId="1EEC28BD" w14:textId="72C7D8F2" w:rsidR="002D29BD" w:rsidRPr="00B24593" w:rsidRDefault="002D29BD" w:rsidP="002D29BD">
      <w:pPr>
        <w:rPr>
          <w:rFonts w:eastAsia="Times New Roman"/>
          <w:szCs w:val="24"/>
        </w:rPr>
      </w:pPr>
      <w:r>
        <w:rPr>
          <w:rFonts w:eastAsia="Times New Roman"/>
          <w:b/>
          <w:bCs/>
          <w:szCs w:val="24"/>
        </w:rPr>
        <w:t>5</w:t>
      </w:r>
      <w:r w:rsidRPr="00B24593">
        <w:rPr>
          <w:rFonts w:eastAsia="Times New Roman"/>
          <w:b/>
          <w:bCs/>
          <w:szCs w:val="24"/>
        </w:rPr>
        <w:t>.3.</w:t>
      </w:r>
      <w:r w:rsidRPr="00B24593">
        <w:rPr>
          <w:rFonts w:eastAsia="Times New Roman"/>
          <w:szCs w:val="24"/>
        </w:rPr>
        <w:t xml:space="preserve"> </w:t>
      </w:r>
      <w:r w:rsidRPr="00B24593">
        <w:rPr>
          <w:b/>
          <w:szCs w:val="24"/>
        </w:rPr>
        <w:t>Justificación de la decisión</w:t>
      </w:r>
    </w:p>
    <w:p w14:paraId="64E3A1C4" w14:textId="1CF40222" w:rsidR="002D29BD" w:rsidRPr="00B24593" w:rsidRDefault="002D29BD" w:rsidP="002D29BD">
      <w:pPr>
        <w:rPr>
          <w:rFonts w:eastAsia="Times New Roman"/>
          <w:b/>
          <w:bCs/>
          <w:szCs w:val="24"/>
        </w:rPr>
      </w:pPr>
      <w:r>
        <w:rPr>
          <w:rFonts w:eastAsia="Times New Roman"/>
          <w:b/>
          <w:bCs/>
          <w:szCs w:val="24"/>
        </w:rPr>
        <w:t>5</w:t>
      </w:r>
      <w:r w:rsidRPr="00B24593">
        <w:rPr>
          <w:rFonts w:eastAsia="Times New Roman"/>
          <w:b/>
          <w:bCs/>
          <w:szCs w:val="24"/>
        </w:rPr>
        <w:t>.3.1. Caso concreto</w:t>
      </w:r>
    </w:p>
    <w:p w14:paraId="7984E437" w14:textId="293D983B" w:rsidR="00340332" w:rsidRDefault="00BB79A0" w:rsidP="004D342C">
      <w:pPr>
        <w:tabs>
          <w:tab w:val="left" w:pos="1275"/>
        </w:tabs>
        <w:rPr>
          <w:rFonts w:eastAsiaTheme="minorEastAsia"/>
          <w:bCs/>
          <w:szCs w:val="24"/>
          <w:lang w:eastAsia="es-MX"/>
        </w:rPr>
      </w:pPr>
      <w:r>
        <w:rPr>
          <w:rFonts w:eastAsiaTheme="minorEastAsia"/>
          <w:bCs/>
          <w:szCs w:val="24"/>
          <w:lang w:eastAsia="es-MX"/>
        </w:rPr>
        <w:t>En la sentencia impugnada</w:t>
      </w:r>
      <w:r w:rsidR="00BC043A">
        <w:rPr>
          <w:rFonts w:eastAsiaTheme="minorEastAsia"/>
          <w:bCs/>
          <w:szCs w:val="24"/>
          <w:lang w:eastAsia="es-MX"/>
        </w:rPr>
        <w:t>,</w:t>
      </w:r>
      <w:r>
        <w:rPr>
          <w:rFonts w:eastAsiaTheme="minorEastAsia"/>
          <w:bCs/>
          <w:szCs w:val="24"/>
          <w:lang w:eastAsia="es-MX"/>
        </w:rPr>
        <w:t xml:space="preserve"> </w:t>
      </w:r>
      <w:r w:rsidR="00947EE2">
        <w:rPr>
          <w:rFonts w:eastAsiaTheme="minorEastAsia"/>
          <w:bCs/>
          <w:szCs w:val="24"/>
          <w:lang w:eastAsia="es-MX"/>
        </w:rPr>
        <w:t xml:space="preserve">el </w:t>
      </w:r>
      <w:r w:rsidR="00947EE2" w:rsidRPr="00947EE2">
        <w:rPr>
          <w:rFonts w:eastAsiaTheme="minorEastAsia"/>
          <w:bCs/>
          <w:i/>
          <w:iCs/>
          <w:szCs w:val="24"/>
          <w:lang w:eastAsia="es-MX"/>
        </w:rPr>
        <w:t>Tribunal local</w:t>
      </w:r>
      <w:r w:rsidR="00947EE2">
        <w:rPr>
          <w:rFonts w:eastAsiaTheme="minorEastAsia"/>
          <w:bCs/>
          <w:szCs w:val="24"/>
          <w:lang w:eastAsia="es-MX"/>
        </w:rPr>
        <w:t xml:space="preserve"> </w:t>
      </w:r>
      <w:r w:rsidR="00947EE2" w:rsidRPr="00947EE2">
        <w:rPr>
          <w:rFonts w:eastAsiaTheme="minorEastAsia"/>
          <w:bCs/>
          <w:szCs w:val="24"/>
          <w:lang w:eastAsia="es-MX"/>
        </w:rPr>
        <w:t>señaló como agravio de los promoventes</w:t>
      </w:r>
      <w:r w:rsidR="00BC043A">
        <w:rPr>
          <w:rFonts w:eastAsiaTheme="minorEastAsia"/>
          <w:bCs/>
          <w:szCs w:val="24"/>
          <w:lang w:eastAsia="es-MX"/>
        </w:rPr>
        <w:t>,</w:t>
      </w:r>
      <w:r w:rsidR="00947EE2" w:rsidRPr="00947EE2">
        <w:rPr>
          <w:rFonts w:eastAsiaTheme="minorEastAsia"/>
          <w:bCs/>
          <w:szCs w:val="24"/>
          <w:lang w:eastAsia="es-MX"/>
        </w:rPr>
        <w:t xml:space="preserve"> la falta de congruencia en la determinación asumida por el </w:t>
      </w:r>
      <w:r w:rsidR="00BC043A" w:rsidRPr="00BC043A">
        <w:rPr>
          <w:rFonts w:eastAsiaTheme="minorEastAsia"/>
          <w:bCs/>
          <w:i/>
          <w:iCs/>
          <w:szCs w:val="24"/>
          <w:lang w:eastAsia="es-MX"/>
        </w:rPr>
        <w:t xml:space="preserve">Órgano </w:t>
      </w:r>
      <w:r w:rsidR="00947EE2" w:rsidRPr="00BC043A">
        <w:rPr>
          <w:rFonts w:eastAsiaTheme="minorEastAsia"/>
          <w:bCs/>
          <w:i/>
          <w:iCs/>
          <w:szCs w:val="24"/>
          <w:lang w:eastAsia="es-MX"/>
        </w:rPr>
        <w:t>de Justicia</w:t>
      </w:r>
      <w:r w:rsidR="00BC043A">
        <w:rPr>
          <w:rFonts w:eastAsiaTheme="minorEastAsia"/>
          <w:bCs/>
          <w:i/>
          <w:iCs/>
          <w:szCs w:val="24"/>
          <w:lang w:eastAsia="es-MX"/>
        </w:rPr>
        <w:t>,</w:t>
      </w:r>
      <w:r w:rsidR="00947EE2" w:rsidRPr="00947EE2">
        <w:rPr>
          <w:rFonts w:eastAsiaTheme="minorEastAsia"/>
          <w:bCs/>
          <w:szCs w:val="24"/>
          <w:lang w:eastAsia="es-MX"/>
        </w:rPr>
        <w:t xml:space="preserve"> pues en un primer término declaró fundado sus agravios</w:t>
      </w:r>
      <w:r w:rsidR="00BC043A">
        <w:rPr>
          <w:rFonts w:eastAsiaTheme="minorEastAsia"/>
          <w:bCs/>
          <w:szCs w:val="24"/>
          <w:lang w:eastAsia="es-MX"/>
        </w:rPr>
        <w:t>,</w:t>
      </w:r>
      <w:r w:rsidR="00947EE2" w:rsidRPr="00947EE2">
        <w:rPr>
          <w:rFonts w:eastAsiaTheme="minorEastAsia"/>
          <w:bCs/>
          <w:szCs w:val="24"/>
          <w:lang w:eastAsia="es-MX"/>
        </w:rPr>
        <w:t xml:space="preserve"> es decir les concedía la razón pero </w:t>
      </w:r>
      <w:r w:rsidR="00BC043A">
        <w:rPr>
          <w:rFonts w:eastAsiaTheme="minorEastAsia"/>
          <w:bCs/>
          <w:szCs w:val="24"/>
          <w:lang w:eastAsia="es-MX"/>
        </w:rPr>
        <w:t>p</w:t>
      </w:r>
      <w:r w:rsidR="00947EE2" w:rsidRPr="00947EE2">
        <w:rPr>
          <w:rFonts w:eastAsiaTheme="minorEastAsia"/>
          <w:bCs/>
          <w:szCs w:val="24"/>
          <w:lang w:eastAsia="es-MX"/>
        </w:rPr>
        <w:t>or otro lado</w:t>
      </w:r>
      <w:r w:rsidR="00BC043A">
        <w:rPr>
          <w:rFonts w:eastAsiaTheme="minorEastAsia"/>
          <w:bCs/>
          <w:szCs w:val="24"/>
          <w:lang w:eastAsia="es-MX"/>
        </w:rPr>
        <w:t>,</w:t>
      </w:r>
      <w:r w:rsidR="00947EE2" w:rsidRPr="00947EE2">
        <w:rPr>
          <w:rFonts w:eastAsiaTheme="minorEastAsia"/>
          <w:bCs/>
          <w:szCs w:val="24"/>
          <w:lang w:eastAsia="es-MX"/>
        </w:rPr>
        <w:t xml:space="preserve"> determinó la inoperancia de los mismos argumentando que ya no podía solicitar su registro</w:t>
      </w:r>
      <w:r w:rsidR="00BC043A">
        <w:rPr>
          <w:rFonts w:eastAsiaTheme="minorEastAsia"/>
          <w:bCs/>
          <w:szCs w:val="24"/>
          <w:lang w:eastAsia="es-MX"/>
        </w:rPr>
        <w:t>,</w:t>
      </w:r>
      <w:r w:rsidR="00947EE2" w:rsidRPr="00947EE2">
        <w:rPr>
          <w:rFonts w:eastAsiaTheme="minorEastAsia"/>
          <w:bCs/>
          <w:szCs w:val="24"/>
          <w:lang w:eastAsia="es-MX"/>
        </w:rPr>
        <w:t xml:space="preserve"> señalando que en su caso le correspondía a ese </w:t>
      </w:r>
      <w:r w:rsidR="00947EE2" w:rsidRPr="00BC043A">
        <w:rPr>
          <w:rFonts w:eastAsiaTheme="minorEastAsia"/>
          <w:bCs/>
          <w:i/>
          <w:iCs/>
          <w:szCs w:val="24"/>
          <w:lang w:eastAsia="es-MX"/>
        </w:rPr>
        <w:t>Tribunal local</w:t>
      </w:r>
      <w:r w:rsidR="00947EE2" w:rsidRPr="00947EE2">
        <w:rPr>
          <w:rFonts w:eastAsiaTheme="minorEastAsia"/>
          <w:bCs/>
          <w:szCs w:val="24"/>
          <w:lang w:eastAsia="es-MX"/>
        </w:rPr>
        <w:t xml:space="preserve"> el revocar los acuerdos del Consejo General del </w:t>
      </w:r>
      <w:r w:rsidR="00947EE2" w:rsidRPr="0036306C">
        <w:rPr>
          <w:rFonts w:eastAsiaTheme="minorEastAsia"/>
          <w:bCs/>
          <w:i/>
          <w:iCs/>
          <w:szCs w:val="24"/>
          <w:lang w:eastAsia="es-MX"/>
        </w:rPr>
        <w:t xml:space="preserve">Instituto </w:t>
      </w:r>
      <w:r w:rsidR="0036306C" w:rsidRPr="0036306C">
        <w:rPr>
          <w:rFonts w:eastAsiaTheme="minorEastAsia"/>
          <w:bCs/>
          <w:i/>
          <w:iCs/>
          <w:szCs w:val="24"/>
          <w:lang w:eastAsia="es-MX"/>
        </w:rPr>
        <w:t>local</w:t>
      </w:r>
      <w:r w:rsidR="00947EE2">
        <w:rPr>
          <w:rFonts w:eastAsiaTheme="minorEastAsia"/>
          <w:bCs/>
          <w:szCs w:val="24"/>
          <w:lang w:eastAsia="es-MX"/>
        </w:rPr>
        <w:t>.</w:t>
      </w:r>
    </w:p>
    <w:p w14:paraId="4483D6E1" w14:textId="6DD8FE66" w:rsidR="00947EE2" w:rsidRDefault="00947EE2" w:rsidP="004D342C">
      <w:pPr>
        <w:tabs>
          <w:tab w:val="left" w:pos="1275"/>
        </w:tabs>
        <w:rPr>
          <w:rFonts w:eastAsiaTheme="minorEastAsia"/>
          <w:bCs/>
          <w:szCs w:val="24"/>
          <w:lang w:eastAsia="es-MX"/>
        </w:rPr>
      </w:pPr>
      <w:r w:rsidRPr="00947EE2">
        <w:rPr>
          <w:rFonts w:eastAsiaTheme="minorEastAsia"/>
          <w:bCs/>
          <w:szCs w:val="24"/>
          <w:lang w:eastAsia="es-MX"/>
        </w:rPr>
        <w:t xml:space="preserve">Estimó fundado el agravio señalando una indebida fundamentación y falta de congruencia en la determinación asumida por el </w:t>
      </w:r>
      <w:r w:rsidR="00D41806" w:rsidRPr="00D41806">
        <w:rPr>
          <w:rFonts w:eastAsiaTheme="minorEastAsia"/>
          <w:bCs/>
          <w:i/>
          <w:iCs/>
          <w:szCs w:val="24"/>
          <w:lang w:eastAsia="es-MX"/>
        </w:rPr>
        <w:t xml:space="preserve">Órgano </w:t>
      </w:r>
      <w:r w:rsidRPr="00D41806">
        <w:rPr>
          <w:rFonts w:eastAsiaTheme="minorEastAsia"/>
          <w:bCs/>
          <w:i/>
          <w:iCs/>
          <w:szCs w:val="24"/>
          <w:lang w:eastAsia="es-MX"/>
        </w:rPr>
        <w:t>de Justicia</w:t>
      </w:r>
      <w:r w:rsidR="00D41806">
        <w:rPr>
          <w:rFonts w:eastAsiaTheme="minorEastAsia"/>
          <w:bCs/>
          <w:szCs w:val="24"/>
          <w:lang w:eastAsia="es-MX"/>
        </w:rPr>
        <w:t>,</w:t>
      </w:r>
      <w:r w:rsidRPr="00947EE2">
        <w:rPr>
          <w:rFonts w:eastAsiaTheme="minorEastAsia"/>
          <w:bCs/>
          <w:szCs w:val="24"/>
          <w:lang w:eastAsia="es-MX"/>
        </w:rPr>
        <w:t xml:space="preserve"> ello pues en esencia consider</w:t>
      </w:r>
      <w:r w:rsidR="00D41806">
        <w:rPr>
          <w:rFonts w:eastAsiaTheme="minorEastAsia"/>
          <w:bCs/>
          <w:szCs w:val="24"/>
          <w:lang w:eastAsia="es-MX"/>
        </w:rPr>
        <w:t>ó</w:t>
      </w:r>
      <w:r w:rsidRPr="00947EE2">
        <w:rPr>
          <w:rFonts w:eastAsiaTheme="minorEastAsia"/>
          <w:bCs/>
          <w:szCs w:val="24"/>
          <w:lang w:eastAsia="es-MX"/>
        </w:rPr>
        <w:t xml:space="preserve"> que </w:t>
      </w:r>
      <w:r w:rsidR="00313253" w:rsidRPr="00313253">
        <w:rPr>
          <w:rFonts w:eastAsiaTheme="minorEastAsia"/>
          <w:bCs/>
          <w:szCs w:val="24"/>
          <w:lang w:eastAsia="es-MX"/>
        </w:rPr>
        <w:t xml:space="preserve">en una primera conclusión el </w:t>
      </w:r>
      <w:r w:rsidR="00D41806" w:rsidRPr="00D41806">
        <w:rPr>
          <w:rFonts w:eastAsiaTheme="minorEastAsia"/>
          <w:bCs/>
          <w:i/>
          <w:iCs/>
          <w:szCs w:val="24"/>
          <w:lang w:eastAsia="es-MX"/>
        </w:rPr>
        <w:t>Órgano</w:t>
      </w:r>
      <w:r w:rsidR="00D41806" w:rsidRPr="00313253">
        <w:rPr>
          <w:rFonts w:eastAsiaTheme="minorEastAsia"/>
          <w:bCs/>
          <w:szCs w:val="24"/>
          <w:lang w:eastAsia="es-MX"/>
        </w:rPr>
        <w:t xml:space="preserve"> </w:t>
      </w:r>
      <w:r w:rsidR="00313253" w:rsidRPr="00D41806">
        <w:rPr>
          <w:rFonts w:eastAsiaTheme="minorEastAsia"/>
          <w:bCs/>
          <w:i/>
          <w:iCs/>
          <w:szCs w:val="24"/>
          <w:lang w:eastAsia="es-MX"/>
        </w:rPr>
        <w:t>de</w:t>
      </w:r>
      <w:r w:rsidR="00313253" w:rsidRPr="00313253">
        <w:rPr>
          <w:rFonts w:eastAsiaTheme="minorEastAsia"/>
          <w:bCs/>
          <w:szCs w:val="24"/>
          <w:lang w:eastAsia="es-MX"/>
        </w:rPr>
        <w:t xml:space="preserve"> </w:t>
      </w:r>
      <w:r w:rsidR="00313253" w:rsidRPr="00D41806">
        <w:rPr>
          <w:rFonts w:eastAsiaTheme="minorEastAsia"/>
          <w:bCs/>
          <w:i/>
          <w:iCs/>
          <w:szCs w:val="24"/>
          <w:lang w:eastAsia="es-MX"/>
        </w:rPr>
        <w:t>Justicia</w:t>
      </w:r>
      <w:r w:rsidR="00313253" w:rsidRPr="00313253">
        <w:rPr>
          <w:rFonts w:eastAsiaTheme="minorEastAsia"/>
          <w:bCs/>
          <w:szCs w:val="24"/>
          <w:lang w:eastAsia="es-MX"/>
        </w:rPr>
        <w:t xml:space="preserve"> concede la razón a los promoventes y posteriormente les dice que es improcedente lo solicitado basándose en premisas que el </w:t>
      </w:r>
      <w:r w:rsidR="00313253" w:rsidRPr="00D41806">
        <w:rPr>
          <w:rFonts w:eastAsiaTheme="minorEastAsia"/>
          <w:bCs/>
          <w:i/>
          <w:iCs/>
          <w:szCs w:val="24"/>
          <w:lang w:eastAsia="es-MX"/>
        </w:rPr>
        <w:t xml:space="preserve">Tribunal </w:t>
      </w:r>
      <w:r w:rsidR="00D41806" w:rsidRPr="00D41806">
        <w:rPr>
          <w:rFonts w:eastAsiaTheme="minorEastAsia"/>
          <w:bCs/>
          <w:i/>
          <w:iCs/>
          <w:szCs w:val="24"/>
          <w:lang w:eastAsia="es-MX"/>
        </w:rPr>
        <w:t>local</w:t>
      </w:r>
      <w:r w:rsidR="00D41806">
        <w:rPr>
          <w:rFonts w:eastAsiaTheme="minorEastAsia"/>
          <w:bCs/>
          <w:szCs w:val="24"/>
          <w:lang w:eastAsia="es-MX"/>
        </w:rPr>
        <w:t xml:space="preserve"> </w:t>
      </w:r>
      <w:r w:rsidR="00313253" w:rsidRPr="00313253">
        <w:rPr>
          <w:rFonts w:eastAsiaTheme="minorEastAsia"/>
          <w:bCs/>
          <w:szCs w:val="24"/>
          <w:lang w:eastAsia="es-MX"/>
        </w:rPr>
        <w:t>consideró equivocadas</w:t>
      </w:r>
      <w:r w:rsidR="00313253">
        <w:rPr>
          <w:rFonts w:eastAsiaTheme="minorEastAsia"/>
          <w:bCs/>
          <w:szCs w:val="24"/>
          <w:lang w:eastAsia="es-MX"/>
        </w:rPr>
        <w:t>.</w:t>
      </w:r>
    </w:p>
    <w:p w14:paraId="77AA3176" w14:textId="6735FF29" w:rsidR="00313253" w:rsidRDefault="00313253" w:rsidP="004D342C">
      <w:pPr>
        <w:tabs>
          <w:tab w:val="left" w:pos="1275"/>
        </w:tabs>
        <w:rPr>
          <w:rFonts w:eastAsiaTheme="minorEastAsia"/>
          <w:bCs/>
          <w:szCs w:val="24"/>
          <w:lang w:eastAsia="es-MX"/>
        </w:rPr>
      </w:pPr>
      <w:r w:rsidRPr="00313253">
        <w:rPr>
          <w:rFonts w:eastAsiaTheme="minorEastAsia"/>
          <w:bCs/>
          <w:szCs w:val="24"/>
          <w:lang w:eastAsia="es-MX"/>
        </w:rPr>
        <w:t>Consideró que controvertir un acto o resolución intr</w:t>
      </w:r>
      <w:r w:rsidR="00D41806">
        <w:rPr>
          <w:rFonts w:eastAsiaTheme="minorEastAsia"/>
          <w:bCs/>
          <w:szCs w:val="24"/>
          <w:lang w:eastAsia="es-MX"/>
        </w:rPr>
        <w:t>a</w:t>
      </w:r>
      <w:r w:rsidRPr="00313253">
        <w:rPr>
          <w:rFonts w:eastAsiaTheme="minorEastAsia"/>
          <w:bCs/>
          <w:szCs w:val="24"/>
          <w:lang w:eastAsia="es-MX"/>
        </w:rPr>
        <w:t>partidista a través de los medios de defensa previstos en los estatutos</w:t>
      </w:r>
      <w:r w:rsidR="00D41806">
        <w:rPr>
          <w:rFonts w:eastAsiaTheme="minorEastAsia"/>
          <w:bCs/>
          <w:szCs w:val="24"/>
          <w:lang w:eastAsia="es-MX"/>
        </w:rPr>
        <w:t>,</w:t>
      </w:r>
      <w:r w:rsidRPr="00313253">
        <w:rPr>
          <w:rFonts w:eastAsiaTheme="minorEastAsia"/>
          <w:bCs/>
          <w:szCs w:val="24"/>
          <w:lang w:eastAsia="es-MX"/>
        </w:rPr>
        <w:t xml:space="preserve"> provoca que ese acto o resolución queden </w:t>
      </w:r>
      <w:r w:rsidRPr="00D41806">
        <w:rPr>
          <w:rFonts w:eastAsiaTheme="minorEastAsia"/>
          <w:bCs/>
          <w:i/>
          <w:iCs/>
          <w:szCs w:val="24"/>
          <w:lang w:eastAsia="es-MX"/>
        </w:rPr>
        <w:t>su</w:t>
      </w:r>
      <w:r w:rsidR="00D41806" w:rsidRPr="00D41806">
        <w:rPr>
          <w:rFonts w:eastAsiaTheme="minorEastAsia"/>
          <w:bCs/>
          <w:i/>
          <w:iCs/>
          <w:szCs w:val="24"/>
          <w:lang w:eastAsia="es-MX"/>
        </w:rPr>
        <w:t>b</w:t>
      </w:r>
      <w:r w:rsidRPr="00D41806">
        <w:rPr>
          <w:rFonts w:eastAsiaTheme="minorEastAsia"/>
          <w:bCs/>
          <w:i/>
          <w:iCs/>
          <w:szCs w:val="24"/>
          <w:lang w:eastAsia="es-MX"/>
        </w:rPr>
        <w:t xml:space="preserve"> judice</w:t>
      </w:r>
      <w:r w:rsidRPr="00313253">
        <w:rPr>
          <w:rFonts w:eastAsiaTheme="minorEastAsia"/>
          <w:bCs/>
          <w:szCs w:val="24"/>
          <w:lang w:eastAsia="es-MX"/>
        </w:rPr>
        <w:t xml:space="preserve"> y sus efectos se extiendan a los actos realizados por la autoridad administrativa electoral sobre la base de aquellos</w:t>
      </w:r>
      <w:r w:rsidR="00D41806">
        <w:rPr>
          <w:rFonts w:eastAsiaTheme="minorEastAsia"/>
          <w:bCs/>
          <w:szCs w:val="24"/>
          <w:lang w:eastAsia="es-MX"/>
        </w:rPr>
        <w:t>.</w:t>
      </w:r>
    </w:p>
    <w:p w14:paraId="7D5190C8" w14:textId="3FB2B9DD" w:rsidR="00BC043A" w:rsidRDefault="00B567C2" w:rsidP="004D342C">
      <w:pPr>
        <w:tabs>
          <w:tab w:val="left" w:pos="1275"/>
        </w:tabs>
        <w:rPr>
          <w:rFonts w:eastAsiaTheme="minorEastAsia"/>
          <w:bCs/>
          <w:szCs w:val="24"/>
          <w:lang w:eastAsia="es-MX"/>
        </w:rPr>
      </w:pPr>
      <w:r w:rsidRPr="00B567C2">
        <w:rPr>
          <w:rFonts w:eastAsiaTheme="minorEastAsia"/>
          <w:bCs/>
          <w:szCs w:val="24"/>
          <w:lang w:eastAsia="es-MX"/>
        </w:rPr>
        <w:t>Por lo que a</w:t>
      </w:r>
      <w:r w:rsidR="00D41806">
        <w:rPr>
          <w:rFonts w:eastAsiaTheme="minorEastAsia"/>
          <w:bCs/>
          <w:szCs w:val="24"/>
          <w:lang w:eastAsia="es-MX"/>
        </w:rPr>
        <w:t>ú</w:t>
      </w:r>
      <w:r w:rsidRPr="00B567C2">
        <w:rPr>
          <w:rFonts w:eastAsiaTheme="minorEastAsia"/>
          <w:bCs/>
          <w:szCs w:val="24"/>
          <w:lang w:eastAsia="es-MX"/>
        </w:rPr>
        <w:t xml:space="preserve">n y cuando la ley electoral </w:t>
      </w:r>
      <w:r w:rsidR="00D41806">
        <w:rPr>
          <w:rFonts w:eastAsiaTheme="minorEastAsia"/>
          <w:bCs/>
          <w:szCs w:val="24"/>
          <w:lang w:eastAsia="es-MX"/>
        </w:rPr>
        <w:t xml:space="preserve">local </w:t>
      </w:r>
      <w:r w:rsidRPr="00B567C2">
        <w:rPr>
          <w:rFonts w:eastAsiaTheme="minorEastAsia"/>
          <w:bCs/>
          <w:szCs w:val="24"/>
          <w:lang w:eastAsia="es-MX"/>
        </w:rPr>
        <w:t>establece una serie de restricciones para presentar las sustituciones de registro de candidaturas</w:t>
      </w:r>
      <w:r>
        <w:rPr>
          <w:rFonts w:eastAsiaTheme="minorEastAsia"/>
          <w:bCs/>
          <w:szCs w:val="24"/>
          <w:lang w:eastAsia="es-MX"/>
        </w:rPr>
        <w:t>,</w:t>
      </w:r>
      <w:r w:rsidRPr="00B567C2">
        <w:rPr>
          <w:rFonts w:eastAsiaTheme="minorEastAsia"/>
          <w:bCs/>
          <w:szCs w:val="24"/>
          <w:lang w:eastAsia="es-MX"/>
        </w:rPr>
        <w:t xml:space="preserve"> en su resolución debió considerar ordenar que se realizar</w:t>
      </w:r>
      <w:r w:rsidR="00D41806">
        <w:rPr>
          <w:rFonts w:eastAsiaTheme="minorEastAsia"/>
          <w:bCs/>
          <w:szCs w:val="24"/>
          <w:lang w:eastAsia="es-MX"/>
        </w:rPr>
        <w:t>a</w:t>
      </w:r>
      <w:r w:rsidRPr="00B567C2">
        <w:rPr>
          <w:rFonts w:eastAsiaTheme="minorEastAsia"/>
          <w:bCs/>
          <w:szCs w:val="24"/>
          <w:lang w:eastAsia="es-MX"/>
        </w:rPr>
        <w:t xml:space="preserve"> la sustitución del registro ante el Instituto</w:t>
      </w:r>
      <w:r w:rsidR="00D41806">
        <w:rPr>
          <w:rFonts w:eastAsiaTheme="minorEastAsia"/>
          <w:bCs/>
          <w:szCs w:val="24"/>
          <w:lang w:eastAsia="es-MX"/>
        </w:rPr>
        <w:t>,</w:t>
      </w:r>
      <w:r w:rsidRPr="00B567C2">
        <w:rPr>
          <w:rFonts w:eastAsiaTheme="minorEastAsia"/>
          <w:bCs/>
          <w:szCs w:val="24"/>
          <w:lang w:eastAsia="es-MX"/>
        </w:rPr>
        <w:t xml:space="preserve"> aún y cuando no se actualicen los supuestos </w:t>
      </w:r>
      <w:r>
        <w:rPr>
          <w:rFonts w:eastAsiaTheme="minorEastAsia"/>
          <w:bCs/>
          <w:szCs w:val="24"/>
          <w:lang w:eastAsia="es-MX"/>
        </w:rPr>
        <w:t xml:space="preserve">legales </w:t>
      </w:r>
      <w:r w:rsidRPr="00B567C2">
        <w:rPr>
          <w:rFonts w:eastAsiaTheme="minorEastAsia"/>
          <w:bCs/>
          <w:szCs w:val="24"/>
          <w:lang w:eastAsia="es-MX"/>
        </w:rPr>
        <w:t>que lo autorizan</w:t>
      </w:r>
      <w:r>
        <w:rPr>
          <w:rFonts w:eastAsiaTheme="minorEastAsia"/>
          <w:bCs/>
          <w:szCs w:val="24"/>
          <w:lang w:eastAsia="es-MX"/>
        </w:rPr>
        <w:t xml:space="preserve">, ello </w:t>
      </w:r>
      <w:r w:rsidRPr="00B567C2">
        <w:rPr>
          <w:rFonts w:eastAsiaTheme="minorEastAsia"/>
          <w:bCs/>
          <w:szCs w:val="24"/>
          <w:lang w:eastAsia="es-MX"/>
        </w:rPr>
        <w:t>atendiendo a las circunstancias particulares del caso y en protección de los derechos político</w:t>
      </w:r>
      <w:r>
        <w:rPr>
          <w:rFonts w:eastAsiaTheme="minorEastAsia"/>
          <w:bCs/>
          <w:szCs w:val="24"/>
          <w:lang w:eastAsia="es-MX"/>
        </w:rPr>
        <w:t>-</w:t>
      </w:r>
      <w:r w:rsidRPr="00B567C2">
        <w:rPr>
          <w:rFonts w:eastAsiaTheme="minorEastAsia"/>
          <w:bCs/>
          <w:szCs w:val="24"/>
          <w:lang w:eastAsia="es-MX"/>
        </w:rPr>
        <w:t>electorales de sus afiliados</w:t>
      </w:r>
      <w:r w:rsidR="00BC043A">
        <w:rPr>
          <w:rFonts w:eastAsiaTheme="minorEastAsia"/>
          <w:bCs/>
          <w:szCs w:val="24"/>
          <w:lang w:eastAsia="es-MX"/>
        </w:rPr>
        <w:t>.</w:t>
      </w:r>
    </w:p>
    <w:p w14:paraId="1E2A755C" w14:textId="75CFEEC0" w:rsidR="00313253" w:rsidRDefault="00BC043A" w:rsidP="004D342C">
      <w:pPr>
        <w:tabs>
          <w:tab w:val="left" w:pos="1275"/>
        </w:tabs>
        <w:rPr>
          <w:rFonts w:eastAsiaTheme="minorEastAsia"/>
          <w:bCs/>
          <w:szCs w:val="24"/>
          <w:lang w:eastAsia="es-MX"/>
        </w:rPr>
      </w:pPr>
      <w:r>
        <w:rPr>
          <w:rFonts w:eastAsiaTheme="minorEastAsia"/>
          <w:bCs/>
          <w:szCs w:val="24"/>
          <w:lang w:eastAsia="es-MX"/>
        </w:rPr>
        <w:t>Así, consider</w:t>
      </w:r>
      <w:r w:rsidR="00D41806">
        <w:rPr>
          <w:rFonts w:eastAsiaTheme="minorEastAsia"/>
          <w:bCs/>
          <w:szCs w:val="24"/>
          <w:lang w:eastAsia="es-MX"/>
        </w:rPr>
        <w:t>ó</w:t>
      </w:r>
      <w:r>
        <w:rPr>
          <w:rFonts w:eastAsiaTheme="minorEastAsia"/>
          <w:bCs/>
          <w:szCs w:val="24"/>
          <w:lang w:eastAsia="es-MX"/>
        </w:rPr>
        <w:t xml:space="preserve"> </w:t>
      </w:r>
      <w:r w:rsidR="00B567C2" w:rsidRPr="00B567C2">
        <w:rPr>
          <w:rFonts w:eastAsiaTheme="minorEastAsia"/>
          <w:bCs/>
          <w:szCs w:val="24"/>
          <w:lang w:eastAsia="es-MX"/>
        </w:rPr>
        <w:t>que fue incorrecto que en su resolución declarar</w:t>
      </w:r>
      <w:r>
        <w:rPr>
          <w:rFonts w:eastAsiaTheme="minorEastAsia"/>
          <w:bCs/>
          <w:szCs w:val="24"/>
          <w:lang w:eastAsia="es-MX"/>
        </w:rPr>
        <w:t>a</w:t>
      </w:r>
      <w:r w:rsidR="00B567C2" w:rsidRPr="00B567C2">
        <w:rPr>
          <w:rFonts w:eastAsiaTheme="minorEastAsia"/>
          <w:bCs/>
          <w:szCs w:val="24"/>
          <w:lang w:eastAsia="es-MX"/>
        </w:rPr>
        <w:t xml:space="preserve"> fundados p</w:t>
      </w:r>
      <w:r w:rsidR="00D47C9C">
        <w:rPr>
          <w:rFonts w:eastAsiaTheme="minorEastAsia"/>
          <w:bCs/>
          <w:szCs w:val="24"/>
          <w:lang w:eastAsia="es-MX"/>
        </w:rPr>
        <w:t>ero inoperantes</w:t>
      </w:r>
      <w:r w:rsidR="00B567C2" w:rsidRPr="00B567C2">
        <w:rPr>
          <w:rFonts w:eastAsiaTheme="minorEastAsia"/>
          <w:bCs/>
          <w:szCs w:val="24"/>
          <w:lang w:eastAsia="es-MX"/>
        </w:rPr>
        <w:t xml:space="preserve"> los agravios hechos valer por los promoventes aduciendo una incompetencia para solicitar la sustitución de l</w:t>
      </w:r>
      <w:r w:rsidR="00B567C2">
        <w:rPr>
          <w:rFonts w:eastAsiaTheme="minorEastAsia"/>
          <w:bCs/>
          <w:szCs w:val="24"/>
          <w:lang w:eastAsia="es-MX"/>
        </w:rPr>
        <w:t>a</w:t>
      </w:r>
      <w:r w:rsidR="00B567C2" w:rsidRPr="00B567C2">
        <w:rPr>
          <w:rFonts w:eastAsiaTheme="minorEastAsia"/>
          <w:bCs/>
          <w:szCs w:val="24"/>
          <w:lang w:eastAsia="es-MX"/>
        </w:rPr>
        <w:t xml:space="preserve">s candidaturas </w:t>
      </w:r>
      <w:r w:rsidR="00B567C2">
        <w:rPr>
          <w:rFonts w:eastAsiaTheme="minorEastAsia"/>
          <w:bCs/>
          <w:szCs w:val="24"/>
          <w:lang w:eastAsia="es-MX"/>
        </w:rPr>
        <w:t>en cuestión</w:t>
      </w:r>
      <w:r w:rsidR="00D47C9C">
        <w:rPr>
          <w:rFonts w:eastAsiaTheme="minorEastAsia"/>
          <w:bCs/>
          <w:szCs w:val="24"/>
          <w:lang w:eastAsia="es-MX"/>
        </w:rPr>
        <w:t xml:space="preserve">, </w:t>
      </w:r>
      <w:r w:rsidR="00D47C9C" w:rsidRPr="00D47C9C">
        <w:rPr>
          <w:rFonts w:eastAsiaTheme="minorEastAsia"/>
          <w:bCs/>
          <w:szCs w:val="24"/>
          <w:lang w:eastAsia="es-MX"/>
        </w:rPr>
        <w:t>ya que debió considerar el contexto particular del caso</w:t>
      </w:r>
      <w:r w:rsidR="00D41806">
        <w:rPr>
          <w:rFonts w:eastAsiaTheme="minorEastAsia"/>
          <w:bCs/>
          <w:szCs w:val="24"/>
          <w:lang w:eastAsia="es-MX"/>
        </w:rPr>
        <w:t>,</w:t>
      </w:r>
      <w:r w:rsidR="00D47C9C" w:rsidRPr="00D47C9C">
        <w:rPr>
          <w:rFonts w:eastAsiaTheme="minorEastAsia"/>
          <w:bCs/>
          <w:szCs w:val="24"/>
          <w:lang w:eastAsia="es-MX"/>
        </w:rPr>
        <w:t xml:space="preserve"> por lo que resulta injustificado que no estableciera los efectos necesarios para restituir a los promo</w:t>
      </w:r>
      <w:r w:rsidR="00D47C9C">
        <w:rPr>
          <w:rFonts w:eastAsiaTheme="minorEastAsia"/>
          <w:bCs/>
          <w:szCs w:val="24"/>
          <w:lang w:eastAsia="es-MX"/>
        </w:rPr>
        <w:t xml:space="preserve">ventes </w:t>
      </w:r>
      <w:r w:rsidR="00D47C9C" w:rsidRPr="00D47C9C">
        <w:rPr>
          <w:rFonts w:eastAsiaTheme="minorEastAsia"/>
          <w:bCs/>
          <w:szCs w:val="24"/>
          <w:lang w:eastAsia="es-MX"/>
        </w:rPr>
        <w:t>en su derecho a ser postulados</w:t>
      </w:r>
      <w:r w:rsidR="00D47C9C">
        <w:rPr>
          <w:rFonts w:eastAsiaTheme="minorEastAsia"/>
          <w:bCs/>
          <w:szCs w:val="24"/>
          <w:lang w:eastAsia="es-MX"/>
        </w:rPr>
        <w:t>.</w:t>
      </w:r>
    </w:p>
    <w:p w14:paraId="29143D4B" w14:textId="6B9E6812" w:rsidR="00313253" w:rsidRPr="00951D5F" w:rsidRDefault="00313253" w:rsidP="004D342C">
      <w:pPr>
        <w:tabs>
          <w:tab w:val="left" w:pos="1275"/>
        </w:tabs>
        <w:rPr>
          <w:rFonts w:eastAsiaTheme="minorEastAsia"/>
          <w:bCs/>
          <w:szCs w:val="24"/>
          <w:lang w:eastAsia="es-MX"/>
        </w:rPr>
      </w:pPr>
      <w:r w:rsidRPr="00951D5F">
        <w:rPr>
          <w:rFonts w:eastAsiaTheme="minorEastAsia"/>
          <w:bCs/>
          <w:szCs w:val="24"/>
          <w:lang w:eastAsia="es-MX"/>
        </w:rPr>
        <w:lastRenderedPageBreak/>
        <w:t xml:space="preserve">Por otra </w:t>
      </w:r>
      <w:r w:rsidR="00951D5F" w:rsidRPr="00951D5F">
        <w:rPr>
          <w:rFonts w:eastAsiaTheme="minorEastAsia"/>
          <w:bCs/>
          <w:szCs w:val="24"/>
          <w:lang w:eastAsia="es-MX"/>
        </w:rPr>
        <w:t>parte,</w:t>
      </w:r>
      <w:r w:rsidRPr="00951D5F">
        <w:rPr>
          <w:rFonts w:eastAsiaTheme="minorEastAsia"/>
          <w:bCs/>
          <w:szCs w:val="24"/>
          <w:lang w:eastAsia="es-MX"/>
        </w:rPr>
        <w:t xml:space="preserve"> consideró que el órgano de Justicia fue omiso en estudiar investigar y en su caso fincar o deslindar responsabilidades en lo relativo a quién o quiénes autorizaron las sustituciones referidas en perjuicio de los derechos político</w:t>
      </w:r>
      <w:r w:rsidR="00951D5F" w:rsidRPr="00951D5F">
        <w:rPr>
          <w:rFonts w:eastAsiaTheme="minorEastAsia"/>
          <w:bCs/>
          <w:szCs w:val="24"/>
          <w:lang w:eastAsia="es-MX"/>
        </w:rPr>
        <w:t>-</w:t>
      </w:r>
      <w:r w:rsidRPr="00951D5F">
        <w:rPr>
          <w:rFonts w:eastAsiaTheme="minorEastAsia"/>
          <w:bCs/>
          <w:szCs w:val="24"/>
          <w:lang w:eastAsia="es-MX"/>
        </w:rPr>
        <w:t>electorales de los promoventes.</w:t>
      </w:r>
    </w:p>
    <w:p w14:paraId="2BEF21D4" w14:textId="336895AE" w:rsidR="00313253" w:rsidRPr="00340332" w:rsidRDefault="00313253" w:rsidP="004D342C">
      <w:pPr>
        <w:tabs>
          <w:tab w:val="left" w:pos="1275"/>
        </w:tabs>
        <w:rPr>
          <w:rFonts w:eastAsiaTheme="minorEastAsia"/>
          <w:bCs/>
          <w:szCs w:val="24"/>
          <w:lang w:eastAsia="es-MX"/>
        </w:rPr>
      </w:pPr>
      <w:r w:rsidRPr="00951D5F">
        <w:rPr>
          <w:rFonts w:eastAsiaTheme="minorEastAsia"/>
          <w:bCs/>
          <w:szCs w:val="24"/>
          <w:lang w:eastAsia="es-MX"/>
        </w:rPr>
        <w:t>Lo anterior</w:t>
      </w:r>
      <w:r w:rsidR="00951D5F" w:rsidRPr="00951D5F">
        <w:rPr>
          <w:rFonts w:eastAsiaTheme="minorEastAsia"/>
          <w:bCs/>
          <w:szCs w:val="24"/>
          <w:lang w:eastAsia="es-MX"/>
        </w:rPr>
        <w:t>,</w:t>
      </w:r>
      <w:r w:rsidRPr="00951D5F">
        <w:rPr>
          <w:rFonts w:eastAsiaTheme="minorEastAsia"/>
          <w:bCs/>
          <w:szCs w:val="24"/>
          <w:lang w:eastAsia="es-MX"/>
        </w:rPr>
        <w:t xml:space="preserve"> ya que desde el momento en </w:t>
      </w:r>
      <w:r w:rsidR="00951D5F" w:rsidRPr="00951D5F">
        <w:rPr>
          <w:rFonts w:eastAsiaTheme="minorEastAsia"/>
          <w:bCs/>
          <w:szCs w:val="24"/>
          <w:lang w:eastAsia="es-MX"/>
        </w:rPr>
        <w:t xml:space="preserve">que remitió el asunto a la instancia partidista </w:t>
      </w:r>
      <w:r w:rsidRPr="00951D5F">
        <w:rPr>
          <w:rFonts w:eastAsiaTheme="minorEastAsia"/>
          <w:bCs/>
          <w:szCs w:val="24"/>
          <w:lang w:eastAsia="es-MX"/>
        </w:rPr>
        <w:t xml:space="preserve">mediante acuerdo plenario de </w:t>
      </w:r>
      <w:r w:rsidR="00951D5F" w:rsidRPr="00951D5F">
        <w:rPr>
          <w:rFonts w:eastAsiaTheme="minorEastAsia"/>
          <w:bCs/>
          <w:szCs w:val="24"/>
          <w:lang w:eastAsia="es-MX"/>
        </w:rPr>
        <w:t xml:space="preserve">veinticuatro </w:t>
      </w:r>
      <w:r w:rsidRPr="00951D5F">
        <w:rPr>
          <w:rFonts w:eastAsiaTheme="minorEastAsia"/>
          <w:bCs/>
          <w:szCs w:val="24"/>
          <w:lang w:eastAsia="es-MX"/>
        </w:rPr>
        <w:t>de abril</w:t>
      </w:r>
      <w:r w:rsidR="00951D5F" w:rsidRPr="00951D5F">
        <w:rPr>
          <w:rFonts w:eastAsiaTheme="minorEastAsia"/>
          <w:bCs/>
          <w:szCs w:val="24"/>
          <w:lang w:eastAsia="es-MX"/>
        </w:rPr>
        <w:t>,</w:t>
      </w:r>
      <w:r w:rsidRPr="00951D5F">
        <w:rPr>
          <w:rFonts w:eastAsiaTheme="minorEastAsia"/>
          <w:bCs/>
          <w:szCs w:val="24"/>
          <w:lang w:eastAsia="es-MX"/>
        </w:rPr>
        <w:t xml:space="preserve"> el objeto de ello era para que investigar</w:t>
      </w:r>
      <w:r w:rsidR="00951D5F" w:rsidRPr="00951D5F">
        <w:rPr>
          <w:rFonts w:eastAsiaTheme="minorEastAsia"/>
          <w:bCs/>
          <w:szCs w:val="24"/>
          <w:lang w:eastAsia="es-MX"/>
        </w:rPr>
        <w:t>a</w:t>
      </w:r>
      <w:r w:rsidRPr="00951D5F">
        <w:rPr>
          <w:rFonts w:eastAsiaTheme="minorEastAsia"/>
          <w:bCs/>
          <w:szCs w:val="24"/>
          <w:lang w:eastAsia="es-MX"/>
        </w:rPr>
        <w:t xml:space="preserve"> y se pronunciar</w:t>
      </w:r>
      <w:r w:rsidR="00951D5F" w:rsidRPr="00951D5F">
        <w:rPr>
          <w:rFonts w:eastAsiaTheme="minorEastAsia"/>
          <w:bCs/>
          <w:szCs w:val="24"/>
          <w:lang w:eastAsia="es-MX"/>
        </w:rPr>
        <w:t>a</w:t>
      </w:r>
      <w:r w:rsidRPr="00951D5F">
        <w:rPr>
          <w:rFonts w:eastAsiaTheme="minorEastAsia"/>
          <w:bCs/>
          <w:szCs w:val="24"/>
          <w:lang w:eastAsia="es-MX"/>
        </w:rPr>
        <w:t xml:space="preserve"> </w:t>
      </w:r>
      <w:r w:rsidR="00951D5F" w:rsidRPr="00951D5F">
        <w:rPr>
          <w:rFonts w:eastAsiaTheme="minorEastAsia"/>
          <w:bCs/>
          <w:szCs w:val="24"/>
          <w:lang w:eastAsia="es-MX"/>
        </w:rPr>
        <w:t>respecto a</w:t>
      </w:r>
      <w:r w:rsidRPr="00951D5F">
        <w:rPr>
          <w:rFonts w:eastAsiaTheme="minorEastAsia"/>
          <w:bCs/>
          <w:szCs w:val="24"/>
          <w:lang w:eastAsia="es-MX"/>
        </w:rPr>
        <w:t xml:space="preserve"> la indebida sustitución de candidaturas dentro de la planilla para contender por el </w:t>
      </w:r>
      <w:r w:rsidR="00951D5F" w:rsidRPr="00951D5F">
        <w:rPr>
          <w:rFonts w:eastAsiaTheme="minorEastAsia"/>
          <w:bCs/>
          <w:szCs w:val="24"/>
          <w:lang w:eastAsia="es-MX"/>
        </w:rPr>
        <w:t xml:space="preserve">ayuntamiento </w:t>
      </w:r>
      <w:r w:rsidRPr="00951D5F">
        <w:rPr>
          <w:rFonts w:eastAsiaTheme="minorEastAsia"/>
          <w:bCs/>
          <w:szCs w:val="24"/>
          <w:lang w:eastAsia="es-MX"/>
        </w:rPr>
        <w:t xml:space="preserve">de León </w:t>
      </w:r>
      <w:r w:rsidR="00951D5F" w:rsidRPr="00951D5F">
        <w:rPr>
          <w:rFonts w:eastAsiaTheme="minorEastAsia"/>
          <w:bCs/>
          <w:szCs w:val="24"/>
          <w:lang w:eastAsia="es-MX"/>
        </w:rPr>
        <w:t xml:space="preserve">Guanajuato, en razón a que </w:t>
      </w:r>
      <w:r w:rsidRPr="00951D5F">
        <w:rPr>
          <w:rFonts w:eastAsiaTheme="minorEastAsia"/>
          <w:bCs/>
          <w:szCs w:val="24"/>
          <w:lang w:eastAsia="es-MX"/>
        </w:rPr>
        <w:t xml:space="preserve">desde aquel momento </w:t>
      </w:r>
      <w:r w:rsidR="00951D5F" w:rsidRPr="00951D5F">
        <w:rPr>
          <w:rFonts w:eastAsiaTheme="minorEastAsia"/>
          <w:bCs/>
          <w:szCs w:val="24"/>
          <w:lang w:eastAsia="es-MX"/>
        </w:rPr>
        <w:t xml:space="preserve">quedó claro </w:t>
      </w:r>
      <w:r w:rsidRPr="00951D5F">
        <w:rPr>
          <w:rFonts w:eastAsiaTheme="minorEastAsia"/>
          <w:bCs/>
          <w:szCs w:val="24"/>
          <w:lang w:eastAsia="es-MX"/>
        </w:rPr>
        <w:t>que la materia de disenso no era el acuerdo emitido por el Consejo General</w:t>
      </w:r>
      <w:r w:rsidR="00951D5F" w:rsidRPr="00951D5F">
        <w:rPr>
          <w:rFonts w:eastAsiaTheme="minorEastAsia"/>
          <w:bCs/>
          <w:szCs w:val="24"/>
          <w:lang w:eastAsia="es-MX"/>
        </w:rPr>
        <w:t>,</w:t>
      </w:r>
      <w:r w:rsidRPr="00951D5F">
        <w:rPr>
          <w:rFonts w:eastAsiaTheme="minorEastAsia"/>
          <w:bCs/>
          <w:szCs w:val="24"/>
          <w:lang w:eastAsia="es-MX"/>
        </w:rPr>
        <w:t xml:space="preserve"> sino la sustitución sin prevención o justificación aparente de la parte accionante así como la indebida actuación de la representación y órganos del </w:t>
      </w:r>
      <w:r w:rsidRPr="00951D5F">
        <w:rPr>
          <w:rFonts w:eastAsiaTheme="minorEastAsia"/>
          <w:bCs/>
          <w:i/>
          <w:iCs/>
          <w:szCs w:val="24"/>
          <w:lang w:eastAsia="es-MX"/>
        </w:rPr>
        <w:t>PRD</w:t>
      </w:r>
      <w:r w:rsidR="00951D5F">
        <w:rPr>
          <w:rFonts w:eastAsiaTheme="minorEastAsia"/>
          <w:bCs/>
          <w:i/>
          <w:iCs/>
          <w:szCs w:val="24"/>
          <w:lang w:eastAsia="es-MX"/>
        </w:rPr>
        <w:t>.</w:t>
      </w:r>
    </w:p>
    <w:p w14:paraId="76A8C9FB" w14:textId="50C4EB00" w:rsidR="00D47C9C" w:rsidRDefault="00187796" w:rsidP="004D342C">
      <w:pPr>
        <w:tabs>
          <w:tab w:val="left" w:pos="1275"/>
        </w:tabs>
        <w:rPr>
          <w:rFonts w:eastAsiaTheme="minorEastAsia"/>
          <w:bCs/>
          <w:szCs w:val="24"/>
          <w:lang w:eastAsia="es-MX"/>
        </w:rPr>
      </w:pPr>
      <w:r>
        <w:rPr>
          <w:rFonts w:eastAsiaTheme="minorEastAsia"/>
          <w:bCs/>
          <w:szCs w:val="24"/>
          <w:lang w:eastAsia="es-MX"/>
        </w:rPr>
        <w:t xml:space="preserve">A consideración de esta Sala Regional, las consideraciones vertidas por el Tribunal local en su sentencia se encuentran ajustadas a derecho, pues tal como lo refiere, el </w:t>
      </w:r>
      <w:r w:rsidRPr="00187796">
        <w:rPr>
          <w:rFonts w:eastAsiaTheme="minorEastAsia"/>
          <w:bCs/>
          <w:i/>
          <w:iCs/>
          <w:szCs w:val="24"/>
          <w:lang w:eastAsia="es-MX"/>
        </w:rPr>
        <w:t>Órgano de Justicia</w:t>
      </w:r>
      <w:r>
        <w:rPr>
          <w:rFonts w:eastAsiaTheme="minorEastAsia"/>
          <w:bCs/>
          <w:szCs w:val="24"/>
          <w:lang w:eastAsia="es-MX"/>
        </w:rPr>
        <w:t xml:space="preserve"> reconoce en su resolución de cuatro de mayo lo siguiente:</w:t>
      </w:r>
    </w:p>
    <w:p w14:paraId="2D783E9C" w14:textId="49621073" w:rsidR="00187796" w:rsidRPr="00187796" w:rsidRDefault="00187796" w:rsidP="00187796">
      <w:pPr>
        <w:tabs>
          <w:tab w:val="left" w:pos="1275"/>
        </w:tabs>
        <w:spacing w:after="0" w:line="276" w:lineRule="auto"/>
        <w:ind w:left="567" w:right="567"/>
        <w:rPr>
          <w:rFonts w:eastAsiaTheme="minorEastAsia"/>
          <w:bCs/>
          <w:i/>
          <w:iCs/>
          <w:szCs w:val="24"/>
          <w:lang w:eastAsia="es-MX"/>
        </w:rPr>
      </w:pPr>
      <w:r w:rsidRPr="00187796">
        <w:rPr>
          <w:rFonts w:eastAsiaTheme="minorEastAsia"/>
          <w:bCs/>
          <w:i/>
          <w:iCs/>
          <w:szCs w:val="24"/>
          <w:lang w:eastAsia="es-MX"/>
        </w:rPr>
        <w:t>[…]</w:t>
      </w:r>
    </w:p>
    <w:p w14:paraId="11C6C244" w14:textId="40CDDA57" w:rsidR="00187796" w:rsidRPr="00187796" w:rsidRDefault="00187796" w:rsidP="00187796">
      <w:pPr>
        <w:tabs>
          <w:tab w:val="left" w:pos="1275"/>
        </w:tabs>
        <w:spacing w:after="0" w:line="276" w:lineRule="auto"/>
        <w:ind w:left="567" w:right="567"/>
        <w:rPr>
          <w:rFonts w:eastAsiaTheme="minorEastAsia"/>
          <w:bCs/>
          <w:i/>
          <w:iCs/>
          <w:szCs w:val="24"/>
          <w:lang w:eastAsia="es-MX"/>
        </w:rPr>
      </w:pPr>
      <w:r w:rsidRPr="00187796">
        <w:rPr>
          <w:rFonts w:eastAsiaTheme="minorEastAsia"/>
          <w:b/>
          <w:i/>
          <w:iCs/>
          <w:szCs w:val="24"/>
          <w:lang w:eastAsia="es-MX"/>
        </w:rPr>
        <w:t>1.6. Acuerdo 158/PRD/DNE/2021</w:t>
      </w:r>
      <w:r w:rsidRPr="00187796">
        <w:rPr>
          <w:rFonts w:eastAsiaTheme="minorEastAsia"/>
          <w:bCs/>
          <w:i/>
          <w:iCs/>
          <w:szCs w:val="24"/>
          <w:lang w:eastAsia="es-MX"/>
        </w:rPr>
        <w:t>. Emitido el 29 de marzo por la Dirección Nacional, mediante el cual se aprobó por mayoría calificada de votos de quienes integran el referido órgano partidario, la designación de la candidatura de María Guadalupe Nicasio Meza, a la regiduría 2 del ayuntamiento de León, Guanajuato y la designación de la candidatura de José Luis Fonseca Méndez, a la regiduría 1 del ayuntamiento de León, Guanajuato.</w:t>
      </w:r>
    </w:p>
    <w:p w14:paraId="5BC80FED" w14:textId="77777777" w:rsidR="00187796" w:rsidRPr="00187796" w:rsidRDefault="00187796" w:rsidP="00187796">
      <w:pPr>
        <w:tabs>
          <w:tab w:val="left" w:pos="1275"/>
        </w:tabs>
        <w:spacing w:after="0" w:line="276" w:lineRule="auto"/>
        <w:ind w:left="567" w:right="567"/>
        <w:rPr>
          <w:rFonts w:eastAsiaTheme="minorEastAsia"/>
          <w:bCs/>
          <w:i/>
          <w:iCs/>
          <w:szCs w:val="24"/>
          <w:lang w:eastAsia="es-MX"/>
        </w:rPr>
      </w:pPr>
      <w:r w:rsidRPr="00187796">
        <w:rPr>
          <w:rFonts w:eastAsiaTheme="minorEastAsia"/>
          <w:bCs/>
          <w:i/>
          <w:iCs/>
          <w:szCs w:val="24"/>
          <w:lang w:eastAsia="es-MX"/>
        </w:rPr>
        <w:t>[…]</w:t>
      </w:r>
    </w:p>
    <w:p w14:paraId="6FCE6365" w14:textId="5558EA31" w:rsidR="00187796" w:rsidRDefault="00187796" w:rsidP="00187796">
      <w:pPr>
        <w:tabs>
          <w:tab w:val="left" w:pos="1275"/>
        </w:tabs>
        <w:spacing w:before="100" w:beforeAutospacing="1" w:after="100" w:afterAutospacing="1"/>
        <w:rPr>
          <w:rFonts w:eastAsiaTheme="minorEastAsia"/>
          <w:bCs/>
          <w:szCs w:val="24"/>
          <w:lang w:eastAsia="es-MX"/>
        </w:rPr>
      </w:pPr>
      <w:r>
        <w:rPr>
          <w:rFonts w:eastAsiaTheme="minorEastAsia"/>
          <w:bCs/>
          <w:szCs w:val="24"/>
          <w:lang w:eastAsia="es-MX"/>
        </w:rPr>
        <w:t xml:space="preserve">En efecto, como se puede advertir de la resolución partidista </w:t>
      </w:r>
      <w:r w:rsidR="00C56A25">
        <w:rPr>
          <w:rFonts w:eastAsiaTheme="minorEastAsia"/>
          <w:bCs/>
          <w:szCs w:val="24"/>
          <w:lang w:eastAsia="es-MX"/>
        </w:rPr>
        <w:t xml:space="preserve">la dirección Nacional Ejecutiva del </w:t>
      </w:r>
      <w:r w:rsidR="00C56A25" w:rsidRPr="00C56A25">
        <w:rPr>
          <w:rFonts w:eastAsiaTheme="minorEastAsia"/>
          <w:bCs/>
          <w:i/>
          <w:iCs/>
          <w:szCs w:val="24"/>
          <w:lang w:eastAsia="es-MX"/>
        </w:rPr>
        <w:t>PRD</w:t>
      </w:r>
      <w:r w:rsidR="00C56A25">
        <w:rPr>
          <w:rFonts w:eastAsiaTheme="minorEastAsia"/>
          <w:bCs/>
          <w:szCs w:val="24"/>
          <w:lang w:eastAsia="es-MX"/>
        </w:rPr>
        <w:t xml:space="preserve"> reconoce que la designación a las candidaturas a la primera y segunda regiduría del ayuntamiento de León, Guanajuato corresponden a José Luis Fonseca Méndez y María Guadalupe Nicasio Meza, al haber sido aprobadas por mayoría de votos.</w:t>
      </w:r>
    </w:p>
    <w:p w14:paraId="4F1D2C39" w14:textId="18653C73" w:rsidR="00C56A25" w:rsidRDefault="00C56A25" w:rsidP="00187796">
      <w:pPr>
        <w:tabs>
          <w:tab w:val="left" w:pos="1275"/>
        </w:tabs>
        <w:spacing w:before="100" w:beforeAutospacing="1" w:after="100" w:afterAutospacing="1"/>
        <w:rPr>
          <w:rFonts w:eastAsiaTheme="minorEastAsia"/>
          <w:bCs/>
          <w:szCs w:val="24"/>
          <w:lang w:eastAsia="es-MX"/>
        </w:rPr>
      </w:pPr>
      <w:r>
        <w:rPr>
          <w:rFonts w:eastAsiaTheme="minorEastAsia"/>
          <w:bCs/>
          <w:szCs w:val="24"/>
          <w:lang w:eastAsia="es-MX"/>
        </w:rPr>
        <w:t>Con independencia de lo señalado en el párrafo precedente, los agravios hechos valer por los promoventes del presente juicio ciudadano, en contra del acuerdo</w:t>
      </w:r>
      <w:r w:rsidRPr="00C56A25">
        <w:rPr>
          <w:rFonts w:eastAsiaTheme="minorEastAsia"/>
          <w:bCs/>
          <w:szCs w:val="24"/>
          <w:lang w:eastAsia="es-MX"/>
        </w:rPr>
        <w:t xml:space="preserve"> 158/PRD/DNE/2021</w:t>
      </w:r>
      <w:r>
        <w:rPr>
          <w:rFonts w:eastAsiaTheme="minorEastAsia"/>
          <w:bCs/>
          <w:szCs w:val="24"/>
          <w:lang w:eastAsia="es-MX"/>
        </w:rPr>
        <w:t xml:space="preserve"> son inatendibles por lo siguiente.</w:t>
      </w:r>
    </w:p>
    <w:p w14:paraId="7ECCB807" w14:textId="0D6A5E5E" w:rsidR="00C56A25" w:rsidRPr="00CF3DEC" w:rsidRDefault="00C56A25" w:rsidP="00187796">
      <w:pPr>
        <w:tabs>
          <w:tab w:val="left" w:pos="1275"/>
        </w:tabs>
        <w:spacing w:before="100" w:beforeAutospacing="1" w:after="100" w:afterAutospacing="1"/>
        <w:rPr>
          <w:rFonts w:eastAsiaTheme="minorEastAsia"/>
          <w:bCs/>
          <w:szCs w:val="24"/>
          <w:lang w:eastAsia="es-MX"/>
        </w:rPr>
      </w:pPr>
      <w:r>
        <w:rPr>
          <w:rFonts w:eastAsiaTheme="minorEastAsia"/>
          <w:bCs/>
          <w:szCs w:val="24"/>
          <w:lang w:eastAsia="es-MX"/>
        </w:rPr>
        <w:t xml:space="preserve">El referido acuerdo se emitió el veintinueve de marzo, y de </w:t>
      </w:r>
      <w:r w:rsidR="00CF3DEC">
        <w:rPr>
          <w:rFonts w:eastAsiaTheme="minorEastAsia"/>
          <w:bCs/>
          <w:szCs w:val="24"/>
          <w:lang w:eastAsia="es-MX"/>
        </w:rPr>
        <w:t xml:space="preserve">conforme </w:t>
      </w:r>
      <w:r>
        <w:rPr>
          <w:rFonts w:eastAsiaTheme="minorEastAsia"/>
          <w:bCs/>
          <w:szCs w:val="24"/>
          <w:lang w:eastAsia="es-MX"/>
        </w:rPr>
        <w:t xml:space="preserve">a la cédula de </w:t>
      </w:r>
      <w:r w:rsidR="00CF3DEC">
        <w:rPr>
          <w:rFonts w:eastAsiaTheme="minorEastAsia"/>
          <w:bCs/>
          <w:szCs w:val="24"/>
          <w:lang w:eastAsia="es-MX"/>
        </w:rPr>
        <w:t xml:space="preserve">notificación suscrita por el Presidente Nacional y la Secretaria General del </w:t>
      </w:r>
      <w:r w:rsidR="00CF3DEC" w:rsidRPr="00CF3DEC">
        <w:rPr>
          <w:rFonts w:eastAsiaTheme="minorEastAsia"/>
          <w:bCs/>
          <w:i/>
          <w:iCs/>
          <w:szCs w:val="24"/>
          <w:lang w:eastAsia="es-MX"/>
        </w:rPr>
        <w:t>PRD</w:t>
      </w:r>
      <w:r w:rsidR="00CF3DEC">
        <w:rPr>
          <w:rFonts w:eastAsiaTheme="minorEastAsia"/>
          <w:bCs/>
          <w:szCs w:val="24"/>
          <w:lang w:eastAsia="es-MX"/>
        </w:rPr>
        <w:t xml:space="preserve"> fue publicado en la página oficial de ese instituto político a </w:t>
      </w:r>
      <w:r w:rsidR="00CF3DEC">
        <w:rPr>
          <w:rFonts w:eastAsiaTheme="minorEastAsia"/>
          <w:bCs/>
          <w:szCs w:val="24"/>
          <w:lang w:eastAsia="es-MX"/>
        </w:rPr>
        <w:lastRenderedPageBreak/>
        <w:t>las veintitrés horas con cinco minutos del mismo día</w:t>
      </w:r>
      <w:r w:rsidR="00CF3DEC">
        <w:rPr>
          <w:rStyle w:val="Refdenotaalpie"/>
          <w:rFonts w:eastAsiaTheme="minorEastAsia"/>
          <w:bCs/>
          <w:szCs w:val="24"/>
          <w:lang w:eastAsia="es-MX"/>
        </w:rPr>
        <w:footnoteReference w:id="3"/>
      </w:r>
      <w:r w:rsidR="00CF3DEC">
        <w:rPr>
          <w:rFonts w:eastAsiaTheme="minorEastAsia"/>
          <w:bCs/>
          <w:szCs w:val="24"/>
          <w:lang w:eastAsia="es-MX"/>
        </w:rPr>
        <w:t>, por lo que, al no haber sido controvertido en tiempo y forma, lo ahí determinado esta firme respecto a sus efectos.</w:t>
      </w:r>
    </w:p>
    <w:p w14:paraId="7387D1EC" w14:textId="2B3AEC09" w:rsidR="0055021C" w:rsidRDefault="00CF3DEC" w:rsidP="004D342C">
      <w:pPr>
        <w:tabs>
          <w:tab w:val="left" w:pos="1275"/>
        </w:tabs>
        <w:rPr>
          <w:szCs w:val="24"/>
        </w:rPr>
      </w:pPr>
      <w:r>
        <w:rPr>
          <w:rFonts w:eastAsiaTheme="minorEastAsia"/>
          <w:bCs/>
          <w:szCs w:val="24"/>
          <w:lang w:eastAsia="es-MX"/>
        </w:rPr>
        <w:t xml:space="preserve">Por otra parte, </w:t>
      </w:r>
      <w:r w:rsidR="0055021C">
        <w:rPr>
          <w:rFonts w:eastAsiaTheme="minorEastAsia"/>
          <w:bCs/>
          <w:szCs w:val="24"/>
          <w:lang w:eastAsia="es-MX"/>
        </w:rPr>
        <w:t xml:space="preserve">los promoventes se limitan a señalar </w:t>
      </w:r>
      <w:r>
        <w:rPr>
          <w:rFonts w:eastAsiaTheme="minorEastAsia"/>
          <w:bCs/>
          <w:szCs w:val="24"/>
          <w:lang w:eastAsia="es-MX"/>
        </w:rPr>
        <w:t xml:space="preserve">que </w:t>
      </w:r>
      <w:r w:rsidR="0055021C">
        <w:rPr>
          <w:rFonts w:eastAsiaTheme="minorEastAsia"/>
          <w:bCs/>
          <w:szCs w:val="24"/>
          <w:lang w:eastAsia="es-MX"/>
        </w:rPr>
        <w:t xml:space="preserve">debe </w:t>
      </w:r>
      <w:r w:rsidR="0066167A" w:rsidRPr="00044899">
        <w:rPr>
          <w:szCs w:val="24"/>
        </w:rPr>
        <w:t xml:space="preserve">prevalecer en </w:t>
      </w:r>
      <w:r w:rsidR="00BF6F02">
        <w:rPr>
          <w:szCs w:val="24"/>
        </w:rPr>
        <w:t>s</w:t>
      </w:r>
      <w:r w:rsidR="0066167A" w:rsidRPr="00044899">
        <w:rPr>
          <w:szCs w:val="24"/>
        </w:rPr>
        <w:t xml:space="preserve">us términos el acuerdo del Consejo General del Instituto Electoral del Estado de Guanajuato mediante el cual se aprobaron los registros de las candidaturas postuladas por el </w:t>
      </w:r>
      <w:r w:rsidR="0066167A" w:rsidRPr="00044899">
        <w:rPr>
          <w:i/>
          <w:iCs/>
          <w:szCs w:val="24"/>
        </w:rPr>
        <w:t>PRD</w:t>
      </w:r>
      <w:r w:rsidR="0066167A" w:rsidRPr="00044899">
        <w:rPr>
          <w:szCs w:val="24"/>
        </w:rPr>
        <w:t xml:space="preserve"> a los ayuntamientos de dicha entidad</w:t>
      </w:r>
      <w:r w:rsidR="00BF6F02">
        <w:rPr>
          <w:szCs w:val="24"/>
        </w:rPr>
        <w:t>,</w:t>
      </w:r>
      <w:r w:rsidR="0055021C">
        <w:rPr>
          <w:szCs w:val="24"/>
        </w:rPr>
        <w:t xml:space="preserve"> sin realizar mayor argumento.</w:t>
      </w:r>
    </w:p>
    <w:p w14:paraId="09B13C1A" w14:textId="0E7DE718" w:rsidR="0008486F" w:rsidRDefault="0008486F" w:rsidP="0008486F">
      <w:pPr>
        <w:tabs>
          <w:tab w:val="left" w:pos="1275"/>
        </w:tabs>
        <w:rPr>
          <w:rFonts w:eastAsiaTheme="minorEastAsia"/>
          <w:bCs/>
          <w:szCs w:val="24"/>
          <w:lang w:eastAsia="es-MX"/>
        </w:rPr>
      </w:pPr>
      <w:r>
        <w:rPr>
          <w:szCs w:val="24"/>
        </w:rPr>
        <w:t>Sin embargo, para esta Sala Regional el acuerdo</w:t>
      </w:r>
      <w:r w:rsidRPr="0008486F">
        <w:t xml:space="preserve"> </w:t>
      </w:r>
      <w:r w:rsidRPr="0008486F">
        <w:rPr>
          <w:szCs w:val="24"/>
        </w:rPr>
        <w:t>CGlEEG/100</w:t>
      </w:r>
      <w:r>
        <w:rPr>
          <w:szCs w:val="24"/>
        </w:rPr>
        <w:t>/</w:t>
      </w:r>
      <w:r w:rsidRPr="0008486F">
        <w:rPr>
          <w:szCs w:val="24"/>
        </w:rPr>
        <w:t xml:space="preserve">2021, del Consejo General </w:t>
      </w:r>
      <w:r>
        <w:rPr>
          <w:szCs w:val="24"/>
        </w:rPr>
        <w:t xml:space="preserve">del Instituto local </w:t>
      </w:r>
      <w:r w:rsidRPr="0008486F">
        <w:rPr>
          <w:szCs w:val="24"/>
        </w:rPr>
        <w:t>que concedió el</w:t>
      </w:r>
      <w:r>
        <w:rPr>
          <w:szCs w:val="24"/>
        </w:rPr>
        <w:t xml:space="preserve"> </w:t>
      </w:r>
      <w:r w:rsidRPr="0008486F">
        <w:rPr>
          <w:szCs w:val="24"/>
        </w:rPr>
        <w:t xml:space="preserve">registro de las candidaturas postuladas emitido el </w:t>
      </w:r>
      <w:r w:rsidR="006B14E4" w:rsidRPr="0008486F">
        <w:rPr>
          <w:szCs w:val="24"/>
        </w:rPr>
        <w:t>día</w:t>
      </w:r>
      <w:r w:rsidRPr="0008486F">
        <w:rPr>
          <w:szCs w:val="24"/>
        </w:rPr>
        <w:t xml:space="preserve"> cuatro de abril</w:t>
      </w:r>
      <w:r w:rsidR="006B14E4">
        <w:rPr>
          <w:szCs w:val="24"/>
        </w:rPr>
        <w:t xml:space="preserve">, en términos de lo referido en la sentencia impugnada y el acuerdo </w:t>
      </w:r>
      <w:r w:rsidR="006B14E4" w:rsidRPr="00C56A25">
        <w:rPr>
          <w:rFonts w:eastAsiaTheme="minorEastAsia"/>
          <w:bCs/>
          <w:szCs w:val="24"/>
          <w:lang w:eastAsia="es-MX"/>
        </w:rPr>
        <w:t>158/PRD/DNE/2021</w:t>
      </w:r>
      <w:r w:rsidR="006B14E4">
        <w:rPr>
          <w:rFonts w:eastAsiaTheme="minorEastAsia"/>
          <w:bCs/>
          <w:szCs w:val="24"/>
          <w:lang w:eastAsia="es-MX"/>
        </w:rPr>
        <w:t>, es producto de un acto viciado, por lo que es adecuado en caso de resultar procedentes los registros propuestos realizar su modificación.</w:t>
      </w:r>
    </w:p>
    <w:p w14:paraId="1AED7F0D" w14:textId="2BDE259F" w:rsidR="00441E78" w:rsidRPr="00A000DC" w:rsidRDefault="00BF6F02" w:rsidP="0008486F">
      <w:pPr>
        <w:tabs>
          <w:tab w:val="left" w:pos="1275"/>
        </w:tabs>
        <w:rPr>
          <w:rFonts w:eastAsiaTheme="minorEastAsia"/>
          <w:bCs/>
          <w:szCs w:val="24"/>
          <w:lang w:eastAsia="es-MX"/>
        </w:rPr>
      </w:pPr>
      <w:r w:rsidRPr="00A000DC">
        <w:rPr>
          <w:rFonts w:eastAsiaTheme="minorEastAsia"/>
          <w:bCs/>
          <w:szCs w:val="24"/>
          <w:lang w:eastAsia="es-MX"/>
        </w:rPr>
        <w:t xml:space="preserve">Por otra </w:t>
      </w:r>
      <w:r w:rsidR="00441E78" w:rsidRPr="00A000DC">
        <w:rPr>
          <w:rFonts w:eastAsiaTheme="minorEastAsia"/>
          <w:bCs/>
          <w:szCs w:val="24"/>
          <w:lang w:eastAsia="es-MX"/>
        </w:rPr>
        <w:t>parte,</w:t>
      </w:r>
      <w:r w:rsidRPr="00A000DC">
        <w:rPr>
          <w:rFonts w:eastAsiaTheme="minorEastAsia"/>
          <w:bCs/>
          <w:szCs w:val="24"/>
          <w:lang w:eastAsia="es-MX"/>
        </w:rPr>
        <w:t xml:space="preserve"> se debe destacar que la actora del juicio ciudadano </w:t>
      </w:r>
      <w:r w:rsidR="00A000DC">
        <w:rPr>
          <w:rFonts w:eastAsiaTheme="minorEastAsia"/>
          <w:bCs/>
          <w:szCs w:val="24"/>
          <w:lang w:eastAsia="es-MX"/>
        </w:rPr>
        <w:t>SM-JDC-</w:t>
      </w:r>
      <w:r w:rsidRPr="00A000DC">
        <w:rPr>
          <w:rFonts w:eastAsiaTheme="minorEastAsia"/>
          <w:bCs/>
          <w:szCs w:val="24"/>
          <w:lang w:eastAsia="es-MX"/>
        </w:rPr>
        <w:t>554</w:t>
      </w:r>
      <w:r w:rsidR="00A000DC">
        <w:rPr>
          <w:rFonts w:eastAsiaTheme="minorEastAsia"/>
          <w:bCs/>
          <w:szCs w:val="24"/>
          <w:lang w:eastAsia="es-MX"/>
        </w:rPr>
        <w:t>/2021</w:t>
      </w:r>
      <w:r w:rsidRPr="00A000DC">
        <w:rPr>
          <w:rFonts w:eastAsiaTheme="minorEastAsia"/>
          <w:bCs/>
          <w:szCs w:val="24"/>
          <w:lang w:eastAsia="es-MX"/>
        </w:rPr>
        <w:t xml:space="preserve"> refiere que no es procedente la sustit</w:t>
      </w:r>
      <w:r w:rsidR="00441E78" w:rsidRPr="00A000DC">
        <w:rPr>
          <w:rFonts w:eastAsiaTheme="minorEastAsia"/>
          <w:bCs/>
          <w:szCs w:val="24"/>
          <w:lang w:eastAsia="es-MX"/>
        </w:rPr>
        <w:t>ución ya que no se encuentra en el supuesto expresamente previsto por la legislación, en tanto que nunca ha renunciado.</w:t>
      </w:r>
    </w:p>
    <w:p w14:paraId="0F1744AF" w14:textId="6A5D651E" w:rsidR="00BF6F02" w:rsidRPr="00A000DC" w:rsidRDefault="00441E78" w:rsidP="0008486F">
      <w:pPr>
        <w:tabs>
          <w:tab w:val="left" w:pos="1275"/>
        </w:tabs>
        <w:rPr>
          <w:rFonts w:eastAsiaTheme="minorEastAsia"/>
          <w:bCs/>
          <w:szCs w:val="24"/>
          <w:lang w:eastAsia="es-MX"/>
        </w:rPr>
      </w:pPr>
      <w:r w:rsidRPr="00A000DC">
        <w:rPr>
          <w:rFonts w:eastAsiaTheme="minorEastAsia"/>
          <w:bCs/>
          <w:szCs w:val="24"/>
          <w:lang w:eastAsia="es-MX"/>
        </w:rPr>
        <w:t xml:space="preserve">Sobre el particular, se debe precisar que las razones por las cuales se está realizando la sustitución, efectivamente como ella lo señala no es por motivo de una renuncia, es porque el </w:t>
      </w:r>
      <w:r w:rsidRPr="00A000DC">
        <w:rPr>
          <w:rFonts w:eastAsiaTheme="minorEastAsia"/>
          <w:bCs/>
          <w:i/>
          <w:iCs/>
          <w:szCs w:val="24"/>
          <w:lang w:eastAsia="es-MX"/>
        </w:rPr>
        <w:t>Órgano de justicia</w:t>
      </w:r>
      <w:r w:rsidRPr="00A000DC">
        <w:rPr>
          <w:rFonts w:eastAsiaTheme="minorEastAsia"/>
          <w:bCs/>
          <w:szCs w:val="24"/>
          <w:lang w:eastAsia="es-MX"/>
        </w:rPr>
        <w:t xml:space="preserve"> reconoció que ese derecho le corresponde a los promoventes de la instancia local y el mismo tribunal responsable es quien esta vinculando al instituto local para que se realice la sustitución, ese es el motivo.</w:t>
      </w:r>
    </w:p>
    <w:p w14:paraId="1BFD125B" w14:textId="07D6B3E3" w:rsidR="00F2460A" w:rsidRPr="00A000DC" w:rsidRDefault="00F2460A" w:rsidP="0008486F">
      <w:pPr>
        <w:tabs>
          <w:tab w:val="left" w:pos="1275"/>
        </w:tabs>
        <w:rPr>
          <w:szCs w:val="24"/>
        </w:rPr>
      </w:pPr>
      <w:r w:rsidRPr="00A000DC">
        <w:rPr>
          <w:rFonts w:eastAsiaTheme="minorEastAsia"/>
          <w:bCs/>
          <w:szCs w:val="24"/>
          <w:lang w:eastAsia="es-MX"/>
        </w:rPr>
        <w:t xml:space="preserve">Asimismo, </w:t>
      </w:r>
      <w:r w:rsidR="00A000DC" w:rsidRPr="00A000DC">
        <w:rPr>
          <w:rFonts w:eastAsiaTheme="minorEastAsia"/>
          <w:bCs/>
          <w:szCs w:val="24"/>
          <w:lang w:eastAsia="es-MX"/>
        </w:rPr>
        <w:t>ninguno de los actores controvierte</w:t>
      </w:r>
      <w:r w:rsidRPr="00A000DC">
        <w:rPr>
          <w:rFonts w:eastAsiaTheme="minorEastAsia"/>
          <w:bCs/>
          <w:szCs w:val="24"/>
          <w:lang w:eastAsia="es-MX"/>
        </w:rPr>
        <w:t xml:space="preserve"> la resolución del </w:t>
      </w:r>
      <w:r w:rsidRPr="00A000DC">
        <w:rPr>
          <w:rFonts w:eastAsiaTheme="minorEastAsia"/>
          <w:bCs/>
          <w:i/>
          <w:iCs/>
          <w:szCs w:val="24"/>
          <w:lang w:eastAsia="es-MX"/>
        </w:rPr>
        <w:t>Órgano de Justicia</w:t>
      </w:r>
      <w:r w:rsidRPr="00A000DC">
        <w:rPr>
          <w:rFonts w:eastAsiaTheme="minorEastAsia"/>
          <w:bCs/>
          <w:szCs w:val="24"/>
          <w:lang w:eastAsia="es-MX"/>
        </w:rPr>
        <w:t xml:space="preserve"> que reconoció el error en el registro de l</w:t>
      </w:r>
      <w:r w:rsidR="00A000DC">
        <w:rPr>
          <w:rFonts w:eastAsiaTheme="minorEastAsia"/>
          <w:bCs/>
          <w:szCs w:val="24"/>
          <w:lang w:eastAsia="es-MX"/>
        </w:rPr>
        <w:t>a</w:t>
      </w:r>
      <w:r w:rsidRPr="00A000DC">
        <w:rPr>
          <w:rFonts w:eastAsiaTheme="minorEastAsia"/>
          <w:bCs/>
          <w:szCs w:val="24"/>
          <w:lang w:eastAsia="es-MX"/>
        </w:rPr>
        <w:t>s candidaturas.</w:t>
      </w:r>
    </w:p>
    <w:p w14:paraId="5EFB4986" w14:textId="6E94A787" w:rsidR="00D47C9C" w:rsidRDefault="006B14E4" w:rsidP="006B14E4">
      <w:pPr>
        <w:tabs>
          <w:tab w:val="left" w:pos="1275"/>
        </w:tabs>
        <w:rPr>
          <w:szCs w:val="24"/>
        </w:rPr>
      </w:pPr>
      <w:r w:rsidRPr="00A000DC">
        <w:rPr>
          <w:szCs w:val="24"/>
        </w:rPr>
        <w:t xml:space="preserve">Por último, con relación a que no se consideró en la resolución impugnada el escrito de tercero interesado, </w:t>
      </w:r>
      <w:r w:rsidR="001A6AF5" w:rsidRPr="00A000DC">
        <w:rPr>
          <w:szCs w:val="24"/>
        </w:rPr>
        <w:t>se debe estar a lo siguiente</w:t>
      </w:r>
      <w:r w:rsidRPr="00A000DC">
        <w:rPr>
          <w:szCs w:val="24"/>
        </w:rPr>
        <w:t>.</w:t>
      </w:r>
    </w:p>
    <w:p w14:paraId="47797624" w14:textId="77777777" w:rsidR="00F85BF7" w:rsidRPr="00F85BF7" w:rsidRDefault="00F85BF7" w:rsidP="00F85BF7">
      <w:pPr>
        <w:tabs>
          <w:tab w:val="left" w:pos="1275"/>
        </w:tabs>
        <w:rPr>
          <w:rFonts w:eastAsiaTheme="minorEastAsia"/>
          <w:bCs/>
          <w:szCs w:val="24"/>
          <w:lang w:eastAsia="es-MX"/>
        </w:rPr>
      </w:pPr>
      <w:r>
        <w:rPr>
          <w:rFonts w:eastAsiaTheme="minorEastAsia"/>
          <w:bCs/>
          <w:szCs w:val="24"/>
          <w:lang w:eastAsia="es-MX"/>
        </w:rPr>
        <w:t xml:space="preserve">La Sala Superior a sostenido que los tribunales están facultados para resolver conflictos, </w:t>
      </w:r>
      <w:r w:rsidRPr="00F85BF7">
        <w:rPr>
          <w:rFonts w:eastAsiaTheme="minorEastAsia"/>
          <w:bCs/>
          <w:szCs w:val="24"/>
          <w:lang w:eastAsia="es-MX"/>
        </w:rPr>
        <w:t>caracterizados por la pretensión de una de las partes y la resistencia de la otra, mediante una sentencia que se dicte en alguno de los medios de impugnación previstos en la normativa constitucional y legal aplicable.</w:t>
      </w:r>
    </w:p>
    <w:p w14:paraId="19B61EF1" w14:textId="31F0C60F" w:rsidR="00F85BF7" w:rsidRPr="00F85BF7" w:rsidRDefault="00F85BF7" w:rsidP="00F85BF7">
      <w:pPr>
        <w:tabs>
          <w:tab w:val="left" w:pos="1275"/>
        </w:tabs>
        <w:rPr>
          <w:rFonts w:eastAsiaTheme="minorEastAsia"/>
          <w:bCs/>
          <w:szCs w:val="24"/>
          <w:lang w:eastAsia="es-MX"/>
        </w:rPr>
      </w:pPr>
      <w:r w:rsidRPr="00F85BF7">
        <w:rPr>
          <w:rFonts w:eastAsiaTheme="minorEastAsia"/>
          <w:bCs/>
          <w:szCs w:val="24"/>
          <w:lang w:eastAsia="es-MX"/>
        </w:rPr>
        <w:lastRenderedPageBreak/>
        <w:t xml:space="preserve">En relación a ello, </w:t>
      </w:r>
      <w:r w:rsidR="009A64A0">
        <w:rPr>
          <w:rFonts w:eastAsiaTheme="minorEastAsia"/>
          <w:bCs/>
          <w:szCs w:val="24"/>
          <w:lang w:eastAsia="es-MX"/>
        </w:rPr>
        <w:t>el artículo 12</w:t>
      </w:r>
      <w:r w:rsidR="009A64A0">
        <w:rPr>
          <w:rStyle w:val="Refdenotaalpie"/>
          <w:rFonts w:eastAsiaTheme="minorEastAsia"/>
          <w:bCs/>
          <w:szCs w:val="24"/>
          <w:lang w:eastAsia="es-MX"/>
        </w:rPr>
        <w:footnoteReference w:id="4"/>
      </w:r>
      <w:r w:rsidR="009A64A0">
        <w:rPr>
          <w:rFonts w:eastAsiaTheme="minorEastAsia"/>
          <w:bCs/>
          <w:szCs w:val="24"/>
          <w:lang w:eastAsia="es-MX"/>
        </w:rPr>
        <w:t xml:space="preserve"> de </w:t>
      </w:r>
      <w:r w:rsidRPr="00F85BF7">
        <w:rPr>
          <w:rFonts w:eastAsiaTheme="minorEastAsia"/>
          <w:bCs/>
          <w:szCs w:val="24"/>
          <w:lang w:eastAsia="es-MX"/>
        </w:rPr>
        <w:t xml:space="preserve">la </w:t>
      </w:r>
      <w:r w:rsidRPr="00F85BF7">
        <w:rPr>
          <w:rFonts w:eastAsiaTheme="minorEastAsia"/>
          <w:bCs/>
          <w:i/>
          <w:iCs/>
          <w:szCs w:val="24"/>
          <w:lang w:eastAsia="es-MX"/>
        </w:rPr>
        <w:t>Ley de Medios</w:t>
      </w:r>
      <w:r w:rsidRPr="00F85BF7">
        <w:rPr>
          <w:rFonts w:eastAsiaTheme="minorEastAsia"/>
          <w:bCs/>
          <w:szCs w:val="24"/>
          <w:lang w:eastAsia="es-MX"/>
        </w:rPr>
        <w:t xml:space="preserve"> establece que son partes en los medios de impugnación, la parte actora, la autoridad responsable o partido político y la parte tercera interesada, que es el ciudadano, partido político, coalición, candidato, organización o agrupación política o de ciudadanos que tengan un interés legítimo en la causa derivado de un derecho incompatible con el que pretende el actor.</w:t>
      </w:r>
    </w:p>
    <w:p w14:paraId="7ACDD18C" w14:textId="668F2B19" w:rsidR="00F85BF7" w:rsidRPr="00F85BF7" w:rsidRDefault="00F85BF7" w:rsidP="00F85BF7">
      <w:pPr>
        <w:tabs>
          <w:tab w:val="left" w:pos="1275"/>
        </w:tabs>
        <w:rPr>
          <w:rFonts w:eastAsiaTheme="minorEastAsia"/>
          <w:bCs/>
          <w:szCs w:val="24"/>
          <w:lang w:eastAsia="es-MX"/>
        </w:rPr>
      </w:pPr>
      <w:r w:rsidRPr="00F85BF7">
        <w:rPr>
          <w:rFonts w:eastAsiaTheme="minorEastAsia"/>
          <w:bCs/>
          <w:szCs w:val="24"/>
          <w:lang w:eastAsia="es-MX"/>
        </w:rPr>
        <w:t xml:space="preserve">Ahora bien, </w:t>
      </w:r>
      <w:r w:rsidR="009A64A0">
        <w:rPr>
          <w:rFonts w:eastAsiaTheme="minorEastAsia"/>
          <w:bCs/>
          <w:szCs w:val="24"/>
          <w:lang w:eastAsia="es-MX"/>
        </w:rPr>
        <w:t>el mismo ordenamiento en su artículo 17</w:t>
      </w:r>
      <w:r w:rsidR="00BD3228">
        <w:rPr>
          <w:rStyle w:val="Refdenotaalpie"/>
          <w:rFonts w:eastAsiaTheme="minorEastAsia"/>
          <w:bCs/>
          <w:szCs w:val="24"/>
          <w:lang w:eastAsia="es-MX"/>
        </w:rPr>
        <w:footnoteReference w:id="5"/>
      </w:r>
      <w:r w:rsidRPr="00F85BF7">
        <w:rPr>
          <w:rFonts w:eastAsiaTheme="minorEastAsia"/>
          <w:bCs/>
          <w:szCs w:val="24"/>
          <w:lang w:eastAsia="es-MX"/>
        </w:rPr>
        <w:t xml:space="preserve"> establece que los escritos mediante los cuales comparezcan los terceros interesados deben contener, en lo que interesa, los documentos que sean necesarios para acreditar la personería del compareciente, precisar la razón de su interés jurídico y sus pretensiones concretas y ofrecer y aportar pruebas.</w:t>
      </w:r>
    </w:p>
    <w:p w14:paraId="44ECEB6F" w14:textId="77777777" w:rsidR="00F85BF7" w:rsidRPr="00F85BF7" w:rsidRDefault="00F85BF7" w:rsidP="00F85BF7">
      <w:pPr>
        <w:tabs>
          <w:tab w:val="left" w:pos="1275"/>
        </w:tabs>
        <w:rPr>
          <w:rFonts w:eastAsiaTheme="minorEastAsia"/>
          <w:bCs/>
          <w:szCs w:val="24"/>
          <w:lang w:eastAsia="es-MX"/>
        </w:rPr>
      </w:pPr>
      <w:r w:rsidRPr="00F85BF7">
        <w:rPr>
          <w:rFonts w:eastAsiaTheme="minorEastAsia"/>
          <w:bCs/>
          <w:szCs w:val="24"/>
          <w:lang w:eastAsia="es-MX"/>
        </w:rPr>
        <w:t>Como puede advertirse, quien comparece con calidad de tercero interesado lo hace por tener interés en que prevalezca el acto impugnado y, por tanto, en que no se acojan las alegaciones de la parte actora, y la ley le requiere señalar la razón de ese interés y sus pretensiones.</w:t>
      </w:r>
    </w:p>
    <w:p w14:paraId="47373254" w14:textId="3452DDEC" w:rsidR="008B1124" w:rsidRPr="00A000DC" w:rsidRDefault="00F85BF7" w:rsidP="008B1124">
      <w:pPr>
        <w:tabs>
          <w:tab w:val="left" w:pos="1275"/>
        </w:tabs>
        <w:rPr>
          <w:rFonts w:eastAsiaTheme="minorEastAsia"/>
          <w:szCs w:val="24"/>
          <w:lang w:eastAsia="es-MX"/>
        </w:rPr>
      </w:pPr>
      <w:r w:rsidRPr="00A000DC">
        <w:rPr>
          <w:rFonts w:eastAsiaTheme="minorEastAsia"/>
          <w:bCs/>
          <w:szCs w:val="24"/>
          <w:lang w:eastAsia="es-MX"/>
        </w:rPr>
        <w:t xml:space="preserve">Por lo anterior, </w:t>
      </w:r>
      <w:r w:rsidR="00BD3228" w:rsidRPr="00A000DC">
        <w:rPr>
          <w:rFonts w:eastAsiaTheme="minorEastAsia"/>
          <w:bCs/>
          <w:szCs w:val="24"/>
          <w:lang w:eastAsia="es-MX"/>
        </w:rPr>
        <w:t xml:space="preserve">el hecho de que el tribunal responsable no se hubiese pronunciado en el cuerpo de la sentencia respecto a los argumentos de su escrito de tercero </w:t>
      </w:r>
      <w:r w:rsidR="008B1124" w:rsidRPr="00A000DC">
        <w:rPr>
          <w:rFonts w:eastAsiaTheme="minorEastAsia"/>
          <w:szCs w:val="24"/>
          <w:lang w:val="es-ES" w:eastAsia="es-MX"/>
        </w:rPr>
        <w:t>no prejuzgó sobre su calificación, sino que se aboc</w:t>
      </w:r>
      <w:r w:rsidR="00E64005" w:rsidRPr="00A000DC">
        <w:rPr>
          <w:rFonts w:eastAsiaTheme="minorEastAsia"/>
          <w:szCs w:val="24"/>
          <w:lang w:val="es-ES" w:eastAsia="es-MX"/>
        </w:rPr>
        <w:t>ó</w:t>
      </w:r>
      <w:r w:rsidR="008B1124" w:rsidRPr="00A000DC">
        <w:rPr>
          <w:rFonts w:eastAsiaTheme="minorEastAsia"/>
          <w:szCs w:val="24"/>
          <w:lang w:val="es-ES" w:eastAsia="es-MX"/>
        </w:rPr>
        <w:t xml:space="preserve"> analizar </w:t>
      </w:r>
      <w:r w:rsidR="008B1124" w:rsidRPr="00A000DC">
        <w:rPr>
          <w:rFonts w:eastAsiaTheme="minorEastAsia"/>
          <w:szCs w:val="24"/>
          <w:lang w:eastAsia="es-MX"/>
        </w:rPr>
        <w:t xml:space="preserve">la designación y registro de las personas que hasta ese momento ostentaban una candidatura dentro de la planilla, los actores de la instancia local, acreditaron ante el órgano de justicia la existencia de una irregularidad de ese registro ante el Instituto Local y la responsable les concedió la razón al declarar fundados sus agravios, donde si bien se dijo incompetente para vincular a la autoridad administrativa, ello no disminuye la eficacia jurídica de esa resolución ni sus alcances, sin que estas expresas consideraciones sean controvertidas por el actor del juicio ciudadano </w:t>
      </w:r>
      <w:r w:rsidR="00A000DC">
        <w:rPr>
          <w:rFonts w:eastAsiaTheme="minorEastAsia"/>
          <w:szCs w:val="24"/>
          <w:lang w:eastAsia="es-MX"/>
        </w:rPr>
        <w:t>SM-JDC-</w:t>
      </w:r>
      <w:r w:rsidR="008B1124" w:rsidRPr="00A000DC">
        <w:rPr>
          <w:rFonts w:eastAsiaTheme="minorEastAsia"/>
          <w:szCs w:val="24"/>
          <w:lang w:eastAsia="es-MX"/>
        </w:rPr>
        <w:t>550</w:t>
      </w:r>
      <w:r w:rsidR="00A000DC">
        <w:rPr>
          <w:rFonts w:eastAsiaTheme="minorEastAsia"/>
          <w:szCs w:val="24"/>
          <w:lang w:eastAsia="es-MX"/>
        </w:rPr>
        <w:t>/2021</w:t>
      </w:r>
      <w:r w:rsidR="008B1124" w:rsidRPr="00A000DC">
        <w:rPr>
          <w:rFonts w:eastAsiaTheme="minorEastAsia"/>
          <w:szCs w:val="24"/>
          <w:lang w:eastAsia="es-MX"/>
        </w:rPr>
        <w:t>.</w:t>
      </w:r>
    </w:p>
    <w:p w14:paraId="41D9A117" w14:textId="632BD3CA" w:rsidR="00BF6F02" w:rsidRPr="008B1124" w:rsidRDefault="00BF6F02" w:rsidP="008B1124">
      <w:pPr>
        <w:tabs>
          <w:tab w:val="left" w:pos="1275"/>
        </w:tabs>
        <w:rPr>
          <w:rFonts w:eastAsiaTheme="minorEastAsia"/>
          <w:szCs w:val="24"/>
          <w:lang w:eastAsia="es-MX"/>
        </w:rPr>
      </w:pPr>
      <w:r w:rsidRPr="00A000DC">
        <w:rPr>
          <w:rFonts w:eastAsia="Arial"/>
        </w:rPr>
        <w:t xml:space="preserve">Así, de la lectura de la sentencia se observa que, </w:t>
      </w:r>
      <w:r w:rsidRPr="00A000DC">
        <w:t xml:space="preserve">a diferencia de lo que señala el impugnante, el </w:t>
      </w:r>
      <w:r w:rsidRPr="00A000DC">
        <w:rPr>
          <w:i/>
          <w:iCs/>
        </w:rPr>
        <w:t>Tribunal Local</w:t>
      </w:r>
      <w:r w:rsidRPr="00A000DC">
        <w:t xml:space="preserve"> sí valoró la documentación que obraba en autos, sin embargo, una cuestión distinta es que se concluyera que de la misma se desprendía el derecho que tenían los promoventes ante esa instancia a ser registrados como candidatos, sin que el impugnante controvierta esas consideraciones.</w:t>
      </w:r>
    </w:p>
    <w:p w14:paraId="76CE3345" w14:textId="253821CF" w:rsidR="0066167A" w:rsidRPr="00F85BF7" w:rsidRDefault="0066167A" w:rsidP="00F85BF7">
      <w:pPr>
        <w:tabs>
          <w:tab w:val="left" w:pos="1275"/>
        </w:tabs>
        <w:rPr>
          <w:rFonts w:eastAsiaTheme="minorEastAsia"/>
          <w:bCs/>
          <w:szCs w:val="24"/>
          <w:lang w:eastAsia="es-MX"/>
        </w:rPr>
      </w:pPr>
      <w:r w:rsidRPr="00B24593">
        <w:rPr>
          <w:rFonts w:eastAsia="Calibri"/>
          <w:bCs/>
          <w:szCs w:val="24"/>
        </w:rPr>
        <w:t xml:space="preserve">Por </w:t>
      </w:r>
      <w:r>
        <w:rPr>
          <w:rFonts w:eastAsia="Calibri"/>
          <w:bCs/>
          <w:szCs w:val="24"/>
        </w:rPr>
        <w:t xml:space="preserve">lo anteriormente </w:t>
      </w:r>
      <w:r w:rsidR="00060224">
        <w:rPr>
          <w:rFonts w:eastAsia="Calibri"/>
          <w:bCs/>
          <w:szCs w:val="24"/>
        </w:rPr>
        <w:t>expuesto</w:t>
      </w:r>
      <w:r>
        <w:rPr>
          <w:rFonts w:eastAsia="Calibri"/>
          <w:bCs/>
          <w:szCs w:val="24"/>
        </w:rPr>
        <w:t xml:space="preserve">, </w:t>
      </w:r>
      <w:r w:rsidRPr="00B24593">
        <w:rPr>
          <w:rFonts w:eastAsia="Calibri"/>
          <w:bCs/>
          <w:szCs w:val="24"/>
        </w:rPr>
        <w:t xml:space="preserve">lo procedente es </w:t>
      </w:r>
      <w:r w:rsidR="00060224">
        <w:rPr>
          <w:rFonts w:eastAsia="Calibri"/>
          <w:bCs/>
          <w:szCs w:val="24"/>
        </w:rPr>
        <w:t>confirmar la sentencia impugnada.</w:t>
      </w:r>
    </w:p>
    <w:p w14:paraId="09C12A93" w14:textId="32CDDE83" w:rsidR="002D29BD" w:rsidRDefault="002D29BD" w:rsidP="004D342C">
      <w:pPr>
        <w:tabs>
          <w:tab w:val="left" w:pos="1275"/>
        </w:tabs>
        <w:rPr>
          <w:rFonts w:eastAsiaTheme="minorEastAsia"/>
          <w:b/>
          <w:szCs w:val="24"/>
          <w:lang w:val="es-ES_tradnl" w:eastAsia="es-MX"/>
        </w:rPr>
      </w:pPr>
      <w:r w:rsidRPr="00B24593">
        <w:rPr>
          <w:rFonts w:eastAsiaTheme="minorEastAsia"/>
          <w:b/>
          <w:szCs w:val="24"/>
          <w:lang w:eastAsia="es-MX"/>
        </w:rPr>
        <w:lastRenderedPageBreak/>
        <w:t>6.</w:t>
      </w:r>
      <w:r w:rsidRPr="00B24593">
        <w:rPr>
          <w:rFonts w:eastAsiaTheme="minorEastAsia"/>
          <w:b/>
          <w:szCs w:val="24"/>
          <w:lang w:val="es-ES_tradnl" w:eastAsia="es-MX"/>
        </w:rPr>
        <w:t xml:space="preserve"> RESOLUTIVO</w:t>
      </w:r>
      <w:r w:rsidR="009E253B">
        <w:rPr>
          <w:rFonts w:eastAsiaTheme="minorEastAsia"/>
          <w:b/>
          <w:szCs w:val="24"/>
          <w:lang w:val="es-ES_tradnl" w:eastAsia="es-MX"/>
        </w:rPr>
        <w:t>S</w:t>
      </w:r>
    </w:p>
    <w:p w14:paraId="32E6860E" w14:textId="2C693BCB" w:rsidR="009E253B" w:rsidRDefault="009E253B" w:rsidP="004D342C">
      <w:pPr>
        <w:tabs>
          <w:tab w:val="left" w:pos="1275"/>
        </w:tabs>
        <w:rPr>
          <w:rFonts w:eastAsiaTheme="minorEastAsia"/>
          <w:b/>
          <w:szCs w:val="24"/>
          <w:lang w:val="es-ES_tradnl" w:eastAsia="es-MX"/>
        </w:rPr>
      </w:pPr>
      <w:r>
        <w:rPr>
          <w:rFonts w:eastAsiaTheme="minorEastAsia"/>
          <w:b/>
          <w:szCs w:val="24"/>
          <w:lang w:val="es-ES_tradnl" w:eastAsia="es-MX"/>
        </w:rPr>
        <w:t xml:space="preserve">PRIMERO. </w:t>
      </w:r>
      <w:r w:rsidRPr="009E253B">
        <w:rPr>
          <w:rFonts w:eastAsia="Calibri"/>
          <w:szCs w:val="24"/>
        </w:rPr>
        <w:t xml:space="preserve">Se </w:t>
      </w:r>
      <w:r w:rsidRPr="009E253B">
        <w:rPr>
          <w:rFonts w:eastAsia="Calibri"/>
          <w:b/>
          <w:bCs/>
          <w:szCs w:val="24"/>
        </w:rPr>
        <w:t>acumula</w:t>
      </w:r>
      <w:r w:rsidRPr="009E253B">
        <w:rPr>
          <w:rFonts w:eastAsia="Calibri"/>
          <w:szCs w:val="24"/>
        </w:rPr>
        <w:t xml:space="preserve"> el juicio ciudadano SM-JDC-</w:t>
      </w:r>
      <w:r>
        <w:rPr>
          <w:rFonts w:eastAsia="Calibri"/>
          <w:szCs w:val="24"/>
        </w:rPr>
        <w:t>554</w:t>
      </w:r>
      <w:r w:rsidRPr="009E253B">
        <w:rPr>
          <w:rFonts w:eastAsia="Calibri"/>
          <w:szCs w:val="24"/>
        </w:rPr>
        <w:t>/2021 al diverso SM-JDC-</w:t>
      </w:r>
      <w:r>
        <w:rPr>
          <w:rFonts w:eastAsia="Calibri"/>
          <w:szCs w:val="24"/>
        </w:rPr>
        <w:t>550</w:t>
      </w:r>
      <w:r w:rsidRPr="009E253B">
        <w:rPr>
          <w:rFonts w:eastAsia="Calibri"/>
          <w:szCs w:val="24"/>
        </w:rPr>
        <w:t>/2021, por ser este último el primero que se registró;</w:t>
      </w:r>
      <w:r w:rsidRPr="009E253B">
        <w:rPr>
          <w:rFonts w:eastAsia="Calibri"/>
          <w:color w:val="000000"/>
          <w:szCs w:val="24"/>
        </w:rPr>
        <w:t xml:space="preserve"> en consecuencia, agréguese copia certificada de los puntos resolutivos del presente fallo al expediente acumulado.</w:t>
      </w:r>
    </w:p>
    <w:p w14:paraId="26F97EF9" w14:textId="7F39482D" w:rsidR="002D29BD" w:rsidRDefault="009E253B" w:rsidP="004D342C">
      <w:pPr>
        <w:tabs>
          <w:tab w:val="left" w:pos="1275"/>
        </w:tabs>
        <w:rPr>
          <w:rFonts w:eastAsiaTheme="minorEastAsia"/>
          <w:bCs/>
          <w:szCs w:val="24"/>
          <w:lang w:val="es-ES_tradnl" w:eastAsia="es-MX"/>
        </w:rPr>
      </w:pPr>
      <w:r>
        <w:rPr>
          <w:rFonts w:eastAsiaTheme="minorEastAsia"/>
          <w:b/>
          <w:szCs w:val="24"/>
          <w:lang w:val="es-ES_tradnl" w:eastAsia="es-MX"/>
        </w:rPr>
        <w:t>SEGUNDO</w:t>
      </w:r>
      <w:r w:rsidR="002D29BD">
        <w:rPr>
          <w:rFonts w:eastAsiaTheme="minorEastAsia"/>
          <w:b/>
          <w:szCs w:val="24"/>
          <w:lang w:val="es-ES_tradnl" w:eastAsia="es-MX"/>
        </w:rPr>
        <w:t>.</w:t>
      </w:r>
      <w:r w:rsidR="002D29BD" w:rsidRPr="002D29BD">
        <w:rPr>
          <w:rFonts w:eastAsiaTheme="minorEastAsia"/>
          <w:bCs/>
          <w:szCs w:val="24"/>
          <w:lang w:val="es-ES_tradnl" w:eastAsia="es-MX"/>
        </w:rPr>
        <w:t xml:space="preserve"> Se </w:t>
      </w:r>
      <w:r w:rsidR="002D29BD" w:rsidRPr="009E253B">
        <w:rPr>
          <w:rFonts w:eastAsiaTheme="minorEastAsia"/>
          <w:b/>
          <w:szCs w:val="24"/>
          <w:lang w:val="es-ES_tradnl" w:eastAsia="es-MX"/>
        </w:rPr>
        <w:t>confirma</w:t>
      </w:r>
      <w:r w:rsidR="002D29BD" w:rsidRPr="002D29BD">
        <w:rPr>
          <w:rFonts w:eastAsiaTheme="minorEastAsia"/>
          <w:bCs/>
          <w:szCs w:val="24"/>
          <w:lang w:val="es-ES_tradnl" w:eastAsia="es-MX"/>
        </w:rPr>
        <w:t xml:space="preserve"> la resolución impugnada</w:t>
      </w:r>
      <w:r w:rsidR="00FF5FE3">
        <w:rPr>
          <w:rFonts w:eastAsiaTheme="minorEastAsia"/>
          <w:bCs/>
          <w:szCs w:val="24"/>
          <w:lang w:val="es-ES_tradnl" w:eastAsia="es-MX"/>
        </w:rPr>
        <w:t>.</w:t>
      </w:r>
    </w:p>
    <w:p w14:paraId="481D9E4A" w14:textId="77777777" w:rsidR="00FF5FE3" w:rsidRPr="00B24593" w:rsidRDefault="00FF5FE3" w:rsidP="00FF5FE3">
      <w:pPr>
        <w:tabs>
          <w:tab w:val="left" w:pos="2646"/>
        </w:tabs>
        <w:spacing w:before="100" w:beforeAutospacing="1" w:after="100" w:afterAutospacing="1"/>
        <w:rPr>
          <w:rFonts w:eastAsia="Times New Roman"/>
          <w:szCs w:val="24"/>
          <w:lang w:eastAsia="es-ES"/>
        </w:rPr>
      </w:pPr>
      <w:r w:rsidRPr="00B24593">
        <w:rPr>
          <w:rFonts w:eastAsia="Times New Roman"/>
          <w:szCs w:val="24"/>
          <w:lang w:eastAsia="es-ES"/>
        </w:rPr>
        <w:t>En su oportunidad, archívese el presente expediente como asunto concluido; en su caso, devuélvase la documentación que en original haya exhibido la responsable.</w:t>
      </w:r>
    </w:p>
    <w:p w14:paraId="334E56B9" w14:textId="77777777" w:rsidR="00FF5FE3" w:rsidRPr="00B24593" w:rsidRDefault="00FF5FE3" w:rsidP="00FF5FE3">
      <w:pPr>
        <w:tabs>
          <w:tab w:val="left" w:pos="2646"/>
        </w:tabs>
        <w:spacing w:before="100" w:beforeAutospacing="1" w:after="100" w:afterAutospacing="1"/>
        <w:rPr>
          <w:rFonts w:eastAsia="Times New Roman"/>
          <w:b/>
          <w:szCs w:val="24"/>
          <w:lang w:eastAsia="es-ES"/>
        </w:rPr>
      </w:pPr>
      <w:r w:rsidRPr="00B24593">
        <w:rPr>
          <w:rFonts w:eastAsia="Times New Roman"/>
          <w:b/>
          <w:szCs w:val="24"/>
          <w:lang w:eastAsia="es-ES"/>
        </w:rPr>
        <w:t>NOTIFÍQUESE.</w:t>
      </w:r>
    </w:p>
    <w:p w14:paraId="5F61C8E1" w14:textId="170DA43F" w:rsidR="00FF5FE3" w:rsidRPr="00B24593" w:rsidRDefault="00FF5FE3" w:rsidP="00FF5FE3">
      <w:pPr>
        <w:tabs>
          <w:tab w:val="left" w:pos="5461"/>
        </w:tabs>
        <w:spacing w:after="0"/>
        <w:rPr>
          <w:rFonts w:eastAsia="Calibri"/>
          <w:szCs w:val="24"/>
        </w:rPr>
      </w:pPr>
      <w:r w:rsidRPr="00B24593">
        <w:rPr>
          <w:rFonts w:eastAsia="Calibri"/>
          <w:szCs w:val="24"/>
        </w:rPr>
        <w:t xml:space="preserve">Así lo resolvieron, por </w:t>
      </w:r>
      <w:r w:rsidR="00672A90" w:rsidRPr="00A000DC">
        <w:rPr>
          <w:rFonts w:eastAsia="Calibri"/>
          <w:b/>
          <w:szCs w:val="24"/>
        </w:rPr>
        <w:t>unanimidad</w:t>
      </w:r>
      <w:r w:rsidRPr="00B24593">
        <w:rPr>
          <w:rFonts w:eastAsia="Calibri"/>
          <w:b/>
          <w:szCs w:val="24"/>
        </w:rPr>
        <w:t xml:space="preserve"> </w:t>
      </w:r>
      <w:r w:rsidRPr="00B24593">
        <w:rPr>
          <w:rFonts w:eastAsia="Calibri"/>
          <w:szCs w:val="24"/>
        </w:rPr>
        <w:t>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45643921" w14:textId="77777777" w:rsidR="00FF5FE3" w:rsidRPr="00C31A1B" w:rsidRDefault="00FF5FE3" w:rsidP="00FF5FE3">
      <w:pPr>
        <w:spacing w:before="100" w:beforeAutospacing="1" w:after="100" w:afterAutospacing="1" w:line="240" w:lineRule="auto"/>
        <w:rPr>
          <w:rFonts w:eastAsia="Times New Roman"/>
          <w:i/>
          <w:iCs/>
          <w:szCs w:val="24"/>
          <w:lang w:eastAsia="es-ES"/>
        </w:rPr>
      </w:pPr>
      <w:r w:rsidRPr="00B24593">
        <w:rPr>
          <w:rFonts w:eastAsia="Times New Roman"/>
          <w:i/>
          <w:iCs/>
          <w:szCs w:val="24"/>
          <w:lang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FF5FE3" w:rsidRPr="00C31A1B" w:rsidSect="00073FBF">
      <w:headerReference w:type="even" r:id="rId8"/>
      <w:headerReference w:type="default" r:id="rId9"/>
      <w:headerReference w:type="first" r:id="rId10"/>
      <w:pgSz w:w="12242" w:h="19295" w:code="124"/>
      <w:pgMar w:top="1418" w:right="1134" w:bottom="1418" w:left="2835"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122D" w14:textId="77777777" w:rsidR="00834311" w:rsidRDefault="00834311" w:rsidP="00457467">
      <w:pPr>
        <w:spacing w:after="0" w:line="240" w:lineRule="auto"/>
      </w:pPr>
      <w:r>
        <w:separator/>
      </w:r>
    </w:p>
  </w:endnote>
  <w:endnote w:type="continuationSeparator" w:id="0">
    <w:p w14:paraId="75BFBB5E" w14:textId="77777777" w:rsidR="00834311" w:rsidRDefault="00834311" w:rsidP="0045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MT">
    <w:altName w:val="Arial"/>
    <w:charset w:val="01"/>
    <w:family w:val="swiss"/>
    <w:pitch w:val="variable"/>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53315" w14:textId="77777777" w:rsidR="00834311" w:rsidRDefault="00834311" w:rsidP="00457467">
      <w:pPr>
        <w:spacing w:after="0" w:line="240" w:lineRule="auto"/>
      </w:pPr>
      <w:r>
        <w:separator/>
      </w:r>
    </w:p>
  </w:footnote>
  <w:footnote w:type="continuationSeparator" w:id="0">
    <w:p w14:paraId="51F455E8" w14:textId="77777777" w:rsidR="00834311" w:rsidRDefault="00834311" w:rsidP="00457467">
      <w:pPr>
        <w:spacing w:after="0" w:line="240" w:lineRule="auto"/>
      </w:pPr>
      <w:r>
        <w:continuationSeparator/>
      </w:r>
    </w:p>
  </w:footnote>
  <w:footnote w:id="1">
    <w:p w14:paraId="135A6F31" w14:textId="6D468F6C" w:rsidR="0066167A" w:rsidRPr="00AD5A52" w:rsidRDefault="0066167A" w:rsidP="004D342C">
      <w:pPr>
        <w:pStyle w:val="Textonotapie"/>
        <w:rPr>
          <w:sz w:val="20"/>
        </w:rPr>
      </w:pPr>
      <w:r w:rsidRPr="00AD5A52">
        <w:rPr>
          <w:rStyle w:val="Refdenotaalpie"/>
          <w:sz w:val="20"/>
        </w:rPr>
        <w:footnoteRef/>
      </w:r>
      <w:r w:rsidRPr="00AD5A52">
        <w:rPr>
          <w:sz w:val="20"/>
        </w:rPr>
        <w:t xml:space="preserve"> Visibles en sus respectivos expedientes principales.</w:t>
      </w:r>
    </w:p>
  </w:footnote>
  <w:footnote w:id="2">
    <w:p w14:paraId="3C973B4C" w14:textId="3B808B82" w:rsidR="0066167A" w:rsidRPr="00AD5A52" w:rsidRDefault="0066167A">
      <w:pPr>
        <w:pStyle w:val="Textonotapie"/>
        <w:rPr>
          <w:sz w:val="20"/>
        </w:rPr>
      </w:pPr>
      <w:r w:rsidRPr="00AD5A52">
        <w:rPr>
          <w:rStyle w:val="Refdenotaalpie"/>
          <w:sz w:val="20"/>
        </w:rPr>
        <w:footnoteRef/>
      </w:r>
      <w:r w:rsidRPr="00AD5A52">
        <w:rPr>
          <w:sz w:val="20"/>
        </w:rPr>
        <w:t xml:space="preserve"> Expediente SM-JDC-501/2021</w:t>
      </w:r>
      <w:r w:rsidR="00A000DC">
        <w:rPr>
          <w:sz w:val="20"/>
        </w:rPr>
        <w:t>.</w:t>
      </w:r>
    </w:p>
  </w:footnote>
  <w:footnote w:id="3">
    <w:p w14:paraId="3F23740A" w14:textId="58668EA5" w:rsidR="0066167A" w:rsidRPr="00BD3228" w:rsidRDefault="0066167A">
      <w:pPr>
        <w:pStyle w:val="Textonotapie"/>
        <w:rPr>
          <w:sz w:val="20"/>
        </w:rPr>
      </w:pPr>
      <w:r w:rsidRPr="00BD3228">
        <w:rPr>
          <w:rStyle w:val="Refdenotaalpie"/>
          <w:sz w:val="20"/>
        </w:rPr>
        <w:footnoteRef/>
      </w:r>
      <w:r w:rsidRPr="00BD3228">
        <w:rPr>
          <w:sz w:val="20"/>
        </w:rPr>
        <w:t xml:space="preserve"> Consultable en </w:t>
      </w:r>
      <w:hyperlink r:id="rId1" w:history="1">
        <w:r w:rsidRPr="00BD3228">
          <w:rPr>
            <w:rStyle w:val="Hipervnculo"/>
            <w:sz w:val="20"/>
          </w:rPr>
          <w:t>https://www.prd.org.mx/documentos/DNE2021/ACUERDOS/ACUERDO-158_PRD_DNE_2021-DESIGNACIO%CC%81N-DE-AYUNTAMIENTOS-GUANAJUATO.pdf</w:t>
        </w:r>
      </w:hyperlink>
    </w:p>
  </w:footnote>
  <w:footnote w:id="4">
    <w:p w14:paraId="7CEB0C74" w14:textId="34388083" w:rsidR="0066167A" w:rsidRPr="00BD3228" w:rsidRDefault="0066167A">
      <w:pPr>
        <w:pStyle w:val="Textonotapie"/>
        <w:rPr>
          <w:sz w:val="20"/>
        </w:rPr>
      </w:pPr>
      <w:r w:rsidRPr="00BD3228">
        <w:rPr>
          <w:rStyle w:val="Refdenotaalpie"/>
          <w:sz w:val="20"/>
        </w:rPr>
        <w:footnoteRef/>
      </w:r>
      <w:r w:rsidRPr="00BD3228">
        <w:rPr>
          <w:sz w:val="20"/>
        </w:rPr>
        <w:t xml:space="preserve"> Articulo 404 de la ley electoral local</w:t>
      </w:r>
      <w:r w:rsidR="00A000DC">
        <w:rPr>
          <w:sz w:val="20"/>
        </w:rPr>
        <w:t>.</w:t>
      </w:r>
    </w:p>
  </w:footnote>
  <w:footnote w:id="5">
    <w:p w14:paraId="1D7542A3" w14:textId="4512BDBB" w:rsidR="0066167A" w:rsidRDefault="0066167A">
      <w:pPr>
        <w:pStyle w:val="Textonotapie"/>
      </w:pPr>
      <w:r w:rsidRPr="00BD3228">
        <w:rPr>
          <w:rStyle w:val="Refdenotaalpie"/>
          <w:sz w:val="20"/>
        </w:rPr>
        <w:footnoteRef/>
      </w:r>
      <w:r w:rsidRPr="00BD3228">
        <w:rPr>
          <w:sz w:val="20"/>
        </w:rPr>
        <w:t xml:space="preserve"> Artículo 400 de la ley electoral local</w:t>
      </w:r>
      <w:r w:rsidR="00A000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E84D" w14:textId="4FF6B28B" w:rsidR="0066167A" w:rsidRPr="00A324D6" w:rsidRDefault="0066167A" w:rsidP="00544CB9">
    <w:pPr>
      <w:pStyle w:val="Encabezado"/>
      <w:rPr>
        <w:b/>
        <w:sz w:val="22"/>
      </w:rPr>
    </w:pPr>
    <w:r w:rsidRPr="00A324D6">
      <w:rPr>
        <w:b/>
        <w:noProof/>
        <w:sz w:val="22"/>
        <w:lang w:val="es-ES" w:eastAsia="es-ES"/>
      </w:rPr>
      <mc:AlternateContent>
        <mc:Choice Requires="wps">
          <w:drawing>
            <wp:anchor distT="0" distB="0" distL="114300" distR="114300" simplePos="0" relativeHeight="251662336" behindDoc="0" locked="0" layoutInCell="0" allowOverlap="1" wp14:anchorId="2B3F650D" wp14:editId="3A147758">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DC66F68" w14:textId="77777777" w:rsidR="0066167A" w:rsidRPr="009F45DC" w:rsidRDefault="0066167A">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3468ED">
                            <w:rPr>
                              <w:rFonts w:ascii="Cambria" w:eastAsia="MS Gothic" w:hAnsi="Cambria"/>
                              <w:noProof/>
                              <w:sz w:val="48"/>
                              <w:szCs w:val="48"/>
                              <w:lang w:val="es-ES"/>
                            </w:rPr>
                            <w:t>88</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F650D" id="Rectángulo 558" o:spid="_x0000_s1026" style="position:absolute;left:0;text-align:left;margin-left:-1.6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" o:allowincell="f" stroked="f">
              <v:textbox>
                <w:txbxContent>
                  <w:p w14:paraId="0DC66F68" w14:textId="77777777" w:rsidR="0066167A" w:rsidRPr="009F45DC" w:rsidRDefault="0066167A">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3468ED">
                      <w:rPr>
                        <w:rFonts w:ascii="Cambria" w:eastAsia="MS Gothic" w:hAnsi="Cambria"/>
                        <w:noProof/>
                        <w:sz w:val="48"/>
                        <w:szCs w:val="48"/>
                        <w:lang w:val="es-ES"/>
                      </w:rPr>
                      <w:t>88</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SM-J</w:t>
    </w:r>
    <w:r>
      <w:rPr>
        <w:b/>
        <w:sz w:val="22"/>
      </w:rPr>
      <w:t>DC-550/2021 Y SM-JDC-554/2021 ACUMULADOS</w:t>
    </w:r>
  </w:p>
  <w:p w14:paraId="3B1C860C" w14:textId="77777777" w:rsidR="0066167A" w:rsidRPr="00811BAE" w:rsidRDefault="0066167A" w:rsidP="00544CB9">
    <w:pPr>
      <w:pStyle w:val="Encabezado"/>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8A4C" w14:textId="6F2DC426" w:rsidR="0066167A" w:rsidRDefault="0066167A" w:rsidP="00544CB9">
    <w:pPr>
      <w:pStyle w:val="Encabezado"/>
      <w:jc w:val="right"/>
      <w:rPr>
        <w:b/>
        <w:sz w:val="22"/>
      </w:rPr>
    </w:pPr>
    <w:r w:rsidRPr="00A324D6">
      <w:rPr>
        <w:b/>
        <w:noProof/>
        <w:sz w:val="22"/>
        <w:lang w:val="es-ES" w:eastAsia="es-ES"/>
      </w:rPr>
      <w:drawing>
        <wp:anchor distT="0" distB="0" distL="114300" distR="114300" simplePos="0" relativeHeight="251659264" behindDoc="0" locked="0" layoutInCell="1" allowOverlap="1" wp14:anchorId="4E3A1E03" wp14:editId="269E2E96">
          <wp:simplePos x="0" y="0"/>
          <wp:positionH relativeFrom="column">
            <wp:posOffset>-1609090</wp:posOffset>
          </wp:positionH>
          <wp:positionV relativeFrom="paragraph">
            <wp:posOffset>-335280</wp:posOffset>
          </wp:positionV>
          <wp:extent cx="1438289" cy="124301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89" cy="12430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4D6">
      <w:rPr>
        <w:b/>
        <w:noProof/>
        <w:sz w:val="22"/>
        <w:lang w:val="es-ES" w:eastAsia="es-ES"/>
      </w:rPr>
      <mc:AlternateContent>
        <mc:Choice Requires="wps">
          <w:drawing>
            <wp:anchor distT="0" distB="0" distL="114300" distR="114300" simplePos="0" relativeHeight="251661312" behindDoc="0" locked="0" layoutInCell="0" allowOverlap="1" wp14:anchorId="1D6DEDA3" wp14:editId="1D424216">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865213" w14:textId="77777777" w:rsidR="0066167A" w:rsidRPr="009F45DC" w:rsidRDefault="0066167A">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3468ED">
                            <w:rPr>
                              <w:rFonts w:ascii="Cambria" w:eastAsia="MS Gothic" w:hAnsi="Cambria"/>
                              <w:noProof/>
                              <w:sz w:val="48"/>
                              <w:szCs w:val="48"/>
                              <w:lang w:val="es-ES"/>
                            </w:rPr>
                            <w:t>89</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DEDA3" id="Rectángulo 559" o:spid="_x0000_s1027" style="position:absolute;left:0;text-align:left;margin-left:553.7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14:paraId="47865213" w14:textId="77777777" w:rsidR="0066167A" w:rsidRPr="009F45DC" w:rsidRDefault="0066167A">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3468ED">
                      <w:rPr>
                        <w:rFonts w:ascii="Cambria" w:eastAsia="MS Gothic" w:hAnsi="Cambria"/>
                        <w:noProof/>
                        <w:sz w:val="48"/>
                        <w:szCs w:val="48"/>
                        <w:lang w:val="es-ES"/>
                      </w:rPr>
                      <w:t>89</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SM-J</w:t>
    </w:r>
    <w:r>
      <w:rPr>
        <w:b/>
        <w:sz w:val="22"/>
      </w:rPr>
      <w:t>DC-550/2021 Y SM-JDC-554/2021 ACUMULADOS</w:t>
    </w:r>
  </w:p>
  <w:p w14:paraId="42293078" w14:textId="77777777" w:rsidR="0066167A" w:rsidRPr="00811BAE" w:rsidRDefault="0066167A" w:rsidP="00544CB9">
    <w:pPr>
      <w:pStyle w:val="Encabezado"/>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29B6" w14:textId="6EE45BF4" w:rsidR="0066167A" w:rsidRDefault="0066167A">
    <w:pPr>
      <w:pStyle w:val="Encabezado"/>
    </w:pPr>
    <w:r>
      <w:rPr>
        <w:noProof/>
        <w:lang w:val="es-ES" w:eastAsia="es-ES"/>
      </w:rPr>
      <w:drawing>
        <wp:anchor distT="0" distB="0" distL="114300" distR="114300" simplePos="0" relativeHeight="251660288" behindDoc="0" locked="0" layoutInCell="1" allowOverlap="1" wp14:anchorId="7248D999" wp14:editId="6FD0BAC4">
          <wp:simplePos x="0" y="0"/>
          <wp:positionH relativeFrom="column">
            <wp:posOffset>-1544955</wp:posOffset>
          </wp:positionH>
          <wp:positionV relativeFrom="paragraph">
            <wp:posOffset>-392430</wp:posOffset>
          </wp:positionV>
          <wp:extent cx="1378585" cy="1191260"/>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9B8DE0"/>
    <w:multiLevelType w:val="hybridMultilevel"/>
    <w:tmpl w:val="5D9AC4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B2C8E"/>
    <w:multiLevelType w:val="hybridMultilevel"/>
    <w:tmpl w:val="1A7A0A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E0DD3"/>
    <w:multiLevelType w:val="hybridMultilevel"/>
    <w:tmpl w:val="14624F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63C00"/>
    <w:multiLevelType w:val="hybridMultilevel"/>
    <w:tmpl w:val="A2E491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307088"/>
    <w:multiLevelType w:val="hybridMultilevel"/>
    <w:tmpl w:val="7A9AD2BC"/>
    <w:lvl w:ilvl="0" w:tplc="080A0017">
      <w:start w:val="1"/>
      <w:numFmt w:val="lowerLetter"/>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128A1"/>
    <w:multiLevelType w:val="hybridMultilevel"/>
    <w:tmpl w:val="1CAC5C98"/>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164A19"/>
    <w:multiLevelType w:val="hybridMultilevel"/>
    <w:tmpl w:val="76726F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FA2E18"/>
    <w:multiLevelType w:val="hybridMultilevel"/>
    <w:tmpl w:val="93C4526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2C5BF6"/>
    <w:multiLevelType w:val="hybridMultilevel"/>
    <w:tmpl w:val="22CAF9E8"/>
    <w:lvl w:ilvl="0" w:tplc="B792CE8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6C104B"/>
    <w:multiLevelType w:val="hybridMultilevel"/>
    <w:tmpl w:val="BC3AA7CC"/>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C318E0"/>
    <w:multiLevelType w:val="hybridMultilevel"/>
    <w:tmpl w:val="EB8E59A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31874B3A"/>
    <w:multiLevelType w:val="hybridMultilevel"/>
    <w:tmpl w:val="70B64EE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D0479E"/>
    <w:multiLevelType w:val="multilevel"/>
    <w:tmpl w:val="CD04C22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4B663F3"/>
    <w:multiLevelType w:val="hybridMultilevel"/>
    <w:tmpl w:val="793C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546F10"/>
    <w:multiLevelType w:val="hybridMultilevel"/>
    <w:tmpl w:val="E0745234"/>
    <w:lvl w:ilvl="0" w:tplc="5C70A6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CE57FE"/>
    <w:multiLevelType w:val="hybridMultilevel"/>
    <w:tmpl w:val="C25606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E45184"/>
    <w:multiLevelType w:val="hybridMultilevel"/>
    <w:tmpl w:val="1958A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5002C3"/>
    <w:multiLevelType w:val="hybridMultilevel"/>
    <w:tmpl w:val="1CAC5C98"/>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7B5824"/>
    <w:multiLevelType w:val="hybridMultilevel"/>
    <w:tmpl w:val="5BB2220A"/>
    <w:lvl w:ilvl="0" w:tplc="080A000F">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8C2E2B"/>
    <w:multiLevelType w:val="hybridMultilevel"/>
    <w:tmpl w:val="0AB065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0E362F6"/>
    <w:multiLevelType w:val="hybridMultilevel"/>
    <w:tmpl w:val="A2E80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54421D"/>
    <w:multiLevelType w:val="hybridMultilevel"/>
    <w:tmpl w:val="E3C451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2C6908"/>
    <w:multiLevelType w:val="hybridMultilevel"/>
    <w:tmpl w:val="FAA099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A42958"/>
    <w:multiLevelType w:val="hybridMultilevel"/>
    <w:tmpl w:val="92FC75B8"/>
    <w:lvl w:ilvl="0" w:tplc="080A001B">
      <w:start w:val="1"/>
      <w:numFmt w:val="low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6FD87594"/>
    <w:multiLevelType w:val="multilevel"/>
    <w:tmpl w:val="40428010"/>
    <w:lvl w:ilvl="0">
      <w:start w:val="5"/>
      <w:numFmt w:val="decimal"/>
      <w:lvlText w:val="%1."/>
      <w:lvlJc w:val="left"/>
      <w:pPr>
        <w:ind w:left="390" w:hanging="390"/>
      </w:pPr>
      <w:rPr>
        <w:rFonts w:hint="default"/>
        <w:b/>
      </w:rPr>
    </w:lvl>
    <w:lvl w:ilvl="1">
      <w:start w:val="1"/>
      <w:numFmt w:val="decimal"/>
      <w:lvlText w:val="%1.%2."/>
      <w:lvlJc w:val="left"/>
      <w:pPr>
        <w:ind w:left="1146" w:hanging="720"/>
      </w:pPr>
      <w:rPr>
        <w:rFonts w:hint="default"/>
        <w:b/>
      </w:rPr>
    </w:lvl>
    <w:lvl w:ilvl="2">
      <w:start w:val="1"/>
      <w:numFmt w:val="lowerLetter"/>
      <w:lvlText w:val="%3)"/>
      <w:lvlJc w:val="left"/>
      <w:pPr>
        <w:ind w:left="1997" w:hanging="720"/>
      </w:pPr>
      <w:rPr>
        <w:rFonts w:ascii="Arial" w:eastAsiaTheme="minorHAnsi" w:hAnsi="Arial" w:cs="Arial"/>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7A3F0EF6"/>
    <w:multiLevelType w:val="hybridMultilevel"/>
    <w:tmpl w:val="5E2E74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B3D1BCF"/>
    <w:multiLevelType w:val="hybridMultilevel"/>
    <w:tmpl w:val="C0BEEFCA"/>
    <w:lvl w:ilvl="0" w:tplc="D26630FC">
      <w:start w:val="1"/>
      <w:numFmt w:val="lowerLetter"/>
      <w:lvlText w:val="%1)"/>
      <w:lvlJc w:val="left"/>
      <w:pPr>
        <w:ind w:left="1495" w:hanging="360"/>
      </w:pPr>
      <w:rPr>
        <w:b/>
        <w:bCs/>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num w:numId="1">
    <w:abstractNumId w:val="13"/>
  </w:num>
  <w:num w:numId="2">
    <w:abstractNumId w:val="8"/>
  </w:num>
  <w:num w:numId="3">
    <w:abstractNumId w:val="12"/>
  </w:num>
  <w:num w:numId="4">
    <w:abstractNumId w:val="2"/>
  </w:num>
  <w:num w:numId="5">
    <w:abstractNumId w:val="24"/>
  </w:num>
  <w:num w:numId="6">
    <w:abstractNumId w:val="26"/>
  </w:num>
  <w:num w:numId="7">
    <w:abstractNumId w:val="4"/>
  </w:num>
  <w:num w:numId="8">
    <w:abstractNumId w:val="14"/>
  </w:num>
  <w:num w:numId="9">
    <w:abstractNumId w:val="18"/>
  </w:num>
  <w:num w:numId="10">
    <w:abstractNumId w:val="9"/>
  </w:num>
  <w:num w:numId="11">
    <w:abstractNumId w:val="17"/>
  </w:num>
  <w:num w:numId="12">
    <w:abstractNumId w:val="7"/>
  </w:num>
  <w:num w:numId="13">
    <w:abstractNumId w:val="22"/>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15"/>
  </w:num>
  <w:num w:numId="18">
    <w:abstractNumId w:val="21"/>
  </w:num>
  <w:num w:numId="19">
    <w:abstractNumId w:val="25"/>
  </w:num>
  <w:num w:numId="20">
    <w:abstractNumId w:val="6"/>
  </w:num>
  <w:num w:numId="21">
    <w:abstractNumId w:val="11"/>
  </w:num>
  <w:num w:numId="22">
    <w:abstractNumId w:val="0"/>
  </w:num>
  <w:num w:numId="23">
    <w:abstractNumId w:val="19"/>
  </w:num>
  <w:num w:numId="24">
    <w:abstractNumId w:val="10"/>
  </w:num>
  <w:num w:numId="25">
    <w:abstractNumId w:val="1"/>
  </w:num>
  <w:num w:numId="26">
    <w:abstractNumId w:val="3"/>
  </w:num>
  <w:num w:numId="27">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67"/>
    <w:rsid w:val="00001D97"/>
    <w:rsid w:val="00002DAA"/>
    <w:rsid w:val="00003267"/>
    <w:rsid w:val="000034AB"/>
    <w:rsid w:val="0000356F"/>
    <w:rsid w:val="000035E0"/>
    <w:rsid w:val="00003B65"/>
    <w:rsid w:val="00004933"/>
    <w:rsid w:val="000063FD"/>
    <w:rsid w:val="00007CD2"/>
    <w:rsid w:val="0001054C"/>
    <w:rsid w:val="000112E9"/>
    <w:rsid w:val="0001213C"/>
    <w:rsid w:val="00012296"/>
    <w:rsid w:val="000136CC"/>
    <w:rsid w:val="0001387E"/>
    <w:rsid w:val="000141B4"/>
    <w:rsid w:val="00014F08"/>
    <w:rsid w:val="00016247"/>
    <w:rsid w:val="00016EA2"/>
    <w:rsid w:val="00017A37"/>
    <w:rsid w:val="00017C3D"/>
    <w:rsid w:val="00021343"/>
    <w:rsid w:val="00021699"/>
    <w:rsid w:val="0002294A"/>
    <w:rsid w:val="00022EA4"/>
    <w:rsid w:val="000333BF"/>
    <w:rsid w:val="0003371D"/>
    <w:rsid w:val="00033D8E"/>
    <w:rsid w:val="000345EE"/>
    <w:rsid w:val="0004051D"/>
    <w:rsid w:val="00044CCD"/>
    <w:rsid w:val="00044E80"/>
    <w:rsid w:val="0004601F"/>
    <w:rsid w:val="00046E34"/>
    <w:rsid w:val="0005007E"/>
    <w:rsid w:val="0005092D"/>
    <w:rsid w:val="0005146E"/>
    <w:rsid w:val="00052020"/>
    <w:rsid w:val="000525FD"/>
    <w:rsid w:val="000528D7"/>
    <w:rsid w:val="00052CA9"/>
    <w:rsid w:val="00053A68"/>
    <w:rsid w:val="00055743"/>
    <w:rsid w:val="000557AB"/>
    <w:rsid w:val="00055814"/>
    <w:rsid w:val="0005586A"/>
    <w:rsid w:val="0005636F"/>
    <w:rsid w:val="00056D1A"/>
    <w:rsid w:val="00060224"/>
    <w:rsid w:val="00060B35"/>
    <w:rsid w:val="00060CB3"/>
    <w:rsid w:val="00060F44"/>
    <w:rsid w:val="00061BF4"/>
    <w:rsid w:val="00061C6D"/>
    <w:rsid w:val="00061D8E"/>
    <w:rsid w:val="00063701"/>
    <w:rsid w:val="00063BFD"/>
    <w:rsid w:val="00063DF9"/>
    <w:rsid w:val="000656D0"/>
    <w:rsid w:val="00065A5D"/>
    <w:rsid w:val="00070C10"/>
    <w:rsid w:val="00070DFB"/>
    <w:rsid w:val="000716CA"/>
    <w:rsid w:val="00071F66"/>
    <w:rsid w:val="00073FBF"/>
    <w:rsid w:val="00074DB8"/>
    <w:rsid w:val="0007544C"/>
    <w:rsid w:val="000760DD"/>
    <w:rsid w:val="00076269"/>
    <w:rsid w:val="00076838"/>
    <w:rsid w:val="00077EE9"/>
    <w:rsid w:val="00080268"/>
    <w:rsid w:val="00080512"/>
    <w:rsid w:val="000806DE"/>
    <w:rsid w:val="0008353B"/>
    <w:rsid w:val="0008430B"/>
    <w:rsid w:val="0008486F"/>
    <w:rsid w:val="00086783"/>
    <w:rsid w:val="00086E4D"/>
    <w:rsid w:val="000871A7"/>
    <w:rsid w:val="00087EAF"/>
    <w:rsid w:val="00090075"/>
    <w:rsid w:val="0009021A"/>
    <w:rsid w:val="0009048A"/>
    <w:rsid w:val="000912BD"/>
    <w:rsid w:val="0009240A"/>
    <w:rsid w:val="000925D8"/>
    <w:rsid w:val="00092919"/>
    <w:rsid w:val="0009357E"/>
    <w:rsid w:val="00093742"/>
    <w:rsid w:val="00094D87"/>
    <w:rsid w:val="0009531C"/>
    <w:rsid w:val="00096289"/>
    <w:rsid w:val="000972F8"/>
    <w:rsid w:val="000A0297"/>
    <w:rsid w:val="000A10B6"/>
    <w:rsid w:val="000A19AF"/>
    <w:rsid w:val="000A2403"/>
    <w:rsid w:val="000A4699"/>
    <w:rsid w:val="000A6122"/>
    <w:rsid w:val="000A72B2"/>
    <w:rsid w:val="000A7C99"/>
    <w:rsid w:val="000B0F77"/>
    <w:rsid w:val="000B20D9"/>
    <w:rsid w:val="000B3D2D"/>
    <w:rsid w:val="000B4502"/>
    <w:rsid w:val="000B5F9F"/>
    <w:rsid w:val="000B6D58"/>
    <w:rsid w:val="000C0535"/>
    <w:rsid w:val="000C1484"/>
    <w:rsid w:val="000C1F3C"/>
    <w:rsid w:val="000C35EB"/>
    <w:rsid w:val="000C409C"/>
    <w:rsid w:val="000C4A0E"/>
    <w:rsid w:val="000C50FB"/>
    <w:rsid w:val="000D20D6"/>
    <w:rsid w:val="000D27A8"/>
    <w:rsid w:val="000D433A"/>
    <w:rsid w:val="000D5B1A"/>
    <w:rsid w:val="000D68AA"/>
    <w:rsid w:val="000D6FB9"/>
    <w:rsid w:val="000D7B16"/>
    <w:rsid w:val="000E117E"/>
    <w:rsid w:val="000E21CA"/>
    <w:rsid w:val="000E3193"/>
    <w:rsid w:val="000E4379"/>
    <w:rsid w:val="000E494B"/>
    <w:rsid w:val="000E4AB5"/>
    <w:rsid w:val="000E5136"/>
    <w:rsid w:val="000E7142"/>
    <w:rsid w:val="000E7419"/>
    <w:rsid w:val="000F05D9"/>
    <w:rsid w:val="000F389B"/>
    <w:rsid w:val="000F7658"/>
    <w:rsid w:val="00100543"/>
    <w:rsid w:val="00102E01"/>
    <w:rsid w:val="00104063"/>
    <w:rsid w:val="001043D3"/>
    <w:rsid w:val="00106570"/>
    <w:rsid w:val="00112115"/>
    <w:rsid w:val="00112E44"/>
    <w:rsid w:val="00112F08"/>
    <w:rsid w:val="00113201"/>
    <w:rsid w:val="00113605"/>
    <w:rsid w:val="00113E3A"/>
    <w:rsid w:val="00114A6C"/>
    <w:rsid w:val="00114E1D"/>
    <w:rsid w:val="00114F96"/>
    <w:rsid w:val="001174A8"/>
    <w:rsid w:val="00121C02"/>
    <w:rsid w:val="00121EF2"/>
    <w:rsid w:val="001257BA"/>
    <w:rsid w:val="00126104"/>
    <w:rsid w:val="00127D33"/>
    <w:rsid w:val="00130003"/>
    <w:rsid w:val="00130324"/>
    <w:rsid w:val="0013117A"/>
    <w:rsid w:val="001315AE"/>
    <w:rsid w:val="0013162C"/>
    <w:rsid w:val="00131E1E"/>
    <w:rsid w:val="001338DE"/>
    <w:rsid w:val="00133C26"/>
    <w:rsid w:val="00134852"/>
    <w:rsid w:val="00134C1B"/>
    <w:rsid w:val="001358E1"/>
    <w:rsid w:val="00137D16"/>
    <w:rsid w:val="00137E61"/>
    <w:rsid w:val="0014008B"/>
    <w:rsid w:val="001404AA"/>
    <w:rsid w:val="00140774"/>
    <w:rsid w:val="00140C4A"/>
    <w:rsid w:val="00141472"/>
    <w:rsid w:val="001431EE"/>
    <w:rsid w:val="0014399C"/>
    <w:rsid w:val="001445F4"/>
    <w:rsid w:val="00144BD2"/>
    <w:rsid w:val="00144D8A"/>
    <w:rsid w:val="001455F3"/>
    <w:rsid w:val="00145A51"/>
    <w:rsid w:val="001475BA"/>
    <w:rsid w:val="00150F88"/>
    <w:rsid w:val="0015103B"/>
    <w:rsid w:val="00155124"/>
    <w:rsid w:val="001558FB"/>
    <w:rsid w:val="00161FA9"/>
    <w:rsid w:val="00164574"/>
    <w:rsid w:val="00165AD7"/>
    <w:rsid w:val="001668F5"/>
    <w:rsid w:val="0016741D"/>
    <w:rsid w:val="00170D5E"/>
    <w:rsid w:val="00170D94"/>
    <w:rsid w:val="00173C61"/>
    <w:rsid w:val="00173D03"/>
    <w:rsid w:val="001759EA"/>
    <w:rsid w:val="001800FC"/>
    <w:rsid w:val="0018025E"/>
    <w:rsid w:val="00181AB7"/>
    <w:rsid w:val="00181F97"/>
    <w:rsid w:val="00185EA1"/>
    <w:rsid w:val="00187796"/>
    <w:rsid w:val="0019036F"/>
    <w:rsid w:val="001910F5"/>
    <w:rsid w:val="00192136"/>
    <w:rsid w:val="00192B8F"/>
    <w:rsid w:val="00192CAF"/>
    <w:rsid w:val="00193B15"/>
    <w:rsid w:val="00195F93"/>
    <w:rsid w:val="00197213"/>
    <w:rsid w:val="00197DA1"/>
    <w:rsid w:val="001A0D9A"/>
    <w:rsid w:val="001A1D59"/>
    <w:rsid w:val="001A6AF5"/>
    <w:rsid w:val="001B11DD"/>
    <w:rsid w:val="001B1EB8"/>
    <w:rsid w:val="001B2374"/>
    <w:rsid w:val="001B3192"/>
    <w:rsid w:val="001B3343"/>
    <w:rsid w:val="001B5480"/>
    <w:rsid w:val="001B6159"/>
    <w:rsid w:val="001B697E"/>
    <w:rsid w:val="001B75C1"/>
    <w:rsid w:val="001C03B5"/>
    <w:rsid w:val="001C21AF"/>
    <w:rsid w:val="001C27A6"/>
    <w:rsid w:val="001C354A"/>
    <w:rsid w:val="001C3E75"/>
    <w:rsid w:val="001C5F06"/>
    <w:rsid w:val="001C600B"/>
    <w:rsid w:val="001C6074"/>
    <w:rsid w:val="001C6E7D"/>
    <w:rsid w:val="001C7123"/>
    <w:rsid w:val="001C7E5F"/>
    <w:rsid w:val="001D1351"/>
    <w:rsid w:val="001D6394"/>
    <w:rsid w:val="001D695C"/>
    <w:rsid w:val="001D6B41"/>
    <w:rsid w:val="001D792B"/>
    <w:rsid w:val="001D793C"/>
    <w:rsid w:val="001E255E"/>
    <w:rsid w:val="001E2FB7"/>
    <w:rsid w:val="001E4F70"/>
    <w:rsid w:val="001F0A29"/>
    <w:rsid w:val="001F0B0E"/>
    <w:rsid w:val="001F141A"/>
    <w:rsid w:val="001F1F2F"/>
    <w:rsid w:val="001F3CD3"/>
    <w:rsid w:val="001F3FCC"/>
    <w:rsid w:val="001F50A2"/>
    <w:rsid w:val="001F5EDD"/>
    <w:rsid w:val="00200258"/>
    <w:rsid w:val="0020030D"/>
    <w:rsid w:val="00200D6E"/>
    <w:rsid w:val="00202160"/>
    <w:rsid w:val="00204D42"/>
    <w:rsid w:val="00204DF1"/>
    <w:rsid w:val="002053DD"/>
    <w:rsid w:val="00205671"/>
    <w:rsid w:val="00205D18"/>
    <w:rsid w:val="0020665A"/>
    <w:rsid w:val="00206A71"/>
    <w:rsid w:val="00212668"/>
    <w:rsid w:val="00213B71"/>
    <w:rsid w:val="00215742"/>
    <w:rsid w:val="00215CCC"/>
    <w:rsid w:val="00216F67"/>
    <w:rsid w:val="0022090C"/>
    <w:rsid w:val="002210C8"/>
    <w:rsid w:val="00224F09"/>
    <w:rsid w:val="00226268"/>
    <w:rsid w:val="0022691F"/>
    <w:rsid w:val="00227182"/>
    <w:rsid w:val="002271C8"/>
    <w:rsid w:val="00231122"/>
    <w:rsid w:val="0023235C"/>
    <w:rsid w:val="00232456"/>
    <w:rsid w:val="00232ECB"/>
    <w:rsid w:val="00233477"/>
    <w:rsid w:val="00233BBF"/>
    <w:rsid w:val="00233FBA"/>
    <w:rsid w:val="0023540B"/>
    <w:rsid w:val="00235D92"/>
    <w:rsid w:val="002368FC"/>
    <w:rsid w:val="00236F2D"/>
    <w:rsid w:val="00237B2F"/>
    <w:rsid w:val="00240621"/>
    <w:rsid w:val="00240A5B"/>
    <w:rsid w:val="00240B91"/>
    <w:rsid w:val="00241566"/>
    <w:rsid w:val="0024298D"/>
    <w:rsid w:val="00242B7E"/>
    <w:rsid w:val="00243016"/>
    <w:rsid w:val="002446CB"/>
    <w:rsid w:val="0024472B"/>
    <w:rsid w:val="002453B3"/>
    <w:rsid w:val="00245A36"/>
    <w:rsid w:val="00246C41"/>
    <w:rsid w:val="002478BC"/>
    <w:rsid w:val="002505CF"/>
    <w:rsid w:val="002521AD"/>
    <w:rsid w:val="002535B9"/>
    <w:rsid w:val="002544D0"/>
    <w:rsid w:val="00257A0F"/>
    <w:rsid w:val="00263D41"/>
    <w:rsid w:val="002654AA"/>
    <w:rsid w:val="002654AD"/>
    <w:rsid w:val="00265BA3"/>
    <w:rsid w:val="00265F90"/>
    <w:rsid w:val="00267536"/>
    <w:rsid w:val="00271675"/>
    <w:rsid w:val="00271A7B"/>
    <w:rsid w:val="00273ACB"/>
    <w:rsid w:val="0027554C"/>
    <w:rsid w:val="00275B56"/>
    <w:rsid w:val="00276C98"/>
    <w:rsid w:val="0028139A"/>
    <w:rsid w:val="00281626"/>
    <w:rsid w:val="0028244F"/>
    <w:rsid w:val="002829C4"/>
    <w:rsid w:val="00282B55"/>
    <w:rsid w:val="00282E2E"/>
    <w:rsid w:val="0028490A"/>
    <w:rsid w:val="0028552A"/>
    <w:rsid w:val="00286217"/>
    <w:rsid w:val="00286BA4"/>
    <w:rsid w:val="0029011E"/>
    <w:rsid w:val="002912CE"/>
    <w:rsid w:val="00292358"/>
    <w:rsid w:val="002932E8"/>
    <w:rsid w:val="002936F9"/>
    <w:rsid w:val="0029417B"/>
    <w:rsid w:val="002958A8"/>
    <w:rsid w:val="0029594C"/>
    <w:rsid w:val="0029601A"/>
    <w:rsid w:val="00296F12"/>
    <w:rsid w:val="00296F78"/>
    <w:rsid w:val="00297E1B"/>
    <w:rsid w:val="002A17D9"/>
    <w:rsid w:val="002A4FE2"/>
    <w:rsid w:val="002B0ACD"/>
    <w:rsid w:val="002B0CE9"/>
    <w:rsid w:val="002B1C06"/>
    <w:rsid w:val="002B1CE1"/>
    <w:rsid w:val="002B4958"/>
    <w:rsid w:val="002B5AC8"/>
    <w:rsid w:val="002B7EC6"/>
    <w:rsid w:val="002C0E60"/>
    <w:rsid w:val="002C1035"/>
    <w:rsid w:val="002C235B"/>
    <w:rsid w:val="002C2A33"/>
    <w:rsid w:val="002C2FB8"/>
    <w:rsid w:val="002C3578"/>
    <w:rsid w:val="002C3D2B"/>
    <w:rsid w:val="002C3F3B"/>
    <w:rsid w:val="002C3F84"/>
    <w:rsid w:val="002C414A"/>
    <w:rsid w:val="002C45D0"/>
    <w:rsid w:val="002C4EA5"/>
    <w:rsid w:val="002C5308"/>
    <w:rsid w:val="002C5A2E"/>
    <w:rsid w:val="002C7BFB"/>
    <w:rsid w:val="002D0A52"/>
    <w:rsid w:val="002D2471"/>
    <w:rsid w:val="002D29BD"/>
    <w:rsid w:val="002D4AE1"/>
    <w:rsid w:val="002D50A9"/>
    <w:rsid w:val="002D6E43"/>
    <w:rsid w:val="002D762C"/>
    <w:rsid w:val="002E02A7"/>
    <w:rsid w:val="002E1A1B"/>
    <w:rsid w:val="002E3370"/>
    <w:rsid w:val="002E4C4D"/>
    <w:rsid w:val="002E53F5"/>
    <w:rsid w:val="002E5C80"/>
    <w:rsid w:val="002E78C0"/>
    <w:rsid w:val="002F00C4"/>
    <w:rsid w:val="002F0197"/>
    <w:rsid w:val="002F0BC6"/>
    <w:rsid w:val="002F1559"/>
    <w:rsid w:val="002F1A67"/>
    <w:rsid w:val="002F2A08"/>
    <w:rsid w:val="002F2FC9"/>
    <w:rsid w:val="002F3975"/>
    <w:rsid w:val="002F4D3E"/>
    <w:rsid w:val="002F6317"/>
    <w:rsid w:val="002F767E"/>
    <w:rsid w:val="00300EA2"/>
    <w:rsid w:val="00301005"/>
    <w:rsid w:val="00301137"/>
    <w:rsid w:val="00302157"/>
    <w:rsid w:val="00304649"/>
    <w:rsid w:val="0031078A"/>
    <w:rsid w:val="00310EE7"/>
    <w:rsid w:val="00311D07"/>
    <w:rsid w:val="00313253"/>
    <w:rsid w:val="00314663"/>
    <w:rsid w:val="0031680F"/>
    <w:rsid w:val="0031769A"/>
    <w:rsid w:val="00317A69"/>
    <w:rsid w:val="003221CE"/>
    <w:rsid w:val="00322727"/>
    <w:rsid w:val="00323798"/>
    <w:rsid w:val="003262BD"/>
    <w:rsid w:val="00326C19"/>
    <w:rsid w:val="00327E66"/>
    <w:rsid w:val="003303E5"/>
    <w:rsid w:val="0033045E"/>
    <w:rsid w:val="003317F2"/>
    <w:rsid w:val="003323F0"/>
    <w:rsid w:val="003328A2"/>
    <w:rsid w:val="003354B2"/>
    <w:rsid w:val="00335CA3"/>
    <w:rsid w:val="00336F0B"/>
    <w:rsid w:val="00337837"/>
    <w:rsid w:val="00340332"/>
    <w:rsid w:val="00341405"/>
    <w:rsid w:val="0034214F"/>
    <w:rsid w:val="003430B5"/>
    <w:rsid w:val="0034332D"/>
    <w:rsid w:val="003468ED"/>
    <w:rsid w:val="00346CD6"/>
    <w:rsid w:val="00347169"/>
    <w:rsid w:val="00351045"/>
    <w:rsid w:val="00351807"/>
    <w:rsid w:val="00351982"/>
    <w:rsid w:val="00351F55"/>
    <w:rsid w:val="00352D7E"/>
    <w:rsid w:val="00353889"/>
    <w:rsid w:val="003539C1"/>
    <w:rsid w:val="00353AAF"/>
    <w:rsid w:val="00353AC9"/>
    <w:rsid w:val="003550F6"/>
    <w:rsid w:val="0036030A"/>
    <w:rsid w:val="003604F8"/>
    <w:rsid w:val="003606FB"/>
    <w:rsid w:val="00361F6B"/>
    <w:rsid w:val="003626FE"/>
    <w:rsid w:val="00362C83"/>
    <w:rsid w:val="0036306C"/>
    <w:rsid w:val="0036388D"/>
    <w:rsid w:val="00363C4A"/>
    <w:rsid w:val="00363CF8"/>
    <w:rsid w:val="00364FDF"/>
    <w:rsid w:val="0036606E"/>
    <w:rsid w:val="00367F6C"/>
    <w:rsid w:val="00370B6F"/>
    <w:rsid w:val="00372037"/>
    <w:rsid w:val="00373BC5"/>
    <w:rsid w:val="003752F8"/>
    <w:rsid w:val="00375A0E"/>
    <w:rsid w:val="00377463"/>
    <w:rsid w:val="003817F0"/>
    <w:rsid w:val="00383182"/>
    <w:rsid w:val="00383651"/>
    <w:rsid w:val="00383A85"/>
    <w:rsid w:val="00385CCD"/>
    <w:rsid w:val="00386007"/>
    <w:rsid w:val="003924E5"/>
    <w:rsid w:val="00392A01"/>
    <w:rsid w:val="0039354D"/>
    <w:rsid w:val="0039374C"/>
    <w:rsid w:val="00394339"/>
    <w:rsid w:val="00394585"/>
    <w:rsid w:val="00394B0F"/>
    <w:rsid w:val="003971C8"/>
    <w:rsid w:val="00397794"/>
    <w:rsid w:val="003A1D5B"/>
    <w:rsid w:val="003A2634"/>
    <w:rsid w:val="003A296B"/>
    <w:rsid w:val="003A51F3"/>
    <w:rsid w:val="003A578D"/>
    <w:rsid w:val="003A6110"/>
    <w:rsid w:val="003A6B71"/>
    <w:rsid w:val="003A71CB"/>
    <w:rsid w:val="003B028A"/>
    <w:rsid w:val="003B3206"/>
    <w:rsid w:val="003B79CF"/>
    <w:rsid w:val="003B7CD4"/>
    <w:rsid w:val="003C1271"/>
    <w:rsid w:val="003C206A"/>
    <w:rsid w:val="003C2131"/>
    <w:rsid w:val="003C28FC"/>
    <w:rsid w:val="003C61C5"/>
    <w:rsid w:val="003C6EA3"/>
    <w:rsid w:val="003C7B8D"/>
    <w:rsid w:val="003D105B"/>
    <w:rsid w:val="003D1EC5"/>
    <w:rsid w:val="003D1F8D"/>
    <w:rsid w:val="003D3BCB"/>
    <w:rsid w:val="003D4019"/>
    <w:rsid w:val="003D560B"/>
    <w:rsid w:val="003E158D"/>
    <w:rsid w:val="003E3B32"/>
    <w:rsid w:val="003E3D09"/>
    <w:rsid w:val="003E4707"/>
    <w:rsid w:val="003E58BF"/>
    <w:rsid w:val="003E768E"/>
    <w:rsid w:val="003F1860"/>
    <w:rsid w:val="003F1E93"/>
    <w:rsid w:val="003F1F83"/>
    <w:rsid w:val="003F3F7E"/>
    <w:rsid w:val="003F433D"/>
    <w:rsid w:val="003F58B6"/>
    <w:rsid w:val="003F61DE"/>
    <w:rsid w:val="003F6B7E"/>
    <w:rsid w:val="00400DE7"/>
    <w:rsid w:val="004015A7"/>
    <w:rsid w:val="00401AE9"/>
    <w:rsid w:val="00401DDD"/>
    <w:rsid w:val="004028F9"/>
    <w:rsid w:val="00402FAC"/>
    <w:rsid w:val="004040F4"/>
    <w:rsid w:val="0040593B"/>
    <w:rsid w:val="0040674A"/>
    <w:rsid w:val="004079FB"/>
    <w:rsid w:val="00410364"/>
    <w:rsid w:val="00410372"/>
    <w:rsid w:val="00410B87"/>
    <w:rsid w:val="00415240"/>
    <w:rsid w:val="0041597F"/>
    <w:rsid w:val="00415D98"/>
    <w:rsid w:val="00421AAD"/>
    <w:rsid w:val="00421B81"/>
    <w:rsid w:val="00426365"/>
    <w:rsid w:val="004271CD"/>
    <w:rsid w:val="00427940"/>
    <w:rsid w:val="004300D8"/>
    <w:rsid w:val="004315D3"/>
    <w:rsid w:val="00432C4C"/>
    <w:rsid w:val="00433996"/>
    <w:rsid w:val="004346B7"/>
    <w:rsid w:val="00436842"/>
    <w:rsid w:val="00437164"/>
    <w:rsid w:val="00437A1D"/>
    <w:rsid w:val="00440105"/>
    <w:rsid w:val="004401BA"/>
    <w:rsid w:val="004404D8"/>
    <w:rsid w:val="004409AE"/>
    <w:rsid w:val="00441E78"/>
    <w:rsid w:val="00444026"/>
    <w:rsid w:val="00444499"/>
    <w:rsid w:val="00444E24"/>
    <w:rsid w:val="004456B4"/>
    <w:rsid w:val="00445820"/>
    <w:rsid w:val="0044609E"/>
    <w:rsid w:val="00450451"/>
    <w:rsid w:val="00451559"/>
    <w:rsid w:val="00456252"/>
    <w:rsid w:val="00456BED"/>
    <w:rsid w:val="004573AD"/>
    <w:rsid w:val="00457467"/>
    <w:rsid w:val="00457C8A"/>
    <w:rsid w:val="004610D8"/>
    <w:rsid w:val="00462748"/>
    <w:rsid w:val="004633C4"/>
    <w:rsid w:val="00463D06"/>
    <w:rsid w:val="00465848"/>
    <w:rsid w:val="004676DA"/>
    <w:rsid w:val="00471309"/>
    <w:rsid w:val="00471B36"/>
    <w:rsid w:val="004725E5"/>
    <w:rsid w:val="0047369E"/>
    <w:rsid w:val="0047533C"/>
    <w:rsid w:val="00476C43"/>
    <w:rsid w:val="00476E52"/>
    <w:rsid w:val="0047756A"/>
    <w:rsid w:val="0047775B"/>
    <w:rsid w:val="004778FC"/>
    <w:rsid w:val="004806FF"/>
    <w:rsid w:val="004829A2"/>
    <w:rsid w:val="004833B5"/>
    <w:rsid w:val="00483D70"/>
    <w:rsid w:val="00485E0E"/>
    <w:rsid w:val="004905C3"/>
    <w:rsid w:val="0049071B"/>
    <w:rsid w:val="00496887"/>
    <w:rsid w:val="004A13C1"/>
    <w:rsid w:val="004A1445"/>
    <w:rsid w:val="004A1B0B"/>
    <w:rsid w:val="004A2BC4"/>
    <w:rsid w:val="004A31B5"/>
    <w:rsid w:val="004A3794"/>
    <w:rsid w:val="004A4DFB"/>
    <w:rsid w:val="004A6202"/>
    <w:rsid w:val="004A664E"/>
    <w:rsid w:val="004A6D9F"/>
    <w:rsid w:val="004A775C"/>
    <w:rsid w:val="004B05B3"/>
    <w:rsid w:val="004B21A2"/>
    <w:rsid w:val="004B3A99"/>
    <w:rsid w:val="004B5E2D"/>
    <w:rsid w:val="004B5ECD"/>
    <w:rsid w:val="004B617C"/>
    <w:rsid w:val="004B70DC"/>
    <w:rsid w:val="004C089F"/>
    <w:rsid w:val="004C0E98"/>
    <w:rsid w:val="004C71A3"/>
    <w:rsid w:val="004C7A84"/>
    <w:rsid w:val="004D08FA"/>
    <w:rsid w:val="004D14BD"/>
    <w:rsid w:val="004D342C"/>
    <w:rsid w:val="004D5F1A"/>
    <w:rsid w:val="004D7D8D"/>
    <w:rsid w:val="004E08AB"/>
    <w:rsid w:val="004E1809"/>
    <w:rsid w:val="004E197C"/>
    <w:rsid w:val="004E2BD0"/>
    <w:rsid w:val="004E2C09"/>
    <w:rsid w:val="004E4EAE"/>
    <w:rsid w:val="004E5BED"/>
    <w:rsid w:val="004E62D9"/>
    <w:rsid w:val="004E65C3"/>
    <w:rsid w:val="004F0B6C"/>
    <w:rsid w:val="004F2E1C"/>
    <w:rsid w:val="004F42DA"/>
    <w:rsid w:val="004F5F46"/>
    <w:rsid w:val="004F69B3"/>
    <w:rsid w:val="004F6ACE"/>
    <w:rsid w:val="004F7470"/>
    <w:rsid w:val="004F7863"/>
    <w:rsid w:val="00501AC2"/>
    <w:rsid w:val="00505A23"/>
    <w:rsid w:val="00505ADD"/>
    <w:rsid w:val="00506CD3"/>
    <w:rsid w:val="00507D8D"/>
    <w:rsid w:val="00510072"/>
    <w:rsid w:val="005119FF"/>
    <w:rsid w:val="00512917"/>
    <w:rsid w:val="0051396C"/>
    <w:rsid w:val="005141CA"/>
    <w:rsid w:val="00516D19"/>
    <w:rsid w:val="005176C3"/>
    <w:rsid w:val="00521728"/>
    <w:rsid w:val="00524D52"/>
    <w:rsid w:val="005251A5"/>
    <w:rsid w:val="0052667E"/>
    <w:rsid w:val="00527C58"/>
    <w:rsid w:val="005302F5"/>
    <w:rsid w:val="00530796"/>
    <w:rsid w:val="00531F54"/>
    <w:rsid w:val="00532807"/>
    <w:rsid w:val="00533A25"/>
    <w:rsid w:val="0053442D"/>
    <w:rsid w:val="00535ABF"/>
    <w:rsid w:val="0053642A"/>
    <w:rsid w:val="00537694"/>
    <w:rsid w:val="005377D1"/>
    <w:rsid w:val="00543C45"/>
    <w:rsid w:val="00543D6C"/>
    <w:rsid w:val="00543F8E"/>
    <w:rsid w:val="0054447A"/>
    <w:rsid w:val="00544CB9"/>
    <w:rsid w:val="005477D1"/>
    <w:rsid w:val="0055021C"/>
    <w:rsid w:val="005523E6"/>
    <w:rsid w:val="0055705E"/>
    <w:rsid w:val="005572EB"/>
    <w:rsid w:val="005603A5"/>
    <w:rsid w:val="00562EDC"/>
    <w:rsid w:val="005632D4"/>
    <w:rsid w:val="0056534B"/>
    <w:rsid w:val="00565F37"/>
    <w:rsid w:val="00567791"/>
    <w:rsid w:val="00567F56"/>
    <w:rsid w:val="00570C31"/>
    <w:rsid w:val="005711E1"/>
    <w:rsid w:val="0057263A"/>
    <w:rsid w:val="005757C2"/>
    <w:rsid w:val="0057639A"/>
    <w:rsid w:val="00576665"/>
    <w:rsid w:val="00576678"/>
    <w:rsid w:val="00576DE0"/>
    <w:rsid w:val="005774AB"/>
    <w:rsid w:val="00580863"/>
    <w:rsid w:val="0058096A"/>
    <w:rsid w:val="00580CD6"/>
    <w:rsid w:val="00585A5D"/>
    <w:rsid w:val="00587431"/>
    <w:rsid w:val="00592384"/>
    <w:rsid w:val="0059269F"/>
    <w:rsid w:val="0059413E"/>
    <w:rsid w:val="00594716"/>
    <w:rsid w:val="00594B30"/>
    <w:rsid w:val="00596CC2"/>
    <w:rsid w:val="005972FF"/>
    <w:rsid w:val="005A0DD9"/>
    <w:rsid w:val="005A14FD"/>
    <w:rsid w:val="005A59F1"/>
    <w:rsid w:val="005A5D85"/>
    <w:rsid w:val="005A69E3"/>
    <w:rsid w:val="005B10A4"/>
    <w:rsid w:val="005B258F"/>
    <w:rsid w:val="005B4919"/>
    <w:rsid w:val="005B4B0A"/>
    <w:rsid w:val="005B5740"/>
    <w:rsid w:val="005B5DE4"/>
    <w:rsid w:val="005B68A5"/>
    <w:rsid w:val="005B708A"/>
    <w:rsid w:val="005B781F"/>
    <w:rsid w:val="005C2640"/>
    <w:rsid w:val="005C2C9E"/>
    <w:rsid w:val="005C39AA"/>
    <w:rsid w:val="005C4C30"/>
    <w:rsid w:val="005C558D"/>
    <w:rsid w:val="005D1DDE"/>
    <w:rsid w:val="005D2773"/>
    <w:rsid w:val="005D4157"/>
    <w:rsid w:val="005D539A"/>
    <w:rsid w:val="005D6338"/>
    <w:rsid w:val="005D7320"/>
    <w:rsid w:val="005E0101"/>
    <w:rsid w:val="005E108A"/>
    <w:rsid w:val="005E25D6"/>
    <w:rsid w:val="005E3025"/>
    <w:rsid w:val="005E3C1E"/>
    <w:rsid w:val="005E51A1"/>
    <w:rsid w:val="005E57FB"/>
    <w:rsid w:val="005E78B8"/>
    <w:rsid w:val="005F1A5C"/>
    <w:rsid w:val="005F2800"/>
    <w:rsid w:val="005F3C36"/>
    <w:rsid w:val="005F641F"/>
    <w:rsid w:val="005F7F9F"/>
    <w:rsid w:val="006002E0"/>
    <w:rsid w:val="0060149F"/>
    <w:rsid w:val="0060454C"/>
    <w:rsid w:val="00604C7E"/>
    <w:rsid w:val="00604F88"/>
    <w:rsid w:val="0060547C"/>
    <w:rsid w:val="00606992"/>
    <w:rsid w:val="00610AE6"/>
    <w:rsid w:val="00611B36"/>
    <w:rsid w:val="00611BBF"/>
    <w:rsid w:val="00613463"/>
    <w:rsid w:val="0061528A"/>
    <w:rsid w:val="00615774"/>
    <w:rsid w:val="00616339"/>
    <w:rsid w:val="006163BE"/>
    <w:rsid w:val="0061657F"/>
    <w:rsid w:val="006172B3"/>
    <w:rsid w:val="00620CB8"/>
    <w:rsid w:val="00620CF4"/>
    <w:rsid w:val="00624DD6"/>
    <w:rsid w:val="0062590C"/>
    <w:rsid w:val="006276A4"/>
    <w:rsid w:val="00632210"/>
    <w:rsid w:val="00635765"/>
    <w:rsid w:val="00635BC2"/>
    <w:rsid w:val="006363A1"/>
    <w:rsid w:val="0064172F"/>
    <w:rsid w:val="00641E3F"/>
    <w:rsid w:val="00644B4D"/>
    <w:rsid w:val="006457BC"/>
    <w:rsid w:val="00645B1A"/>
    <w:rsid w:val="0064735E"/>
    <w:rsid w:val="0064768E"/>
    <w:rsid w:val="00650CB9"/>
    <w:rsid w:val="006527FC"/>
    <w:rsid w:val="006532A4"/>
    <w:rsid w:val="00654B6B"/>
    <w:rsid w:val="00656A87"/>
    <w:rsid w:val="0066167A"/>
    <w:rsid w:val="00662EA9"/>
    <w:rsid w:val="00664725"/>
    <w:rsid w:val="006651CD"/>
    <w:rsid w:val="0066714E"/>
    <w:rsid w:val="00667790"/>
    <w:rsid w:val="006677F4"/>
    <w:rsid w:val="00672A90"/>
    <w:rsid w:val="00674425"/>
    <w:rsid w:val="006744E4"/>
    <w:rsid w:val="006748B1"/>
    <w:rsid w:val="00677047"/>
    <w:rsid w:val="00680756"/>
    <w:rsid w:val="006807C2"/>
    <w:rsid w:val="0068245C"/>
    <w:rsid w:val="006844DB"/>
    <w:rsid w:val="006845B1"/>
    <w:rsid w:val="00686DC8"/>
    <w:rsid w:val="00691C72"/>
    <w:rsid w:val="00693F15"/>
    <w:rsid w:val="006959DB"/>
    <w:rsid w:val="00697292"/>
    <w:rsid w:val="0069783B"/>
    <w:rsid w:val="00697B68"/>
    <w:rsid w:val="006A217F"/>
    <w:rsid w:val="006A2772"/>
    <w:rsid w:val="006A7DD6"/>
    <w:rsid w:val="006B1156"/>
    <w:rsid w:val="006B11EB"/>
    <w:rsid w:val="006B11FD"/>
    <w:rsid w:val="006B14E4"/>
    <w:rsid w:val="006B2501"/>
    <w:rsid w:val="006B41F6"/>
    <w:rsid w:val="006B4321"/>
    <w:rsid w:val="006B6833"/>
    <w:rsid w:val="006C0D11"/>
    <w:rsid w:val="006C0DDE"/>
    <w:rsid w:val="006C0F80"/>
    <w:rsid w:val="006C3D1F"/>
    <w:rsid w:val="006C432C"/>
    <w:rsid w:val="006C5DD2"/>
    <w:rsid w:val="006C6B51"/>
    <w:rsid w:val="006C73B2"/>
    <w:rsid w:val="006C7D93"/>
    <w:rsid w:val="006D2AB4"/>
    <w:rsid w:val="006D3826"/>
    <w:rsid w:val="006D3A6C"/>
    <w:rsid w:val="006D599D"/>
    <w:rsid w:val="006D6266"/>
    <w:rsid w:val="006E1884"/>
    <w:rsid w:val="006E268B"/>
    <w:rsid w:val="006E2757"/>
    <w:rsid w:val="006E4064"/>
    <w:rsid w:val="006E45A5"/>
    <w:rsid w:val="006E5EBD"/>
    <w:rsid w:val="006E6CC1"/>
    <w:rsid w:val="006E7064"/>
    <w:rsid w:val="006E744A"/>
    <w:rsid w:val="006E7B08"/>
    <w:rsid w:val="006F0EF0"/>
    <w:rsid w:val="006F18FE"/>
    <w:rsid w:val="006F3A71"/>
    <w:rsid w:val="006F3E0D"/>
    <w:rsid w:val="006F52DA"/>
    <w:rsid w:val="006F622E"/>
    <w:rsid w:val="006F7BF9"/>
    <w:rsid w:val="00706718"/>
    <w:rsid w:val="00707D72"/>
    <w:rsid w:val="007113D9"/>
    <w:rsid w:val="007116AA"/>
    <w:rsid w:val="00712292"/>
    <w:rsid w:val="00713419"/>
    <w:rsid w:val="007150BE"/>
    <w:rsid w:val="007171F3"/>
    <w:rsid w:val="007175E8"/>
    <w:rsid w:val="0072331E"/>
    <w:rsid w:val="007274AA"/>
    <w:rsid w:val="00731048"/>
    <w:rsid w:val="00731093"/>
    <w:rsid w:val="00732BFC"/>
    <w:rsid w:val="00736304"/>
    <w:rsid w:val="0073718D"/>
    <w:rsid w:val="007402AE"/>
    <w:rsid w:val="0074109F"/>
    <w:rsid w:val="007427D9"/>
    <w:rsid w:val="0074487B"/>
    <w:rsid w:val="00744B2F"/>
    <w:rsid w:val="007472E3"/>
    <w:rsid w:val="0075080C"/>
    <w:rsid w:val="00751890"/>
    <w:rsid w:val="00753D50"/>
    <w:rsid w:val="00754F65"/>
    <w:rsid w:val="00755733"/>
    <w:rsid w:val="007558BA"/>
    <w:rsid w:val="00755E32"/>
    <w:rsid w:val="00757538"/>
    <w:rsid w:val="00760800"/>
    <w:rsid w:val="007617A9"/>
    <w:rsid w:val="007617FC"/>
    <w:rsid w:val="007621F3"/>
    <w:rsid w:val="007636AA"/>
    <w:rsid w:val="007649D5"/>
    <w:rsid w:val="00764C32"/>
    <w:rsid w:val="00767846"/>
    <w:rsid w:val="00767DBD"/>
    <w:rsid w:val="0077146B"/>
    <w:rsid w:val="00771778"/>
    <w:rsid w:val="00772247"/>
    <w:rsid w:val="00773CB1"/>
    <w:rsid w:val="00774319"/>
    <w:rsid w:val="0077686B"/>
    <w:rsid w:val="00776CB8"/>
    <w:rsid w:val="0077753B"/>
    <w:rsid w:val="00780A8E"/>
    <w:rsid w:val="00781EDA"/>
    <w:rsid w:val="00784777"/>
    <w:rsid w:val="00784EB3"/>
    <w:rsid w:val="00785A5A"/>
    <w:rsid w:val="00790C86"/>
    <w:rsid w:val="00791BFC"/>
    <w:rsid w:val="0079317E"/>
    <w:rsid w:val="007931AD"/>
    <w:rsid w:val="00793720"/>
    <w:rsid w:val="007948FC"/>
    <w:rsid w:val="00794E88"/>
    <w:rsid w:val="00794FD1"/>
    <w:rsid w:val="00795C40"/>
    <w:rsid w:val="00795E8E"/>
    <w:rsid w:val="00796887"/>
    <w:rsid w:val="0079721D"/>
    <w:rsid w:val="00797574"/>
    <w:rsid w:val="00797760"/>
    <w:rsid w:val="007A05AB"/>
    <w:rsid w:val="007A1BC0"/>
    <w:rsid w:val="007A2E06"/>
    <w:rsid w:val="007A41C8"/>
    <w:rsid w:val="007A4DFE"/>
    <w:rsid w:val="007A66AD"/>
    <w:rsid w:val="007B02C4"/>
    <w:rsid w:val="007B1B42"/>
    <w:rsid w:val="007B3521"/>
    <w:rsid w:val="007B54B8"/>
    <w:rsid w:val="007B55B1"/>
    <w:rsid w:val="007B5951"/>
    <w:rsid w:val="007B5B71"/>
    <w:rsid w:val="007C157D"/>
    <w:rsid w:val="007C3E33"/>
    <w:rsid w:val="007C4168"/>
    <w:rsid w:val="007C5FF2"/>
    <w:rsid w:val="007C723F"/>
    <w:rsid w:val="007C7CA4"/>
    <w:rsid w:val="007D0123"/>
    <w:rsid w:val="007D04DE"/>
    <w:rsid w:val="007D33FF"/>
    <w:rsid w:val="007D34D6"/>
    <w:rsid w:val="007D56E1"/>
    <w:rsid w:val="007D799E"/>
    <w:rsid w:val="007E0E5C"/>
    <w:rsid w:val="007E19CF"/>
    <w:rsid w:val="007E1ADA"/>
    <w:rsid w:val="007E2629"/>
    <w:rsid w:val="007E2643"/>
    <w:rsid w:val="007E37A2"/>
    <w:rsid w:val="007E5784"/>
    <w:rsid w:val="007E7878"/>
    <w:rsid w:val="007F0839"/>
    <w:rsid w:val="007F10F9"/>
    <w:rsid w:val="007F3973"/>
    <w:rsid w:val="007F4524"/>
    <w:rsid w:val="007F4560"/>
    <w:rsid w:val="007F4B59"/>
    <w:rsid w:val="008009AA"/>
    <w:rsid w:val="00801D6C"/>
    <w:rsid w:val="008025B6"/>
    <w:rsid w:val="00804F19"/>
    <w:rsid w:val="00805044"/>
    <w:rsid w:val="00805C2B"/>
    <w:rsid w:val="008062DF"/>
    <w:rsid w:val="008107EE"/>
    <w:rsid w:val="00810D92"/>
    <w:rsid w:val="008113C4"/>
    <w:rsid w:val="008114B8"/>
    <w:rsid w:val="0081441E"/>
    <w:rsid w:val="00814427"/>
    <w:rsid w:val="00814F36"/>
    <w:rsid w:val="00816911"/>
    <w:rsid w:val="00821DA7"/>
    <w:rsid w:val="00822707"/>
    <w:rsid w:val="00825A6A"/>
    <w:rsid w:val="00825CC0"/>
    <w:rsid w:val="00827A28"/>
    <w:rsid w:val="00830CF0"/>
    <w:rsid w:val="00830D5C"/>
    <w:rsid w:val="008317F4"/>
    <w:rsid w:val="00832025"/>
    <w:rsid w:val="00833FB2"/>
    <w:rsid w:val="00834311"/>
    <w:rsid w:val="008357E2"/>
    <w:rsid w:val="008363AB"/>
    <w:rsid w:val="0083711C"/>
    <w:rsid w:val="00837881"/>
    <w:rsid w:val="008415FD"/>
    <w:rsid w:val="00841D50"/>
    <w:rsid w:val="0084422B"/>
    <w:rsid w:val="00845834"/>
    <w:rsid w:val="00845D78"/>
    <w:rsid w:val="0084664B"/>
    <w:rsid w:val="00846815"/>
    <w:rsid w:val="00847171"/>
    <w:rsid w:val="00853420"/>
    <w:rsid w:val="008538DB"/>
    <w:rsid w:val="00854F6D"/>
    <w:rsid w:val="008556BD"/>
    <w:rsid w:val="00856F04"/>
    <w:rsid w:val="00857F25"/>
    <w:rsid w:val="00863C29"/>
    <w:rsid w:val="00864EC9"/>
    <w:rsid w:val="00864F62"/>
    <w:rsid w:val="008658EB"/>
    <w:rsid w:val="00865F15"/>
    <w:rsid w:val="008668A8"/>
    <w:rsid w:val="00866A2C"/>
    <w:rsid w:val="008672D2"/>
    <w:rsid w:val="00870B5A"/>
    <w:rsid w:val="00870CE7"/>
    <w:rsid w:val="00871C74"/>
    <w:rsid w:val="0087278B"/>
    <w:rsid w:val="0087312F"/>
    <w:rsid w:val="00873D48"/>
    <w:rsid w:val="008742A5"/>
    <w:rsid w:val="00875626"/>
    <w:rsid w:val="00880B52"/>
    <w:rsid w:val="00881DAF"/>
    <w:rsid w:val="00885A23"/>
    <w:rsid w:val="008866AA"/>
    <w:rsid w:val="00886F38"/>
    <w:rsid w:val="00886FB1"/>
    <w:rsid w:val="00887627"/>
    <w:rsid w:val="0088780F"/>
    <w:rsid w:val="00887EC4"/>
    <w:rsid w:val="00887F1C"/>
    <w:rsid w:val="00891074"/>
    <w:rsid w:val="008912E2"/>
    <w:rsid w:val="0089137A"/>
    <w:rsid w:val="008918F5"/>
    <w:rsid w:val="0089420F"/>
    <w:rsid w:val="00895DE5"/>
    <w:rsid w:val="00896D71"/>
    <w:rsid w:val="00896E2D"/>
    <w:rsid w:val="008A0B1A"/>
    <w:rsid w:val="008A29E4"/>
    <w:rsid w:val="008A311C"/>
    <w:rsid w:val="008A6750"/>
    <w:rsid w:val="008B052A"/>
    <w:rsid w:val="008B1124"/>
    <w:rsid w:val="008B239A"/>
    <w:rsid w:val="008B2EC2"/>
    <w:rsid w:val="008B362C"/>
    <w:rsid w:val="008B4B00"/>
    <w:rsid w:val="008B5A2A"/>
    <w:rsid w:val="008B6237"/>
    <w:rsid w:val="008B72BE"/>
    <w:rsid w:val="008B77A2"/>
    <w:rsid w:val="008C1891"/>
    <w:rsid w:val="008C1A09"/>
    <w:rsid w:val="008C2077"/>
    <w:rsid w:val="008C23D6"/>
    <w:rsid w:val="008C2CBE"/>
    <w:rsid w:val="008C3CA4"/>
    <w:rsid w:val="008C4429"/>
    <w:rsid w:val="008C597E"/>
    <w:rsid w:val="008C6D5C"/>
    <w:rsid w:val="008C6DDA"/>
    <w:rsid w:val="008C7812"/>
    <w:rsid w:val="008D3529"/>
    <w:rsid w:val="008D3B2A"/>
    <w:rsid w:val="008D4080"/>
    <w:rsid w:val="008D44E7"/>
    <w:rsid w:val="008D4D35"/>
    <w:rsid w:val="008D513D"/>
    <w:rsid w:val="008D53DE"/>
    <w:rsid w:val="008D558F"/>
    <w:rsid w:val="008D71EC"/>
    <w:rsid w:val="008D7A23"/>
    <w:rsid w:val="008E1C5C"/>
    <w:rsid w:val="008E503B"/>
    <w:rsid w:val="008E72CF"/>
    <w:rsid w:val="008F3ACE"/>
    <w:rsid w:val="008F511D"/>
    <w:rsid w:val="008F5C3E"/>
    <w:rsid w:val="009010A9"/>
    <w:rsid w:val="00901ADE"/>
    <w:rsid w:val="00901BBF"/>
    <w:rsid w:val="009026CE"/>
    <w:rsid w:val="009027E9"/>
    <w:rsid w:val="00902B0F"/>
    <w:rsid w:val="00903065"/>
    <w:rsid w:val="00903766"/>
    <w:rsid w:val="0090406E"/>
    <w:rsid w:val="00904629"/>
    <w:rsid w:val="00906183"/>
    <w:rsid w:val="00906250"/>
    <w:rsid w:val="009063BD"/>
    <w:rsid w:val="00907E7D"/>
    <w:rsid w:val="0091032A"/>
    <w:rsid w:val="00911D34"/>
    <w:rsid w:val="00913AD3"/>
    <w:rsid w:val="00913AFD"/>
    <w:rsid w:val="00913F47"/>
    <w:rsid w:val="009144A7"/>
    <w:rsid w:val="00916115"/>
    <w:rsid w:val="0092040C"/>
    <w:rsid w:val="00924409"/>
    <w:rsid w:val="00924A26"/>
    <w:rsid w:val="00925836"/>
    <w:rsid w:val="0092595A"/>
    <w:rsid w:val="00926788"/>
    <w:rsid w:val="00927F82"/>
    <w:rsid w:val="00930F5E"/>
    <w:rsid w:val="00931513"/>
    <w:rsid w:val="009361C4"/>
    <w:rsid w:val="00937339"/>
    <w:rsid w:val="00941B33"/>
    <w:rsid w:val="00942E01"/>
    <w:rsid w:val="00945A02"/>
    <w:rsid w:val="00946148"/>
    <w:rsid w:val="00946529"/>
    <w:rsid w:val="00946570"/>
    <w:rsid w:val="00946C99"/>
    <w:rsid w:val="00947120"/>
    <w:rsid w:val="00947EE2"/>
    <w:rsid w:val="009504C0"/>
    <w:rsid w:val="00951516"/>
    <w:rsid w:val="009517FE"/>
    <w:rsid w:val="00951D5F"/>
    <w:rsid w:val="00954FBD"/>
    <w:rsid w:val="0095551A"/>
    <w:rsid w:val="00957084"/>
    <w:rsid w:val="00960436"/>
    <w:rsid w:val="00962504"/>
    <w:rsid w:val="009627BD"/>
    <w:rsid w:val="00962B41"/>
    <w:rsid w:val="009632CA"/>
    <w:rsid w:val="00963761"/>
    <w:rsid w:val="00963E1C"/>
    <w:rsid w:val="00965BCE"/>
    <w:rsid w:val="00975103"/>
    <w:rsid w:val="00975262"/>
    <w:rsid w:val="009758EF"/>
    <w:rsid w:val="009762B5"/>
    <w:rsid w:val="009763DE"/>
    <w:rsid w:val="00976A3C"/>
    <w:rsid w:val="00977B54"/>
    <w:rsid w:val="0098004F"/>
    <w:rsid w:val="009803D2"/>
    <w:rsid w:val="00983DF9"/>
    <w:rsid w:val="00985BAB"/>
    <w:rsid w:val="0098669A"/>
    <w:rsid w:val="00990A04"/>
    <w:rsid w:val="009921B0"/>
    <w:rsid w:val="009931D3"/>
    <w:rsid w:val="00994BE7"/>
    <w:rsid w:val="00995767"/>
    <w:rsid w:val="00995C42"/>
    <w:rsid w:val="009970F2"/>
    <w:rsid w:val="00997543"/>
    <w:rsid w:val="00997980"/>
    <w:rsid w:val="009979EF"/>
    <w:rsid w:val="009A117D"/>
    <w:rsid w:val="009A2163"/>
    <w:rsid w:val="009A2FCC"/>
    <w:rsid w:val="009A36D7"/>
    <w:rsid w:val="009A5243"/>
    <w:rsid w:val="009A64A0"/>
    <w:rsid w:val="009A6F41"/>
    <w:rsid w:val="009A7316"/>
    <w:rsid w:val="009B02D9"/>
    <w:rsid w:val="009B1206"/>
    <w:rsid w:val="009B3953"/>
    <w:rsid w:val="009B59ED"/>
    <w:rsid w:val="009C1A9E"/>
    <w:rsid w:val="009C2488"/>
    <w:rsid w:val="009C348E"/>
    <w:rsid w:val="009C4E72"/>
    <w:rsid w:val="009C5698"/>
    <w:rsid w:val="009C620C"/>
    <w:rsid w:val="009C6C1B"/>
    <w:rsid w:val="009D00AC"/>
    <w:rsid w:val="009D0313"/>
    <w:rsid w:val="009D0913"/>
    <w:rsid w:val="009D0DE7"/>
    <w:rsid w:val="009D12A6"/>
    <w:rsid w:val="009D1CD1"/>
    <w:rsid w:val="009D1D28"/>
    <w:rsid w:val="009D2548"/>
    <w:rsid w:val="009D2B98"/>
    <w:rsid w:val="009D37A5"/>
    <w:rsid w:val="009D4201"/>
    <w:rsid w:val="009D45C2"/>
    <w:rsid w:val="009D5836"/>
    <w:rsid w:val="009E0E03"/>
    <w:rsid w:val="009E1A1E"/>
    <w:rsid w:val="009E205A"/>
    <w:rsid w:val="009E2062"/>
    <w:rsid w:val="009E253B"/>
    <w:rsid w:val="009E4E36"/>
    <w:rsid w:val="009E5A1D"/>
    <w:rsid w:val="009E5CF1"/>
    <w:rsid w:val="009F18F5"/>
    <w:rsid w:val="009F3C87"/>
    <w:rsid w:val="009F7926"/>
    <w:rsid w:val="009F7AA2"/>
    <w:rsid w:val="009F7FEB"/>
    <w:rsid w:val="00A0009B"/>
    <w:rsid w:val="00A000DC"/>
    <w:rsid w:val="00A01DF4"/>
    <w:rsid w:val="00A0279A"/>
    <w:rsid w:val="00A02B08"/>
    <w:rsid w:val="00A03985"/>
    <w:rsid w:val="00A06F8B"/>
    <w:rsid w:val="00A12ED5"/>
    <w:rsid w:val="00A15478"/>
    <w:rsid w:val="00A1649D"/>
    <w:rsid w:val="00A17736"/>
    <w:rsid w:val="00A17DFA"/>
    <w:rsid w:val="00A200C8"/>
    <w:rsid w:val="00A21B0B"/>
    <w:rsid w:val="00A23433"/>
    <w:rsid w:val="00A23DF1"/>
    <w:rsid w:val="00A24873"/>
    <w:rsid w:val="00A254AC"/>
    <w:rsid w:val="00A256A0"/>
    <w:rsid w:val="00A25A80"/>
    <w:rsid w:val="00A26600"/>
    <w:rsid w:val="00A271D1"/>
    <w:rsid w:val="00A3040A"/>
    <w:rsid w:val="00A34A09"/>
    <w:rsid w:val="00A34D78"/>
    <w:rsid w:val="00A3653E"/>
    <w:rsid w:val="00A36816"/>
    <w:rsid w:val="00A36B0B"/>
    <w:rsid w:val="00A37966"/>
    <w:rsid w:val="00A406EE"/>
    <w:rsid w:val="00A4141A"/>
    <w:rsid w:val="00A41A8F"/>
    <w:rsid w:val="00A41D2B"/>
    <w:rsid w:val="00A41DEF"/>
    <w:rsid w:val="00A42B4E"/>
    <w:rsid w:val="00A440DC"/>
    <w:rsid w:val="00A4576F"/>
    <w:rsid w:val="00A47071"/>
    <w:rsid w:val="00A507D0"/>
    <w:rsid w:val="00A50A92"/>
    <w:rsid w:val="00A51A9E"/>
    <w:rsid w:val="00A52BEE"/>
    <w:rsid w:val="00A52C23"/>
    <w:rsid w:val="00A5329B"/>
    <w:rsid w:val="00A535EF"/>
    <w:rsid w:val="00A542E2"/>
    <w:rsid w:val="00A54721"/>
    <w:rsid w:val="00A55CC2"/>
    <w:rsid w:val="00A56A0E"/>
    <w:rsid w:val="00A570D4"/>
    <w:rsid w:val="00A5728B"/>
    <w:rsid w:val="00A57D82"/>
    <w:rsid w:val="00A604BB"/>
    <w:rsid w:val="00A61181"/>
    <w:rsid w:val="00A62862"/>
    <w:rsid w:val="00A641DF"/>
    <w:rsid w:val="00A646BF"/>
    <w:rsid w:val="00A65480"/>
    <w:rsid w:val="00A67652"/>
    <w:rsid w:val="00A7227F"/>
    <w:rsid w:val="00A7312B"/>
    <w:rsid w:val="00A732E9"/>
    <w:rsid w:val="00A7335A"/>
    <w:rsid w:val="00A73883"/>
    <w:rsid w:val="00A75235"/>
    <w:rsid w:val="00A77C7F"/>
    <w:rsid w:val="00A77D62"/>
    <w:rsid w:val="00A83172"/>
    <w:rsid w:val="00A86686"/>
    <w:rsid w:val="00A86B49"/>
    <w:rsid w:val="00A876E4"/>
    <w:rsid w:val="00A87E50"/>
    <w:rsid w:val="00A91A2C"/>
    <w:rsid w:val="00A91A9A"/>
    <w:rsid w:val="00A93A84"/>
    <w:rsid w:val="00A94A86"/>
    <w:rsid w:val="00A96113"/>
    <w:rsid w:val="00A96D63"/>
    <w:rsid w:val="00A9722D"/>
    <w:rsid w:val="00A97691"/>
    <w:rsid w:val="00A97C8F"/>
    <w:rsid w:val="00AA0AD4"/>
    <w:rsid w:val="00AA0FC3"/>
    <w:rsid w:val="00AA15D5"/>
    <w:rsid w:val="00AA19EC"/>
    <w:rsid w:val="00AA19ED"/>
    <w:rsid w:val="00AA2EA9"/>
    <w:rsid w:val="00AA4314"/>
    <w:rsid w:val="00AA5380"/>
    <w:rsid w:val="00AA5DE0"/>
    <w:rsid w:val="00AA677D"/>
    <w:rsid w:val="00AB006D"/>
    <w:rsid w:val="00AB0300"/>
    <w:rsid w:val="00AB2255"/>
    <w:rsid w:val="00AB5394"/>
    <w:rsid w:val="00AC08A0"/>
    <w:rsid w:val="00AC1B93"/>
    <w:rsid w:val="00AC240B"/>
    <w:rsid w:val="00AC35AB"/>
    <w:rsid w:val="00AC505F"/>
    <w:rsid w:val="00AC6989"/>
    <w:rsid w:val="00AC6D81"/>
    <w:rsid w:val="00AC7374"/>
    <w:rsid w:val="00AD08BB"/>
    <w:rsid w:val="00AD2150"/>
    <w:rsid w:val="00AD2320"/>
    <w:rsid w:val="00AD450C"/>
    <w:rsid w:val="00AD5A52"/>
    <w:rsid w:val="00AE0960"/>
    <w:rsid w:val="00AE13EC"/>
    <w:rsid w:val="00AE2042"/>
    <w:rsid w:val="00AE228B"/>
    <w:rsid w:val="00AE41DD"/>
    <w:rsid w:val="00AE5011"/>
    <w:rsid w:val="00AE65CC"/>
    <w:rsid w:val="00AE760A"/>
    <w:rsid w:val="00AF05B6"/>
    <w:rsid w:val="00AF1181"/>
    <w:rsid w:val="00AF3010"/>
    <w:rsid w:val="00AF6248"/>
    <w:rsid w:val="00AF6E41"/>
    <w:rsid w:val="00AF7AC1"/>
    <w:rsid w:val="00B012AA"/>
    <w:rsid w:val="00B01306"/>
    <w:rsid w:val="00B03F88"/>
    <w:rsid w:val="00B064C2"/>
    <w:rsid w:val="00B065F3"/>
    <w:rsid w:val="00B06C36"/>
    <w:rsid w:val="00B07B87"/>
    <w:rsid w:val="00B10230"/>
    <w:rsid w:val="00B1040A"/>
    <w:rsid w:val="00B10442"/>
    <w:rsid w:val="00B1058F"/>
    <w:rsid w:val="00B11456"/>
    <w:rsid w:val="00B1188D"/>
    <w:rsid w:val="00B12BFD"/>
    <w:rsid w:val="00B12F0C"/>
    <w:rsid w:val="00B13544"/>
    <w:rsid w:val="00B13A36"/>
    <w:rsid w:val="00B145C9"/>
    <w:rsid w:val="00B159EC"/>
    <w:rsid w:val="00B203F8"/>
    <w:rsid w:val="00B2072E"/>
    <w:rsid w:val="00B21BFF"/>
    <w:rsid w:val="00B2280D"/>
    <w:rsid w:val="00B22F24"/>
    <w:rsid w:val="00B24593"/>
    <w:rsid w:val="00B307A0"/>
    <w:rsid w:val="00B30822"/>
    <w:rsid w:val="00B3397D"/>
    <w:rsid w:val="00B33A97"/>
    <w:rsid w:val="00B33B98"/>
    <w:rsid w:val="00B35013"/>
    <w:rsid w:val="00B35684"/>
    <w:rsid w:val="00B3641A"/>
    <w:rsid w:val="00B3642A"/>
    <w:rsid w:val="00B36863"/>
    <w:rsid w:val="00B37174"/>
    <w:rsid w:val="00B37E31"/>
    <w:rsid w:val="00B44D59"/>
    <w:rsid w:val="00B44EB1"/>
    <w:rsid w:val="00B47408"/>
    <w:rsid w:val="00B50950"/>
    <w:rsid w:val="00B50ACC"/>
    <w:rsid w:val="00B50E73"/>
    <w:rsid w:val="00B519C3"/>
    <w:rsid w:val="00B52CB7"/>
    <w:rsid w:val="00B53BCD"/>
    <w:rsid w:val="00B54F3B"/>
    <w:rsid w:val="00B5520E"/>
    <w:rsid w:val="00B567C2"/>
    <w:rsid w:val="00B56D48"/>
    <w:rsid w:val="00B60D96"/>
    <w:rsid w:val="00B613FA"/>
    <w:rsid w:val="00B62516"/>
    <w:rsid w:val="00B62B6D"/>
    <w:rsid w:val="00B63492"/>
    <w:rsid w:val="00B6379D"/>
    <w:rsid w:val="00B63D6D"/>
    <w:rsid w:val="00B63F44"/>
    <w:rsid w:val="00B66087"/>
    <w:rsid w:val="00B701A7"/>
    <w:rsid w:val="00B703FA"/>
    <w:rsid w:val="00B70547"/>
    <w:rsid w:val="00B71662"/>
    <w:rsid w:val="00B7342B"/>
    <w:rsid w:val="00B73E1A"/>
    <w:rsid w:val="00B74A14"/>
    <w:rsid w:val="00B74EB1"/>
    <w:rsid w:val="00B75C86"/>
    <w:rsid w:val="00B77075"/>
    <w:rsid w:val="00B800C3"/>
    <w:rsid w:val="00B8140B"/>
    <w:rsid w:val="00B82E0C"/>
    <w:rsid w:val="00B82F40"/>
    <w:rsid w:val="00B83768"/>
    <w:rsid w:val="00B90EAF"/>
    <w:rsid w:val="00B9271F"/>
    <w:rsid w:val="00B93DD2"/>
    <w:rsid w:val="00B93FEE"/>
    <w:rsid w:val="00B94631"/>
    <w:rsid w:val="00B95D36"/>
    <w:rsid w:val="00B960C8"/>
    <w:rsid w:val="00B96C55"/>
    <w:rsid w:val="00B97A8C"/>
    <w:rsid w:val="00B97B48"/>
    <w:rsid w:val="00BA1523"/>
    <w:rsid w:val="00BA18D8"/>
    <w:rsid w:val="00BA1C50"/>
    <w:rsid w:val="00BA2714"/>
    <w:rsid w:val="00BA3338"/>
    <w:rsid w:val="00BA43DD"/>
    <w:rsid w:val="00BA50BF"/>
    <w:rsid w:val="00BA5418"/>
    <w:rsid w:val="00BA5ADA"/>
    <w:rsid w:val="00BA6DBB"/>
    <w:rsid w:val="00BA7497"/>
    <w:rsid w:val="00BB08DC"/>
    <w:rsid w:val="00BB0A90"/>
    <w:rsid w:val="00BB232A"/>
    <w:rsid w:val="00BB285E"/>
    <w:rsid w:val="00BB3570"/>
    <w:rsid w:val="00BB3C7D"/>
    <w:rsid w:val="00BB44E0"/>
    <w:rsid w:val="00BB4E22"/>
    <w:rsid w:val="00BB5F8F"/>
    <w:rsid w:val="00BB6EA7"/>
    <w:rsid w:val="00BB7333"/>
    <w:rsid w:val="00BB79A0"/>
    <w:rsid w:val="00BB7FFA"/>
    <w:rsid w:val="00BC043A"/>
    <w:rsid w:val="00BC0A44"/>
    <w:rsid w:val="00BC38F8"/>
    <w:rsid w:val="00BC3A49"/>
    <w:rsid w:val="00BC523F"/>
    <w:rsid w:val="00BC67D9"/>
    <w:rsid w:val="00BD3228"/>
    <w:rsid w:val="00BD4416"/>
    <w:rsid w:val="00BE0295"/>
    <w:rsid w:val="00BE4495"/>
    <w:rsid w:val="00BE5F81"/>
    <w:rsid w:val="00BE76A1"/>
    <w:rsid w:val="00BE7D57"/>
    <w:rsid w:val="00BF0F4A"/>
    <w:rsid w:val="00BF13A5"/>
    <w:rsid w:val="00BF18C5"/>
    <w:rsid w:val="00BF1914"/>
    <w:rsid w:val="00BF1B93"/>
    <w:rsid w:val="00BF206D"/>
    <w:rsid w:val="00BF31AB"/>
    <w:rsid w:val="00BF6F02"/>
    <w:rsid w:val="00BF7C41"/>
    <w:rsid w:val="00C00EF8"/>
    <w:rsid w:val="00C01977"/>
    <w:rsid w:val="00C019F9"/>
    <w:rsid w:val="00C01C30"/>
    <w:rsid w:val="00C02F52"/>
    <w:rsid w:val="00C04E7E"/>
    <w:rsid w:val="00C0520B"/>
    <w:rsid w:val="00C05BA4"/>
    <w:rsid w:val="00C05D99"/>
    <w:rsid w:val="00C06DC3"/>
    <w:rsid w:val="00C07399"/>
    <w:rsid w:val="00C10B6F"/>
    <w:rsid w:val="00C11634"/>
    <w:rsid w:val="00C11828"/>
    <w:rsid w:val="00C12F0E"/>
    <w:rsid w:val="00C13AA4"/>
    <w:rsid w:val="00C144B5"/>
    <w:rsid w:val="00C14E24"/>
    <w:rsid w:val="00C17287"/>
    <w:rsid w:val="00C200A1"/>
    <w:rsid w:val="00C21A80"/>
    <w:rsid w:val="00C21D4C"/>
    <w:rsid w:val="00C24515"/>
    <w:rsid w:val="00C31A1B"/>
    <w:rsid w:val="00C3232E"/>
    <w:rsid w:val="00C325D1"/>
    <w:rsid w:val="00C33122"/>
    <w:rsid w:val="00C3455D"/>
    <w:rsid w:val="00C348AA"/>
    <w:rsid w:val="00C357D9"/>
    <w:rsid w:val="00C374B3"/>
    <w:rsid w:val="00C40DB9"/>
    <w:rsid w:val="00C4486B"/>
    <w:rsid w:val="00C44E8D"/>
    <w:rsid w:val="00C451CA"/>
    <w:rsid w:val="00C46192"/>
    <w:rsid w:val="00C461BF"/>
    <w:rsid w:val="00C47FFE"/>
    <w:rsid w:val="00C502D1"/>
    <w:rsid w:val="00C506DC"/>
    <w:rsid w:val="00C50B64"/>
    <w:rsid w:val="00C50EDB"/>
    <w:rsid w:val="00C52D78"/>
    <w:rsid w:val="00C533D2"/>
    <w:rsid w:val="00C5505B"/>
    <w:rsid w:val="00C5533B"/>
    <w:rsid w:val="00C568AC"/>
    <w:rsid w:val="00C56A25"/>
    <w:rsid w:val="00C63031"/>
    <w:rsid w:val="00C63126"/>
    <w:rsid w:val="00C63B00"/>
    <w:rsid w:val="00C65809"/>
    <w:rsid w:val="00C662FF"/>
    <w:rsid w:val="00C66F39"/>
    <w:rsid w:val="00C675B2"/>
    <w:rsid w:val="00C67926"/>
    <w:rsid w:val="00C711D9"/>
    <w:rsid w:val="00C737BD"/>
    <w:rsid w:val="00C7490B"/>
    <w:rsid w:val="00C74FB5"/>
    <w:rsid w:val="00C75A6F"/>
    <w:rsid w:val="00C80570"/>
    <w:rsid w:val="00C80AC0"/>
    <w:rsid w:val="00C80EF2"/>
    <w:rsid w:val="00C8233C"/>
    <w:rsid w:val="00C82CD8"/>
    <w:rsid w:val="00C83BCF"/>
    <w:rsid w:val="00C846BC"/>
    <w:rsid w:val="00C9105A"/>
    <w:rsid w:val="00C9288C"/>
    <w:rsid w:val="00C937C4"/>
    <w:rsid w:val="00C958D5"/>
    <w:rsid w:val="00CA0D4D"/>
    <w:rsid w:val="00CA0EED"/>
    <w:rsid w:val="00CA230C"/>
    <w:rsid w:val="00CA3C4B"/>
    <w:rsid w:val="00CA4A56"/>
    <w:rsid w:val="00CA522B"/>
    <w:rsid w:val="00CA61A1"/>
    <w:rsid w:val="00CA6D39"/>
    <w:rsid w:val="00CB0BE4"/>
    <w:rsid w:val="00CB13E7"/>
    <w:rsid w:val="00CB6D3D"/>
    <w:rsid w:val="00CC057D"/>
    <w:rsid w:val="00CC1B35"/>
    <w:rsid w:val="00CC1D7A"/>
    <w:rsid w:val="00CC26AE"/>
    <w:rsid w:val="00CC346E"/>
    <w:rsid w:val="00CC3CF5"/>
    <w:rsid w:val="00CC3EBF"/>
    <w:rsid w:val="00CC627B"/>
    <w:rsid w:val="00CC6574"/>
    <w:rsid w:val="00CC7C5F"/>
    <w:rsid w:val="00CD05CC"/>
    <w:rsid w:val="00CD0F98"/>
    <w:rsid w:val="00CD11A3"/>
    <w:rsid w:val="00CD17C1"/>
    <w:rsid w:val="00CD22C2"/>
    <w:rsid w:val="00CD2652"/>
    <w:rsid w:val="00CD3390"/>
    <w:rsid w:val="00CD4ABC"/>
    <w:rsid w:val="00CD5CF3"/>
    <w:rsid w:val="00CD7BC4"/>
    <w:rsid w:val="00CE0B74"/>
    <w:rsid w:val="00CE0DEB"/>
    <w:rsid w:val="00CE162E"/>
    <w:rsid w:val="00CE16E3"/>
    <w:rsid w:val="00CE35D9"/>
    <w:rsid w:val="00CE394A"/>
    <w:rsid w:val="00CE49A1"/>
    <w:rsid w:val="00CE7E3E"/>
    <w:rsid w:val="00CF0ED6"/>
    <w:rsid w:val="00CF266C"/>
    <w:rsid w:val="00CF3DEC"/>
    <w:rsid w:val="00CF46C0"/>
    <w:rsid w:val="00CF4C8E"/>
    <w:rsid w:val="00CF5AA3"/>
    <w:rsid w:val="00D0061E"/>
    <w:rsid w:val="00D00C00"/>
    <w:rsid w:val="00D011B6"/>
    <w:rsid w:val="00D01D4C"/>
    <w:rsid w:val="00D04A81"/>
    <w:rsid w:val="00D04DE6"/>
    <w:rsid w:val="00D0548A"/>
    <w:rsid w:val="00D06B3C"/>
    <w:rsid w:val="00D070A5"/>
    <w:rsid w:val="00D075C0"/>
    <w:rsid w:val="00D07CC2"/>
    <w:rsid w:val="00D07FB9"/>
    <w:rsid w:val="00D10B47"/>
    <w:rsid w:val="00D12644"/>
    <w:rsid w:val="00D12663"/>
    <w:rsid w:val="00D12FD2"/>
    <w:rsid w:val="00D15A1F"/>
    <w:rsid w:val="00D1614D"/>
    <w:rsid w:val="00D165EE"/>
    <w:rsid w:val="00D2038E"/>
    <w:rsid w:val="00D21F51"/>
    <w:rsid w:val="00D240D2"/>
    <w:rsid w:val="00D25390"/>
    <w:rsid w:val="00D2671D"/>
    <w:rsid w:val="00D26F47"/>
    <w:rsid w:val="00D325B5"/>
    <w:rsid w:val="00D33873"/>
    <w:rsid w:val="00D338C1"/>
    <w:rsid w:val="00D342B2"/>
    <w:rsid w:val="00D34347"/>
    <w:rsid w:val="00D412CB"/>
    <w:rsid w:val="00D41806"/>
    <w:rsid w:val="00D4486B"/>
    <w:rsid w:val="00D46831"/>
    <w:rsid w:val="00D471DE"/>
    <w:rsid w:val="00D47358"/>
    <w:rsid w:val="00D47BA0"/>
    <w:rsid w:val="00D47C9C"/>
    <w:rsid w:val="00D52232"/>
    <w:rsid w:val="00D53419"/>
    <w:rsid w:val="00D54F13"/>
    <w:rsid w:val="00D5685C"/>
    <w:rsid w:val="00D5730D"/>
    <w:rsid w:val="00D64467"/>
    <w:rsid w:val="00D64930"/>
    <w:rsid w:val="00D65558"/>
    <w:rsid w:val="00D6616C"/>
    <w:rsid w:val="00D661AD"/>
    <w:rsid w:val="00D70DB9"/>
    <w:rsid w:val="00D738B2"/>
    <w:rsid w:val="00D73DEC"/>
    <w:rsid w:val="00D75019"/>
    <w:rsid w:val="00D7586D"/>
    <w:rsid w:val="00D806C0"/>
    <w:rsid w:val="00D80F4C"/>
    <w:rsid w:val="00D81874"/>
    <w:rsid w:val="00D81FB7"/>
    <w:rsid w:val="00D82BDB"/>
    <w:rsid w:val="00D82E87"/>
    <w:rsid w:val="00D83070"/>
    <w:rsid w:val="00D83895"/>
    <w:rsid w:val="00D85133"/>
    <w:rsid w:val="00D859B1"/>
    <w:rsid w:val="00D86E20"/>
    <w:rsid w:val="00D86E50"/>
    <w:rsid w:val="00D93874"/>
    <w:rsid w:val="00D93A03"/>
    <w:rsid w:val="00D95D21"/>
    <w:rsid w:val="00D97CC0"/>
    <w:rsid w:val="00DA17DD"/>
    <w:rsid w:val="00DA22FC"/>
    <w:rsid w:val="00DA3218"/>
    <w:rsid w:val="00DA4871"/>
    <w:rsid w:val="00DA4B7A"/>
    <w:rsid w:val="00DA50A8"/>
    <w:rsid w:val="00DA593D"/>
    <w:rsid w:val="00DA5F2F"/>
    <w:rsid w:val="00DB06C7"/>
    <w:rsid w:val="00DB0989"/>
    <w:rsid w:val="00DB1569"/>
    <w:rsid w:val="00DB2A7A"/>
    <w:rsid w:val="00DB4DB5"/>
    <w:rsid w:val="00DB5FC0"/>
    <w:rsid w:val="00DC1E11"/>
    <w:rsid w:val="00DC2E91"/>
    <w:rsid w:val="00DC3F98"/>
    <w:rsid w:val="00DC43FD"/>
    <w:rsid w:val="00DC452E"/>
    <w:rsid w:val="00DC4FF4"/>
    <w:rsid w:val="00DD048B"/>
    <w:rsid w:val="00DD1171"/>
    <w:rsid w:val="00DD1A71"/>
    <w:rsid w:val="00DD29B6"/>
    <w:rsid w:val="00DD4AE7"/>
    <w:rsid w:val="00DD7C22"/>
    <w:rsid w:val="00DE1290"/>
    <w:rsid w:val="00DE2F09"/>
    <w:rsid w:val="00DE3C60"/>
    <w:rsid w:val="00DE4084"/>
    <w:rsid w:val="00DE413E"/>
    <w:rsid w:val="00DE4A5F"/>
    <w:rsid w:val="00DE5029"/>
    <w:rsid w:val="00DE5C9C"/>
    <w:rsid w:val="00DE696F"/>
    <w:rsid w:val="00DF1070"/>
    <w:rsid w:val="00DF1920"/>
    <w:rsid w:val="00DF38B0"/>
    <w:rsid w:val="00DF4C6E"/>
    <w:rsid w:val="00DF5950"/>
    <w:rsid w:val="00DF61F3"/>
    <w:rsid w:val="00DF6771"/>
    <w:rsid w:val="00DF6F2A"/>
    <w:rsid w:val="00E00358"/>
    <w:rsid w:val="00E00AB9"/>
    <w:rsid w:val="00E02727"/>
    <w:rsid w:val="00E02CE0"/>
    <w:rsid w:val="00E0488F"/>
    <w:rsid w:val="00E053D9"/>
    <w:rsid w:val="00E054E8"/>
    <w:rsid w:val="00E05C4F"/>
    <w:rsid w:val="00E06571"/>
    <w:rsid w:val="00E079FB"/>
    <w:rsid w:val="00E1062F"/>
    <w:rsid w:val="00E125F9"/>
    <w:rsid w:val="00E12E44"/>
    <w:rsid w:val="00E13738"/>
    <w:rsid w:val="00E13BCB"/>
    <w:rsid w:val="00E143FF"/>
    <w:rsid w:val="00E152A2"/>
    <w:rsid w:val="00E1633E"/>
    <w:rsid w:val="00E16C23"/>
    <w:rsid w:val="00E177FF"/>
    <w:rsid w:val="00E21D2B"/>
    <w:rsid w:val="00E23A25"/>
    <w:rsid w:val="00E244B4"/>
    <w:rsid w:val="00E27C68"/>
    <w:rsid w:val="00E3065C"/>
    <w:rsid w:val="00E30975"/>
    <w:rsid w:val="00E314E0"/>
    <w:rsid w:val="00E314EB"/>
    <w:rsid w:val="00E3316F"/>
    <w:rsid w:val="00E33C37"/>
    <w:rsid w:val="00E34ED2"/>
    <w:rsid w:val="00E35489"/>
    <w:rsid w:val="00E366ED"/>
    <w:rsid w:val="00E36B98"/>
    <w:rsid w:val="00E37158"/>
    <w:rsid w:val="00E374B9"/>
    <w:rsid w:val="00E45C21"/>
    <w:rsid w:val="00E50FA3"/>
    <w:rsid w:val="00E5676B"/>
    <w:rsid w:val="00E568F8"/>
    <w:rsid w:val="00E5768A"/>
    <w:rsid w:val="00E57724"/>
    <w:rsid w:val="00E60AE3"/>
    <w:rsid w:val="00E60CAA"/>
    <w:rsid w:val="00E62F05"/>
    <w:rsid w:val="00E64005"/>
    <w:rsid w:val="00E6415A"/>
    <w:rsid w:val="00E66A08"/>
    <w:rsid w:val="00E66D2A"/>
    <w:rsid w:val="00E70D35"/>
    <w:rsid w:val="00E716DC"/>
    <w:rsid w:val="00E72BC0"/>
    <w:rsid w:val="00E73649"/>
    <w:rsid w:val="00E74A5C"/>
    <w:rsid w:val="00E75E0B"/>
    <w:rsid w:val="00E81721"/>
    <w:rsid w:val="00E82646"/>
    <w:rsid w:val="00E827EA"/>
    <w:rsid w:val="00E84A71"/>
    <w:rsid w:val="00E84D61"/>
    <w:rsid w:val="00E851D3"/>
    <w:rsid w:val="00E85CCD"/>
    <w:rsid w:val="00E86759"/>
    <w:rsid w:val="00E86822"/>
    <w:rsid w:val="00E869B3"/>
    <w:rsid w:val="00E875E8"/>
    <w:rsid w:val="00E9092C"/>
    <w:rsid w:val="00E9095C"/>
    <w:rsid w:val="00E92076"/>
    <w:rsid w:val="00E9335E"/>
    <w:rsid w:val="00E93508"/>
    <w:rsid w:val="00E94E7D"/>
    <w:rsid w:val="00E95A62"/>
    <w:rsid w:val="00EA1FF1"/>
    <w:rsid w:val="00EA47AA"/>
    <w:rsid w:val="00EA4CF5"/>
    <w:rsid w:val="00EA6267"/>
    <w:rsid w:val="00EA6AC0"/>
    <w:rsid w:val="00EA6EDF"/>
    <w:rsid w:val="00EA7492"/>
    <w:rsid w:val="00EB0BDC"/>
    <w:rsid w:val="00EB336A"/>
    <w:rsid w:val="00EB518C"/>
    <w:rsid w:val="00EB5D11"/>
    <w:rsid w:val="00EB6EA0"/>
    <w:rsid w:val="00EC0496"/>
    <w:rsid w:val="00EC0A8B"/>
    <w:rsid w:val="00EC23B0"/>
    <w:rsid w:val="00EC3166"/>
    <w:rsid w:val="00EC6725"/>
    <w:rsid w:val="00EC6BAE"/>
    <w:rsid w:val="00ED09C5"/>
    <w:rsid w:val="00ED163A"/>
    <w:rsid w:val="00ED1970"/>
    <w:rsid w:val="00ED1A9F"/>
    <w:rsid w:val="00ED1AE3"/>
    <w:rsid w:val="00ED3136"/>
    <w:rsid w:val="00ED53B2"/>
    <w:rsid w:val="00ED7484"/>
    <w:rsid w:val="00ED7AE7"/>
    <w:rsid w:val="00ED7E64"/>
    <w:rsid w:val="00EE08D0"/>
    <w:rsid w:val="00EE0D66"/>
    <w:rsid w:val="00EE1020"/>
    <w:rsid w:val="00EE16B2"/>
    <w:rsid w:val="00EE33C8"/>
    <w:rsid w:val="00EE343E"/>
    <w:rsid w:val="00EE365D"/>
    <w:rsid w:val="00EE37DC"/>
    <w:rsid w:val="00EE39A5"/>
    <w:rsid w:val="00EE4406"/>
    <w:rsid w:val="00EE7761"/>
    <w:rsid w:val="00EE7CF5"/>
    <w:rsid w:val="00EF412E"/>
    <w:rsid w:val="00EF5237"/>
    <w:rsid w:val="00EF6A05"/>
    <w:rsid w:val="00EF70EB"/>
    <w:rsid w:val="00F00013"/>
    <w:rsid w:val="00F0052D"/>
    <w:rsid w:val="00F0058C"/>
    <w:rsid w:val="00F005D3"/>
    <w:rsid w:val="00F0354B"/>
    <w:rsid w:val="00F0379E"/>
    <w:rsid w:val="00F03BA2"/>
    <w:rsid w:val="00F0451F"/>
    <w:rsid w:val="00F06CCB"/>
    <w:rsid w:val="00F07945"/>
    <w:rsid w:val="00F11CD6"/>
    <w:rsid w:val="00F11D81"/>
    <w:rsid w:val="00F13E8B"/>
    <w:rsid w:val="00F13FE8"/>
    <w:rsid w:val="00F14F3E"/>
    <w:rsid w:val="00F15ADA"/>
    <w:rsid w:val="00F1611A"/>
    <w:rsid w:val="00F1785C"/>
    <w:rsid w:val="00F215FF"/>
    <w:rsid w:val="00F230DE"/>
    <w:rsid w:val="00F23426"/>
    <w:rsid w:val="00F24401"/>
    <w:rsid w:val="00F2460A"/>
    <w:rsid w:val="00F247A6"/>
    <w:rsid w:val="00F24AAA"/>
    <w:rsid w:val="00F24E2B"/>
    <w:rsid w:val="00F2534A"/>
    <w:rsid w:val="00F27022"/>
    <w:rsid w:val="00F27E86"/>
    <w:rsid w:val="00F330F2"/>
    <w:rsid w:val="00F33869"/>
    <w:rsid w:val="00F351CB"/>
    <w:rsid w:val="00F4235F"/>
    <w:rsid w:val="00F42755"/>
    <w:rsid w:val="00F42C38"/>
    <w:rsid w:val="00F4408F"/>
    <w:rsid w:val="00F4768F"/>
    <w:rsid w:val="00F508A3"/>
    <w:rsid w:val="00F50AA3"/>
    <w:rsid w:val="00F5209E"/>
    <w:rsid w:val="00F54EC0"/>
    <w:rsid w:val="00F555A2"/>
    <w:rsid w:val="00F57D75"/>
    <w:rsid w:val="00F605F5"/>
    <w:rsid w:val="00F60D27"/>
    <w:rsid w:val="00F615A8"/>
    <w:rsid w:val="00F61F84"/>
    <w:rsid w:val="00F627FD"/>
    <w:rsid w:val="00F637A5"/>
    <w:rsid w:val="00F63B13"/>
    <w:rsid w:val="00F65077"/>
    <w:rsid w:val="00F651D9"/>
    <w:rsid w:val="00F6557A"/>
    <w:rsid w:val="00F65BA8"/>
    <w:rsid w:val="00F65BB0"/>
    <w:rsid w:val="00F67BCF"/>
    <w:rsid w:val="00F714A7"/>
    <w:rsid w:val="00F71DCF"/>
    <w:rsid w:val="00F72C4F"/>
    <w:rsid w:val="00F7445D"/>
    <w:rsid w:val="00F74B03"/>
    <w:rsid w:val="00F75B94"/>
    <w:rsid w:val="00F76892"/>
    <w:rsid w:val="00F76D1D"/>
    <w:rsid w:val="00F80C5D"/>
    <w:rsid w:val="00F84448"/>
    <w:rsid w:val="00F849D0"/>
    <w:rsid w:val="00F850B2"/>
    <w:rsid w:val="00F85BF7"/>
    <w:rsid w:val="00F875E1"/>
    <w:rsid w:val="00F90403"/>
    <w:rsid w:val="00F91EAC"/>
    <w:rsid w:val="00F9212C"/>
    <w:rsid w:val="00F965AC"/>
    <w:rsid w:val="00F977CE"/>
    <w:rsid w:val="00FA0E08"/>
    <w:rsid w:val="00FA1164"/>
    <w:rsid w:val="00FA1CFB"/>
    <w:rsid w:val="00FA2613"/>
    <w:rsid w:val="00FA3F88"/>
    <w:rsid w:val="00FA4862"/>
    <w:rsid w:val="00FA4C31"/>
    <w:rsid w:val="00FA5497"/>
    <w:rsid w:val="00FA5B45"/>
    <w:rsid w:val="00FA711E"/>
    <w:rsid w:val="00FB0EDA"/>
    <w:rsid w:val="00FB2497"/>
    <w:rsid w:val="00FB2CBD"/>
    <w:rsid w:val="00FB4845"/>
    <w:rsid w:val="00FB497C"/>
    <w:rsid w:val="00FB5FBC"/>
    <w:rsid w:val="00FB6460"/>
    <w:rsid w:val="00FB65C4"/>
    <w:rsid w:val="00FC092B"/>
    <w:rsid w:val="00FC160D"/>
    <w:rsid w:val="00FC294E"/>
    <w:rsid w:val="00FC33AE"/>
    <w:rsid w:val="00FC4F34"/>
    <w:rsid w:val="00FC51B3"/>
    <w:rsid w:val="00FC548A"/>
    <w:rsid w:val="00FC56BD"/>
    <w:rsid w:val="00FC5930"/>
    <w:rsid w:val="00FC70A0"/>
    <w:rsid w:val="00FD0809"/>
    <w:rsid w:val="00FD0C44"/>
    <w:rsid w:val="00FD11DB"/>
    <w:rsid w:val="00FD15FA"/>
    <w:rsid w:val="00FD2B49"/>
    <w:rsid w:val="00FD389A"/>
    <w:rsid w:val="00FD41CC"/>
    <w:rsid w:val="00FD4627"/>
    <w:rsid w:val="00FD4692"/>
    <w:rsid w:val="00FD744B"/>
    <w:rsid w:val="00FE03D4"/>
    <w:rsid w:val="00FE1D84"/>
    <w:rsid w:val="00FE3F95"/>
    <w:rsid w:val="00FE4EB5"/>
    <w:rsid w:val="00FE6D66"/>
    <w:rsid w:val="00FF2A86"/>
    <w:rsid w:val="00FF33AD"/>
    <w:rsid w:val="00FF35B9"/>
    <w:rsid w:val="00FF5FE3"/>
    <w:rsid w:val="00FF64D0"/>
    <w:rsid w:val="00FF6C5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09E4FE"/>
  <w15:docId w15:val="{A94E5476-AD33-4BB9-BD9D-ED231192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1B0"/>
    <w:pPr>
      <w:spacing w:after="200" w:line="360" w:lineRule="auto"/>
      <w:jc w:val="both"/>
    </w:pPr>
    <w:rPr>
      <w:rFonts w:ascii="Arial" w:hAnsi="Arial" w:cs="Arial"/>
      <w:sz w:val="24"/>
      <w:szCs w:val="20"/>
    </w:rPr>
  </w:style>
  <w:style w:type="paragraph" w:styleId="Ttulo1">
    <w:name w:val="heading 1"/>
    <w:basedOn w:val="Normal"/>
    <w:next w:val="Normal"/>
    <w:link w:val="Ttulo1Car"/>
    <w:uiPriority w:val="9"/>
    <w:qFormat/>
    <w:rsid w:val="00457467"/>
    <w:pPr>
      <w:keepNext/>
      <w:spacing w:before="100" w:beforeAutospacing="1" w:after="100" w:afterAutospacing="1"/>
      <w:outlineLvl w:val="0"/>
    </w:pPr>
    <w:rPr>
      <w:rFonts w:eastAsiaTheme="majorEastAsia" w:cstheme="majorBidi"/>
      <w:b/>
      <w:bCs/>
      <w:caps/>
      <w:kern w:val="32"/>
      <w:szCs w:val="32"/>
    </w:rPr>
  </w:style>
  <w:style w:type="paragraph" w:styleId="Ttulo2">
    <w:name w:val="heading 2"/>
    <w:basedOn w:val="Normal"/>
    <w:next w:val="Normal"/>
    <w:link w:val="Ttulo2Car"/>
    <w:uiPriority w:val="9"/>
    <w:unhideWhenUsed/>
    <w:qFormat/>
    <w:rsid w:val="00E079FB"/>
    <w:pPr>
      <w:keepNext/>
      <w:keepLines/>
      <w:spacing w:before="40" w:after="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E079FB"/>
    <w:pPr>
      <w:keepNext/>
      <w:keepLines/>
      <w:spacing w:before="40" w:after="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E079FB"/>
    <w:pPr>
      <w:keepNext/>
      <w:keepLines/>
      <w:spacing w:before="40" w:after="0"/>
      <w:outlineLvl w:val="3"/>
    </w:pPr>
    <w:rPr>
      <w:rFonts w:eastAsiaTheme="majorEastAsia" w:cstheme="majorBidi"/>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7467"/>
    <w:rPr>
      <w:rFonts w:ascii="Arial" w:eastAsiaTheme="majorEastAsia" w:hAnsi="Arial" w:cstheme="majorBidi"/>
      <w:b/>
      <w:bCs/>
      <w:caps/>
      <w:kern w:val="32"/>
      <w:sz w:val="24"/>
      <w:szCs w:val="32"/>
    </w:rPr>
  </w:style>
  <w:style w:type="paragraph" w:styleId="Encabezado">
    <w:name w:val="header"/>
    <w:basedOn w:val="Normal"/>
    <w:link w:val="EncabezadoCar"/>
    <w:rsid w:val="00457467"/>
    <w:pPr>
      <w:tabs>
        <w:tab w:val="center" w:pos="4419"/>
        <w:tab w:val="right" w:pos="8838"/>
      </w:tabs>
      <w:spacing w:after="0" w:line="240" w:lineRule="auto"/>
    </w:pPr>
  </w:style>
  <w:style w:type="character" w:customStyle="1" w:styleId="EncabezadoCar">
    <w:name w:val="Encabezado Car"/>
    <w:basedOn w:val="Fuentedeprrafopredeter"/>
    <w:link w:val="Encabezado"/>
    <w:rsid w:val="00457467"/>
    <w:rPr>
      <w:rFonts w:ascii="Arial" w:hAnsi="Arial" w:cs="Arial"/>
      <w:sz w:val="20"/>
      <w:szCs w:val="20"/>
    </w:rPr>
  </w:style>
  <w:style w:type="table" w:styleId="Tablaconcuadrcula">
    <w:name w:val="Table Grid"/>
    <w:basedOn w:val="Tablanormal"/>
    <w:uiPriority w:val="39"/>
    <w:rsid w:val="0045746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457467"/>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457467"/>
    <w:rPr>
      <w:rFonts w:ascii="Arial" w:hAnsi="Arial" w:cs="Arial"/>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457467"/>
    <w:rPr>
      <w:vertAlign w:val="superscript"/>
    </w:rPr>
  </w:style>
  <w:style w:type="paragraph" w:styleId="Sinespaciado">
    <w:name w:val="No Spacing"/>
    <w:basedOn w:val="Normal"/>
    <w:link w:val="SinespaciadoCar"/>
    <w:uiPriority w:val="1"/>
    <w:qFormat/>
    <w:rsid w:val="00457467"/>
    <w:pPr>
      <w:spacing w:after="0" w:line="240" w:lineRule="auto"/>
    </w:pPr>
    <w:rPr>
      <w:rFonts w:cstheme="minorBidi"/>
      <w:sz w:val="18"/>
      <w:szCs w:val="24"/>
    </w:rPr>
  </w:style>
  <w:style w:type="character" w:customStyle="1" w:styleId="SinespaciadoCar">
    <w:name w:val="Sin espaciado Car"/>
    <w:basedOn w:val="Fuentedeprrafopredeter"/>
    <w:link w:val="Sinespaciado"/>
    <w:uiPriority w:val="1"/>
    <w:rsid w:val="00457467"/>
    <w:rPr>
      <w:rFonts w:ascii="Arial" w:hAnsi="Arial"/>
      <w:sz w:val="18"/>
      <w:szCs w:val="24"/>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457467"/>
    <w:pPr>
      <w:spacing w:before="100" w:beforeAutospacing="1" w:after="100" w:afterAutospacing="1" w:line="240" w:lineRule="auto"/>
    </w:pPr>
    <w:rPr>
      <w:rFonts w:ascii="Times New Roman" w:eastAsia="Times New Roman" w:hAnsi="Times New Roman"/>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457467"/>
    <w:rPr>
      <w:rFonts w:ascii="Times New Roman" w:eastAsia="Times New Roman" w:hAnsi="Times New Roman" w:cs="Arial"/>
      <w:sz w:val="24"/>
      <w:szCs w:val="24"/>
      <w:lang w:eastAsia="es-MX"/>
    </w:rPr>
  </w:style>
  <w:style w:type="character" w:styleId="Hipervnculo">
    <w:name w:val="Hyperlink"/>
    <w:basedOn w:val="Fuentedeprrafopredeter"/>
    <w:uiPriority w:val="99"/>
    <w:unhideWhenUsed/>
    <w:rsid w:val="00457467"/>
    <w:rPr>
      <w:color w:val="0563C1" w:themeColor="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57467"/>
    <w:pPr>
      <w:spacing w:after="0" w:line="240" w:lineRule="auto"/>
    </w:pPr>
    <w:rPr>
      <w:rFonts w:asciiTheme="minorHAnsi" w:hAnsiTheme="minorHAnsi" w:cstheme="minorBidi"/>
      <w:sz w:val="22"/>
      <w:szCs w:val="22"/>
      <w:vertAlign w:val="superscript"/>
    </w:rPr>
  </w:style>
  <w:style w:type="paragraph" w:styleId="TDC1">
    <w:name w:val="toc 1"/>
    <w:basedOn w:val="Normal"/>
    <w:next w:val="Normal"/>
    <w:autoRedefine/>
    <w:uiPriority w:val="39"/>
    <w:unhideWhenUsed/>
    <w:rsid w:val="0092040C"/>
    <w:pPr>
      <w:tabs>
        <w:tab w:val="left" w:pos="284"/>
        <w:tab w:val="left" w:pos="660"/>
        <w:tab w:val="right" w:leader="dot" w:pos="8263"/>
      </w:tabs>
      <w:spacing w:after="0" w:line="240" w:lineRule="auto"/>
      <w:contextualSpacing/>
      <w:jc w:val="left"/>
    </w:pPr>
  </w:style>
  <w:style w:type="paragraph" w:styleId="Piedepgina">
    <w:name w:val="footer"/>
    <w:basedOn w:val="Normal"/>
    <w:link w:val="PiedepginaCar"/>
    <w:uiPriority w:val="99"/>
    <w:unhideWhenUsed/>
    <w:rsid w:val="004574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7467"/>
    <w:rPr>
      <w:rFonts w:ascii="Arial" w:hAnsi="Arial" w:cs="Arial"/>
      <w:sz w:val="20"/>
      <w:szCs w:val="20"/>
    </w:rPr>
  </w:style>
  <w:style w:type="character" w:styleId="Refdecomentario">
    <w:name w:val="annotation reference"/>
    <w:basedOn w:val="Fuentedeprrafopredeter"/>
    <w:uiPriority w:val="99"/>
    <w:semiHidden/>
    <w:unhideWhenUsed/>
    <w:rsid w:val="00E66D2A"/>
    <w:rPr>
      <w:sz w:val="16"/>
      <w:szCs w:val="16"/>
    </w:rPr>
  </w:style>
  <w:style w:type="paragraph" w:styleId="Textocomentario">
    <w:name w:val="annotation text"/>
    <w:basedOn w:val="Normal"/>
    <w:link w:val="TextocomentarioCar"/>
    <w:uiPriority w:val="99"/>
    <w:unhideWhenUsed/>
    <w:rsid w:val="00E66D2A"/>
    <w:pPr>
      <w:spacing w:line="240" w:lineRule="auto"/>
    </w:pPr>
  </w:style>
  <w:style w:type="character" w:customStyle="1" w:styleId="TextocomentarioCar">
    <w:name w:val="Texto comentario Car"/>
    <w:basedOn w:val="Fuentedeprrafopredeter"/>
    <w:link w:val="Textocomentario"/>
    <w:uiPriority w:val="99"/>
    <w:rsid w:val="00E66D2A"/>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E66D2A"/>
    <w:rPr>
      <w:b/>
      <w:bCs/>
    </w:rPr>
  </w:style>
  <w:style w:type="character" w:customStyle="1" w:styleId="AsuntodelcomentarioCar">
    <w:name w:val="Asunto del comentario Car"/>
    <w:basedOn w:val="TextocomentarioCar"/>
    <w:link w:val="Asuntodelcomentario"/>
    <w:uiPriority w:val="99"/>
    <w:semiHidden/>
    <w:rsid w:val="00E66D2A"/>
    <w:rPr>
      <w:rFonts w:ascii="Arial" w:hAnsi="Arial" w:cs="Arial"/>
      <w:b/>
      <w:bCs/>
      <w:sz w:val="20"/>
      <w:szCs w:val="20"/>
    </w:rPr>
  </w:style>
  <w:style w:type="paragraph" w:styleId="Textodeglobo">
    <w:name w:val="Balloon Text"/>
    <w:basedOn w:val="Normal"/>
    <w:link w:val="TextodegloboCar"/>
    <w:uiPriority w:val="99"/>
    <w:semiHidden/>
    <w:unhideWhenUsed/>
    <w:rsid w:val="00E66D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6D2A"/>
    <w:rPr>
      <w:rFonts w:ascii="Segoe UI" w:hAnsi="Segoe UI" w:cs="Segoe UI"/>
      <w:sz w:val="18"/>
      <w:szCs w:val="18"/>
    </w:rPr>
  </w:style>
  <w:style w:type="paragraph" w:styleId="Prrafodelista">
    <w:name w:val="List Paragraph"/>
    <w:aliases w:val="CNBV Parrafo1,Párrafo de lista1,Parrafo 1,Lista multicolor - Énfasis 11,Lista vistosa - Énfasis 11,Cuadrícula media 1 - Énfasis 21,List Paragraph-Thesis,Cita texto,Listas,Footnote,List Paragraph2,List Paragraph1,TEXTO GENERAL SENTENCIAS"/>
    <w:basedOn w:val="Normal"/>
    <w:link w:val="PrrafodelistaCar"/>
    <w:uiPriority w:val="34"/>
    <w:qFormat/>
    <w:rsid w:val="00975262"/>
    <w:pPr>
      <w:ind w:left="720"/>
      <w:contextualSpacing/>
    </w:pPr>
  </w:style>
  <w:style w:type="character" w:customStyle="1" w:styleId="EstiloCar">
    <w:name w:val="Estilo Car"/>
    <w:basedOn w:val="Fuentedeprrafopredeter"/>
    <w:link w:val="Estilo"/>
    <w:locked/>
    <w:rsid w:val="0027554C"/>
    <w:rPr>
      <w:rFonts w:ascii="Arial" w:hAnsi="Arial" w:cs="Arial"/>
      <w:sz w:val="24"/>
    </w:rPr>
  </w:style>
  <w:style w:type="paragraph" w:customStyle="1" w:styleId="Estilo">
    <w:name w:val="Estilo"/>
    <w:basedOn w:val="Sinespaciado"/>
    <w:link w:val="EstiloCar"/>
    <w:qFormat/>
    <w:rsid w:val="0027554C"/>
    <w:rPr>
      <w:rFonts w:cs="Arial"/>
      <w:sz w:val="24"/>
      <w:szCs w:val="22"/>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Listas Car,Footnote Car"/>
    <w:link w:val="Prrafodelista"/>
    <w:uiPriority w:val="34"/>
    <w:qFormat/>
    <w:locked/>
    <w:rsid w:val="007A05AB"/>
    <w:rPr>
      <w:rFonts w:ascii="Arial" w:hAnsi="Arial" w:cs="Arial"/>
      <w:sz w:val="20"/>
      <w:szCs w:val="20"/>
    </w:rPr>
  </w:style>
  <w:style w:type="paragraph" w:customStyle="1" w:styleId="Default">
    <w:name w:val="Default"/>
    <w:rsid w:val="001B75C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Ttulo2Car">
    <w:name w:val="Título 2 Car"/>
    <w:basedOn w:val="Fuentedeprrafopredeter"/>
    <w:link w:val="Ttulo2"/>
    <w:uiPriority w:val="9"/>
    <w:rsid w:val="00E079FB"/>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E079FB"/>
    <w:rPr>
      <w:rFonts w:ascii="Arial" w:eastAsiaTheme="majorEastAsia" w:hAnsi="Arial" w:cstheme="majorBidi"/>
      <w:b/>
      <w:sz w:val="24"/>
      <w:szCs w:val="24"/>
    </w:rPr>
  </w:style>
  <w:style w:type="character" w:customStyle="1" w:styleId="Ttulo4Car">
    <w:name w:val="Título 4 Car"/>
    <w:basedOn w:val="Fuentedeprrafopredeter"/>
    <w:link w:val="Ttulo4"/>
    <w:uiPriority w:val="9"/>
    <w:rsid w:val="00E079FB"/>
    <w:rPr>
      <w:rFonts w:ascii="Arial" w:eastAsiaTheme="majorEastAsia" w:hAnsi="Arial" w:cstheme="majorBidi"/>
      <w:b/>
      <w:iCs/>
      <w:sz w:val="24"/>
      <w:szCs w:val="20"/>
    </w:rPr>
  </w:style>
  <w:style w:type="paragraph" w:styleId="TDC2">
    <w:name w:val="toc 2"/>
    <w:basedOn w:val="Normal"/>
    <w:next w:val="Normal"/>
    <w:autoRedefine/>
    <w:uiPriority w:val="39"/>
    <w:unhideWhenUsed/>
    <w:rsid w:val="00C63031"/>
    <w:pPr>
      <w:tabs>
        <w:tab w:val="right" w:leader="dot" w:pos="8263"/>
      </w:tabs>
      <w:spacing w:after="100" w:line="240" w:lineRule="auto"/>
      <w:ind w:left="284"/>
    </w:pPr>
    <w:rPr>
      <w:rFonts w:eastAsia="Times New Roman"/>
      <w:noProof/>
      <w:sz w:val="18"/>
      <w:lang w:val="es-ES_tradnl"/>
    </w:rPr>
  </w:style>
  <w:style w:type="paragraph" w:styleId="TDC3">
    <w:name w:val="toc 3"/>
    <w:basedOn w:val="Normal"/>
    <w:next w:val="Normal"/>
    <w:autoRedefine/>
    <w:uiPriority w:val="39"/>
    <w:unhideWhenUsed/>
    <w:rsid w:val="0040674A"/>
    <w:pPr>
      <w:tabs>
        <w:tab w:val="right" w:leader="dot" w:pos="8263"/>
      </w:tabs>
      <w:spacing w:after="0" w:line="240" w:lineRule="auto"/>
      <w:ind w:left="284"/>
    </w:pPr>
  </w:style>
  <w:style w:type="character" w:customStyle="1" w:styleId="Mencinsinresolver1">
    <w:name w:val="Mención sin resolver1"/>
    <w:basedOn w:val="Fuentedeprrafopredeter"/>
    <w:uiPriority w:val="99"/>
    <w:semiHidden/>
    <w:unhideWhenUsed/>
    <w:rsid w:val="004B5E2D"/>
    <w:rPr>
      <w:color w:val="605E5C"/>
      <w:shd w:val="clear" w:color="auto" w:fill="E1DFDD"/>
    </w:rPr>
  </w:style>
  <w:style w:type="table" w:customStyle="1" w:styleId="Tablaconcuadrcula1">
    <w:name w:val="Tabla con cuadrícula1"/>
    <w:basedOn w:val="Tablanormal"/>
    <w:next w:val="Tablaconcuadrcula"/>
    <w:uiPriority w:val="39"/>
    <w:rsid w:val="00A02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3468ED"/>
  </w:style>
  <w:style w:type="character" w:customStyle="1" w:styleId="eop">
    <w:name w:val="eop"/>
    <w:basedOn w:val="Fuentedeprrafopredeter"/>
    <w:rsid w:val="003468ED"/>
  </w:style>
  <w:style w:type="table" w:customStyle="1" w:styleId="Tablaconcuadrcula2">
    <w:name w:val="Tabla con cuadrícula2"/>
    <w:basedOn w:val="Tablanormal"/>
    <w:next w:val="Tablaconcuadrcula"/>
    <w:uiPriority w:val="59"/>
    <w:rsid w:val="00F330F2"/>
    <w:pPr>
      <w:spacing w:after="200" w:line="276"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alpie">
    <w:name w:val="Nota al pie"/>
    <w:basedOn w:val="Normal"/>
    <w:link w:val="NotaalpieCar"/>
    <w:qFormat/>
    <w:rsid w:val="00F330F2"/>
    <w:pPr>
      <w:spacing w:before="120" w:after="120" w:line="240" w:lineRule="auto"/>
    </w:pPr>
    <w:rPr>
      <w:rFonts w:eastAsia="Times New Roman"/>
      <w:color w:val="000000"/>
      <w:sz w:val="20"/>
      <w:lang w:eastAsia="es-MX"/>
    </w:rPr>
  </w:style>
  <w:style w:type="character" w:customStyle="1" w:styleId="NotaalpieCar">
    <w:name w:val="Nota al pie Car"/>
    <w:basedOn w:val="Fuentedeprrafopredeter"/>
    <w:link w:val="Notaalpie"/>
    <w:rsid w:val="00F330F2"/>
    <w:rPr>
      <w:rFonts w:ascii="Arial" w:eastAsia="Times New Roman" w:hAnsi="Arial" w:cs="Arial"/>
      <w:color w:val="000000"/>
      <w:sz w:val="20"/>
      <w:szCs w:val="20"/>
      <w:lang w:eastAsia="es-MX"/>
    </w:rPr>
  </w:style>
  <w:style w:type="paragraph" w:styleId="TtuloTDC">
    <w:name w:val="TOC Heading"/>
    <w:basedOn w:val="Ttulo1"/>
    <w:next w:val="Normal"/>
    <w:uiPriority w:val="39"/>
    <w:unhideWhenUsed/>
    <w:qFormat/>
    <w:rsid w:val="00F330F2"/>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character" w:styleId="Mencinsinresolver">
    <w:name w:val="Unresolved Mention"/>
    <w:basedOn w:val="Fuentedeprrafopredeter"/>
    <w:uiPriority w:val="99"/>
    <w:semiHidden/>
    <w:unhideWhenUsed/>
    <w:rsid w:val="00916115"/>
    <w:rPr>
      <w:color w:val="605E5C"/>
      <w:shd w:val="clear" w:color="auto" w:fill="E1DFDD"/>
    </w:rPr>
  </w:style>
  <w:style w:type="paragraph" w:customStyle="1" w:styleId="western">
    <w:name w:val="western"/>
    <w:basedOn w:val="Normal"/>
    <w:rsid w:val="00DF1070"/>
    <w:pPr>
      <w:spacing w:before="100" w:beforeAutospacing="1" w:after="100" w:afterAutospacing="1" w:line="240" w:lineRule="auto"/>
      <w:jc w:val="left"/>
    </w:pPr>
    <w:rPr>
      <w:rFonts w:ascii="Times New Roman" w:eastAsia="Times New Roman" w:hAnsi="Times New Roman" w:cs="Times New Roman"/>
      <w:szCs w:val="24"/>
      <w:lang w:eastAsia="es-MX"/>
    </w:rPr>
  </w:style>
  <w:style w:type="table" w:customStyle="1" w:styleId="Tablaconcuadrcula41">
    <w:name w:val="Tabla con cuadrícula41"/>
    <w:basedOn w:val="Tablanormal"/>
    <w:next w:val="Tablaconcuadrcula"/>
    <w:uiPriority w:val="39"/>
    <w:rsid w:val="00456252"/>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351CB"/>
  </w:style>
  <w:style w:type="table" w:customStyle="1" w:styleId="Tablaconcuadrcula3">
    <w:name w:val="Tabla con cuadrícula3"/>
    <w:basedOn w:val="Tablanormal"/>
    <w:next w:val="Tablaconcuadrcula"/>
    <w:uiPriority w:val="39"/>
    <w:rsid w:val="00F35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351CB"/>
    <w:pPr>
      <w:widowControl w:val="0"/>
      <w:autoSpaceDE w:val="0"/>
      <w:autoSpaceDN w:val="0"/>
      <w:spacing w:after="0" w:line="240" w:lineRule="auto"/>
      <w:jc w:val="left"/>
    </w:pPr>
    <w:rPr>
      <w:rFonts w:ascii="Arial MT" w:eastAsia="Arial MT" w:hAnsi="Arial MT" w:cs="Arial MT"/>
      <w:sz w:val="22"/>
      <w:szCs w:val="22"/>
      <w:lang w:val="es-ES"/>
    </w:rPr>
  </w:style>
  <w:style w:type="table" w:customStyle="1" w:styleId="TableNormal">
    <w:name w:val="Table Normal"/>
    <w:uiPriority w:val="2"/>
    <w:semiHidden/>
    <w:unhideWhenUsed/>
    <w:qFormat/>
    <w:rsid w:val="00F351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199">
      <w:bodyDiv w:val="1"/>
      <w:marLeft w:val="0"/>
      <w:marRight w:val="0"/>
      <w:marTop w:val="0"/>
      <w:marBottom w:val="0"/>
      <w:divBdr>
        <w:top w:val="none" w:sz="0" w:space="0" w:color="auto"/>
        <w:left w:val="none" w:sz="0" w:space="0" w:color="auto"/>
        <w:bottom w:val="none" w:sz="0" w:space="0" w:color="auto"/>
        <w:right w:val="none" w:sz="0" w:space="0" w:color="auto"/>
      </w:divBdr>
    </w:div>
    <w:div w:id="276985185">
      <w:bodyDiv w:val="1"/>
      <w:marLeft w:val="0"/>
      <w:marRight w:val="0"/>
      <w:marTop w:val="0"/>
      <w:marBottom w:val="0"/>
      <w:divBdr>
        <w:top w:val="none" w:sz="0" w:space="0" w:color="auto"/>
        <w:left w:val="none" w:sz="0" w:space="0" w:color="auto"/>
        <w:bottom w:val="none" w:sz="0" w:space="0" w:color="auto"/>
        <w:right w:val="none" w:sz="0" w:space="0" w:color="auto"/>
      </w:divBdr>
    </w:div>
    <w:div w:id="378209029">
      <w:bodyDiv w:val="1"/>
      <w:marLeft w:val="0"/>
      <w:marRight w:val="0"/>
      <w:marTop w:val="0"/>
      <w:marBottom w:val="0"/>
      <w:divBdr>
        <w:top w:val="none" w:sz="0" w:space="0" w:color="auto"/>
        <w:left w:val="none" w:sz="0" w:space="0" w:color="auto"/>
        <w:bottom w:val="none" w:sz="0" w:space="0" w:color="auto"/>
        <w:right w:val="none" w:sz="0" w:space="0" w:color="auto"/>
      </w:divBdr>
    </w:div>
    <w:div w:id="386690521">
      <w:bodyDiv w:val="1"/>
      <w:marLeft w:val="0"/>
      <w:marRight w:val="0"/>
      <w:marTop w:val="0"/>
      <w:marBottom w:val="0"/>
      <w:divBdr>
        <w:top w:val="none" w:sz="0" w:space="0" w:color="auto"/>
        <w:left w:val="none" w:sz="0" w:space="0" w:color="auto"/>
        <w:bottom w:val="none" w:sz="0" w:space="0" w:color="auto"/>
        <w:right w:val="none" w:sz="0" w:space="0" w:color="auto"/>
      </w:divBdr>
    </w:div>
    <w:div w:id="472915517">
      <w:bodyDiv w:val="1"/>
      <w:marLeft w:val="0"/>
      <w:marRight w:val="0"/>
      <w:marTop w:val="0"/>
      <w:marBottom w:val="0"/>
      <w:divBdr>
        <w:top w:val="none" w:sz="0" w:space="0" w:color="auto"/>
        <w:left w:val="none" w:sz="0" w:space="0" w:color="auto"/>
        <w:bottom w:val="none" w:sz="0" w:space="0" w:color="auto"/>
        <w:right w:val="none" w:sz="0" w:space="0" w:color="auto"/>
      </w:divBdr>
    </w:div>
    <w:div w:id="614405586">
      <w:bodyDiv w:val="1"/>
      <w:marLeft w:val="0"/>
      <w:marRight w:val="0"/>
      <w:marTop w:val="0"/>
      <w:marBottom w:val="0"/>
      <w:divBdr>
        <w:top w:val="none" w:sz="0" w:space="0" w:color="auto"/>
        <w:left w:val="none" w:sz="0" w:space="0" w:color="auto"/>
        <w:bottom w:val="none" w:sz="0" w:space="0" w:color="auto"/>
        <w:right w:val="none" w:sz="0" w:space="0" w:color="auto"/>
      </w:divBdr>
    </w:div>
    <w:div w:id="747115858">
      <w:bodyDiv w:val="1"/>
      <w:marLeft w:val="0"/>
      <w:marRight w:val="0"/>
      <w:marTop w:val="0"/>
      <w:marBottom w:val="0"/>
      <w:divBdr>
        <w:top w:val="none" w:sz="0" w:space="0" w:color="auto"/>
        <w:left w:val="none" w:sz="0" w:space="0" w:color="auto"/>
        <w:bottom w:val="none" w:sz="0" w:space="0" w:color="auto"/>
        <w:right w:val="none" w:sz="0" w:space="0" w:color="auto"/>
      </w:divBdr>
    </w:div>
    <w:div w:id="858546039">
      <w:bodyDiv w:val="1"/>
      <w:marLeft w:val="0"/>
      <w:marRight w:val="0"/>
      <w:marTop w:val="0"/>
      <w:marBottom w:val="0"/>
      <w:divBdr>
        <w:top w:val="none" w:sz="0" w:space="0" w:color="auto"/>
        <w:left w:val="none" w:sz="0" w:space="0" w:color="auto"/>
        <w:bottom w:val="none" w:sz="0" w:space="0" w:color="auto"/>
        <w:right w:val="none" w:sz="0" w:space="0" w:color="auto"/>
      </w:divBdr>
    </w:div>
    <w:div w:id="964962780">
      <w:bodyDiv w:val="1"/>
      <w:marLeft w:val="0"/>
      <w:marRight w:val="0"/>
      <w:marTop w:val="0"/>
      <w:marBottom w:val="0"/>
      <w:divBdr>
        <w:top w:val="none" w:sz="0" w:space="0" w:color="auto"/>
        <w:left w:val="none" w:sz="0" w:space="0" w:color="auto"/>
        <w:bottom w:val="none" w:sz="0" w:space="0" w:color="auto"/>
        <w:right w:val="none" w:sz="0" w:space="0" w:color="auto"/>
      </w:divBdr>
      <w:divsChild>
        <w:div w:id="226385079">
          <w:marLeft w:val="0"/>
          <w:marRight w:val="0"/>
          <w:marTop w:val="0"/>
          <w:marBottom w:val="0"/>
          <w:divBdr>
            <w:top w:val="none" w:sz="0" w:space="0" w:color="auto"/>
            <w:left w:val="none" w:sz="0" w:space="0" w:color="auto"/>
            <w:bottom w:val="none" w:sz="0" w:space="0" w:color="auto"/>
            <w:right w:val="none" w:sz="0" w:space="0" w:color="auto"/>
          </w:divBdr>
        </w:div>
        <w:div w:id="112674559">
          <w:marLeft w:val="0"/>
          <w:marRight w:val="0"/>
          <w:marTop w:val="0"/>
          <w:marBottom w:val="0"/>
          <w:divBdr>
            <w:top w:val="none" w:sz="0" w:space="0" w:color="auto"/>
            <w:left w:val="none" w:sz="0" w:space="0" w:color="auto"/>
            <w:bottom w:val="none" w:sz="0" w:space="0" w:color="auto"/>
            <w:right w:val="none" w:sz="0" w:space="0" w:color="auto"/>
          </w:divBdr>
        </w:div>
      </w:divsChild>
    </w:div>
    <w:div w:id="1025061977">
      <w:bodyDiv w:val="1"/>
      <w:marLeft w:val="0"/>
      <w:marRight w:val="0"/>
      <w:marTop w:val="0"/>
      <w:marBottom w:val="0"/>
      <w:divBdr>
        <w:top w:val="none" w:sz="0" w:space="0" w:color="auto"/>
        <w:left w:val="none" w:sz="0" w:space="0" w:color="auto"/>
        <w:bottom w:val="none" w:sz="0" w:space="0" w:color="auto"/>
        <w:right w:val="none" w:sz="0" w:space="0" w:color="auto"/>
      </w:divBdr>
    </w:div>
    <w:div w:id="1046225018">
      <w:bodyDiv w:val="1"/>
      <w:marLeft w:val="0"/>
      <w:marRight w:val="0"/>
      <w:marTop w:val="0"/>
      <w:marBottom w:val="0"/>
      <w:divBdr>
        <w:top w:val="none" w:sz="0" w:space="0" w:color="auto"/>
        <w:left w:val="none" w:sz="0" w:space="0" w:color="auto"/>
        <w:bottom w:val="none" w:sz="0" w:space="0" w:color="auto"/>
        <w:right w:val="none" w:sz="0" w:space="0" w:color="auto"/>
      </w:divBdr>
    </w:div>
    <w:div w:id="1090471814">
      <w:bodyDiv w:val="1"/>
      <w:marLeft w:val="0"/>
      <w:marRight w:val="0"/>
      <w:marTop w:val="0"/>
      <w:marBottom w:val="0"/>
      <w:divBdr>
        <w:top w:val="none" w:sz="0" w:space="0" w:color="auto"/>
        <w:left w:val="none" w:sz="0" w:space="0" w:color="auto"/>
        <w:bottom w:val="none" w:sz="0" w:space="0" w:color="auto"/>
        <w:right w:val="none" w:sz="0" w:space="0" w:color="auto"/>
      </w:divBdr>
    </w:div>
    <w:div w:id="1157258196">
      <w:bodyDiv w:val="1"/>
      <w:marLeft w:val="0"/>
      <w:marRight w:val="0"/>
      <w:marTop w:val="0"/>
      <w:marBottom w:val="0"/>
      <w:divBdr>
        <w:top w:val="none" w:sz="0" w:space="0" w:color="auto"/>
        <w:left w:val="none" w:sz="0" w:space="0" w:color="auto"/>
        <w:bottom w:val="none" w:sz="0" w:space="0" w:color="auto"/>
        <w:right w:val="none" w:sz="0" w:space="0" w:color="auto"/>
      </w:divBdr>
    </w:div>
    <w:div w:id="1226598898">
      <w:bodyDiv w:val="1"/>
      <w:marLeft w:val="0"/>
      <w:marRight w:val="0"/>
      <w:marTop w:val="0"/>
      <w:marBottom w:val="0"/>
      <w:divBdr>
        <w:top w:val="none" w:sz="0" w:space="0" w:color="auto"/>
        <w:left w:val="none" w:sz="0" w:space="0" w:color="auto"/>
        <w:bottom w:val="none" w:sz="0" w:space="0" w:color="auto"/>
        <w:right w:val="none" w:sz="0" w:space="0" w:color="auto"/>
      </w:divBdr>
      <w:divsChild>
        <w:div w:id="2062243127">
          <w:marLeft w:val="0"/>
          <w:marRight w:val="0"/>
          <w:marTop w:val="0"/>
          <w:marBottom w:val="0"/>
          <w:divBdr>
            <w:top w:val="none" w:sz="0" w:space="0" w:color="auto"/>
            <w:left w:val="none" w:sz="0" w:space="0" w:color="auto"/>
            <w:bottom w:val="none" w:sz="0" w:space="0" w:color="auto"/>
            <w:right w:val="none" w:sz="0" w:space="0" w:color="auto"/>
          </w:divBdr>
        </w:div>
        <w:div w:id="1283415025">
          <w:marLeft w:val="0"/>
          <w:marRight w:val="0"/>
          <w:marTop w:val="0"/>
          <w:marBottom w:val="0"/>
          <w:divBdr>
            <w:top w:val="none" w:sz="0" w:space="0" w:color="auto"/>
            <w:left w:val="none" w:sz="0" w:space="0" w:color="auto"/>
            <w:bottom w:val="none" w:sz="0" w:space="0" w:color="auto"/>
            <w:right w:val="none" w:sz="0" w:space="0" w:color="auto"/>
          </w:divBdr>
        </w:div>
      </w:divsChild>
    </w:div>
    <w:div w:id="1294484460">
      <w:bodyDiv w:val="1"/>
      <w:marLeft w:val="0"/>
      <w:marRight w:val="0"/>
      <w:marTop w:val="0"/>
      <w:marBottom w:val="0"/>
      <w:divBdr>
        <w:top w:val="none" w:sz="0" w:space="0" w:color="auto"/>
        <w:left w:val="none" w:sz="0" w:space="0" w:color="auto"/>
        <w:bottom w:val="none" w:sz="0" w:space="0" w:color="auto"/>
        <w:right w:val="none" w:sz="0" w:space="0" w:color="auto"/>
      </w:divBdr>
    </w:div>
    <w:div w:id="1311861547">
      <w:bodyDiv w:val="1"/>
      <w:marLeft w:val="0"/>
      <w:marRight w:val="0"/>
      <w:marTop w:val="0"/>
      <w:marBottom w:val="0"/>
      <w:divBdr>
        <w:top w:val="none" w:sz="0" w:space="0" w:color="auto"/>
        <w:left w:val="none" w:sz="0" w:space="0" w:color="auto"/>
        <w:bottom w:val="none" w:sz="0" w:space="0" w:color="auto"/>
        <w:right w:val="none" w:sz="0" w:space="0" w:color="auto"/>
      </w:divBdr>
    </w:div>
    <w:div w:id="1363700673">
      <w:bodyDiv w:val="1"/>
      <w:marLeft w:val="0"/>
      <w:marRight w:val="0"/>
      <w:marTop w:val="0"/>
      <w:marBottom w:val="0"/>
      <w:divBdr>
        <w:top w:val="none" w:sz="0" w:space="0" w:color="auto"/>
        <w:left w:val="none" w:sz="0" w:space="0" w:color="auto"/>
        <w:bottom w:val="none" w:sz="0" w:space="0" w:color="auto"/>
        <w:right w:val="none" w:sz="0" w:space="0" w:color="auto"/>
      </w:divBdr>
    </w:div>
    <w:div w:id="1434979495">
      <w:bodyDiv w:val="1"/>
      <w:marLeft w:val="0"/>
      <w:marRight w:val="0"/>
      <w:marTop w:val="0"/>
      <w:marBottom w:val="0"/>
      <w:divBdr>
        <w:top w:val="none" w:sz="0" w:space="0" w:color="auto"/>
        <w:left w:val="none" w:sz="0" w:space="0" w:color="auto"/>
        <w:bottom w:val="none" w:sz="0" w:space="0" w:color="auto"/>
        <w:right w:val="none" w:sz="0" w:space="0" w:color="auto"/>
      </w:divBdr>
    </w:div>
    <w:div w:id="1437675114">
      <w:bodyDiv w:val="1"/>
      <w:marLeft w:val="0"/>
      <w:marRight w:val="0"/>
      <w:marTop w:val="0"/>
      <w:marBottom w:val="0"/>
      <w:divBdr>
        <w:top w:val="none" w:sz="0" w:space="0" w:color="auto"/>
        <w:left w:val="none" w:sz="0" w:space="0" w:color="auto"/>
        <w:bottom w:val="none" w:sz="0" w:space="0" w:color="auto"/>
        <w:right w:val="none" w:sz="0" w:space="0" w:color="auto"/>
      </w:divBdr>
    </w:div>
    <w:div w:id="1470441740">
      <w:bodyDiv w:val="1"/>
      <w:marLeft w:val="0"/>
      <w:marRight w:val="0"/>
      <w:marTop w:val="0"/>
      <w:marBottom w:val="0"/>
      <w:divBdr>
        <w:top w:val="none" w:sz="0" w:space="0" w:color="auto"/>
        <w:left w:val="none" w:sz="0" w:space="0" w:color="auto"/>
        <w:bottom w:val="none" w:sz="0" w:space="0" w:color="auto"/>
        <w:right w:val="none" w:sz="0" w:space="0" w:color="auto"/>
      </w:divBdr>
    </w:div>
    <w:div w:id="1495293071">
      <w:bodyDiv w:val="1"/>
      <w:marLeft w:val="0"/>
      <w:marRight w:val="0"/>
      <w:marTop w:val="0"/>
      <w:marBottom w:val="0"/>
      <w:divBdr>
        <w:top w:val="none" w:sz="0" w:space="0" w:color="auto"/>
        <w:left w:val="none" w:sz="0" w:space="0" w:color="auto"/>
        <w:bottom w:val="none" w:sz="0" w:space="0" w:color="auto"/>
        <w:right w:val="none" w:sz="0" w:space="0" w:color="auto"/>
      </w:divBdr>
    </w:div>
    <w:div w:id="1641880700">
      <w:bodyDiv w:val="1"/>
      <w:marLeft w:val="0"/>
      <w:marRight w:val="0"/>
      <w:marTop w:val="0"/>
      <w:marBottom w:val="0"/>
      <w:divBdr>
        <w:top w:val="none" w:sz="0" w:space="0" w:color="auto"/>
        <w:left w:val="none" w:sz="0" w:space="0" w:color="auto"/>
        <w:bottom w:val="none" w:sz="0" w:space="0" w:color="auto"/>
        <w:right w:val="none" w:sz="0" w:space="0" w:color="auto"/>
      </w:divBdr>
    </w:div>
    <w:div w:id="1712068706">
      <w:bodyDiv w:val="1"/>
      <w:marLeft w:val="0"/>
      <w:marRight w:val="0"/>
      <w:marTop w:val="0"/>
      <w:marBottom w:val="0"/>
      <w:divBdr>
        <w:top w:val="none" w:sz="0" w:space="0" w:color="auto"/>
        <w:left w:val="none" w:sz="0" w:space="0" w:color="auto"/>
        <w:bottom w:val="none" w:sz="0" w:space="0" w:color="auto"/>
        <w:right w:val="none" w:sz="0" w:space="0" w:color="auto"/>
      </w:divBdr>
    </w:div>
    <w:div w:id="1802920232">
      <w:bodyDiv w:val="1"/>
      <w:marLeft w:val="0"/>
      <w:marRight w:val="0"/>
      <w:marTop w:val="0"/>
      <w:marBottom w:val="0"/>
      <w:divBdr>
        <w:top w:val="none" w:sz="0" w:space="0" w:color="auto"/>
        <w:left w:val="none" w:sz="0" w:space="0" w:color="auto"/>
        <w:bottom w:val="none" w:sz="0" w:space="0" w:color="auto"/>
        <w:right w:val="none" w:sz="0" w:space="0" w:color="auto"/>
      </w:divBdr>
    </w:div>
    <w:div w:id="1899629904">
      <w:bodyDiv w:val="1"/>
      <w:marLeft w:val="0"/>
      <w:marRight w:val="0"/>
      <w:marTop w:val="0"/>
      <w:marBottom w:val="0"/>
      <w:divBdr>
        <w:top w:val="none" w:sz="0" w:space="0" w:color="auto"/>
        <w:left w:val="none" w:sz="0" w:space="0" w:color="auto"/>
        <w:bottom w:val="none" w:sz="0" w:space="0" w:color="auto"/>
        <w:right w:val="none" w:sz="0" w:space="0" w:color="auto"/>
      </w:divBdr>
    </w:div>
    <w:div w:id="1903057156">
      <w:bodyDiv w:val="1"/>
      <w:marLeft w:val="0"/>
      <w:marRight w:val="0"/>
      <w:marTop w:val="0"/>
      <w:marBottom w:val="0"/>
      <w:divBdr>
        <w:top w:val="none" w:sz="0" w:space="0" w:color="auto"/>
        <w:left w:val="none" w:sz="0" w:space="0" w:color="auto"/>
        <w:bottom w:val="none" w:sz="0" w:space="0" w:color="auto"/>
        <w:right w:val="none" w:sz="0" w:space="0" w:color="auto"/>
      </w:divBdr>
    </w:div>
    <w:div w:id="1921330361">
      <w:bodyDiv w:val="1"/>
      <w:marLeft w:val="0"/>
      <w:marRight w:val="0"/>
      <w:marTop w:val="0"/>
      <w:marBottom w:val="0"/>
      <w:divBdr>
        <w:top w:val="none" w:sz="0" w:space="0" w:color="auto"/>
        <w:left w:val="none" w:sz="0" w:space="0" w:color="auto"/>
        <w:bottom w:val="none" w:sz="0" w:space="0" w:color="auto"/>
        <w:right w:val="none" w:sz="0" w:space="0" w:color="auto"/>
      </w:divBdr>
    </w:div>
    <w:div w:id="1971090328">
      <w:bodyDiv w:val="1"/>
      <w:marLeft w:val="0"/>
      <w:marRight w:val="0"/>
      <w:marTop w:val="0"/>
      <w:marBottom w:val="0"/>
      <w:divBdr>
        <w:top w:val="none" w:sz="0" w:space="0" w:color="auto"/>
        <w:left w:val="none" w:sz="0" w:space="0" w:color="auto"/>
        <w:bottom w:val="none" w:sz="0" w:space="0" w:color="auto"/>
        <w:right w:val="none" w:sz="0" w:space="0" w:color="auto"/>
      </w:divBdr>
    </w:div>
    <w:div w:id="1980722850">
      <w:bodyDiv w:val="1"/>
      <w:marLeft w:val="0"/>
      <w:marRight w:val="0"/>
      <w:marTop w:val="0"/>
      <w:marBottom w:val="0"/>
      <w:divBdr>
        <w:top w:val="none" w:sz="0" w:space="0" w:color="auto"/>
        <w:left w:val="none" w:sz="0" w:space="0" w:color="auto"/>
        <w:bottom w:val="none" w:sz="0" w:space="0" w:color="auto"/>
        <w:right w:val="none" w:sz="0" w:space="0" w:color="auto"/>
      </w:divBdr>
    </w:div>
    <w:div w:id="2085106235">
      <w:bodyDiv w:val="1"/>
      <w:marLeft w:val="0"/>
      <w:marRight w:val="0"/>
      <w:marTop w:val="0"/>
      <w:marBottom w:val="0"/>
      <w:divBdr>
        <w:top w:val="none" w:sz="0" w:space="0" w:color="auto"/>
        <w:left w:val="none" w:sz="0" w:space="0" w:color="auto"/>
        <w:bottom w:val="none" w:sz="0" w:space="0" w:color="auto"/>
        <w:right w:val="none" w:sz="0" w:space="0" w:color="auto"/>
      </w:divBdr>
    </w:div>
    <w:div w:id="2103911007">
      <w:bodyDiv w:val="1"/>
      <w:marLeft w:val="0"/>
      <w:marRight w:val="0"/>
      <w:marTop w:val="0"/>
      <w:marBottom w:val="0"/>
      <w:divBdr>
        <w:top w:val="none" w:sz="0" w:space="0" w:color="auto"/>
        <w:left w:val="none" w:sz="0" w:space="0" w:color="auto"/>
        <w:bottom w:val="none" w:sz="0" w:space="0" w:color="auto"/>
        <w:right w:val="none" w:sz="0" w:space="0" w:color="auto"/>
      </w:divBdr>
    </w:div>
    <w:div w:id="214304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prd.org.mx/documentos/DNE2021/ACUERDOS/ACUERDO-158_PRD_DNE_2021-DESIGNACIO%CC%81N-DE-AYUNTAMIENTOS-GUANAJUATO.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9795E-6A55-4320-943D-4A87B35F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3545</Words>
  <Characters>19503</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Ponce Aguilar</dc:creator>
  <cp:keywords/>
  <dc:description/>
  <cp:lastModifiedBy>Marcotulio Córdoba García</cp:lastModifiedBy>
  <cp:revision>2</cp:revision>
  <cp:lastPrinted>2021-06-05T04:59:00Z</cp:lastPrinted>
  <dcterms:created xsi:type="dcterms:W3CDTF">2021-06-14T17:57:00Z</dcterms:created>
  <dcterms:modified xsi:type="dcterms:W3CDTF">2021-06-14T17:57:00Z</dcterms:modified>
</cp:coreProperties>
</file>