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172" w:rsidRPr="008300BC" w:rsidRDefault="00243172" w:rsidP="00312B00">
      <w:pPr>
        <w:spacing w:after="120" w:line="240" w:lineRule="auto"/>
        <w:ind w:left="4253"/>
        <w:jc w:val="both"/>
        <w:rPr>
          <w:b/>
          <w:sz w:val="22"/>
          <w:szCs w:val="22"/>
        </w:rPr>
      </w:pPr>
      <w:bookmarkStart w:id="0" w:name="_GoBack"/>
      <w:bookmarkEnd w:id="0"/>
      <w:r w:rsidRPr="008300BC">
        <w:rPr>
          <w:b/>
          <w:sz w:val="22"/>
          <w:szCs w:val="22"/>
        </w:rPr>
        <w:t>JUICIO</w:t>
      </w:r>
      <w:r w:rsidR="002C4184" w:rsidRPr="008300BC">
        <w:rPr>
          <w:b/>
          <w:sz w:val="22"/>
          <w:szCs w:val="22"/>
        </w:rPr>
        <w:t xml:space="preserve"> PARA LA PROTECCIÓN DE LOS DERECHOS POLÍTICO-ELECTORALES DEL CIUDADANO</w:t>
      </w:r>
    </w:p>
    <w:p w:rsidR="00243172" w:rsidRPr="008300BC" w:rsidRDefault="00243172" w:rsidP="00312B00">
      <w:pPr>
        <w:spacing w:after="120" w:line="240" w:lineRule="auto"/>
        <w:ind w:left="4253"/>
        <w:jc w:val="both"/>
        <w:rPr>
          <w:sz w:val="22"/>
          <w:szCs w:val="22"/>
        </w:rPr>
      </w:pPr>
      <w:r w:rsidRPr="008300BC">
        <w:rPr>
          <w:b/>
          <w:sz w:val="22"/>
          <w:szCs w:val="22"/>
        </w:rPr>
        <w:t>EXPEDIENTE:</w:t>
      </w:r>
      <w:r w:rsidRPr="008300BC">
        <w:rPr>
          <w:sz w:val="22"/>
          <w:szCs w:val="22"/>
        </w:rPr>
        <w:t xml:space="preserve"> SM-J</w:t>
      </w:r>
      <w:r w:rsidR="002C4184" w:rsidRPr="008300BC">
        <w:rPr>
          <w:sz w:val="22"/>
          <w:szCs w:val="22"/>
        </w:rPr>
        <w:t>DC</w:t>
      </w:r>
      <w:r w:rsidRPr="008300BC">
        <w:rPr>
          <w:sz w:val="22"/>
          <w:szCs w:val="22"/>
        </w:rPr>
        <w:t>-</w:t>
      </w:r>
      <w:r w:rsidR="00DD1F17">
        <w:rPr>
          <w:sz w:val="22"/>
          <w:szCs w:val="22"/>
        </w:rPr>
        <w:t>576</w:t>
      </w:r>
      <w:r w:rsidRPr="008300BC">
        <w:rPr>
          <w:sz w:val="22"/>
          <w:szCs w:val="22"/>
        </w:rPr>
        <w:t>/202</w:t>
      </w:r>
      <w:r w:rsidR="008C6B73" w:rsidRPr="008300BC">
        <w:rPr>
          <w:sz w:val="22"/>
          <w:szCs w:val="22"/>
        </w:rPr>
        <w:t>1</w:t>
      </w:r>
      <w:r w:rsidRPr="008300BC">
        <w:rPr>
          <w:sz w:val="22"/>
          <w:szCs w:val="22"/>
        </w:rPr>
        <w:t xml:space="preserve"> </w:t>
      </w:r>
    </w:p>
    <w:p w:rsidR="00243172" w:rsidRPr="008300BC" w:rsidRDefault="00243172" w:rsidP="00312B00">
      <w:pPr>
        <w:spacing w:after="120" w:line="240" w:lineRule="auto"/>
        <w:ind w:left="4253"/>
        <w:jc w:val="both"/>
        <w:rPr>
          <w:sz w:val="22"/>
          <w:szCs w:val="22"/>
        </w:rPr>
      </w:pPr>
      <w:r w:rsidRPr="008300BC">
        <w:rPr>
          <w:b/>
          <w:sz w:val="22"/>
          <w:szCs w:val="22"/>
        </w:rPr>
        <w:t xml:space="preserve">IMPUGNANTE: </w:t>
      </w:r>
      <w:r w:rsidR="00DD1F17">
        <w:rPr>
          <w:sz w:val="22"/>
          <w:szCs w:val="22"/>
        </w:rPr>
        <w:t>JU</w:t>
      </w:r>
      <w:r w:rsidR="0088596F">
        <w:rPr>
          <w:sz w:val="22"/>
          <w:szCs w:val="22"/>
        </w:rPr>
        <w:t>A</w:t>
      </w:r>
      <w:r w:rsidR="00DD1F17">
        <w:rPr>
          <w:sz w:val="22"/>
          <w:szCs w:val="22"/>
        </w:rPr>
        <w:t>NA ANGÉLICA LUNA</w:t>
      </w:r>
    </w:p>
    <w:p w:rsidR="00243172" w:rsidRPr="008300BC" w:rsidRDefault="00243172" w:rsidP="00312B00">
      <w:pPr>
        <w:spacing w:after="120" w:line="240" w:lineRule="auto"/>
        <w:ind w:left="4253"/>
        <w:jc w:val="both"/>
        <w:rPr>
          <w:bCs/>
          <w:sz w:val="22"/>
          <w:szCs w:val="22"/>
        </w:rPr>
      </w:pPr>
      <w:r w:rsidRPr="008300BC">
        <w:rPr>
          <w:b/>
          <w:bCs/>
          <w:sz w:val="22"/>
          <w:szCs w:val="22"/>
        </w:rPr>
        <w:t>RESPONSABLE:</w:t>
      </w:r>
      <w:r w:rsidRPr="008300BC">
        <w:rPr>
          <w:bCs/>
          <w:sz w:val="22"/>
          <w:szCs w:val="22"/>
        </w:rPr>
        <w:t xml:space="preserve"> </w:t>
      </w:r>
      <w:r w:rsidR="00DD1F17">
        <w:rPr>
          <w:rFonts w:eastAsia="Times New Roman"/>
          <w:bCs/>
          <w:sz w:val="22"/>
          <w:szCs w:val="22"/>
          <w:lang w:eastAsia="es-MX"/>
        </w:rPr>
        <w:t>TRIBUNAL ESTATAL ELECTORAL DE GUANAJUATO</w:t>
      </w:r>
    </w:p>
    <w:p w:rsidR="00243172" w:rsidRPr="008300BC" w:rsidRDefault="00243172" w:rsidP="00312B00">
      <w:pPr>
        <w:spacing w:after="120" w:line="240" w:lineRule="auto"/>
        <w:ind w:left="4253"/>
        <w:jc w:val="both"/>
        <w:rPr>
          <w:sz w:val="22"/>
          <w:szCs w:val="22"/>
        </w:rPr>
      </w:pPr>
      <w:r w:rsidRPr="008300BC">
        <w:rPr>
          <w:b/>
          <w:sz w:val="22"/>
          <w:szCs w:val="22"/>
        </w:rPr>
        <w:t>MAGISTRADO PONENTE:</w:t>
      </w:r>
      <w:r w:rsidRPr="008300BC">
        <w:rPr>
          <w:sz w:val="22"/>
          <w:szCs w:val="22"/>
        </w:rPr>
        <w:t xml:space="preserve"> ERNESTO CAMACHO OCHOA</w:t>
      </w:r>
    </w:p>
    <w:p w:rsidR="00F34FFB" w:rsidRDefault="00243172" w:rsidP="002A5832">
      <w:pPr>
        <w:pStyle w:val="Normalsentencia"/>
        <w:spacing w:before="0" w:line="240" w:lineRule="auto"/>
        <w:ind w:left="4253" w:firstLine="0"/>
        <w:rPr>
          <w:bCs/>
          <w:sz w:val="22"/>
        </w:rPr>
      </w:pPr>
      <w:r w:rsidRPr="008300BC">
        <w:rPr>
          <w:b/>
          <w:sz w:val="22"/>
        </w:rPr>
        <w:t>SECRETARI</w:t>
      </w:r>
      <w:r w:rsidR="00825FE1" w:rsidRPr="008300BC">
        <w:rPr>
          <w:b/>
          <w:sz w:val="22"/>
        </w:rPr>
        <w:t>ADO</w:t>
      </w:r>
      <w:r w:rsidRPr="008300BC">
        <w:rPr>
          <w:b/>
          <w:sz w:val="22"/>
        </w:rPr>
        <w:t>:</w:t>
      </w:r>
      <w:r w:rsidR="00E942A9" w:rsidRPr="008300BC">
        <w:rPr>
          <w:bCs/>
          <w:sz w:val="22"/>
        </w:rPr>
        <w:t xml:space="preserve"> </w:t>
      </w:r>
      <w:r w:rsidR="00873212">
        <w:rPr>
          <w:bCs/>
          <w:sz w:val="22"/>
        </w:rPr>
        <w:t>MAGIN FERNANDO HINOJOSA OCHOA Y GERARDO MAGADÁN BARRAGÁN</w:t>
      </w:r>
    </w:p>
    <w:p w:rsidR="00BE6AA1" w:rsidRPr="008300BC" w:rsidRDefault="00F34FFB" w:rsidP="002A5832">
      <w:pPr>
        <w:pStyle w:val="Normalsentencia"/>
        <w:spacing w:before="0" w:line="240" w:lineRule="auto"/>
        <w:ind w:left="4253" w:firstLine="0"/>
        <w:rPr>
          <w:bCs/>
          <w:sz w:val="22"/>
        </w:rPr>
      </w:pPr>
      <w:r w:rsidRPr="00F34FFB">
        <w:rPr>
          <w:b/>
          <w:bCs/>
          <w:sz w:val="22"/>
        </w:rPr>
        <w:t>CO</w:t>
      </w:r>
      <w:r>
        <w:rPr>
          <w:b/>
          <w:bCs/>
          <w:sz w:val="22"/>
        </w:rPr>
        <w:t>L</w:t>
      </w:r>
      <w:r w:rsidRPr="00F34FFB">
        <w:rPr>
          <w:b/>
          <w:bCs/>
          <w:sz w:val="22"/>
        </w:rPr>
        <w:t>ABORARON:</w:t>
      </w:r>
      <w:r>
        <w:rPr>
          <w:bCs/>
          <w:sz w:val="22"/>
        </w:rPr>
        <w:t xml:space="preserve"> </w:t>
      </w:r>
      <w:r w:rsidR="00DD1F17">
        <w:rPr>
          <w:bCs/>
          <w:sz w:val="22"/>
        </w:rPr>
        <w:t>SERGIO CARLOS ROBLES GUTIÉRREZ Y PAULO CÉSAR FIGUEROA CORTÉS</w:t>
      </w:r>
    </w:p>
    <w:p w:rsidR="006D750E" w:rsidRPr="008300BC" w:rsidRDefault="006D750E" w:rsidP="00151947">
      <w:pPr>
        <w:pStyle w:val="Normalsentencia"/>
        <w:spacing w:before="0" w:line="240" w:lineRule="auto"/>
        <w:ind w:left="4253" w:firstLine="0"/>
        <w:rPr>
          <w:sz w:val="22"/>
        </w:rPr>
      </w:pPr>
    </w:p>
    <w:p w:rsidR="00243172" w:rsidRPr="008300BC" w:rsidRDefault="00243172" w:rsidP="00027D41">
      <w:pPr>
        <w:pStyle w:val="Normalsentencia"/>
        <w:tabs>
          <w:tab w:val="right" w:pos="8556"/>
        </w:tabs>
        <w:spacing w:before="0" w:after="0"/>
        <w:ind w:firstLine="0"/>
        <w:rPr>
          <w:sz w:val="24"/>
          <w:szCs w:val="24"/>
        </w:rPr>
      </w:pPr>
      <w:r w:rsidRPr="008300BC">
        <w:rPr>
          <w:sz w:val="24"/>
          <w:szCs w:val="24"/>
        </w:rPr>
        <w:t>Monterrey, Nuevo León, a</w:t>
      </w:r>
      <w:r w:rsidR="00BD7816" w:rsidRPr="008300BC">
        <w:rPr>
          <w:sz w:val="24"/>
          <w:szCs w:val="24"/>
        </w:rPr>
        <w:t xml:space="preserve"> </w:t>
      </w:r>
      <w:r w:rsidR="00846F69">
        <w:rPr>
          <w:sz w:val="24"/>
          <w:szCs w:val="24"/>
        </w:rPr>
        <w:t>16</w:t>
      </w:r>
      <w:r w:rsidR="000972F4">
        <w:rPr>
          <w:sz w:val="24"/>
          <w:szCs w:val="24"/>
        </w:rPr>
        <w:t xml:space="preserve"> </w:t>
      </w:r>
      <w:r w:rsidRPr="008300BC">
        <w:rPr>
          <w:sz w:val="24"/>
          <w:szCs w:val="24"/>
        </w:rPr>
        <w:t xml:space="preserve">de </w:t>
      </w:r>
      <w:r w:rsidR="00D04C63">
        <w:rPr>
          <w:sz w:val="24"/>
          <w:szCs w:val="24"/>
        </w:rPr>
        <w:t>junio</w:t>
      </w:r>
      <w:r w:rsidR="00A54E3B" w:rsidRPr="008300BC">
        <w:rPr>
          <w:sz w:val="24"/>
          <w:szCs w:val="24"/>
        </w:rPr>
        <w:t xml:space="preserve"> </w:t>
      </w:r>
      <w:r w:rsidRPr="008300BC">
        <w:rPr>
          <w:sz w:val="24"/>
          <w:szCs w:val="24"/>
        </w:rPr>
        <w:t>de 202</w:t>
      </w:r>
      <w:r w:rsidR="008C6B73" w:rsidRPr="008300BC">
        <w:rPr>
          <w:sz w:val="24"/>
          <w:szCs w:val="24"/>
        </w:rPr>
        <w:t>1</w:t>
      </w:r>
      <w:r w:rsidRPr="008300BC">
        <w:rPr>
          <w:sz w:val="24"/>
          <w:szCs w:val="24"/>
        </w:rPr>
        <w:t>.</w:t>
      </w:r>
      <w:r w:rsidR="00027D41" w:rsidRPr="008300BC">
        <w:rPr>
          <w:sz w:val="24"/>
          <w:szCs w:val="24"/>
        </w:rPr>
        <w:tab/>
      </w:r>
    </w:p>
    <w:p w:rsidR="00243172" w:rsidRPr="008300BC" w:rsidRDefault="00243172" w:rsidP="00151947">
      <w:pPr>
        <w:pStyle w:val="Normalsentencia"/>
        <w:spacing w:before="0" w:after="0" w:line="240" w:lineRule="auto"/>
        <w:ind w:firstLine="0"/>
        <w:rPr>
          <w:b/>
          <w:sz w:val="24"/>
          <w:szCs w:val="24"/>
        </w:rPr>
      </w:pPr>
    </w:p>
    <w:p w:rsidR="00527CD3" w:rsidRPr="003441A8" w:rsidRDefault="00243172" w:rsidP="00151947">
      <w:pPr>
        <w:spacing w:after="0" w:line="360" w:lineRule="auto"/>
        <w:contextualSpacing/>
        <w:jc w:val="both"/>
      </w:pPr>
      <w:r w:rsidRPr="00BB2B80">
        <w:rPr>
          <w:b/>
        </w:rPr>
        <w:t>Sentencia</w:t>
      </w:r>
      <w:r w:rsidRPr="00BB2B80">
        <w:t xml:space="preserve"> de la Sala Monterrey </w:t>
      </w:r>
      <w:r w:rsidRPr="005F7360">
        <w:t>que</w:t>
      </w:r>
      <w:r w:rsidRPr="005F7360">
        <w:rPr>
          <w:b/>
        </w:rPr>
        <w:t xml:space="preserve"> </w:t>
      </w:r>
      <w:r w:rsidR="00610204">
        <w:rPr>
          <w:b/>
          <w:bCs/>
        </w:rPr>
        <w:t xml:space="preserve">desecha de plano </w:t>
      </w:r>
      <w:r w:rsidR="00610204" w:rsidRPr="00B8217B">
        <w:rPr>
          <w:bCs/>
        </w:rPr>
        <w:t>la demanda</w:t>
      </w:r>
      <w:r w:rsidR="00610204">
        <w:rPr>
          <w:b/>
          <w:bCs/>
        </w:rPr>
        <w:t xml:space="preserve"> </w:t>
      </w:r>
      <w:r w:rsidR="00FF194F" w:rsidRPr="00FF194F">
        <w:rPr>
          <w:bCs/>
        </w:rPr>
        <w:t xml:space="preserve">presentada por </w:t>
      </w:r>
      <w:r w:rsidR="00DD1F17">
        <w:rPr>
          <w:bCs/>
        </w:rPr>
        <w:t>Juana Angélica Luna</w:t>
      </w:r>
      <w:r w:rsidR="00D70AB0" w:rsidRPr="00D70AB0">
        <w:rPr>
          <w:bCs/>
        </w:rPr>
        <w:t xml:space="preserve"> </w:t>
      </w:r>
      <w:r w:rsidR="00FF194F">
        <w:rPr>
          <w:bCs/>
        </w:rPr>
        <w:t xml:space="preserve">contra </w:t>
      </w:r>
      <w:r w:rsidR="00B8217B">
        <w:t xml:space="preserve">la </w:t>
      </w:r>
      <w:r w:rsidR="00A166D4">
        <w:t xml:space="preserve">resolución </w:t>
      </w:r>
      <w:r w:rsidR="00DD1F17">
        <w:t>del Tribunal de Guanajuato qu</w:t>
      </w:r>
      <w:r w:rsidR="00A166D4">
        <w:t xml:space="preserve">e </w:t>
      </w:r>
      <w:r w:rsidR="00DD1F17" w:rsidRPr="00A166D4">
        <w:t>sobreseyó</w:t>
      </w:r>
      <w:r w:rsidR="00DD1F17">
        <w:t xml:space="preserve"> su</w:t>
      </w:r>
      <w:r w:rsidR="0094032A">
        <w:t xml:space="preserve"> juicio</w:t>
      </w:r>
      <w:r w:rsidR="00210905">
        <w:t xml:space="preserve">, </w:t>
      </w:r>
      <w:r w:rsidR="00A36495">
        <w:t xml:space="preserve">a través </w:t>
      </w:r>
      <w:r w:rsidR="00FE7528">
        <w:t xml:space="preserve">del cual impugnaba </w:t>
      </w:r>
      <w:r w:rsidR="00A36495">
        <w:t>la resolución de la Comisión de Justicia</w:t>
      </w:r>
      <w:r w:rsidR="00C01A9C">
        <w:t>,</w:t>
      </w:r>
      <w:r w:rsidR="00A36495">
        <w:t xml:space="preserve"> </w:t>
      </w:r>
      <w:r w:rsidR="00EC02C0">
        <w:t xml:space="preserve">relacionada </w:t>
      </w:r>
      <w:r w:rsidR="00FD49F8">
        <w:t xml:space="preserve">con </w:t>
      </w:r>
      <w:r w:rsidR="00FE7528">
        <w:t xml:space="preserve">aspectos </w:t>
      </w:r>
      <w:r w:rsidR="00210905">
        <w:t>del proceso interno de selección de candidaturas de Morena</w:t>
      </w:r>
      <w:r w:rsidR="00FE7528">
        <w:t xml:space="preserve"> para integrar el ayuntamiento de Guanajuato</w:t>
      </w:r>
      <w:r w:rsidR="00EF7FE2" w:rsidRPr="005F7360">
        <w:t>;</w:t>
      </w:r>
      <w:r w:rsidR="00A54E3B" w:rsidRPr="005F7360">
        <w:t xml:space="preserve"> </w:t>
      </w:r>
      <w:r w:rsidR="00A54E3B" w:rsidRPr="005F7360">
        <w:rPr>
          <w:b/>
          <w:bCs/>
        </w:rPr>
        <w:t>porque</w:t>
      </w:r>
      <w:r w:rsidR="00A54E3B" w:rsidRPr="005F7360">
        <w:t xml:space="preserve"> </w:t>
      </w:r>
      <w:r w:rsidR="00A54E3B" w:rsidRPr="005F7360">
        <w:rPr>
          <w:b/>
        </w:rPr>
        <w:t>esta Sala considera</w:t>
      </w:r>
      <w:r w:rsidR="00A54E3B" w:rsidRPr="005F7360">
        <w:t xml:space="preserve"> </w:t>
      </w:r>
      <w:r w:rsidR="00A67D8F" w:rsidRPr="00087BBD">
        <w:rPr>
          <w:bCs/>
        </w:rPr>
        <w:t xml:space="preserve">que </w:t>
      </w:r>
      <w:r w:rsidR="00A67D8F">
        <w:rPr>
          <w:bCs/>
        </w:rPr>
        <w:t>la pretensión d</w:t>
      </w:r>
      <w:r w:rsidR="00A67D8F" w:rsidRPr="00087BBD">
        <w:t>e</w:t>
      </w:r>
      <w:r w:rsidR="00E43E5C">
        <w:t xml:space="preserve"> </w:t>
      </w:r>
      <w:r w:rsidR="00A67D8F" w:rsidRPr="00087BBD">
        <w:t>l</w:t>
      </w:r>
      <w:r w:rsidR="00E43E5C">
        <w:t>a</w:t>
      </w:r>
      <w:r w:rsidR="00A67D8F" w:rsidRPr="00087BBD">
        <w:t xml:space="preserve"> impugnante</w:t>
      </w:r>
      <w:r w:rsidR="00A67D8F">
        <w:t xml:space="preserve"> de ser registrada como candidat</w:t>
      </w:r>
      <w:r w:rsidR="00E43E5C">
        <w:t>a</w:t>
      </w:r>
      <w:r w:rsidR="00A67D8F">
        <w:t xml:space="preserve"> a </w:t>
      </w:r>
      <w:r w:rsidR="00E43E5C">
        <w:t>regidora</w:t>
      </w:r>
      <w:r w:rsidR="00A67D8F" w:rsidRPr="00087BBD">
        <w:t xml:space="preserve"> </w:t>
      </w:r>
      <w:r w:rsidR="009D7312">
        <w:t xml:space="preserve">al Ayuntamiento </w:t>
      </w:r>
      <w:r w:rsidR="00691A83">
        <w:t xml:space="preserve">de Guanajuato </w:t>
      </w:r>
      <w:r w:rsidR="00A67D8F" w:rsidRPr="00CA7F8F">
        <w:rPr>
          <w:bCs/>
        </w:rPr>
        <w:t>se ha consumado de modo irreparabl</w:t>
      </w:r>
      <w:r w:rsidR="00A67D8F" w:rsidRPr="00846F69">
        <w:rPr>
          <w:bCs/>
        </w:rPr>
        <w:t>e</w:t>
      </w:r>
      <w:r w:rsidR="00CC1D0E" w:rsidRPr="00846F69">
        <w:rPr>
          <w:bCs/>
        </w:rPr>
        <w:t>,</w:t>
      </w:r>
      <w:r w:rsidR="00FE7528">
        <w:rPr>
          <w:bCs/>
        </w:rPr>
        <w:t xml:space="preserve"> toda vez que su impugnación está relacionada con el proceso interno de candidaturas de Morena</w:t>
      </w:r>
      <w:r w:rsidR="00986A0B">
        <w:rPr>
          <w:bCs/>
        </w:rPr>
        <w:t xml:space="preserve"> </w:t>
      </w:r>
      <w:r w:rsidR="00635E07">
        <w:rPr>
          <w:bCs/>
        </w:rPr>
        <w:t>y</w:t>
      </w:r>
      <w:r w:rsidR="00AA4D18">
        <w:rPr>
          <w:bCs/>
        </w:rPr>
        <w:t xml:space="preserve"> el pasado 6 de junio se llevó cabo </w:t>
      </w:r>
      <w:r w:rsidR="00AA7233">
        <w:rPr>
          <w:bCs/>
        </w:rPr>
        <w:t>la jornada electoral</w:t>
      </w:r>
      <w:r w:rsidR="00A67D8F">
        <w:rPr>
          <w:bCs/>
        </w:rPr>
        <w:t>.</w:t>
      </w:r>
    </w:p>
    <w:p w:rsidR="002958EC" w:rsidRPr="003441A8" w:rsidRDefault="002958EC" w:rsidP="00151947">
      <w:pPr>
        <w:spacing w:after="0" w:line="360" w:lineRule="auto"/>
        <w:contextualSpacing/>
        <w:jc w:val="both"/>
      </w:pP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eastAsiaTheme="majorEastAsia"/>
          <w:sz w:val="16"/>
          <w:szCs w:val="16"/>
        </w:rPr>
      </w:sdtEndPr>
      <w:sdtContent>
        <w:p w:rsidR="00243172" w:rsidRPr="00452FC4" w:rsidRDefault="00243172" w:rsidP="00452FC4">
          <w:pPr>
            <w:pStyle w:val="TtuloTDC"/>
            <w:spacing w:before="0" w:line="240" w:lineRule="auto"/>
            <w:jc w:val="center"/>
            <w:rPr>
              <w:rFonts w:ascii="Arial" w:hAnsi="Arial" w:cs="Arial"/>
              <w:sz w:val="18"/>
              <w:szCs w:val="18"/>
            </w:rPr>
          </w:pPr>
          <w:r w:rsidRPr="00452FC4">
            <w:rPr>
              <w:rFonts w:ascii="Arial" w:hAnsi="Arial" w:cs="Arial"/>
              <w:b/>
              <w:color w:val="000000" w:themeColor="text1"/>
              <w:sz w:val="18"/>
              <w:szCs w:val="18"/>
              <w:lang w:val="es-ES"/>
            </w:rPr>
            <w:t>Índice</w:t>
          </w:r>
        </w:p>
        <w:p w:rsidR="00452FC4" w:rsidRPr="00452FC4" w:rsidRDefault="00243172" w:rsidP="002D485E">
          <w:pPr>
            <w:pStyle w:val="TDC1"/>
            <w:rPr>
              <w:rFonts w:eastAsiaTheme="minorEastAsia"/>
              <w:noProof/>
              <w:lang w:val="es-MX" w:eastAsia="es-MX"/>
            </w:rPr>
          </w:pPr>
          <w:r w:rsidRPr="00452FC4">
            <w:rPr>
              <w:rFonts w:eastAsia="Times New Roman"/>
              <w:b/>
              <w:bCs/>
              <w:noProof/>
              <w:lang w:val="es-MX" w:eastAsia="es-ES"/>
            </w:rPr>
            <w:fldChar w:fldCharType="begin"/>
          </w:r>
          <w:r w:rsidRPr="00452FC4">
            <w:rPr>
              <w:b/>
              <w:bCs/>
            </w:rPr>
            <w:instrText xml:space="preserve"> TOC \o "1-3" \h \z \u </w:instrText>
          </w:r>
          <w:r w:rsidRPr="00452FC4">
            <w:rPr>
              <w:rFonts w:eastAsia="Times New Roman"/>
              <w:b/>
              <w:bCs/>
              <w:noProof/>
              <w:lang w:val="es-MX" w:eastAsia="es-ES"/>
            </w:rPr>
            <w:fldChar w:fldCharType="separate"/>
          </w:r>
          <w:hyperlink w:anchor="_Toc74150593" w:history="1">
            <w:r w:rsidR="00452FC4" w:rsidRPr="00452FC4">
              <w:rPr>
                <w:rStyle w:val="Hipervnculo"/>
                <w:b/>
                <w:noProof/>
                <w:sz w:val="18"/>
                <w:szCs w:val="18"/>
              </w:rPr>
              <w:t>Glosario</w:t>
            </w:r>
            <w:r w:rsidR="00452FC4" w:rsidRPr="00452FC4">
              <w:rPr>
                <w:noProof/>
                <w:webHidden/>
                <w:sz w:val="18"/>
                <w:szCs w:val="18"/>
              </w:rPr>
              <w:tab/>
            </w:r>
            <w:r w:rsidR="00452FC4" w:rsidRPr="00452FC4">
              <w:rPr>
                <w:noProof/>
                <w:webHidden/>
                <w:sz w:val="18"/>
                <w:szCs w:val="18"/>
              </w:rPr>
              <w:fldChar w:fldCharType="begin"/>
            </w:r>
            <w:r w:rsidR="00452FC4" w:rsidRPr="00452FC4">
              <w:rPr>
                <w:noProof/>
                <w:webHidden/>
                <w:sz w:val="18"/>
                <w:szCs w:val="18"/>
              </w:rPr>
              <w:instrText xml:space="preserve"> PAGEREF _Toc74150593 \h </w:instrText>
            </w:r>
            <w:r w:rsidR="00452FC4" w:rsidRPr="00452FC4">
              <w:rPr>
                <w:noProof/>
                <w:webHidden/>
                <w:sz w:val="18"/>
                <w:szCs w:val="18"/>
              </w:rPr>
            </w:r>
            <w:r w:rsidR="00452FC4" w:rsidRPr="00452FC4">
              <w:rPr>
                <w:noProof/>
                <w:webHidden/>
                <w:sz w:val="18"/>
                <w:szCs w:val="18"/>
              </w:rPr>
              <w:fldChar w:fldCharType="separate"/>
            </w:r>
            <w:r w:rsidR="00873212">
              <w:rPr>
                <w:noProof/>
                <w:webHidden/>
                <w:sz w:val="18"/>
                <w:szCs w:val="18"/>
              </w:rPr>
              <w:t>1</w:t>
            </w:r>
            <w:r w:rsidR="00452FC4" w:rsidRPr="00452FC4">
              <w:rPr>
                <w:noProof/>
                <w:webHidden/>
                <w:sz w:val="18"/>
                <w:szCs w:val="18"/>
              </w:rPr>
              <w:fldChar w:fldCharType="end"/>
            </w:r>
          </w:hyperlink>
        </w:p>
        <w:p w:rsidR="00452FC4" w:rsidRPr="00452FC4" w:rsidRDefault="0001696F" w:rsidP="002D485E">
          <w:pPr>
            <w:pStyle w:val="TDC1"/>
            <w:rPr>
              <w:rFonts w:eastAsiaTheme="minorEastAsia"/>
              <w:noProof/>
              <w:lang w:val="es-MX" w:eastAsia="es-MX"/>
            </w:rPr>
          </w:pPr>
          <w:hyperlink w:anchor="_Toc74150594" w:history="1">
            <w:r w:rsidR="00452FC4" w:rsidRPr="00452FC4">
              <w:rPr>
                <w:rStyle w:val="Hipervnculo"/>
                <w:rFonts w:eastAsia="Times New Roman"/>
                <w:b/>
                <w:noProof/>
                <w:sz w:val="18"/>
                <w:szCs w:val="18"/>
              </w:rPr>
              <w:t>Competencia y procedencia</w:t>
            </w:r>
            <w:r w:rsidR="00452FC4" w:rsidRPr="00452FC4">
              <w:rPr>
                <w:noProof/>
                <w:webHidden/>
                <w:sz w:val="18"/>
                <w:szCs w:val="18"/>
              </w:rPr>
              <w:tab/>
            </w:r>
            <w:r w:rsidR="00452FC4" w:rsidRPr="00452FC4">
              <w:rPr>
                <w:noProof/>
                <w:webHidden/>
                <w:sz w:val="18"/>
                <w:szCs w:val="18"/>
              </w:rPr>
              <w:fldChar w:fldCharType="begin"/>
            </w:r>
            <w:r w:rsidR="00452FC4" w:rsidRPr="00452FC4">
              <w:rPr>
                <w:noProof/>
                <w:webHidden/>
                <w:sz w:val="18"/>
                <w:szCs w:val="18"/>
              </w:rPr>
              <w:instrText xml:space="preserve"> PAGEREF _Toc74150594 \h </w:instrText>
            </w:r>
            <w:r w:rsidR="00452FC4" w:rsidRPr="00452FC4">
              <w:rPr>
                <w:noProof/>
                <w:webHidden/>
                <w:sz w:val="18"/>
                <w:szCs w:val="18"/>
              </w:rPr>
            </w:r>
            <w:r w:rsidR="00452FC4" w:rsidRPr="00452FC4">
              <w:rPr>
                <w:noProof/>
                <w:webHidden/>
                <w:sz w:val="18"/>
                <w:szCs w:val="18"/>
              </w:rPr>
              <w:fldChar w:fldCharType="separate"/>
            </w:r>
            <w:r w:rsidR="00873212">
              <w:rPr>
                <w:noProof/>
                <w:webHidden/>
                <w:sz w:val="18"/>
                <w:szCs w:val="18"/>
              </w:rPr>
              <w:t>2</w:t>
            </w:r>
            <w:r w:rsidR="00452FC4" w:rsidRPr="00452FC4">
              <w:rPr>
                <w:noProof/>
                <w:webHidden/>
                <w:sz w:val="18"/>
                <w:szCs w:val="18"/>
              </w:rPr>
              <w:fldChar w:fldCharType="end"/>
            </w:r>
          </w:hyperlink>
        </w:p>
        <w:p w:rsidR="00452FC4" w:rsidRPr="00452FC4" w:rsidRDefault="0001696F" w:rsidP="002D485E">
          <w:pPr>
            <w:pStyle w:val="TDC1"/>
            <w:rPr>
              <w:rFonts w:eastAsiaTheme="minorEastAsia"/>
              <w:noProof/>
              <w:lang w:val="es-MX" w:eastAsia="es-MX"/>
            </w:rPr>
          </w:pPr>
          <w:hyperlink w:anchor="_Toc74150596" w:history="1">
            <w:r w:rsidR="00452FC4" w:rsidRPr="00452FC4">
              <w:rPr>
                <w:rStyle w:val="Hipervnculo"/>
                <w:rFonts w:eastAsia="Times New Roman"/>
                <w:b/>
                <w:noProof/>
                <w:sz w:val="18"/>
                <w:szCs w:val="18"/>
              </w:rPr>
              <w:t>Antecedentes</w:t>
            </w:r>
            <w:r w:rsidR="00452FC4" w:rsidRPr="00452FC4">
              <w:rPr>
                <w:noProof/>
                <w:webHidden/>
                <w:sz w:val="18"/>
                <w:szCs w:val="18"/>
              </w:rPr>
              <w:tab/>
            </w:r>
            <w:r w:rsidR="00452FC4" w:rsidRPr="00452FC4">
              <w:rPr>
                <w:noProof/>
                <w:webHidden/>
                <w:sz w:val="18"/>
                <w:szCs w:val="18"/>
              </w:rPr>
              <w:fldChar w:fldCharType="begin"/>
            </w:r>
            <w:r w:rsidR="00452FC4" w:rsidRPr="00452FC4">
              <w:rPr>
                <w:noProof/>
                <w:webHidden/>
                <w:sz w:val="18"/>
                <w:szCs w:val="18"/>
              </w:rPr>
              <w:instrText xml:space="preserve"> PAGEREF _Toc74150596 \h </w:instrText>
            </w:r>
            <w:r w:rsidR="00452FC4" w:rsidRPr="00452FC4">
              <w:rPr>
                <w:noProof/>
                <w:webHidden/>
                <w:sz w:val="18"/>
                <w:szCs w:val="18"/>
              </w:rPr>
            </w:r>
            <w:r w:rsidR="00452FC4" w:rsidRPr="00452FC4">
              <w:rPr>
                <w:noProof/>
                <w:webHidden/>
                <w:sz w:val="18"/>
                <w:szCs w:val="18"/>
              </w:rPr>
              <w:fldChar w:fldCharType="separate"/>
            </w:r>
            <w:r w:rsidR="00873212">
              <w:rPr>
                <w:noProof/>
                <w:webHidden/>
                <w:sz w:val="18"/>
                <w:szCs w:val="18"/>
              </w:rPr>
              <w:t>2</w:t>
            </w:r>
            <w:r w:rsidR="00452FC4" w:rsidRPr="00452FC4">
              <w:rPr>
                <w:noProof/>
                <w:webHidden/>
                <w:sz w:val="18"/>
                <w:szCs w:val="18"/>
              </w:rPr>
              <w:fldChar w:fldCharType="end"/>
            </w:r>
          </w:hyperlink>
        </w:p>
        <w:p w:rsidR="00452FC4" w:rsidRPr="00452FC4" w:rsidRDefault="0001696F" w:rsidP="002D485E">
          <w:pPr>
            <w:pStyle w:val="TDC1"/>
            <w:rPr>
              <w:rFonts w:eastAsiaTheme="minorEastAsia"/>
              <w:noProof/>
              <w:lang w:val="es-MX" w:eastAsia="es-MX"/>
            </w:rPr>
          </w:pPr>
          <w:hyperlink w:anchor="_Toc74150597" w:history="1">
            <w:r w:rsidR="00452FC4" w:rsidRPr="00452FC4">
              <w:rPr>
                <w:rStyle w:val="Hipervnculo"/>
                <w:b/>
                <w:noProof/>
                <w:sz w:val="18"/>
                <w:szCs w:val="18"/>
              </w:rPr>
              <w:t>Desechamiento porque la materia de impugnación se ha consumado de modo irreparable</w:t>
            </w:r>
            <w:r w:rsidR="00452FC4" w:rsidRPr="00452FC4">
              <w:rPr>
                <w:noProof/>
                <w:webHidden/>
                <w:sz w:val="18"/>
                <w:szCs w:val="18"/>
              </w:rPr>
              <w:tab/>
            </w:r>
            <w:r w:rsidR="00452FC4" w:rsidRPr="00452FC4">
              <w:rPr>
                <w:noProof/>
                <w:webHidden/>
                <w:sz w:val="18"/>
                <w:szCs w:val="18"/>
              </w:rPr>
              <w:fldChar w:fldCharType="begin"/>
            </w:r>
            <w:r w:rsidR="00452FC4" w:rsidRPr="00452FC4">
              <w:rPr>
                <w:noProof/>
                <w:webHidden/>
                <w:sz w:val="18"/>
                <w:szCs w:val="18"/>
              </w:rPr>
              <w:instrText xml:space="preserve"> PAGEREF _Toc74150597 \h </w:instrText>
            </w:r>
            <w:r w:rsidR="00452FC4" w:rsidRPr="00452FC4">
              <w:rPr>
                <w:noProof/>
                <w:webHidden/>
                <w:sz w:val="18"/>
                <w:szCs w:val="18"/>
              </w:rPr>
            </w:r>
            <w:r w:rsidR="00452FC4" w:rsidRPr="00452FC4">
              <w:rPr>
                <w:noProof/>
                <w:webHidden/>
                <w:sz w:val="18"/>
                <w:szCs w:val="18"/>
              </w:rPr>
              <w:fldChar w:fldCharType="separate"/>
            </w:r>
            <w:r w:rsidR="00873212">
              <w:rPr>
                <w:noProof/>
                <w:webHidden/>
                <w:sz w:val="18"/>
                <w:szCs w:val="18"/>
              </w:rPr>
              <w:t>4</w:t>
            </w:r>
            <w:r w:rsidR="00452FC4" w:rsidRPr="00452FC4">
              <w:rPr>
                <w:noProof/>
                <w:webHidden/>
                <w:sz w:val="18"/>
                <w:szCs w:val="18"/>
              </w:rPr>
              <w:fldChar w:fldCharType="end"/>
            </w:r>
          </w:hyperlink>
        </w:p>
        <w:p w:rsidR="00452FC4" w:rsidRPr="00452FC4" w:rsidRDefault="00452FC4" w:rsidP="002D485E">
          <w:pPr>
            <w:pStyle w:val="TDC1"/>
            <w:rPr>
              <w:rFonts w:eastAsiaTheme="minorEastAsia"/>
              <w:noProof/>
              <w:lang w:val="es-MX" w:eastAsia="es-MX"/>
            </w:rPr>
          </w:pPr>
          <w:r w:rsidRPr="00452FC4">
            <w:rPr>
              <w:rStyle w:val="Hipervnculo"/>
              <w:noProof/>
              <w:sz w:val="18"/>
              <w:szCs w:val="18"/>
              <w:u w:val="none"/>
            </w:rPr>
            <w:t xml:space="preserve">    </w:t>
          </w:r>
          <w:hyperlink w:anchor="_Toc74150598" w:history="1">
            <w:r w:rsidRPr="00452FC4">
              <w:rPr>
                <w:rStyle w:val="Hipervnculo"/>
                <w:rFonts w:eastAsia="Times New Roman"/>
                <w:b/>
                <w:noProof/>
                <w:sz w:val="18"/>
                <w:szCs w:val="18"/>
                <w:lang w:eastAsia="es-MX"/>
              </w:rPr>
              <w:t>Apartado I.</w:t>
            </w:r>
            <w:r w:rsidRPr="00452FC4">
              <w:rPr>
                <w:rStyle w:val="Hipervnculo"/>
                <w:noProof/>
                <w:sz w:val="18"/>
                <w:szCs w:val="18"/>
              </w:rPr>
              <w:t xml:space="preserve"> Decisión general</w:t>
            </w:r>
            <w:r>
              <w:rPr>
                <w:noProof/>
                <w:webHidden/>
              </w:rPr>
              <w:t xml:space="preserve"> </w:t>
            </w:r>
            <w:r w:rsidRPr="00452FC4">
              <w:rPr>
                <w:noProof/>
                <w:webHidden/>
                <w:sz w:val="18"/>
                <w:szCs w:val="18"/>
              </w:rPr>
              <w:t>........................</w:t>
            </w:r>
            <w:r>
              <w:rPr>
                <w:noProof/>
                <w:webHidden/>
                <w:sz w:val="18"/>
                <w:szCs w:val="18"/>
              </w:rPr>
              <w:t>............................</w:t>
            </w:r>
            <w:r w:rsidRPr="00452FC4">
              <w:rPr>
                <w:noProof/>
                <w:webHidden/>
                <w:sz w:val="18"/>
                <w:szCs w:val="18"/>
              </w:rPr>
              <w:t>...........................................................</w:t>
            </w:r>
            <w:r w:rsidRPr="00452FC4">
              <w:rPr>
                <w:noProof/>
                <w:webHidden/>
                <w:sz w:val="18"/>
                <w:szCs w:val="18"/>
              </w:rPr>
              <w:fldChar w:fldCharType="begin"/>
            </w:r>
            <w:r w:rsidRPr="00452FC4">
              <w:rPr>
                <w:noProof/>
                <w:webHidden/>
                <w:sz w:val="18"/>
                <w:szCs w:val="18"/>
              </w:rPr>
              <w:instrText xml:space="preserve"> PAGEREF _Toc74150598 \h </w:instrText>
            </w:r>
            <w:r w:rsidRPr="00452FC4">
              <w:rPr>
                <w:noProof/>
                <w:webHidden/>
                <w:sz w:val="18"/>
                <w:szCs w:val="18"/>
              </w:rPr>
            </w:r>
            <w:r w:rsidRPr="00452FC4">
              <w:rPr>
                <w:noProof/>
                <w:webHidden/>
                <w:sz w:val="18"/>
                <w:szCs w:val="18"/>
              </w:rPr>
              <w:fldChar w:fldCharType="separate"/>
            </w:r>
            <w:r w:rsidR="00873212">
              <w:rPr>
                <w:noProof/>
                <w:webHidden/>
                <w:sz w:val="18"/>
                <w:szCs w:val="18"/>
              </w:rPr>
              <w:t>4</w:t>
            </w:r>
            <w:r w:rsidRPr="00452FC4">
              <w:rPr>
                <w:noProof/>
                <w:webHidden/>
                <w:sz w:val="18"/>
                <w:szCs w:val="18"/>
              </w:rPr>
              <w:fldChar w:fldCharType="end"/>
            </w:r>
          </w:hyperlink>
        </w:p>
        <w:p w:rsidR="00452FC4" w:rsidRPr="00452FC4" w:rsidRDefault="0001696F" w:rsidP="002D485E">
          <w:pPr>
            <w:pStyle w:val="TDC2"/>
            <w:tabs>
              <w:tab w:val="right" w:leader="dot" w:pos="8263"/>
            </w:tabs>
            <w:rPr>
              <w:rFonts w:eastAsiaTheme="minorEastAsia"/>
              <w:noProof/>
              <w:sz w:val="18"/>
              <w:szCs w:val="18"/>
              <w:lang w:val="es-MX" w:eastAsia="es-MX"/>
            </w:rPr>
          </w:pPr>
          <w:hyperlink w:anchor="_Toc74150599" w:history="1">
            <w:r w:rsidR="00452FC4" w:rsidRPr="00452FC4">
              <w:rPr>
                <w:rStyle w:val="Hipervnculo"/>
                <w:b/>
                <w:noProof/>
                <w:sz w:val="18"/>
                <w:szCs w:val="18"/>
              </w:rPr>
              <w:t>Apartado II.</w:t>
            </w:r>
            <w:r w:rsidR="00452FC4" w:rsidRPr="00452FC4">
              <w:rPr>
                <w:rStyle w:val="Hipervnculo"/>
                <w:noProof/>
                <w:sz w:val="18"/>
                <w:szCs w:val="18"/>
              </w:rPr>
              <w:t xml:space="preserve"> Desarrollo o justificación de la decisión</w:t>
            </w:r>
            <w:r w:rsidR="00452FC4">
              <w:rPr>
                <w:noProof/>
                <w:webHidden/>
                <w:sz w:val="18"/>
                <w:szCs w:val="18"/>
              </w:rPr>
              <w:t xml:space="preserve"> ...........................................................................</w:t>
            </w:r>
            <w:r w:rsidR="00452FC4" w:rsidRPr="00452FC4">
              <w:rPr>
                <w:noProof/>
                <w:webHidden/>
                <w:sz w:val="18"/>
                <w:szCs w:val="18"/>
              </w:rPr>
              <w:fldChar w:fldCharType="begin"/>
            </w:r>
            <w:r w:rsidR="00452FC4" w:rsidRPr="00452FC4">
              <w:rPr>
                <w:noProof/>
                <w:webHidden/>
                <w:sz w:val="18"/>
                <w:szCs w:val="18"/>
              </w:rPr>
              <w:instrText xml:space="preserve"> PAGEREF _Toc74150599 \h </w:instrText>
            </w:r>
            <w:r w:rsidR="00452FC4" w:rsidRPr="00452FC4">
              <w:rPr>
                <w:noProof/>
                <w:webHidden/>
                <w:sz w:val="18"/>
                <w:szCs w:val="18"/>
              </w:rPr>
            </w:r>
            <w:r w:rsidR="00452FC4" w:rsidRPr="00452FC4">
              <w:rPr>
                <w:noProof/>
                <w:webHidden/>
                <w:sz w:val="18"/>
                <w:szCs w:val="18"/>
              </w:rPr>
              <w:fldChar w:fldCharType="separate"/>
            </w:r>
            <w:r w:rsidR="00873212">
              <w:rPr>
                <w:noProof/>
                <w:webHidden/>
                <w:sz w:val="18"/>
                <w:szCs w:val="18"/>
              </w:rPr>
              <w:t>5</w:t>
            </w:r>
            <w:r w:rsidR="00452FC4" w:rsidRPr="00452FC4">
              <w:rPr>
                <w:noProof/>
                <w:webHidden/>
                <w:sz w:val="18"/>
                <w:szCs w:val="18"/>
              </w:rPr>
              <w:fldChar w:fldCharType="end"/>
            </w:r>
          </w:hyperlink>
        </w:p>
        <w:p w:rsidR="00452FC4" w:rsidRPr="00452FC4" w:rsidRDefault="0001696F" w:rsidP="002D485E">
          <w:pPr>
            <w:pStyle w:val="TDC1"/>
            <w:rPr>
              <w:rFonts w:eastAsiaTheme="minorEastAsia"/>
              <w:noProof/>
              <w:lang w:val="es-MX" w:eastAsia="es-MX"/>
            </w:rPr>
          </w:pPr>
          <w:hyperlink w:anchor="_Toc74150601" w:history="1">
            <w:r w:rsidR="00452FC4" w:rsidRPr="00452FC4">
              <w:rPr>
                <w:rStyle w:val="Hipervnculo"/>
                <w:noProof/>
                <w:sz w:val="18"/>
                <w:szCs w:val="18"/>
              </w:rPr>
              <w:t>Resuelve</w:t>
            </w:r>
            <w:r w:rsidR="00452FC4" w:rsidRPr="00452FC4">
              <w:rPr>
                <w:noProof/>
                <w:webHidden/>
                <w:sz w:val="18"/>
                <w:szCs w:val="18"/>
              </w:rPr>
              <w:tab/>
            </w:r>
            <w:r w:rsidR="00452FC4" w:rsidRPr="00452FC4">
              <w:rPr>
                <w:noProof/>
                <w:webHidden/>
                <w:sz w:val="18"/>
                <w:szCs w:val="18"/>
              </w:rPr>
              <w:fldChar w:fldCharType="begin"/>
            </w:r>
            <w:r w:rsidR="00452FC4" w:rsidRPr="00452FC4">
              <w:rPr>
                <w:noProof/>
                <w:webHidden/>
                <w:sz w:val="18"/>
                <w:szCs w:val="18"/>
              </w:rPr>
              <w:instrText xml:space="preserve"> PAGEREF _Toc74150601 \h </w:instrText>
            </w:r>
            <w:r w:rsidR="00452FC4" w:rsidRPr="00452FC4">
              <w:rPr>
                <w:noProof/>
                <w:webHidden/>
                <w:sz w:val="18"/>
                <w:szCs w:val="18"/>
              </w:rPr>
            </w:r>
            <w:r w:rsidR="00452FC4" w:rsidRPr="00452FC4">
              <w:rPr>
                <w:noProof/>
                <w:webHidden/>
                <w:sz w:val="18"/>
                <w:szCs w:val="18"/>
              </w:rPr>
              <w:fldChar w:fldCharType="separate"/>
            </w:r>
            <w:r w:rsidR="00873212">
              <w:rPr>
                <w:noProof/>
                <w:webHidden/>
                <w:sz w:val="18"/>
                <w:szCs w:val="18"/>
              </w:rPr>
              <w:t>9</w:t>
            </w:r>
            <w:r w:rsidR="00452FC4" w:rsidRPr="00452FC4">
              <w:rPr>
                <w:noProof/>
                <w:webHidden/>
                <w:sz w:val="18"/>
                <w:szCs w:val="18"/>
              </w:rPr>
              <w:fldChar w:fldCharType="end"/>
            </w:r>
          </w:hyperlink>
        </w:p>
        <w:p w:rsidR="00243172" w:rsidRPr="00F34FFB" w:rsidRDefault="00243172" w:rsidP="00F34FFB">
          <w:pPr>
            <w:pStyle w:val="Ttulo1"/>
            <w:tabs>
              <w:tab w:val="right" w:leader="dot" w:pos="8080"/>
              <w:tab w:val="right" w:leader="dot" w:pos="8505"/>
            </w:tabs>
            <w:spacing w:before="0" w:beforeAutospacing="0" w:after="0" w:afterAutospacing="0" w:line="240" w:lineRule="auto"/>
            <w:rPr>
              <w:rFonts w:cs="Arial"/>
              <w:bCs w:val="0"/>
              <w:sz w:val="16"/>
              <w:szCs w:val="16"/>
              <w:lang w:val="es-ES"/>
            </w:rPr>
          </w:pPr>
          <w:r w:rsidRPr="00452FC4">
            <w:rPr>
              <w:rFonts w:cs="Arial"/>
              <w:bCs w:val="0"/>
              <w:sz w:val="18"/>
              <w:szCs w:val="18"/>
              <w:lang w:val="es-ES"/>
            </w:rPr>
            <w:fldChar w:fldCharType="end"/>
          </w:r>
        </w:p>
      </w:sdtContent>
    </w:sdt>
    <w:bookmarkStart w:id="1" w:name="_Toc19640897" w:displacedByCustomXml="prev"/>
    <w:p w:rsidR="00F34FFB" w:rsidRDefault="00F34FFB" w:rsidP="00F34FFB">
      <w:pPr>
        <w:pStyle w:val="Ttulo1"/>
        <w:spacing w:before="0" w:beforeAutospacing="0" w:after="0" w:afterAutospacing="0"/>
        <w:rPr>
          <w:rFonts w:eastAsiaTheme="minorHAnsi" w:cs="Arial"/>
          <w:bCs w:val="0"/>
          <w:caps w:val="0"/>
          <w:kern w:val="0"/>
          <w:sz w:val="18"/>
          <w:szCs w:val="18"/>
        </w:rPr>
      </w:pPr>
      <w:bookmarkStart w:id="2" w:name="_Toc74150593"/>
    </w:p>
    <w:p w:rsidR="00243172" w:rsidRPr="003441A8" w:rsidRDefault="00243172" w:rsidP="00243172">
      <w:pPr>
        <w:pStyle w:val="Ttulo1"/>
        <w:spacing w:before="0" w:beforeAutospacing="0" w:after="0" w:afterAutospacing="0"/>
        <w:jc w:val="center"/>
        <w:rPr>
          <w:rFonts w:eastAsiaTheme="minorHAnsi" w:cs="Arial"/>
          <w:bCs w:val="0"/>
          <w:caps w:val="0"/>
          <w:kern w:val="0"/>
          <w:sz w:val="18"/>
          <w:szCs w:val="18"/>
        </w:rPr>
      </w:pPr>
      <w:r w:rsidRPr="003441A8">
        <w:rPr>
          <w:rFonts w:eastAsiaTheme="minorHAnsi" w:cs="Arial"/>
          <w:bCs w:val="0"/>
          <w:caps w:val="0"/>
          <w:kern w:val="0"/>
          <w:sz w:val="18"/>
          <w:szCs w:val="18"/>
        </w:rPr>
        <w:t>Glosario</w:t>
      </w:r>
      <w:bookmarkEnd w:id="1"/>
      <w:bookmarkEnd w:id="2"/>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520"/>
      </w:tblGrid>
      <w:tr w:rsidR="00243172" w:rsidRPr="003441A8" w:rsidTr="00F34FFB">
        <w:trPr>
          <w:trHeight w:val="205"/>
        </w:trPr>
        <w:tc>
          <w:tcPr>
            <w:tcW w:w="2127" w:type="dxa"/>
          </w:tcPr>
          <w:p w:rsidR="00243172" w:rsidRPr="003441A8" w:rsidRDefault="00A54E3B" w:rsidP="002F6BEE">
            <w:pPr>
              <w:spacing w:after="0" w:line="240" w:lineRule="auto"/>
              <w:ind w:right="-23"/>
              <w:rPr>
                <w:b/>
                <w:sz w:val="18"/>
                <w:szCs w:val="18"/>
              </w:rPr>
            </w:pPr>
            <w:r w:rsidRPr="003441A8">
              <w:rPr>
                <w:b/>
                <w:sz w:val="18"/>
                <w:szCs w:val="18"/>
              </w:rPr>
              <w:t>Actor</w:t>
            </w:r>
            <w:r w:rsidR="004A090D">
              <w:rPr>
                <w:b/>
                <w:sz w:val="18"/>
                <w:szCs w:val="18"/>
              </w:rPr>
              <w:t>a</w:t>
            </w:r>
            <w:r w:rsidRPr="003441A8">
              <w:rPr>
                <w:b/>
                <w:sz w:val="18"/>
                <w:szCs w:val="18"/>
              </w:rPr>
              <w:t>/impugnante</w:t>
            </w:r>
            <w:r w:rsidR="00870563" w:rsidRPr="003441A8">
              <w:rPr>
                <w:b/>
                <w:sz w:val="18"/>
                <w:szCs w:val="18"/>
              </w:rPr>
              <w:t>:</w:t>
            </w:r>
          </w:p>
        </w:tc>
        <w:tc>
          <w:tcPr>
            <w:tcW w:w="6520" w:type="dxa"/>
          </w:tcPr>
          <w:p w:rsidR="00243172" w:rsidRPr="003441A8" w:rsidRDefault="004A090D" w:rsidP="002F6BEE">
            <w:pPr>
              <w:pStyle w:val="Default"/>
              <w:jc w:val="both"/>
              <w:rPr>
                <w:sz w:val="18"/>
                <w:szCs w:val="18"/>
              </w:rPr>
            </w:pPr>
            <w:r>
              <w:rPr>
                <w:sz w:val="18"/>
                <w:szCs w:val="18"/>
              </w:rPr>
              <w:t>Juana Angélica Luna</w:t>
            </w:r>
            <w:r w:rsidR="005F7360" w:rsidRPr="003441A8">
              <w:rPr>
                <w:sz w:val="18"/>
                <w:szCs w:val="18"/>
              </w:rPr>
              <w:t>.</w:t>
            </w:r>
          </w:p>
        </w:tc>
      </w:tr>
      <w:tr w:rsidR="00870563" w:rsidRPr="003441A8" w:rsidTr="00F34FFB">
        <w:trPr>
          <w:trHeight w:val="105"/>
        </w:trPr>
        <w:tc>
          <w:tcPr>
            <w:tcW w:w="2127" w:type="dxa"/>
          </w:tcPr>
          <w:p w:rsidR="00870563" w:rsidRPr="003441A8" w:rsidRDefault="004A090D" w:rsidP="00870563">
            <w:pPr>
              <w:spacing w:after="0" w:line="240" w:lineRule="auto"/>
              <w:ind w:right="-23"/>
              <w:rPr>
                <w:b/>
                <w:sz w:val="18"/>
                <w:szCs w:val="18"/>
              </w:rPr>
            </w:pPr>
            <w:r>
              <w:rPr>
                <w:b/>
                <w:sz w:val="18"/>
                <w:szCs w:val="18"/>
              </w:rPr>
              <w:t>Comisión de Justicia:</w:t>
            </w:r>
          </w:p>
        </w:tc>
        <w:tc>
          <w:tcPr>
            <w:tcW w:w="6520" w:type="dxa"/>
          </w:tcPr>
          <w:p w:rsidR="00870563" w:rsidRPr="003441A8" w:rsidRDefault="004A090D" w:rsidP="00870563">
            <w:pPr>
              <w:pStyle w:val="Default"/>
              <w:jc w:val="both"/>
              <w:rPr>
                <w:sz w:val="18"/>
                <w:szCs w:val="18"/>
              </w:rPr>
            </w:pPr>
            <w:r>
              <w:rPr>
                <w:sz w:val="18"/>
                <w:szCs w:val="18"/>
              </w:rPr>
              <w:t>Comisión Nacional de Honestidad y Justicia</w:t>
            </w:r>
            <w:r w:rsidR="005F4816">
              <w:rPr>
                <w:sz w:val="18"/>
                <w:szCs w:val="18"/>
              </w:rPr>
              <w:t xml:space="preserve"> de Morena</w:t>
            </w:r>
            <w:r>
              <w:rPr>
                <w:sz w:val="18"/>
                <w:szCs w:val="18"/>
              </w:rPr>
              <w:t>.</w:t>
            </w:r>
          </w:p>
        </w:tc>
      </w:tr>
      <w:tr w:rsidR="004A090D" w:rsidRPr="003441A8" w:rsidTr="00F34FFB">
        <w:trPr>
          <w:trHeight w:val="105"/>
        </w:trPr>
        <w:tc>
          <w:tcPr>
            <w:tcW w:w="2127" w:type="dxa"/>
          </w:tcPr>
          <w:p w:rsidR="004A090D" w:rsidRDefault="004A090D" w:rsidP="00870563">
            <w:pPr>
              <w:spacing w:after="0" w:line="240" w:lineRule="auto"/>
              <w:ind w:right="-23"/>
              <w:rPr>
                <w:b/>
                <w:sz w:val="18"/>
                <w:szCs w:val="18"/>
              </w:rPr>
            </w:pPr>
            <w:r>
              <w:rPr>
                <w:b/>
                <w:sz w:val="18"/>
                <w:szCs w:val="18"/>
              </w:rPr>
              <w:t>Instituto Local:</w:t>
            </w:r>
          </w:p>
        </w:tc>
        <w:tc>
          <w:tcPr>
            <w:tcW w:w="6520" w:type="dxa"/>
          </w:tcPr>
          <w:p w:rsidR="004A090D" w:rsidRDefault="001C2D78" w:rsidP="00870563">
            <w:pPr>
              <w:pStyle w:val="Default"/>
              <w:jc w:val="both"/>
              <w:rPr>
                <w:sz w:val="18"/>
                <w:szCs w:val="18"/>
              </w:rPr>
            </w:pPr>
            <w:r w:rsidRPr="001C2D78">
              <w:rPr>
                <w:sz w:val="18"/>
                <w:szCs w:val="18"/>
                <w:lang w:val="es-ES_tradnl"/>
              </w:rPr>
              <w:t>Instituto Electoral del Estado de Guanajuato</w:t>
            </w:r>
            <w:r>
              <w:rPr>
                <w:sz w:val="18"/>
                <w:szCs w:val="18"/>
                <w:lang w:val="es-ES_tradnl"/>
              </w:rPr>
              <w:t>.</w:t>
            </w:r>
          </w:p>
        </w:tc>
      </w:tr>
      <w:tr w:rsidR="00452FC4" w:rsidRPr="003441A8" w:rsidTr="00F34FFB">
        <w:trPr>
          <w:trHeight w:val="105"/>
        </w:trPr>
        <w:tc>
          <w:tcPr>
            <w:tcW w:w="2127" w:type="dxa"/>
          </w:tcPr>
          <w:p w:rsidR="00452FC4" w:rsidRPr="00CC1D0E" w:rsidRDefault="00452FC4" w:rsidP="00870563">
            <w:pPr>
              <w:spacing w:after="0" w:line="240" w:lineRule="auto"/>
              <w:ind w:right="-23"/>
              <w:rPr>
                <w:b/>
                <w:sz w:val="18"/>
                <w:szCs w:val="18"/>
              </w:rPr>
            </w:pPr>
            <w:r w:rsidRPr="00CC1D0E">
              <w:rPr>
                <w:b/>
                <w:sz w:val="18"/>
                <w:szCs w:val="18"/>
              </w:rPr>
              <w:t>Ley de Medios:</w:t>
            </w:r>
          </w:p>
        </w:tc>
        <w:tc>
          <w:tcPr>
            <w:tcW w:w="6520" w:type="dxa"/>
          </w:tcPr>
          <w:p w:rsidR="00452FC4" w:rsidRPr="00CC1D0E" w:rsidRDefault="00452FC4" w:rsidP="00870563">
            <w:pPr>
              <w:pStyle w:val="Default"/>
              <w:jc w:val="both"/>
              <w:rPr>
                <w:sz w:val="18"/>
                <w:szCs w:val="18"/>
                <w:lang w:val="es-ES_tradnl"/>
              </w:rPr>
            </w:pPr>
            <w:r w:rsidRPr="00CC1D0E">
              <w:rPr>
                <w:sz w:val="18"/>
                <w:szCs w:val="18"/>
                <w:lang w:val="es-ES_tradnl"/>
              </w:rPr>
              <w:t>Ley General del Sistema de Medios de Impugnación en Materia Electoral.</w:t>
            </w:r>
          </w:p>
        </w:tc>
      </w:tr>
      <w:tr w:rsidR="00FA0DA0" w:rsidRPr="003441A8" w:rsidTr="00F34FFB">
        <w:trPr>
          <w:trHeight w:val="105"/>
        </w:trPr>
        <w:tc>
          <w:tcPr>
            <w:tcW w:w="2127" w:type="dxa"/>
          </w:tcPr>
          <w:p w:rsidR="00F34FFB" w:rsidRPr="00F34FFB" w:rsidRDefault="00FA0DA0" w:rsidP="00870563">
            <w:pPr>
              <w:spacing w:after="0" w:line="240" w:lineRule="auto"/>
              <w:ind w:right="-23"/>
              <w:rPr>
                <w:b/>
                <w:sz w:val="18"/>
                <w:szCs w:val="18"/>
              </w:rPr>
            </w:pPr>
            <w:r>
              <w:rPr>
                <w:b/>
                <w:sz w:val="18"/>
                <w:szCs w:val="18"/>
              </w:rPr>
              <w:t>Tribunal de Guanajuato/Local</w:t>
            </w:r>
            <w:r w:rsidRPr="003441A8">
              <w:rPr>
                <w:b/>
                <w:sz w:val="18"/>
                <w:szCs w:val="18"/>
              </w:rPr>
              <w:t>:</w:t>
            </w:r>
          </w:p>
        </w:tc>
        <w:tc>
          <w:tcPr>
            <w:tcW w:w="6520" w:type="dxa"/>
          </w:tcPr>
          <w:p w:rsidR="00FA0DA0" w:rsidRPr="00CC1D0E" w:rsidRDefault="00FA0DA0" w:rsidP="00870563">
            <w:pPr>
              <w:pStyle w:val="Default"/>
              <w:jc w:val="both"/>
              <w:rPr>
                <w:sz w:val="18"/>
                <w:szCs w:val="18"/>
                <w:highlight w:val="green"/>
                <w:lang w:val="es-ES_tradnl"/>
              </w:rPr>
            </w:pPr>
            <w:r>
              <w:rPr>
                <w:sz w:val="18"/>
                <w:szCs w:val="18"/>
              </w:rPr>
              <w:t>Tribunal Estatal Electoral de Guanajuato</w:t>
            </w:r>
            <w:r w:rsidRPr="003441A8">
              <w:rPr>
                <w:sz w:val="18"/>
                <w:szCs w:val="18"/>
              </w:rPr>
              <w:t>.</w:t>
            </w:r>
          </w:p>
        </w:tc>
      </w:tr>
    </w:tbl>
    <w:p w:rsidR="00F34FFB" w:rsidRPr="00F34FFB" w:rsidRDefault="00F34FFB" w:rsidP="00F34FFB">
      <w:bookmarkStart w:id="3" w:name="_Toc45621481"/>
    </w:p>
    <w:p w:rsidR="00243172" w:rsidRDefault="00243172" w:rsidP="00F34FFB">
      <w:pPr>
        <w:pStyle w:val="Ttulo1"/>
        <w:spacing w:before="0" w:beforeAutospacing="0" w:after="0" w:afterAutospacing="0" w:line="240" w:lineRule="auto"/>
        <w:jc w:val="center"/>
        <w:rPr>
          <w:rFonts w:eastAsia="Times New Roman" w:cs="Arial"/>
          <w:caps w:val="0"/>
          <w:szCs w:val="24"/>
        </w:rPr>
      </w:pPr>
      <w:bookmarkStart w:id="4" w:name="_Toc74150594"/>
      <w:r w:rsidRPr="003441A8">
        <w:rPr>
          <w:rFonts w:eastAsia="Times New Roman" w:cs="Arial"/>
          <w:caps w:val="0"/>
          <w:szCs w:val="24"/>
        </w:rPr>
        <w:lastRenderedPageBreak/>
        <w:t>Competenci</w:t>
      </w:r>
      <w:bookmarkEnd w:id="3"/>
      <w:r w:rsidRPr="003441A8">
        <w:rPr>
          <w:rFonts w:eastAsia="Times New Roman" w:cs="Arial"/>
          <w:caps w:val="0"/>
          <w:szCs w:val="24"/>
        </w:rPr>
        <w:t xml:space="preserve">a </w:t>
      </w:r>
      <w:bookmarkEnd w:id="4"/>
    </w:p>
    <w:p w:rsidR="00F34FFB" w:rsidRPr="00F34FFB" w:rsidRDefault="00F34FFB" w:rsidP="00F34FFB">
      <w:pPr>
        <w:spacing w:after="0" w:line="240" w:lineRule="auto"/>
      </w:pPr>
    </w:p>
    <w:p w:rsidR="00243172" w:rsidRDefault="00243172" w:rsidP="00F34FFB">
      <w:pPr>
        <w:spacing w:after="0" w:line="360" w:lineRule="auto"/>
        <w:jc w:val="both"/>
      </w:pPr>
      <w:r w:rsidRPr="003441A8">
        <w:t xml:space="preserve">Esta Sala </w:t>
      </w:r>
      <w:r w:rsidR="001328B3" w:rsidRPr="003441A8">
        <w:t>Monterrey</w:t>
      </w:r>
      <w:r w:rsidRPr="003441A8">
        <w:t xml:space="preserve"> es competente para </w:t>
      </w:r>
      <w:r w:rsidR="00612A14" w:rsidRPr="003441A8">
        <w:t>conocer</w:t>
      </w:r>
      <w:r w:rsidRPr="003441A8">
        <w:t xml:space="preserve"> el presente juicio </w:t>
      </w:r>
      <w:r w:rsidR="002C4184" w:rsidRPr="003441A8">
        <w:t xml:space="preserve">ciudadano </w:t>
      </w:r>
      <w:r w:rsidRPr="003441A8">
        <w:t xml:space="preserve">promovido </w:t>
      </w:r>
      <w:r w:rsidR="002C4184" w:rsidRPr="003441A8">
        <w:t xml:space="preserve">por </w:t>
      </w:r>
      <w:r w:rsidR="00855B87" w:rsidRPr="003441A8">
        <w:t>la</w:t>
      </w:r>
      <w:r w:rsidR="00DD1223" w:rsidRPr="003441A8">
        <w:t xml:space="preserve"> impugnante</w:t>
      </w:r>
      <w:r w:rsidR="002C4184" w:rsidRPr="003441A8">
        <w:t xml:space="preserve"> </w:t>
      </w:r>
      <w:r w:rsidRPr="003441A8">
        <w:t>con</w:t>
      </w:r>
      <w:r w:rsidR="005D6C05">
        <w:t xml:space="preserve">tra la sentencia </w:t>
      </w:r>
      <w:r w:rsidR="001C2D78">
        <w:t xml:space="preserve">del Tribunal de Guanajuato </w:t>
      </w:r>
      <w:r w:rsidR="005D6C05">
        <w:t>que sobreseyó su medio de impugnación</w:t>
      </w:r>
      <w:r w:rsidR="001C2D78">
        <w:t xml:space="preserve"> relacionado con la supuesta irregularidad del proceso interno de la selección de candidaturas de Morena para el Ayuntamiento de Guanajuato, Guanajuato</w:t>
      </w:r>
      <w:r w:rsidRPr="003441A8">
        <w:t>, entidad federativa ubicada en la Segunda Circunscripción Electoral Plurinominal en la que esta Sala ejerce jurisdicción</w:t>
      </w:r>
      <w:r w:rsidRPr="003441A8">
        <w:rPr>
          <w:rStyle w:val="Refdenotaalpie"/>
        </w:rPr>
        <w:footnoteReference w:id="2"/>
      </w:r>
      <w:r w:rsidRPr="003441A8">
        <w:t>.</w:t>
      </w:r>
    </w:p>
    <w:p w:rsidR="00F47CAB" w:rsidRPr="003441A8" w:rsidRDefault="00F47CAB" w:rsidP="00312B00">
      <w:pPr>
        <w:shd w:val="clear" w:color="auto" w:fill="FFFFFF" w:themeFill="background1"/>
        <w:spacing w:after="0" w:line="240" w:lineRule="auto"/>
        <w:contextualSpacing/>
        <w:jc w:val="both"/>
        <w:rPr>
          <w:bCs/>
        </w:rPr>
      </w:pPr>
    </w:p>
    <w:p w:rsidR="00F47CAB" w:rsidRPr="003441A8" w:rsidRDefault="00F47CAB" w:rsidP="00151947">
      <w:pPr>
        <w:pStyle w:val="Ttulo1"/>
        <w:spacing w:before="0" w:beforeAutospacing="0" w:after="0" w:afterAutospacing="0"/>
        <w:jc w:val="center"/>
        <w:rPr>
          <w:rFonts w:eastAsia="Times New Roman" w:cs="Arial"/>
          <w:caps w:val="0"/>
          <w:szCs w:val="24"/>
        </w:rPr>
      </w:pPr>
      <w:bookmarkStart w:id="5" w:name="_Toc74150596"/>
      <w:r w:rsidRPr="003441A8">
        <w:rPr>
          <w:rFonts w:eastAsia="Times New Roman" w:cs="Arial"/>
          <w:caps w:val="0"/>
          <w:szCs w:val="24"/>
        </w:rPr>
        <w:t>Antecedentes</w:t>
      </w:r>
      <w:r w:rsidR="001328B3" w:rsidRPr="003441A8">
        <w:rPr>
          <w:rStyle w:val="Refdenotaalpie"/>
          <w:rFonts w:cs="Arial"/>
          <w:caps w:val="0"/>
          <w:szCs w:val="24"/>
        </w:rPr>
        <w:footnoteReference w:id="3"/>
      </w:r>
      <w:bookmarkEnd w:id="5"/>
    </w:p>
    <w:p w:rsidR="00F47CAB" w:rsidRPr="003441A8" w:rsidRDefault="00F47CAB" w:rsidP="00F47CAB">
      <w:pPr>
        <w:spacing w:after="0" w:line="240" w:lineRule="auto"/>
      </w:pPr>
    </w:p>
    <w:p w:rsidR="00F47CAB" w:rsidRPr="003441A8" w:rsidRDefault="00F47CAB" w:rsidP="00F47CAB">
      <w:pPr>
        <w:spacing w:after="0" w:line="240" w:lineRule="auto"/>
        <w:jc w:val="both"/>
        <w:rPr>
          <w:b/>
          <w:bCs/>
        </w:rPr>
      </w:pPr>
      <w:r w:rsidRPr="003441A8">
        <w:rPr>
          <w:b/>
          <w:bCs/>
        </w:rPr>
        <w:t>I. Hechos contextuales y origen de la controversia</w:t>
      </w:r>
    </w:p>
    <w:p w:rsidR="00F47CAB" w:rsidRPr="003441A8" w:rsidRDefault="00F47CAB" w:rsidP="00F47CAB">
      <w:pPr>
        <w:spacing w:after="0" w:line="240" w:lineRule="auto"/>
        <w:jc w:val="both"/>
        <w:rPr>
          <w:b/>
          <w:bCs/>
        </w:rPr>
      </w:pPr>
    </w:p>
    <w:p w:rsidR="00A54E3B" w:rsidRPr="00CE052F" w:rsidRDefault="00A54E3B" w:rsidP="00F47CAB">
      <w:pPr>
        <w:spacing w:after="0" w:line="360" w:lineRule="auto"/>
        <w:jc w:val="both"/>
      </w:pPr>
      <w:r w:rsidRPr="003441A8">
        <w:rPr>
          <w:bCs/>
        </w:rPr>
        <w:t xml:space="preserve">El 30 de </w:t>
      </w:r>
      <w:r w:rsidR="00632820">
        <w:rPr>
          <w:bCs/>
        </w:rPr>
        <w:t>enero</w:t>
      </w:r>
      <w:r w:rsidRPr="003441A8">
        <w:rPr>
          <w:bCs/>
        </w:rPr>
        <w:t xml:space="preserve"> de 202</w:t>
      </w:r>
      <w:r w:rsidR="00632820">
        <w:rPr>
          <w:bCs/>
        </w:rPr>
        <w:t>1</w:t>
      </w:r>
      <w:r w:rsidR="00632820">
        <w:rPr>
          <w:rStyle w:val="Refdenotaalpie"/>
          <w:bCs/>
        </w:rPr>
        <w:footnoteReference w:id="4"/>
      </w:r>
      <w:r w:rsidRPr="003441A8">
        <w:rPr>
          <w:bCs/>
        </w:rPr>
        <w:t xml:space="preserve">, </w:t>
      </w:r>
      <w:r w:rsidR="00647D29">
        <w:rPr>
          <w:b/>
        </w:rPr>
        <w:t>el Comité Ejecutivo Nacional de Morena</w:t>
      </w:r>
      <w:r w:rsidRPr="003441A8">
        <w:rPr>
          <w:b/>
        </w:rPr>
        <w:t xml:space="preserve"> </w:t>
      </w:r>
      <w:r w:rsidR="00647D29">
        <w:rPr>
          <w:b/>
        </w:rPr>
        <w:t>convocó</w:t>
      </w:r>
      <w:r w:rsidR="00647D29">
        <w:t xml:space="preserve"> </w:t>
      </w:r>
      <w:r w:rsidR="00CE052F" w:rsidRPr="00CE052F">
        <w:rPr>
          <w:b/>
          <w:bCs/>
        </w:rPr>
        <w:t>para la selección de candidaturas</w:t>
      </w:r>
      <w:r w:rsidR="00CE052F" w:rsidRPr="00CE052F">
        <w:t> </w:t>
      </w:r>
      <w:r w:rsidR="00A82965" w:rsidRPr="00A82965">
        <w:t xml:space="preserve">a diputaciones locales, así como a los </w:t>
      </w:r>
      <w:r w:rsidR="00A82965" w:rsidRPr="00A82965">
        <w:rPr>
          <w:b/>
        </w:rPr>
        <w:t>integrantes de los ayuntamientos en Guanajuato</w:t>
      </w:r>
      <w:r w:rsidR="00EF2A0D">
        <w:rPr>
          <w:rStyle w:val="Refdenotaalpie"/>
        </w:rPr>
        <w:footnoteReference w:id="5"/>
      </w:r>
      <w:r w:rsidRPr="003441A8">
        <w:rPr>
          <w:bCs/>
        </w:rPr>
        <w:t>.</w:t>
      </w:r>
    </w:p>
    <w:p w:rsidR="004C598E" w:rsidRDefault="004C598E" w:rsidP="00F34FFB">
      <w:pPr>
        <w:spacing w:after="0" w:line="240" w:lineRule="auto"/>
        <w:jc w:val="both"/>
        <w:rPr>
          <w:bCs/>
        </w:rPr>
      </w:pPr>
    </w:p>
    <w:p w:rsidR="004C598E" w:rsidRPr="004C598E" w:rsidRDefault="004C598E" w:rsidP="00F47CAB">
      <w:pPr>
        <w:spacing w:after="0" w:line="360" w:lineRule="auto"/>
        <w:jc w:val="both"/>
        <w:rPr>
          <w:b/>
          <w:bCs/>
        </w:rPr>
      </w:pPr>
      <w:r>
        <w:rPr>
          <w:b/>
          <w:bCs/>
        </w:rPr>
        <w:t xml:space="preserve">II. </w:t>
      </w:r>
      <w:r w:rsidR="00C22775">
        <w:rPr>
          <w:b/>
          <w:bCs/>
        </w:rPr>
        <w:t>Primer juicio ciudadano local e i</w:t>
      </w:r>
      <w:r>
        <w:rPr>
          <w:b/>
          <w:bCs/>
        </w:rPr>
        <w:t>nstancia partidista</w:t>
      </w:r>
    </w:p>
    <w:p w:rsidR="00F47CAB" w:rsidRPr="003441A8" w:rsidRDefault="00F47CAB" w:rsidP="00F34FFB">
      <w:pPr>
        <w:spacing w:after="0" w:line="240" w:lineRule="auto"/>
        <w:jc w:val="both"/>
      </w:pPr>
    </w:p>
    <w:p w:rsidR="008F31AF" w:rsidRDefault="00C429BD" w:rsidP="00873212">
      <w:pPr>
        <w:spacing w:after="0" w:line="360" w:lineRule="auto"/>
        <w:jc w:val="both"/>
        <w:rPr>
          <w:bCs/>
        </w:rPr>
      </w:pPr>
      <w:r>
        <w:rPr>
          <w:b/>
          <w:bCs/>
        </w:rPr>
        <w:t>1</w:t>
      </w:r>
      <w:r w:rsidR="002958EC" w:rsidRPr="003441A8">
        <w:rPr>
          <w:b/>
          <w:bCs/>
        </w:rPr>
        <w:t>.</w:t>
      </w:r>
      <w:r w:rsidR="002958EC" w:rsidRPr="003441A8">
        <w:t xml:space="preserve"> </w:t>
      </w:r>
      <w:r w:rsidR="00255F50">
        <w:t>Inconforme</w:t>
      </w:r>
      <w:r w:rsidR="00A559F5">
        <w:t>, el 2</w:t>
      </w:r>
      <w:r w:rsidR="00FE7528">
        <w:t>5 de abril</w:t>
      </w:r>
      <w:r w:rsidR="001A3BA5">
        <w:t>,</w:t>
      </w:r>
      <w:r w:rsidR="006B7A06">
        <w:t xml:space="preserve"> </w:t>
      </w:r>
      <w:r w:rsidR="006B7A06" w:rsidRPr="00461B6E">
        <w:rPr>
          <w:b/>
        </w:rPr>
        <w:t>la impugnante presentó juicio ciudadano</w:t>
      </w:r>
      <w:r w:rsidR="006B7A06">
        <w:t xml:space="preserve"> </w:t>
      </w:r>
      <w:r w:rsidR="006B7A06" w:rsidRPr="006E7FC6">
        <w:rPr>
          <w:b/>
        </w:rPr>
        <w:t>loc</w:t>
      </w:r>
      <w:r w:rsidR="00BE0D20" w:rsidRPr="006E7FC6">
        <w:rPr>
          <w:b/>
        </w:rPr>
        <w:t>al</w:t>
      </w:r>
      <w:r w:rsidR="00BE0D20">
        <w:t xml:space="preserve"> para controvertir</w:t>
      </w:r>
      <w:r w:rsidR="00B0676F">
        <w:t xml:space="preserve"> la supuesta ilegalidad del proceso </w:t>
      </w:r>
      <w:r w:rsidR="00430AE1">
        <w:t>interno de selección de</w:t>
      </w:r>
      <w:r w:rsidR="002D285E">
        <w:t xml:space="preserve"> candidaturas a las regidurías al </w:t>
      </w:r>
      <w:r w:rsidR="00461B6E">
        <w:t>A</w:t>
      </w:r>
      <w:r w:rsidR="002D285E">
        <w:t>yuntamiento de Guanajuato</w:t>
      </w:r>
      <w:r w:rsidR="001D2C6B">
        <w:rPr>
          <w:bCs/>
        </w:rPr>
        <w:t>.</w:t>
      </w:r>
      <w:r w:rsidR="007A76B8">
        <w:rPr>
          <w:bCs/>
        </w:rPr>
        <w:t xml:space="preserve"> </w:t>
      </w:r>
      <w:r w:rsidR="00461B6E">
        <w:rPr>
          <w:bCs/>
        </w:rPr>
        <w:t>E</w:t>
      </w:r>
      <w:r w:rsidR="00F57F2F">
        <w:rPr>
          <w:bCs/>
        </w:rPr>
        <w:t>l 4 de mayo, el Tribunal de Guanajuato</w:t>
      </w:r>
      <w:r w:rsidR="00A04B2A">
        <w:rPr>
          <w:bCs/>
        </w:rPr>
        <w:t xml:space="preserve"> </w:t>
      </w:r>
      <w:r w:rsidR="008F5ABF">
        <w:rPr>
          <w:b/>
          <w:bCs/>
        </w:rPr>
        <w:t>reencauzó</w:t>
      </w:r>
      <w:r w:rsidR="008F5ABF">
        <w:rPr>
          <w:bCs/>
        </w:rPr>
        <w:t xml:space="preserve"> la demanda a la Comisión de Justicia</w:t>
      </w:r>
      <w:r w:rsidR="00AC1D0E">
        <w:rPr>
          <w:bCs/>
        </w:rPr>
        <w:t xml:space="preserve">, al no </w:t>
      </w:r>
      <w:r w:rsidR="0020749D">
        <w:rPr>
          <w:bCs/>
        </w:rPr>
        <w:t>haberse</w:t>
      </w:r>
      <w:r w:rsidR="00AC1D0E">
        <w:rPr>
          <w:bCs/>
        </w:rPr>
        <w:t xml:space="preserve"> agotado la instancia partidista</w:t>
      </w:r>
      <w:r w:rsidR="008127EA">
        <w:rPr>
          <w:bCs/>
        </w:rPr>
        <w:t xml:space="preserve"> (</w:t>
      </w:r>
      <w:r w:rsidR="008127EA" w:rsidRPr="008127EA">
        <w:rPr>
          <w:bCs/>
        </w:rPr>
        <w:t>TEEG-JPDC-138/2021 y acumulado</w:t>
      </w:r>
      <w:r w:rsidR="008127EA">
        <w:rPr>
          <w:bCs/>
        </w:rPr>
        <w:t>s)</w:t>
      </w:r>
      <w:r w:rsidR="008F5ABF">
        <w:rPr>
          <w:rStyle w:val="Refdenotaalpie"/>
          <w:bCs/>
        </w:rPr>
        <w:footnoteReference w:id="6"/>
      </w:r>
      <w:r w:rsidR="008F5ABF">
        <w:rPr>
          <w:bCs/>
        </w:rPr>
        <w:t>.</w:t>
      </w:r>
    </w:p>
    <w:p w:rsidR="00AA7F42" w:rsidRDefault="00AA7F42" w:rsidP="00873212">
      <w:pPr>
        <w:spacing w:after="0" w:line="360" w:lineRule="auto"/>
        <w:jc w:val="both"/>
        <w:rPr>
          <w:bCs/>
        </w:rPr>
      </w:pPr>
    </w:p>
    <w:p w:rsidR="00F34FFB" w:rsidRDefault="00243978" w:rsidP="00873212">
      <w:pPr>
        <w:spacing w:after="0" w:line="360" w:lineRule="auto"/>
        <w:jc w:val="both"/>
        <w:rPr>
          <w:bCs/>
        </w:rPr>
      </w:pPr>
      <w:r>
        <w:rPr>
          <w:b/>
          <w:bCs/>
        </w:rPr>
        <w:t>2</w:t>
      </w:r>
      <w:r w:rsidR="00AA7F42">
        <w:rPr>
          <w:b/>
          <w:bCs/>
        </w:rPr>
        <w:t>.</w:t>
      </w:r>
      <w:r w:rsidR="00AA7F42">
        <w:rPr>
          <w:bCs/>
        </w:rPr>
        <w:t xml:space="preserve"> </w:t>
      </w:r>
      <w:r w:rsidR="0027335A">
        <w:rPr>
          <w:bCs/>
        </w:rPr>
        <w:t xml:space="preserve">El 8 de mayo, la </w:t>
      </w:r>
      <w:r w:rsidR="0027335A" w:rsidRPr="0027335A">
        <w:rPr>
          <w:b/>
          <w:bCs/>
        </w:rPr>
        <w:t>Comisión de Justicia</w:t>
      </w:r>
      <w:r w:rsidR="0027335A">
        <w:rPr>
          <w:b/>
          <w:bCs/>
        </w:rPr>
        <w:t xml:space="preserve"> </w:t>
      </w:r>
      <w:r w:rsidR="00F17D61">
        <w:rPr>
          <w:b/>
          <w:bCs/>
        </w:rPr>
        <w:t xml:space="preserve">determinó la improcedencia </w:t>
      </w:r>
      <w:r w:rsidR="00F17D61">
        <w:rPr>
          <w:bCs/>
        </w:rPr>
        <w:t>de la queja presentada por la impu</w:t>
      </w:r>
      <w:r w:rsidR="00A7496F">
        <w:rPr>
          <w:bCs/>
        </w:rPr>
        <w:t>gnante</w:t>
      </w:r>
      <w:r w:rsidR="006D455C">
        <w:rPr>
          <w:bCs/>
        </w:rPr>
        <w:t xml:space="preserve">, </w:t>
      </w:r>
      <w:r w:rsidR="0020749D">
        <w:rPr>
          <w:bCs/>
        </w:rPr>
        <w:t xml:space="preserve">porque fue </w:t>
      </w:r>
      <w:r w:rsidR="00A50CA3" w:rsidRPr="00CC1D0E">
        <w:rPr>
          <w:bCs/>
        </w:rPr>
        <w:t>promovida</w:t>
      </w:r>
      <w:r w:rsidR="00A50CA3">
        <w:rPr>
          <w:bCs/>
        </w:rPr>
        <w:t xml:space="preserve"> </w:t>
      </w:r>
      <w:r w:rsidR="0020749D">
        <w:rPr>
          <w:bCs/>
        </w:rPr>
        <w:t>de manera extemporánea</w:t>
      </w:r>
      <w:r w:rsidR="00157B19">
        <w:rPr>
          <w:bCs/>
        </w:rPr>
        <w:t xml:space="preserve"> (CNHJ-GTO-1509/2021)</w:t>
      </w:r>
      <w:r w:rsidR="0020749D">
        <w:rPr>
          <w:bCs/>
        </w:rPr>
        <w:t>.</w:t>
      </w:r>
    </w:p>
    <w:p w:rsidR="00873212" w:rsidRDefault="00873212" w:rsidP="00987D53">
      <w:pPr>
        <w:spacing w:after="0" w:line="360" w:lineRule="auto"/>
        <w:jc w:val="both"/>
        <w:rPr>
          <w:bCs/>
        </w:rPr>
      </w:pPr>
    </w:p>
    <w:p w:rsidR="00F34FFB" w:rsidRDefault="00F34FFB" w:rsidP="00987D53">
      <w:pPr>
        <w:spacing w:after="0" w:line="360" w:lineRule="auto"/>
        <w:jc w:val="both"/>
        <w:rPr>
          <w:bCs/>
        </w:rPr>
      </w:pPr>
    </w:p>
    <w:p w:rsidR="00DB3BAF" w:rsidRDefault="00DB3BAF" w:rsidP="00D15D6C">
      <w:pPr>
        <w:spacing w:after="0" w:line="240" w:lineRule="auto"/>
        <w:jc w:val="both"/>
        <w:rPr>
          <w:bCs/>
        </w:rPr>
      </w:pPr>
    </w:p>
    <w:p w:rsidR="00DB3BAF" w:rsidRDefault="00DB3BAF" w:rsidP="00F34FFB">
      <w:pPr>
        <w:spacing w:after="0" w:line="240" w:lineRule="auto"/>
        <w:jc w:val="both"/>
        <w:rPr>
          <w:b/>
          <w:bCs/>
        </w:rPr>
      </w:pPr>
      <w:r>
        <w:rPr>
          <w:b/>
          <w:bCs/>
        </w:rPr>
        <w:t xml:space="preserve">III. </w:t>
      </w:r>
      <w:r w:rsidR="003250F1">
        <w:rPr>
          <w:b/>
          <w:bCs/>
        </w:rPr>
        <w:t>Segundo</w:t>
      </w:r>
      <w:r>
        <w:rPr>
          <w:b/>
          <w:bCs/>
        </w:rPr>
        <w:t xml:space="preserve"> juicio ciudadano</w:t>
      </w:r>
      <w:r w:rsidR="00C22775">
        <w:rPr>
          <w:b/>
          <w:bCs/>
        </w:rPr>
        <w:t xml:space="preserve"> local</w:t>
      </w:r>
    </w:p>
    <w:p w:rsidR="00D15D6C" w:rsidRDefault="00D15D6C" w:rsidP="00F34FFB">
      <w:pPr>
        <w:spacing w:after="0" w:line="240" w:lineRule="auto"/>
        <w:jc w:val="both"/>
        <w:rPr>
          <w:b/>
          <w:bCs/>
        </w:rPr>
      </w:pPr>
    </w:p>
    <w:p w:rsidR="00D15D6C" w:rsidRDefault="00D15D6C" w:rsidP="00873212">
      <w:pPr>
        <w:spacing w:after="0" w:line="360" w:lineRule="auto"/>
        <w:jc w:val="both"/>
        <w:rPr>
          <w:bCs/>
        </w:rPr>
      </w:pPr>
      <w:r>
        <w:rPr>
          <w:b/>
          <w:bCs/>
        </w:rPr>
        <w:t>1.</w:t>
      </w:r>
      <w:r w:rsidR="00EE22E6">
        <w:rPr>
          <w:bCs/>
        </w:rPr>
        <w:t xml:space="preserve"> </w:t>
      </w:r>
      <w:r w:rsidR="006E7FC6">
        <w:rPr>
          <w:bCs/>
        </w:rPr>
        <w:t xml:space="preserve">En </w:t>
      </w:r>
      <w:r w:rsidR="00F34FFB">
        <w:rPr>
          <w:bCs/>
        </w:rPr>
        <w:t>desacuerdo</w:t>
      </w:r>
      <w:r w:rsidR="00E2177B">
        <w:rPr>
          <w:bCs/>
        </w:rPr>
        <w:t>, el 13 de mayo</w:t>
      </w:r>
      <w:r w:rsidR="006E7FC6">
        <w:rPr>
          <w:bCs/>
        </w:rPr>
        <w:t>,</w:t>
      </w:r>
      <w:r w:rsidR="00E2177B">
        <w:rPr>
          <w:bCs/>
        </w:rPr>
        <w:t xml:space="preserve"> la </w:t>
      </w:r>
      <w:r w:rsidR="00E2177B" w:rsidRPr="00E2177B">
        <w:rPr>
          <w:b/>
          <w:bCs/>
        </w:rPr>
        <w:t>actora presentó juicio ciudadano</w:t>
      </w:r>
      <w:r w:rsidR="00E2177B">
        <w:rPr>
          <w:b/>
          <w:bCs/>
        </w:rPr>
        <w:t xml:space="preserve"> local</w:t>
      </w:r>
      <w:r w:rsidR="00063E4A">
        <w:rPr>
          <w:bCs/>
        </w:rPr>
        <w:t>, al considerar</w:t>
      </w:r>
      <w:r w:rsidR="004800BD">
        <w:rPr>
          <w:bCs/>
        </w:rPr>
        <w:t>, fundamentalmente</w:t>
      </w:r>
      <w:r w:rsidR="008F6EA7">
        <w:rPr>
          <w:bCs/>
        </w:rPr>
        <w:t xml:space="preserve">, </w:t>
      </w:r>
      <w:r w:rsidR="004800BD">
        <w:rPr>
          <w:bCs/>
        </w:rPr>
        <w:t xml:space="preserve">que su impugnación sí </w:t>
      </w:r>
      <w:r w:rsidR="00477DA1">
        <w:rPr>
          <w:bCs/>
        </w:rPr>
        <w:t>fue oportuna</w:t>
      </w:r>
      <w:r w:rsidR="000C1C27">
        <w:rPr>
          <w:bCs/>
        </w:rPr>
        <w:t>.</w:t>
      </w:r>
    </w:p>
    <w:p w:rsidR="00661158" w:rsidRDefault="00661158" w:rsidP="00873212">
      <w:pPr>
        <w:spacing w:after="0" w:line="360" w:lineRule="auto"/>
        <w:jc w:val="both"/>
        <w:rPr>
          <w:bCs/>
        </w:rPr>
      </w:pPr>
    </w:p>
    <w:p w:rsidR="00661158" w:rsidRPr="00B656F7" w:rsidRDefault="00661158" w:rsidP="00873212">
      <w:pPr>
        <w:spacing w:after="0" w:line="360" w:lineRule="auto"/>
        <w:jc w:val="both"/>
        <w:rPr>
          <w:b/>
          <w:bCs/>
        </w:rPr>
      </w:pPr>
      <w:r>
        <w:rPr>
          <w:b/>
          <w:bCs/>
        </w:rPr>
        <w:t>2.</w:t>
      </w:r>
      <w:r>
        <w:rPr>
          <w:bCs/>
        </w:rPr>
        <w:t xml:space="preserve"> </w:t>
      </w:r>
      <w:r w:rsidR="001E0398">
        <w:rPr>
          <w:bCs/>
        </w:rPr>
        <w:t xml:space="preserve">El 25 </w:t>
      </w:r>
      <w:r w:rsidR="008F6EA7">
        <w:rPr>
          <w:bCs/>
        </w:rPr>
        <w:t>de mayo</w:t>
      </w:r>
      <w:r w:rsidR="001E0398">
        <w:rPr>
          <w:bCs/>
        </w:rPr>
        <w:t xml:space="preserve">, el </w:t>
      </w:r>
      <w:r w:rsidR="001E0398" w:rsidRPr="00477DA1">
        <w:rPr>
          <w:bCs/>
        </w:rPr>
        <w:t>Tribunal de Guanajuato</w:t>
      </w:r>
      <w:r w:rsidR="003A7977">
        <w:rPr>
          <w:bCs/>
        </w:rPr>
        <w:t xml:space="preserve"> </w:t>
      </w:r>
      <w:r w:rsidR="003A7977">
        <w:rPr>
          <w:b/>
          <w:bCs/>
        </w:rPr>
        <w:t>revocó</w:t>
      </w:r>
      <w:r w:rsidR="003A7977">
        <w:rPr>
          <w:bCs/>
        </w:rPr>
        <w:t xml:space="preserve"> la determinación de la Comisión de Justicia</w:t>
      </w:r>
      <w:r w:rsidR="00477DA1">
        <w:rPr>
          <w:bCs/>
        </w:rPr>
        <w:t>, concretamente,</w:t>
      </w:r>
      <w:r w:rsidR="0043742D">
        <w:rPr>
          <w:bCs/>
        </w:rPr>
        <w:t xml:space="preserve"> </w:t>
      </w:r>
      <w:r w:rsidR="00477DA1">
        <w:rPr>
          <w:bCs/>
        </w:rPr>
        <w:t>porque</w:t>
      </w:r>
      <w:r w:rsidR="00324076">
        <w:rPr>
          <w:bCs/>
        </w:rPr>
        <w:t xml:space="preserve"> </w:t>
      </w:r>
      <w:r w:rsidR="0043742D">
        <w:rPr>
          <w:bCs/>
        </w:rPr>
        <w:t xml:space="preserve">no </w:t>
      </w:r>
      <w:r w:rsidR="00896740">
        <w:rPr>
          <w:bCs/>
        </w:rPr>
        <w:t>se acreditó</w:t>
      </w:r>
      <w:r w:rsidR="00746C3C">
        <w:rPr>
          <w:bCs/>
        </w:rPr>
        <w:t xml:space="preserve"> que la </w:t>
      </w:r>
      <w:r w:rsidR="00746C3C" w:rsidRPr="0088596F">
        <w:rPr>
          <w:bCs/>
        </w:rPr>
        <w:t>impugnante</w:t>
      </w:r>
      <w:r w:rsidR="00B325A2" w:rsidRPr="0088596F">
        <w:rPr>
          <w:bCs/>
        </w:rPr>
        <w:t xml:space="preserve"> haya </w:t>
      </w:r>
      <w:r w:rsidR="008F6EA7">
        <w:rPr>
          <w:bCs/>
        </w:rPr>
        <w:t xml:space="preserve">tenido </w:t>
      </w:r>
      <w:r w:rsidR="00B325A2" w:rsidRPr="0088596F">
        <w:rPr>
          <w:bCs/>
        </w:rPr>
        <w:t>conoc</w:t>
      </w:r>
      <w:r w:rsidR="008F6EA7">
        <w:rPr>
          <w:bCs/>
        </w:rPr>
        <w:t>imiento d</w:t>
      </w:r>
      <w:r w:rsidR="00B325A2" w:rsidRPr="0088596F">
        <w:rPr>
          <w:bCs/>
        </w:rPr>
        <w:t xml:space="preserve">el </w:t>
      </w:r>
      <w:r w:rsidR="00936B07">
        <w:rPr>
          <w:bCs/>
        </w:rPr>
        <w:t>acuerdo que aprobó los registros</w:t>
      </w:r>
      <w:r w:rsidR="00B325A2" w:rsidRPr="0088596F">
        <w:rPr>
          <w:bCs/>
        </w:rPr>
        <w:t xml:space="preserve"> en la fecha de su emisión</w:t>
      </w:r>
      <w:r w:rsidR="00477DA1">
        <w:rPr>
          <w:bCs/>
        </w:rPr>
        <w:t>, como lo consideró el órgano partidista</w:t>
      </w:r>
      <w:r w:rsidR="00B325A2" w:rsidRPr="0088596F">
        <w:rPr>
          <w:rStyle w:val="Refdenotaalpie"/>
          <w:bCs/>
        </w:rPr>
        <w:footnoteReference w:id="7"/>
      </w:r>
      <w:r w:rsidR="008F6EA7">
        <w:rPr>
          <w:bCs/>
        </w:rPr>
        <w:t>, por lo que ordenó a</w:t>
      </w:r>
      <w:r w:rsidR="007C590D">
        <w:rPr>
          <w:bCs/>
        </w:rPr>
        <w:t xml:space="preserve"> </w:t>
      </w:r>
      <w:r w:rsidR="00981494">
        <w:rPr>
          <w:bCs/>
        </w:rPr>
        <w:t xml:space="preserve">la Comisión de </w:t>
      </w:r>
      <w:r w:rsidR="00981494" w:rsidRPr="00B656F7">
        <w:rPr>
          <w:bCs/>
        </w:rPr>
        <w:t>Justicia</w:t>
      </w:r>
      <w:r w:rsidR="00F614D2" w:rsidRPr="00B656F7">
        <w:rPr>
          <w:bCs/>
        </w:rPr>
        <w:t xml:space="preserve"> </w:t>
      </w:r>
      <w:r w:rsidR="007C590D" w:rsidRPr="00B656F7">
        <w:rPr>
          <w:bCs/>
        </w:rPr>
        <w:t xml:space="preserve">que </w:t>
      </w:r>
      <w:r w:rsidR="00B656F7">
        <w:rPr>
          <w:bCs/>
        </w:rPr>
        <w:t>se pronunciara</w:t>
      </w:r>
      <w:r w:rsidR="00B656F7" w:rsidRPr="00B656F7">
        <w:rPr>
          <w:bCs/>
        </w:rPr>
        <w:t xml:space="preserve"> </w:t>
      </w:r>
      <w:r w:rsidR="00012E15" w:rsidRPr="00B656F7">
        <w:rPr>
          <w:bCs/>
        </w:rPr>
        <w:t>sobre la admisión de la queja partidista</w:t>
      </w:r>
      <w:r w:rsidR="008C2147" w:rsidRPr="00B656F7">
        <w:rPr>
          <w:rStyle w:val="Refdenotaalpie"/>
          <w:bCs/>
        </w:rPr>
        <w:footnoteReference w:id="8"/>
      </w:r>
      <w:r w:rsidR="00157B19">
        <w:rPr>
          <w:bCs/>
        </w:rPr>
        <w:t xml:space="preserve"> </w:t>
      </w:r>
      <w:r w:rsidR="0079481E">
        <w:rPr>
          <w:bCs/>
        </w:rPr>
        <w:t>(</w:t>
      </w:r>
      <w:r w:rsidR="0079481E" w:rsidRPr="008127EA">
        <w:rPr>
          <w:bCs/>
        </w:rPr>
        <w:t>TEEG-JPDC-1</w:t>
      </w:r>
      <w:r w:rsidR="0079481E">
        <w:rPr>
          <w:bCs/>
        </w:rPr>
        <w:t>74</w:t>
      </w:r>
      <w:r w:rsidR="0079481E" w:rsidRPr="008127EA">
        <w:rPr>
          <w:bCs/>
        </w:rPr>
        <w:t>/2021</w:t>
      </w:r>
      <w:r w:rsidR="0079481E">
        <w:rPr>
          <w:bCs/>
        </w:rPr>
        <w:t>)</w:t>
      </w:r>
      <w:r w:rsidR="0090081D" w:rsidRPr="00B656F7">
        <w:rPr>
          <w:bCs/>
        </w:rPr>
        <w:t>.</w:t>
      </w:r>
    </w:p>
    <w:p w:rsidR="00222CAC" w:rsidRDefault="00222CAC" w:rsidP="00873212">
      <w:pPr>
        <w:spacing w:after="0" w:line="360" w:lineRule="auto"/>
        <w:jc w:val="both"/>
        <w:rPr>
          <w:bCs/>
        </w:rPr>
      </w:pPr>
    </w:p>
    <w:p w:rsidR="00A6256C" w:rsidRPr="00173FE5" w:rsidRDefault="00222CAC" w:rsidP="00873212">
      <w:pPr>
        <w:spacing w:after="0" w:line="360" w:lineRule="auto"/>
        <w:jc w:val="both"/>
        <w:rPr>
          <w:bCs/>
        </w:rPr>
      </w:pPr>
      <w:r>
        <w:rPr>
          <w:b/>
          <w:bCs/>
        </w:rPr>
        <w:t xml:space="preserve">3. </w:t>
      </w:r>
      <w:r w:rsidR="008F6EA7">
        <w:rPr>
          <w:bCs/>
        </w:rPr>
        <w:t xml:space="preserve">El 26 siguiente, </w:t>
      </w:r>
      <w:r w:rsidR="002E42C6">
        <w:rPr>
          <w:bCs/>
        </w:rPr>
        <w:t>l</w:t>
      </w:r>
      <w:r w:rsidR="008F6EA7">
        <w:rPr>
          <w:bCs/>
        </w:rPr>
        <w:t>a</w:t>
      </w:r>
      <w:r w:rsidR="002E42C6">
        <w:rPr>
          <w:bCs/>
        </w:rPr>
        <w:t xml:space="preserve"> Comisión de Justicia</w:t>
      </w:r>
      <w:r w:rsidR="00152D66">
        <w:rPr>
          <w:bCs/>
        </w:rPr>
        <w:t xml:space="preserve"> </w:t>
      </w:r>
      <w:r w:rsidR="00152D66">
        <w:rPr>
          <w:b/>
          <w:bCs/>
        </w:rPr>
        <w:t xml:space="preserve">declaró </w:t>
      </w:r>
      <w:r w:rsidR="0079481E">
        <w:rPr>
          <w:b/>
          <w:bCs/>
        </w:rPr>
        <w:t xml:space="preserve">nuevamente </w:t>
      </w:r>
      <w:r w:rsidR="00152D66">
        <w:rPr>
          <w:b/>
          <w:bCs/>
        </w:rPr>
        <w:t>la improcedencia del medio de impugnación</w:t>
      </w:r>
      <w:r w:rsidR="006A77EF">
        <w:rPr>
          <w:bCs/>
        </w:rPr>
        <w:t xml:space="preserve"> promovido por la impugnante</w:t>
      </w:r>
      <w:r w:rsidR="00173FE5">
        <w:rPr>
          <w:bCs/>
        </w:rPr>
        <w:t xml:space="preserve"> contra </w:t>
      </w:r>
      <w:r w:rsidR="00173FE5">
        <w:t>la supuesta ilegalidad del proceso interno de selección de candidaturas a las regidurías al Ayuntamiento de Guanajuato</w:t>
      </w:r>
      <w:r w:rsidR="006A77EF">
        <w:rPr>
          <w:bCs/>
        </w:rPr>
        <w:t xml:space="preserve">, bajo la consideración de que </w:t>
      </w:r>
      <w:r w:rsidR="00173FE5">
        <w:rPr>
          <w:bCs/>
        </w:rPr>
        <w:t xml:space="preserve">no tenía facultades para </w:t>
      </w:r>
      <w:r w:rsidR="00A055F3">
        <w:rPr>
          <w:bCs/>
        </w:rPr>
        <w:t xml:space="preserve">verificar el cumplimiento </w:t>
      </w:r>
      <w:r w:rsidR="006E619E">
        <w:rPr>
          <w:bCs/>
        </w:rPr>
        <w:t>de los registros aprobados</w:t>
      </w:r>
      <w:r w:rsidR="00A055F3">
        <w:rPr>
          <w:bCs/>
        </w:rPr>
        <w:t xml:space="preserve"> por el </w:t>
      </w:r>
      <w:r w:rsidR="00A055F3">
        <w:rPr>
          <w:b/>
          <w:bCs/>
        </w:rPr>
        <w:t>Instituto Local</w:t>
      </w:r>
      <w:r w:rsidR="00DB5A3F">
        <w:rPr>
          <w:b/>
          <w:bCs/>
        </w:rPr>
        <w:t xml:space="preserve"> </w:t>
      </w:r>
      <w:r w:rsidR="00DB5A3F">
        <w:rPr>
          <w:bCs/>
        </w:rPr>
        <w:t>(CNHJ-GTO-</w:t>
      </w:r>
      <w:r w:rsidR="00FE4BA3">
        <w:rPr>
          <w:bCs/>
        </w:rPr>
        <w:t>1509/2021</w:t>
      </w:r>
      <w:r w:rsidR="0060251D" w:rsidRPr="00FE4BA3">
        <w:rPr>
          <w:rStyle w:val="Refdenotaalpie"/>
          <w:bCs/>
        </w:rPr>
        <w:footnoteReference w:id="9"/>
      </w:r>
      <w:r w:rsidR="00FE4BA3">
        <w:rPr>
          <w:bCs/>
        </w:rPr>
        <w:t>)</w:t>
      </w:r>
      <w:r w:rsidR="00727637">
        <w:rPr>
          <w:bCs/>
        </w:rPr>
        <w:t>.</w:t>
      </w:r>
    </w:p>
    <w:p w:rsidR="007B6977" w:rsidRDefault="007B6977" w:rsidP="00873212">
      <w:pPr>
        <w:spacing w:after="0" w:line="360" w:lineRule="auto"/>
        <w:jc w:val="both"/>
        <w:rPr>
          <w:bCs/>
        </w:rPr>
      </w:pPr>
    </w:p>
    <w:p w:rsidR="0090081D" w:rsidRDefault="0090081D" w:rsidP="00873212">
      <w:pPr>
        <w:spacing w:after="0" w:line="240" w:lineRule="auto"/>
        <w:jc w:val="both"/>
        <w:rPr>
          <w:b/>
          <w:bCs/>
        </w:rPr>
      </w:pPr>
      <w:r>
        <w:rPr>
          <w:b/>
          <w:bCs/>
        </w:rPr>
        <w:t xml:space="preserve">IV. </w:t>
      </w:r>
      <w:r w:rsidR="00C22775">
        <w:rPr>
          <w:b/>
          <w:bCs/>
        </w:rPr>
        <w:t xml:space="preserve">Tercer </w:t>
      </w:r>
      <w:r>
        <w:rPr>
          <w:b/>
          <w:bCs/>
        </w:rPr>
        <w:t>juicio ciudadano</w:t>
      </w:r>
      <w:r w:rsidR="00C22775">
        <w:rPr>
          <w:b/>
          <w:bCs/>
        </w:rPr>
        <w:t xml:space="preserve"> e impugnación actual</w:t>
      </w:r>
    </w:p>
    <w:p w:rsidR="007B6977" w:rsidRDefault="007B6977" w:rsidP="00873212">
      <w:pPr>
        <w:spacing w:after="0" w:line="240" w:lineRule="auto"/>
        <w:jc w:val="both"/>
        <w:rPr>
          <w:b/>
          <w:bCs/>
        </w:rPr>
      </w:pPr>
    </w:p>
    <w:p w:rsidR="00C07283" w:rsidRPr="00873212" w:rsidRDefault="007B6977" w:rsidP="00873212">
      <w:pPr>
        <w:spacing w:after="0" w:line="360" w:lineRule="auto"/>
        <w:jc w:val="both"/>
        <w:rPr>
          <w:bCs/>
        </w:rPr>
      </w:pPr>
      <w:r>
        <w:rPr>
          <w:b/>
          <w:bCs/>
        </w:rPr>
        <w:t>1.</w:t>
      </w:r>
      <w:r>
        <w:rPr>
          <w:bCs/>
        </w:rPr>
        <w:t xml:space="preserve"> </w:t>
      </w:r>
      <w:r w:rsidR="00CA5A3C">
        <w:rPr>
          <w:bCs/>
        </w:rPr>
        <w:t xml:space="preserve">Inconforme, </w:t>
      </w:r>
      <w:r w:rsidR="00053880">
        <w:rPr>
          <w:bCs/>
        </w:rPr>
        <w:t>el 30 de mayo</w:t>
      </w:r>
      <w:r w:rsidR="00936B07">
        <w:rPr>
          <w:bCs/>
        </w:rPr>
        <w:t>,</w:t>
      </w:r>
      <w:r w:rsidR="00053880">
        <w:rPr>
          <w:bCs/>
        </w:rPr>
        <w:t xml:space="preserve"> la impugnante</w:t>
      </w:r>
      <w:r w:rsidR="001946AC">
        <w:rPr>
          <w:bCs/>
        </w:rPr>
        <w:t xml:space="preserve"> </w:t>
      </w:r>
      <w:r w:rsidR="001946AC">
        <w:rPr>
          <w:b/>
          <w:bCs/>
        </w:rPr>
        <w:t>presentó</w:t>
      </w:r>
      <w:r w:rsidR="001946AC">
        <w:rPr>
          <w:bCs/>
        </w:rPr>
        <w:t xml:space="preserve"> un nuevo juicio ciudadano local, para controvertir la determinación de la Comisión de Justicia</w:t>
      </w:r>
      <w:r w:rsidR="00AF1F12">
        <w:rPr>
          <w:bCs/>
        </w:rPr>
        <w:t xml:space="preserve">, </w:t>
      </w:r>
      <w:r w:rsidR="00936B07">
        <w:rPr>
          <w:bCs/>
        </w:rPr>
        <w:t>porque, en su concepto, el órgano de justicia</w:t>
      </w:r>
      <w:r w:rsidR="00C849EA">
        <w:rPr>
          <w:bCs/>
        </w:rPr>
        <w:t xml:space="preserve"> varió la </w:t>
      </w:r>
      <w:r w:rsidR="00936B07">
        <w:rPr>
          <w:bCs/>
        </w:rPr>
        <w:t>controversia</w:t>
      </w:r>
      <w:r w:rsidR="00C849EA">
        <w:rPr>
          <w:bCs/>
        </w:rPr>
        <w:t>, porque lo que ella impugn</w:t>
      </w:r>
      <w:r w:rsidR="00936B07">
        <w:rPr>
          <w:bCs/>
        </w:rPr>
        <w:t>ó</w:t>
      </w:r>
      <w:r w:rsidR="008B7770">
        <w:rPr>
          <w:bCs/>
        </w:rPr>
        <w:t xml:space="preserve"> </w:t>
      </w:r>
      <w:r w:rsidR="00936B07">
        <w:rPr>
          <w:bCs/>
        </w:rPr>
        <w:t xml:space="preserve">es </w:t>
      </w:r>
      <w:r w:rsidR="008B7770">
        <w:rPr>
          <w:bCs/>
        </w:rPr>
        <w:t xml:space="preserve">el proceso interno de selección de candidaturas al ayuntamiento de Guanajuato y no </w:t>
      </w:r>
      <w:r w:rsidR="002727A3">
        <w:rPr>
          <w:bCs/>
        </w:rPr>
        <w:t xml:space="preserve">el acuerdo de registro </w:t>
      </w:r>
      <w:r w:rsidR="00936B07">
        <w:rPr>
          <w:bCs/>
        </w:rPr>
        <w:t>d</w:t>
      </w:r>
      <w:r w:rsidR="002727A3">
        <w:rPr>
          <w:bCs/>
        </w:rPr>
        <w:t xml:space="preserve">el </w:t>
      </w:r>
      <w:r w:rsidR="002727A3" w:rsidRPr="00936B07">
        <w:rPr>
          <w:bCs/>
        </w:rPr>
        <w:t>Instituto Local.</w:t>
      </w:r>
    </w:p>
    <w:p w:rsidR="00C07283" w:rsidRDefault="00C07283" w:rsidP="00987D53">
      <w:pPr>
        <w:spacing w:after="0" w:line="360" w:lineRule="auto"/>
        <w:jc w:val="both"/>
        <w:rPr>
          <w:bCs/>
        </w:rPr>
      </w:pPr>
      <w:r>
        <w:rPr>
          <w:b/>
          <w:bCs/>
        </w:rPr>
        <w:lastRenderedPageBreak/>
        <w:t xml:space="preserve">2. </w:t>
      </w:r>
      <w:r w:rsidR="00727637">
        <w:rPr>
          <w:bCs/>
        </w:rPr>
        <w:t>El 5 de junio, el Tribunal Local</w:t>
      </w:r>
      <w:r w:rsidR="005D763F">
        <w:rPr>
          <w:bCs/>
        </w:rPr>
        <w:t xml:space="preserve"> </w:t>
      </w:r>
      <w:r w:rsidR="005D763F">
        <w:rPr>
          <w:b/>
          <w:bCs/>
        </w:rPr>
        <w:t>sobreseyó</w:t>
      </w:r>
      <w:r w:rsidR="005D763F">
        <w:rPr>
          <w:bCs/>
        </w:rPr>
        <w:t xml:space="preserve"> la demanda </w:t>
      </w:r>
      <w:r w:rsidR="00887D87">
        <w:rPr>
          <w:bCs/>
        </w:rPr>
        <w:t xml:space="preserve">de </w:t>
      </w:r>
      <w:r w:rsidR="003C7B6B">
        <w:rPr>
          <w:bCs/>
        </w:rPr>
        <w:t>la impugnante</w:t>
      </w:r>
      <w:r w:rsidR="00887D87">
        <w:rPr>
          <w:bCs/>
        </w:rPr>
        <w:t>, bajo la consideración esencial de que</w:t>
      </w:r>
      <w:r w:rsidR="003C7B6B">
        <w:rPr>
          <w:bCs/>
        </w:rPr>
        <w:t xml:space="preserve"> controvi</w:t>
      </w:r>
      <w:r w:rsidR="003B17F5">
        <w:rPr>
          <w:bCs/>
        </w:rPr>
        <w:t xml:space="preserve">rtió una resolución </w:t>
      </w:r>
      <w:r w:rsidR="00887D87">
        <w:t>que ya había sido objeto de estudio en un diverso medio de impugnación</w:t>
      </w:r>
      <w:r w:rsidR="00B14612">
        <w:rPr>
          <w:rStyle w:val="Refdenotaalpie"/>
          <w:bCs/>
        </w:rPr>
        <w:footnoteReference w:id="10"/>
      </w:r>
      <w:r w:rsidR="00BA48FE">
        <w:rPr>
          <w:bCs/>
        </w:rPr>
        <w:t>.</w:t>
      </w:r>
    </w:p>
    <w:p w:rsidR="00A904F7" w:rsidRPr="00F34FFB" w:rsidRDefault="00A904F7" w:rsidP="00F34FFB">
      <w:pPr>
        <w:spacing w:after="0" w:line="360" w:lineRule="auto"/>
        <w:jc w:val="both"/>
        <w:rPr>
          <w:bCs/>
        </w:rPr>
      </w:pPr>
    </w:p>
    <w:p w:rsidR="00A904F7" w:rsidRPr="00F34FFB" w:rsidRDefault="00A904F7" w:rsidP="00F34FFB">
      <w:pPr>
        <w:spacing w:after="0" w:line="360" w:lineRule="auto"/>
        <w:jc w:val="both"/>
        <w:rPr>
          <w:bCs/>
        </w:rPr>
      </w:pPr>
      <w:r w:rsidRPr="00F34FFB">
        <w:rPr>
          <w:b/>
          <w:bCs/>
        </w:rPr>
        <w:t xml:space="preserve">3. </w:t>
      </w:r>
      <w:r w:rsidRPr="00F34FFB">
        <w:rPr>
          <w:bCs/>
        </w:rPr>
        <w:t>Inconforme,</w:t>
      </w:r>
      <w:r w:rsidR="00E22BA7" w:rsidRPr="00F34FFB">
        <w:rPr>
          <w:bCs/>
        </w:rPr>
        <w:t xml:space="preserve"> el 5 de junio</w:t>
      </w:r>
      <w:r w:rsidR="00235B23" w:rsidRPr="00F34FFB">
        <w:rPr>
          <w:bCs/>
        </w:rPr>
        <w:t>,</w:t>
      </w:r>
      <w:r w:rsidR="00072BFD" w:rsidRPr="00F34FFB">
        <w:rPr>
          <w:bCs/>
        </w:rPr>
        <w:t xml:space="preserve"> la impugnante </w:t>
      </w:r>
      <w:r w:rsidR="00072BFD" w:rsidRPr="00F34FFB">
        <w:rPr>
          <w:b/>
          <w:bCs/>
        </w:rPr>
        <w:t>presentó</w:t>
      </w:r>
      <w:r w:rsidR="00DF4059" w:rsidRPr="00F34FFB">
        <w:rPr>
          <w:bCs/>
        </w:rPr>
        <w:t xml:space="preserve"> </w:t>
      </w:r>
      <w:r w:rsidR="00AA755C" w:rsidRPr="00F34FFB">
        <w:rPr>
          <w:b/>
          <w:bCs/>
        </w:rPr>
        <w:t xml:space="preserve">juicio ciudadano constitucional </w:t>
      </w:r>
      <w:r w:rsidR="00DF4059" w:rsidRPr="00F34FFB">
        <w:rPr>
          <w:b/>
          <w:bCs/>
        </w:rPr>
        <w:t>ante el Tribunal de Guanajuato</w:t>
      </w:r>
      <w:r w:rsidR="00AA755C" w:rsidRPr="00F34FFB">
        <w:rPr>
          <w:rStyle w:val="Refdenotaalpie"/>
          <w:b/>
          <w:bCs/>
        </w:rPr>
        <w:footnoteReference w:id="11"/>
      </w:r>
      <w:r w:rsidR="00DF4059" w:rsidRPr="00F34FFB">
        <w:rPr>
          <w:bCs/>
        </w:rPr>
        <w:t>,</w:t>
      </w:r>
      <w:r w:rsidR="00AA755C" w:rsidRPr="00F34FFB">
        <w:rPr>
          <w:b/>
          <w:bCs/>
        </w:rPr>
        <w:t xml:space="preserve"> </w:t>
      </w:r>
      <w:r w:rsidR="00DF4059" w:rsidRPr="00F34FFB">
        <w:rPr>
          <w:bCs/>
        </w:rPr>
        <w:t>el cual fue recibido</w:t>
      </w:r>
      <w:r w:rsidR="0062708E" w:rsidRPr="00F34FFB">
        <w:rPr>
          <w:bCs/>
        </w:rPr>
        <w:t xml:space="preserve"> en esta Sala Monterrey</w:t>
      </w:r>
      <w:r w:rsidR="00AA755C" w:rsidRPr="00F34FFB">
        <w:rPr>
          <w:bCs/>
        </w:rPr>
        <w:t xml:space="preserve"> hasta el 8 siguiente</w:t>
      </w:r>
      <w:r w:rsidR="00F66A96" w:rsidRPr="00F34FFB">
        <w:rPr>
          <w:rStyle w:val="Refdenotaalpie"/>
          <w:bCs/>
        </w:rPr>
        <w:footnoteReference w:id="12"/>
      </w:r>
      <w:r w:rsidR="00BD7FF9" w:rsidRPr="00F34FFB">
        <w:rPr>
          <w:bCs/>
        </w:rPr>
        <w:t xml:space="preserve">, </w:t>
      </w:r>
      <w:r w:rsidR="00AA755C" w:rsidRPr="00F34FFB">
        <w:rPr>
          <w:bCs/>
        </w:rPr>
        <w:t xml:space="preserve">en el que alega </w:t>
      </w:r>
      <w:r w:rsidR="00BD7FF9" w:rsidRPr="00F34FFB">
        <w:rPr>
          <w:bCs/>
        </w:rPr>
        <w:t>que fue incorrecto que el Tribunal Local haya concluido que impugn</w:t>
      </w:r>
      <w:r w:rsidR="00260B1A" w:rsidRPr="00F34FFB">
        <w:rPr>
          <w:bCs/>
        </w:rPr>
        <w:t>ó</w:t>
      </w:r>
      <w:r w:rsidR="001B33D9" w:rsidRPr="00F34FFB">
        <w:rPr>
          <w:bCs/>
        </w:rPr>
        <w:t xml:space="preserve"> la resolución analizada en </w:t>
      </w:r>
      <w:r w:rsidR="00260B1A" w:rsidRPr="00F34FFB">
        <w:rPr>
          <w:bCs/>
        </w:rPr>
        <w:t>otro</w:t>
      </w:r>
      <w:r w:rsidR="001B33D9" w:rsidRPr="00F34FFB">
        <w:rPr>
          <w:bCs/>
        </w:rPr>
        <w:t xml:space="preserve"> </w:t>
      </w:r>
      <w:r w:rsidR="00260B1A" w:rsidRPr="00F34FFB">
        <w:rPr>
          <w:bCs/>
        </w:rPr>
        <w:t>medio de impugnación.</w:t>
      </w:r>
    </w:p>
    <w:p w:rsidR="00312B00" w:rsidRPr="00F34FFB" w:rsidRDefault="00312B00" w:rsidP="002D485E">
      <w:pPr>
        <w:spacing w:after="0" w:line="240" w:lineRule="auto"/>
      </w:pPr>
    </w:p>
    <w:p w:rsidR="00973810" w:rsidRPr="00F34FFB" w:rsidRDefault="00973810" w:rsidP="00F34FFB">
      <w:pPr>
        <w:pStyle w:val="Ttulo1"/>
        <w:shd w:val="clear" w:color="auto" w:fill="FFFFFF" w:themeFill="background1"/>
        <w:spacing w:before="0" w:beforeAutospacing="0" w:after="0" w:afterAutospacing="0"/>
        <w:ind w:left="567" w:right="901"/>
        <w:jc w:val="center"/>
        <w:rPr>
          <w:rFonts w:cs="Arial"/>
          <w:szCs w:val="25"/>
        </w:rPr>
      </w:pPr>
      <w:bookmarkStart w:id="6" w:name="_Toc73989580"/>
      <w:bookmarkStart w:id="7" w:name="_Toc74150597"/>
      <w:bookmarkStart w:id="8" w:name="_Toc483300362"/>
      <w:bookmarkStart w:id="9" w:name="_Toc11874847"/>
      <w:r w:rsidRPr="00F34FFB">
        <w:rPr>
          <w:rFonts w:cs="Arial"/>
          <w:caps w:val="0"/>
          <w:szCs w:val="25"/>
        </w:rPr>
        <w:t>Desechamiento porque la materia de impugnación se ha consumado de modo irreparable</w:t>
      </w:r>
      <w:bookmarkEnd w:id="6"/>
      <w:bookmarkEnd w:id="7"/>
    </w:p>
    <w:p w:rsidR="00F47CAB" w:rsidRPr="00F34FFB" w:rsidRDefault="00F47CAB" w:rsidP="002D485E">
      <w:pPr>
        <w:spacing w:after="0" w:line="240" w:lineRule="auto"/>
        <w:jc w:val="both"/>
      </w:pPr>
    </w:p>
    <w:p w:rsidR="00243172" w:rsidRPr="00F34FFB" w:rsidRDefault="00243172" w:rsidP="00F34FFB">
      <w:pPr>
        <w:pStyle w:val="Ttulo1"/>
        <w:spacing w:before="0" w:beforeAutospacing="0" w:after="0" w:afterAutospacing="0"/>
        <w:rPr>
          <w:rFonts w:cs="Arial"/>
          <w:caps w:val="0"/>
          <w:szCs w:val="24"/>
        </w:rPr>
      </w:pPr>
      <w:bookmarkStart w:id="10" w:name="_Toc74150598"/>
      <w:r w:rsidRPr="00F34FFB">
        <w:rPr>
          <w:rFonts w:eastAsia="Times New Roman" w:cs="Arial"/>
          <w:caps w:val="0"/>
          <w:szCs w:val="24"/>
          <w:u w:val="single"/>
          <w:lang w:eastAsia="es-MX"/>
        </w:rPr>
        <w:t>Apartado I</w:t>
      </w:r>
      <w:r w:rsidRPr="00F34FFB">
        <w:rPr>
          <w:rFonts w:eastAsia="Times New Roman" w:cs="Arial"/>
          <w:caps w:val="0"/>
          <w:szCs w:val="24"/>
          <w:lang w:eastAsia="es-MX"/>
        </w:rPr>
        <w:t>.</w:t>
      </w:r>
      <w:r w:rsidRPr="00F34FFB">
        <w:rPr>
          <w:rFonts w:cs="Arial"/>
          <w:szCs w:val="24"/>
        </w:rPr>
        <w:t xml:space="preserve"> </w:t>
      </w:r>
      <w:r w:rsidRPr="00F34FFB">
        <w:rPr>
          <w:rFonts w:cs="Arial"/>
          <w:caps w:val="0"/>
          <w:szCs w:val="24"/>
        </w:rPr>
        <w:t>Decisión</w:t>
      </w:r>
      <w:bookmarkEnd w:id="8"/>
      <w:bookmarkEnd w:id="9"/>
      <w:r w:rsidRPr="00F34FFB">
        <w:rPr>
          <w:rFonts w:cs="Arial"/>
          <w:caps w:val="0"/>
          <w:szCs w:val="24"/>
        </w:rPr>
        <w:t xml:space="preserve"> general</w:t>
      </w:r>
      <w:bookmarkEnd w:id="10"/>
    </w:p>
    <w:p w:rsidR="00243172" w:rsidRPr="00F34FFB" w:rsidRDefault="00243172" w:rsidP="002D485E">
      <w:pPr>
        <w:shd w:val="clear" w:color="auto" w:fill="FFFFFF" w:themeFill="background1"/>
        <w:spacing w:after="0" w:line="240" w:lineRule="auto"/>
        <w:jc w:val="both"/>
      </w:pPr>
    </w:p>
    <w:p w:rsidR="00DF6932" w:rsidRPr="00F34FFB" w:rsidRDefault="00243172" w:rsidP="00F34FFB">
      <w:pPr>
        <w:spacing w:after="0" w:line="360" w:lineRule="auto"/>
        <w:contextualSpacing/>
        <w:jc w:val="both"/>
      </w:pPr>
      <w:r w:rsidRPr="00F34FFB">
        <w:t xml:space="preserve">Esta Sala Monterrey considera que debe </w:t>
      </w:r>
      <w:bookmarkStart w:id="11" w:name="_Toc11874848"/>
      <w:r w:rsidR="008D39B5" w:rsidRPr="00F34FFB">
        <w:rPr>
          <w:b/>
          <w:bCs/>
        </w:rPr>
        <w:t xml:space="preserve">desecharse de plano </w:t>
      </w:r>
      <w:r w:rsidR="00DF6932" w:rsidRPr="00F34FFB">
        <w:rPr>
          <w:bCs/>
        </w:rPr>
        <w:t>la demanda</w:t>
      </w:r>
      <w:r w:rsidR="00DF6932" w:rsidRPr="00F34FFB">
        <w:rPr>
          <w:b/>
          <w:bCs/>
        </w:rPr>
        <w:t xml:space="preserve"> </w:t>
      </w:r>
      <w:r w:rsidR="00DF6932" w:rsidRPr="00F34FFB">
        <w:rPr>
          <w:bCs/>
        </w:rPr>
        <w:t xml:space="preserve">presentada por Juana Angélica Luna contra </w:t>
      </w:r>
      <w:r w:rsidR="00DF6932" w:rsidRPr="00F34FFB">
        <w:t xml:space="preserve">la resolución del Tribunal de Guanajuato que sobreseyó su juicio, a través del cual impugnaba la resolución de la Comisión de Justicia, relacionada con aspectos del proceso interno de selección de candidaturas de Morena para integrar el ayuntamiento de Guanajuato; </w:t>
      </w:r>
      <w:r w:rsidR="00DF6932" w:rsidRPr="00F34FFB">
        <w:rPr>
          <w:b/>
          <w:bCs/>
        </w:rPr>
        <w:t>porque</w:t>
      </w:r>
      <w:r w:rsidR="00DF6932" w:rsidRPr="00F34FFB">
        <w:t xml:space="preserve"> </w:t>
      </w:r>
      <w:r w:rsidR="00DF6932" w:rsidRPr="00F34FFB">
        <w:rPr>
          <w:b/>
        </w:rPr>
        <w:t>esta Sala considera</w:t>
      </w:r>
      <w:r w:rsidR="00DF6932" w:rsidRPr="00F34FFB">
        <w:t xml:space="preserve"> </w:t>
      </w:r>
      <w:r w:rsidR="00DF6932" w:rsidRPr="00F34FFB">
        <w:rPr>
          <w:bCs/>
        </w:rPr>
        <w:t>que la pretensión d</w:t>
      </w:r>
      <w:r w:rsidR="00DF6932" w:rsidRPr="00F34FFB">
        <w:t xml:space="preserve">e la impugnante de ser registrada como candidata a regidora al Ayuntamiento de Guanajuato </w:t>
      </w:r>
      <w:r w:rsidR="00DF6932" w:rsidRPr="00F34FFB">
        <w:rPr>
          <w:bCs/>
        </w:rPr>
        <w:t xml:space="preserve">se ha consumado de modo irreparable toda vez que su impugnación está relacionada </w:t>
      </w:r>
      <w:r w:rsidR="00DF6932" w:rsidRPr="00F34FFB">
        <w:rPr>
          <w:bCs/>
        </w:rPr>
        <w:lastRenderedPageBreak/>
        <w:t>con el proceso interno de candidaturas de Morena y el pasado 6 de junio se llevó cabo la jornada electoral.</w:t>
      </w:r>
    </w:p>
    <w:p w:rsidR="00DF6932" w:rsidRPr="00F34FFB" w:rsidRDefault="00DF6932" w:rsidP="00F34FFB">
      <w:pPr>
        <w:spacing w:after="0" w:line="360" w:lineRule="auto"/>
        <w:contextualSpacing/>
        <w:jc w:val="both"/>
        <w:rPr>
          <w:u w:val="single"/>
        </w:rPr>
      </w:pPr>
    </w:p>
    <w:p w:rsidR="00243172" w:rsidRPr="00F34FFB" w:rsidRDefault="00243172" w:rsidP="002D485E">
      <w:pPr>
        <w:pStyle w:val="Ttulo2"/>
        <w:shd w:val="clear" w:color="auto" w:fill="FFFFFF" w:themeFill="background1"/>
        <w:spacing w:before="0" w:line="240" w:lineRule="auto"/>
        <w:rPr>
          <w:rFonts w:ascii="Arial" w:hAnsi="Arial" w:cs="Arial"/>
          <w:color w:val="auto"/>
          <w:sz w:val="24"/>
          <w:szCs w:val="24"/>
        </w:rPr>
      </w:pPr>
      <w:bookmarkStart w:id="12" w:name="_Toc74150599"/>
      <w:r w:rsidRPr="00F34FFB">
        <w:rPr>
          <w:rFonts w:ascii="Arial" w:hAnsi="Arial" w:cs="Arial"/>
          <w:color w:val="auto"/>
          <w:sz w:val="24"/>
          <w:szCs w:val="24"/>
          <w:u w:val="single"/>
        </w:rPr>
        <w:t>Apartado II</w:t>
      </w:r>
      <w:r w:rsidRPr="00F34FFB">
        <w:rPr>
          <w:rFonts w:ascii="Arial" w:hAnsi="Arial" w:cs="Arial"/>
          <w:color w:val="auto"/>
          <w:sz w:val="24"/>
          <w:szCs w:val="24"/>
        </w:rPr>
        <w:t>. Desarrollo o justificación de la decisión</w:t>
      </w:r>
      <w:bookmarkEnd w:id="11"/>
      <w:bookmarkEnd w:id="12"/>
    </w:p>
    <w:p w:rsidR="00EE6E52" w:rsidRPr="00F34FFB" w:rsidRDefault="00EE6E52" w:rsidP="002D485E">
      <w:pPr>
        <w:spacing w:after="0" w:line="240" w:lineRule="auto"/>
        <w:jc w:val="both"/>
        <w:rPr>
          <w:bCs/>
        </w:rPr>
      </w:pPr>
    </w:p>
    <w:p w:rsidR="00981175" w:rsidRPr="00F34FFB" w:rsidRDefault="00981175" w:rsidP="002D485E">
      <w:pPr>
        <w:pStyle w:val="Ttulo2"/>
        <w:shd w:val="clear" w:color="auto" w:fill="FFFFFF" w:themeFill="background1"/>
        <w:spacing w:before="0" w:line="240" w:lineRule="auto"/>
        <w:jc w:val="both"/>
        <w:rPr>
          <w:rFonts w:ascii="Arial" w:hAnsi="Arial" w:cs="Arial"/>
          <w:color w:val="auto"/>
          <w:spacing w:val="-4"/>
          <w:sz w:val="24"/>
          <w:szCs w:val="24"/>
        </w:rPr>
      </w:pPr>
      <w:bookmarkStart w:id="13" w:name="_Toc73375901"/>
      <w:bookmarkStart w:id="14" w:name="_Toc74136285"/>
      <w:bookmarkStart w:id="15" w:name="_Toc74150600"/>
      <w:r w:rsidRPr="00F34FFB">
        <w:rPr>
          <w:rFonts w:ascii="Arial" w:hAnsi="Arial" w:cs="Arial"/>
          <w:color w:val="auto"/>
          <w:spacing w:val="-4"/>
          <w:sz w:val="24"/>
          <w:szCs w:val="24"/>
        </w:rPr>
        <w:t xml:space="preserve">1. Marco normativo y criterio sobre la </w:t>
      </w:r>
      <w:bookmarkEnd w:id="13"/>
      <w:r w:rsidRPr="00F34FFB">
        <w:rPr>
          <w:rFonts w:ascii="Arial" w:hAnsi="Arial" w:cs="Arial"/>
          <w:color w:val="auto"/>
          <w:spacing w:val="-4"/>
          <w:sz w:val="24"/>
          <w:szCs w:val="24"/>
        </w:rPr>
        <w:t>irreparabilidad de la pretensión</w:t>
      </w:r>
      <w:bookmarkEnd w:id="14"/>
      <w:bookmarkEnd w:id="15"/>
    </w:p>
    <w:p w:rsidR="00F34FFB" w:rsidRPr="00F34FFB" w:rsidRDefault="00F34FFB" w:rsidP="002D485E">
      <w:pPr>
        <w:spacing w:line="240" w:lineRule="auto"/>
      </w:pPr>
    </w:p>
    <w:p w:rsidR="00981175" w:rsidRPr="00087BBD" w:rsidRDefault="00981175" w:rsidP="00981175">
      <w:pPr>
        <w:shd w:val="clear" w:color="auto" w:fill="FFFFFF" w:themeFill="background1"/>
        <w:tabs>
          <w:tab w:val="left" w:pos="1215"/>
        </w:tabs>
        <w:spacing w:after="0" w:line="360" w:lineRule="auto"/>
        <w:jc w:val="both"/>
        <w:rPr>
          <w:bCs/>
        </w:rPr>
      </w:pPr>
      <w:r w:rsidRPr="00087BBD">
        <w:rPr>
          <w:bCs/>
        </w:rPr>
        <w:t xml:space="preserve">Los medios de impugnación serán improcedentes, entre otras causas, cuando </w:t>
      </w:r>
      <w:r>
        <w:rPr>
          <w:bCs/>
        </w:rPr>
        <w:t>el acto reclamado se haya consumado de modo irreparable</w:t>
      </w:r>
      <w:r w:rsidRPr="00087BBD">
        <w:rPr>
          <w:bCs/>
        </w:rPr>
        <w:t xml:space="preserve"> (artículo 10, apartado 1, inciso b, de la </w:t>
      </w:r>
      <w:r w:rsidRPr="00CC1D0E">
        <w:rPr>
          <w:bCs/>
        </w:rPr>
        <w:t>Ley de Medios</w:t>
      </w:r>
      <w:r w:rsidRPr="00CC1D0E">
        <w:rPr>
          <w:rStyle w:val="Refdenotaalpie"/>
        </w:rPr>
        <w:footnoteReference w:id="13"/>
      </w:r>
      <w:r w:rsidRPr="00CC1D0E">
        <w:rPr>
          <w:bCs/>
        </w:rPr>
        <w:t>).</w:t>
      </w:r>
    </w:p>
    <w:p w:rsidR="00981175" w:rsidRPr="00087BBD" w:rsidRDefault="00981175" w:rsidP="00135CC3">
      <w:pPr>
        <w:shd w:val="clear" w:color="auto" w:fill="FFFFFF" w:themeFill="background1"/>
        <w:tabs>
          <w:tab w:val="left" w:pos="1215"/>
        </w:tabs>
        <w:spacing w:after="0" w:line="240" w:lineRule="auto"/>
        <w:jc w:val="both"/>
        <w:rPr>
          <w:bCs/>
        </w:rPr>
      </w:pPr>
    </w:p>
    <w:p w:rsidR="00981175" w:rsidRPr="000E2798" w:rsidRDefault="00981175" w:rsidP="00981175">
      <w:pPr>
        <w:shd w:val="clear" w:color="auto" w:fill="FFFFFF" w:themeFill="background1"/>
        <w:tabs>
          <w:tab w:val="left" w:pos="1215"/>
        </w:tabs>
        <w:spacing w:after="0" w:line="360" w:lineRule="auto"/>
        <w:jc w:val="both"/>
        <w:rPr>
          <w:bCs/>
        </w:rPr>
      </w:pPr>
      <w:r>
        <w:rPr>
          <w:bCs/>
        </w:rPr>
        <w:t>L</w:t>
      </w:r>
      <w:r w:rsidRPr="000E2798">
        <w:rPr>
          <w:bCs/>
        </w:rPr>
        <w:t>os actos emitidos y llevados a cabo por las autoridades electorales</w:t>
      </w:r>
      <w:r>
        <w:rPr>
          <w:bCs/>
        </w:rPr>
        <w:t xml:space="preserve"> en un proceso electoral</w:t>
      </w:r>
      <w:r w:rsidRPr="000E2798">
        <w:rPr>
          <w:bCs/>
        </w:rPr>
        <w:t xml:space="preserve"> adquieren definitividad a la conclusión de cada una de las etapas en que dichos actos se emiten</w:t>
      </w:r>
      <w:r>
        <w:rPr>
          <w:bCs/>
        </w:rPr>
        <w:t xml:space="preserve">, con lo que se </w:t>
      </w:r>
      <w:r w:rsidRPr="000E2798">
        <w:rPr>
          <w:bCs/>
        </w:rPr>
        <w:t xml:space="preserve">otorga certeza al desarrollo de las elecciones, </w:t>
      </w:r>
      <w:r>
        <w:rPr>
          <w:bCs/>
        </w:rPr>
        <w:t>y</w:t>
      </w:r>
      <w:r w:rsidRPr="000E2798">
        <w:rPr>
          <w:bCs/>
        </w:rPr>
        <w:t xml:space="preserve"> seguridad jurídica a los participantes en la contienda</w:t>
      </w:r>
      <w:r w:rsidRPr="000E2798">
        <w:rPr>
          <w:bCs/>
          <w:vertAlign w:val="superscript"/>
        </w:rPr>
        <w:footnoteReference w:id="14"/>
      </w:r>
      <w:r w:rsidRPr="000E2798">
        <w:rPr>
          <w:bCs/>
        </w:rPr>
        <w:t>.</w:t>
      </w:r>
    </w:p>
    <w:p w:rsidR="00981175" w:rsidRPr="00087BBD" w:rsidRDefault="00981175" w:rsidP="00981175">
      <w:pPr>
        <w:shd w:val="clear" w:color="auto" w:fill="FFFFFF" w:themeFill="background1"/>
        <w:tabs>
          <w:tab w:val="left" w:pos="1215"/>
        </w:tabs>
        <w:spacing w:after="0" w:line="360" w:lineRule="auto"/>
        <w:jc w:val="both"/>
        <w:rPr>
          <w:bCs/>
        </w:rPr>
      </w:pPr>
    </w:p>
    <w:p w:rsidR="00981175" w:rsidRDefault="00981175" w:rsidP="00DB6D14">
      <w:pPr>
        <w:shd w:val="clear" w:color="auto" w:fill="FFFFFF" w:themeFill="background1"/>
        <w:tabs>
          <w:tab w:val="left" w:pos="1215"/>
        </w:tabs>
        <w:spacing w:after="0" w:line="360" w:lineRule="auto"/>
        <w:jc w:val="both"/>
        <w:rPr>
          <w:bCs/>
          <w:lang w:val="es-ES"/>
        </w:rPr>
      </w:pPr>
      <w:r>
        <w:rPr>
          <w:bCs/>
          <w:lang w:val="es-ES"/>
        </w:rPr>
        <w:t>Así, e</w:t>
      </w:r>
      <w:r w:rsidRPr="009A54C2">
        <w:rPr>
          <w:bCs/>
          <w:lang w:val="es-ES"/>
        </w:rPr>
        <w:t xml:space="preserve">l presupuesto procesal relativo a que la reparación solicitada sea material y jurídicamente posible dentro de los plazos electorales </w:t>
      </w:r>
      <w:r>
        <w:rPr>
          <w:bCs/>
          <w:lang w:val="es-ES"/>
        </w:rPr>
        <w:t>permite</w:t>
      </w:r>
      <w:r w:rsidRPr="009A54C2">
        <w:rPr>
          <w:bCs/>
          <w:lang w:val="es-ES"/>
        </w:rPr>
        <w:t xml:space="preserve"> constituir</w:t>
      </w:r>
      <w:r>
        <w:rPr>
          <w:bCs/>
          <w:lang w:val="es-ES"/>
        </w:rPr>
        <w:t xml:space="preserve"> l</w:t>
      </w:r>
      <w:r w:rsidRPr="009A54C2">
        <w:rPr>
          <w:bCs/>
          <w:lang w:val="es-ES"/>
        </w:rPr>
        <w:t xml:space="preserve">a </w:t>
      </w:r>
      <w:r w:rsidRPr="009A54C2">
        <w:rPr>
          <w:bCs/>
          <w:lang w:val="es-ES"/>
        </w:rPr>
        <w:lastRenderedPageBreak/>
        <w:t xml:space="preserve">relación jurídica procesal válida </w:t>
      </w:r>
      <w:r>
        <w:rPr>
          <w:bCs/>
          <w:lang w:val="es-ES"/>
        </w:rPr>
        <w:t>para que los órganos jurisdiccionales emitan</w:t>
      </w:r>
      <w:r w:rsidRPr="009A54C2">
        <w:rPr>
          <w:bCs/>
          <w:lang w:val="es-ES"/>
        </w:rPr>
        <w:t xml:space="preserve"> un pronunciamiento</w:t>
      </w:r>
      <w:r w:rsidRPr="009A54C2">
        <w:rPr>
          <w:bCs/>
          <w:vertAlign w:val="superscript"/>
          <w:lang w:val="es-ES"/>
        </w:rPr>
        <w:footnoteReference w:id="15"/>
      </w:r>
      <w:r>
        <w:rPr>
          <w:bCs/>
          <w:lang w:val="es-ES"/>
        </w:rPr>
        <w:t>.</w:t>
      </w:r>
    </w:p>
    <w:p w:rsidR="00691A83" w:rsidRDefault="00691A83" w:rsidP="00DB6D14">
      <w:pPr>
        <w:shd w:val="clear" w:color="auto" w:fill="FFFFFF" w:themeFill="background1"/>
        <w:tabs>
          <w:tab w:val="left" w:pos="1215"/>
        </w:tabs>
        <w:spacing w:after="0" w:line="360" w:lineRule="auto"/>
        <w:jc w:val="both"/>
        <w:rPr>
          <w:bCs/>
          <w:lang w:val="es-ES"/>
        </w:rPr>
      </w:pPr>
    </w:p>
    <w:p w:rsidR="00981175" w:rsidRDefault="00981175" w:rsidP="00981175">
      <w:pPr>
        <w:shd w:val="clear" w:color="auto" w:fill="FFFFFF" w:themeFill="background1"/>
        <w:tabs>
          <w:tab w:val="left" w:pos="1215"/>
        </w:tabs>
        <w:spacing w:after="0" w:line="360" w:lineRule="auto"/>
        <w:jc w:val="both"/>
        <w:rPr>
          <w:bCs/>
          <w:lang w:val="es-ES"/>
        </w:rPr>
      </w:pPr>
      <w:r w:rsidRPr="00D74ADD">
        <w:rPr>
          <w:bCs/>
          <w:lang w:val="es-ES"/>
        </w:rPr>
        <w:t>De esta manera, cuando los actos impugnados han producido todos y cada uno de sus efectos y consecuencias materiales o jurídicas, deben estimarse como irreparables porque resulta imposible resarcir al promovente en el goce del derecho que se estima violado.</w:t>
      </w:r>
    </w:p>
    <w:p w:rsidR="00981175" w:rsidRPr="00D74ADD" w:rsidRDefault="00981175" w:rsidP="00DB6D14">
      <w:pPr>
        <w:shd w:val="clear" w:color="auto" w:fill="FFFFFF" w:themeFill="background1"/>
        <w:tabs>
          <w:tab w:val="left" w:pos="1215"/>
        </w:tabs>
        <w:spacing w:after="0" w:line="240" w:lineRule="auto"/>
        <w:jc w:val="both"/>
        <w:rPr>
          <w:bCs/>
          <w:lang w:val="es-ES"/>
        </w:rPr>
      </w:pPr>
    </w:p>
    <w:p w:rsidR="00424AE0" w:rsidRPr="003441A8" w:rsidRDefault="00981175" w:rsidP="002D485E">
      <w:pPr>
        <w:spacing w:after="0" w:line="240" w:lineRule="auto"/>
        <w:jc w:val="both"/>
        <w:rPr>
          <w:b/>
        </w:rPr>
      </w:pPr>
      <w:r>
        <w:rPr>
          <w:b/>
        </w:rPr>
        <w:t xml:space="preserve">2. </w:t>
      </w:r>
      <w:r w:rsidR="003341CA" w:rsidRPr="003441A8">
        <w:rPr>
          <w:b/>
        </w:rPr>
        <w:t>Caso concret</w:t>
      </w:r>
      <w:r w:rsidR="00973810">
        <w:rPr>
          <w:b/>
        </w:rPr>
        <w:t>o</w:t>
      </w:r>
    </w:p>
    <w:p w:rsidR="00241F2E" w:rsidRPr="003441A8" w:rsidRDefault="00241F2E" w:rsidP="002D485E">
      <w:pPr>
        <w:spacing w:after="0" w:line="240" w:lineRule="auto"/>
        <w:jc w:val="both"/>
        <w:rPr>
          <w:bCs/>
        </w:rPr>
      </w:pPr>
    </w:p>
    <w:p w:rsidR="006E0765" w:rsidRPr="006F33DC" w:rsidRDefault="00146F59" w:rsidP="00580192">
      <w:pPr>
        <w:pStyle w:val="NormalWeb"/>
        <w:shd w:val="clear" w:color="auto" w:fill="FFFFFF" w:themeFill="background1"/>
        <w:spacing w:before="0" w:beforeAutospacing="0" w:after="0" w:afterAutospacing="0" w:line="360" w:lineRule="auto"/>
        <w:jc w:val="both"/>
        <w:rPr>
          <w:rFonts w:ascii="Arial" w:hAnsi="Arial"/>
        </w:rPr>
      </w:pPr>
      <w:r w:rsidRPr="006F33DC">
        <w:rPr>
          <w:rFonts w:ascii="Arial" w:hAnsi="Arial"/>
        </w:rPr>
        <w:t>La</w:t>
      </w:r>
      <w:r w:rsidR="00EC63F3" w:rsidRPr="006F33DC">
        <w:rPr>
          <w:rFonts w:ascii="Arial" w:hAnsi="Arial"/>
        </w:rPr>
        <w:t xml:space="preserve"> impugnante </w:t>
      </w:r>
      <w:r w:rsidR="00580192" w:rsidRPr="006F33DC">
        <w:rPr>
          <w:rFonts w:ascii="Arial" w:hAnsi="Arial"/>
        </w:rPr>
        <w:t xml:space="preserve">controvierte la sentencia del Tribunal Local que </w:t>
      </w:r>
      <w:r w:rsidR="00875D5D" w:rsidRPr="006F33DC">
        <w:rPr>
          <w:rFonts w:ascii="Arial" w:hAnsi="Arial"/>
        </w:rPr>
        <w:t>sobreseyó</w:t>
      </w:r>
      <w:r w:rsidR="00580192" w:rsidRPr="006F33DC">
        <w:rPr>
          <w:rFonts w:ascii="Arial" w:hAnsi="Arial"/>
          <w:b/>
        </w:rPr>
        <w:t xml:space="preserve"> </w:t>
      </w:r>
      <w:r w:rsidR="00580192" w:rsidRPr="006F33DC">
        <w:rPr>
          <w:rFonts w:ascii="Arial" w:hAnsi="Arial"/>
        </w:rPr>
        <w:t>su demanda,</w:t>
      </w:r>
      <w:r w:rsidR="006E0765" w:rsidRPr="006F33DC">
        <w:rPr>
          <w:rFonts w:ascii="Arial" w:hAnsi="Arial"/>
          <w:bCs/>
        </w:rPr>
        <w:t xml:space="preserve"> </w:t>
      </w:r>
      <w:r w:rsidR="006F33DC" w:rsidRPr="006F33DC">
        <w:rPr>
          <w:rFonts w:ascii="Arial" w:hAnsi="Arial"/>
        </w:rPr>
        <w:t xml:space="preserve">a través de la cual impugnaba la resolución de la Comisión de Justicia donde controvertía aspectos del proceso interno de selección de candidaturas de Morena para integrar el ayuntamiento de Guanajuato, </w:t>
      </w:r>
      <w:r w:rsidR="006E0765" w:rsidRPr="006F33DC">
        <w:rPr>
          <w:rFonts w:ascii="Arial" w:hAnsi="Arial"/>
          <w:bCs/>
        </w:rPr>
        <w:t xml:space="preserve">bajo la consideración esencial de que </w:t>
      </w:r>
      <w:r w:rsidR="00A50CA3" w:rsidRPr="00CC1D0E">
        <w:rPr>
          <w:rFonts w:ascii="Arial" w:hAnsi="Arial"/>
          <w:bCs/>
        </w:rPr>
        <w:t>impugn</w:t>
      </w:r>
      <w:r w:rsidR="006F33DC" w:rsidRPr="00CC1D0E">
        <w:rPr>
          <w:rFonts w:ascii="Arial" w:hAnsi="Arial"/>
          <w:bCs/>
        </w:rPr>
        <w:t>ó</w:t>
      </w:r>
      <w:r w:rsidR="00A50CA3" w:rsidRPr="006F33DC">
        <w:rPr>
          <w:rFonts w:ascii="Arial" w:hAnsi="Arial"/>
          <w:bCs/>
        </w:rPr>
        <w:t xml:space="preserve"> </w:t>
      </w:r>
      <w:r w:rsidR="006E0765" w:rsidRPr="006F33DC">
        <w:rPr>
          <w:rFonts w:ascii="Arial" w:hAnsi="Arial"/>
          <w:bCs/>
        </w:rPr>
        <w:t xml:space="preserve">una resolución que ya había </w:t>
      </w:r>
      <w:r w:rsidR="006E0765" w:rsidRPr="006F33DC">
        <w:rPr>
          <w:rFonts w:ascii="Arial" w:hAnsi="Arial"/>
        </w:rPr>
        <w:t>sido objeto de estudio en un diverso medio de impugnación</w:t>
      </w:r>
      <w:r w:rsidR="00D644D9" w:rsidRPr="006F33DC">
        <w:rPr>
          <w:rFonts w:ascii="Arial" w:hAnsi="Arial"/>
        </w:rPr>
        <w:t xml:space="preserve">, relacionada con </w:t>
      </w:r>
      <w:r w:rsidR="0017171E" w:rsidRPr="006F33DC">
        <w:rPr>
          <w:rFonts w:ascii="Arial" w:hAnsi="Arial"/>
        </w:rPr>
        <w:t>la supuesta ilegalidad</w:t>
      </w:r>
      <w:r w:rsidR="008E5DA4" w:rsidRPr="006F33DC">
        <w:rPr>
          <w:rFonts w:ascii="Arial" w:hAnsi="Arial"/>
        </w:rPr>
        <w:t xml:space="preserve"> del proceso </w:t>
      </w:r>
      <w:r w:rsidR="00535AD8" w:rsidRPr="006F33DC">
        <w:rPr>
          <w:rFonts w:ascii="Arial" w:hAnsi="Arial"/>
        </w:rPr>
        <w:t xml:space="preserve">interno </w:t>
      </w:r>
      <w:r w:rsidR="008E5DA4" w:rsidRPr="006F33DC">
        <w:rPr>
          <w:rFonts w:ascii="Arial" w:hAnsi="Arial"/>
        </w:rPr>
        <w:t>de selección de candidaturas</w:t>
      </w:r>
      <w:r w:rsidR="00535AD8" w:rsidRPr="006F33DC">
        <w:rPr>
          <w:rFonts w:ascii="Arial" w:hAnsi="Arial"/>
        </w:rPr>
        <w:t xml:space="preserve"> de Moren</w:t>
      </w:r>
      <w:r w:rsidR="006F33DC">
        <w:rPr>
          <w:rFonts w:ascii="Arial" w:hAnsi="Arial"/>
        </w:rPr>
        <w:t>a</w:t>
      </w:r>
      <w:r w:rsidR="00960D6E" w:rsidRPr="006F33DC">
        <w:rPr>
          <w:rFonts w:ascii="Arial" w:hAnsi="Arial"/>
        </w:rPr>
        <w:t>.</w:t>
      </w:r>
    </w:p>
    <w:p w:rsidR="007C3A4E" w:rsidRDefault="007C3A4E" w:rsidP="006E22D2">
      <w:pPr>
        <w:spacing w:after="0" w:line="240" w:lineRule="auto"/>
      </w:pPr>
    </w:p>
    <w:p w:rsidR="00BB3160" w:rsidRDefault="007C3A4E" w:rsidP="007C3A4E">
      <w:pPr>
        <w:pStyle w:val="NormalWeb"/>
        <w:shd w:val="clear" w:color="auto" w:fill="FFFFFF" w:themeFill="background1"/>
        <w:spacing w:before="0" w:beforeAutospacing="0" w:after="0" w:afterAutospacing="0" w:line="360" w:lineRule="auto"/>
        <w:jc w:val="both"/>
        <w:rPr>
          <w:rFonts w:ascii="Arial" w:hAnsi="Arial"/>
          <w:bCs/>
        </w:rPr>
      </w:pPr>
      <w:r>
        <w:rPr>
          <w:rFonts w:ascii="Arial" w:hAnsi="Arial"/>
        </w:rPr>
        <w:t xml:space="preserve">En ese sentido, se advierte que el origen de la presente controversia deriva de que </w:t>
      </w:r>
      <w:r w:rsidR="00147AA6">
        <w:rPr>
          <w:rFonts w:ascii="Arial" w:hAnsi="Arial"/>
        </w:rPr>
        <w:t>la</w:t>
      </w:r>
      <w:r>
        <w:rPr>
          <w:rFonts w:ascii="Arial" w:hAnsi="Arial"/>
        </w:rPr>
        <w:t xml:space="preserve"> </w:t>
      </w:r>
      <w:r w:rsidR="00A6256C" w:rsidRPr="00CC1D0E">
        <w:rPr>
          <w:rFonts w:ascii="Arial" w:hAnsi="Arial"/>
        </w:rPr>
        <w:t>a</w:t>
      </w:r>
      <w:r w:rsidR="00A50CA3" w:rsidRPr="00CC1D0E">
        <w:rPr>
          <w:rFonts w:ascii="Arial" w:hAnsi="Arial"/>
        </w:rPr>
        <w:t>ctora</w:t>
      </w:r>
      <w:r w:rsidR="00147AA6" w:rsidRPr="00CC1D0E">
        <w:rPr>
          <w:rFonts w:ascii="Arial" w:hAnsi="Arial"/>
        </w:rPr>
        <w:t xml:space="preserve"> </w:t>
      </w:r>
      <w:r w:rsidR="00A50CA3" w:rsidRPr="00CC1D0E">
        <w:rPr>
          <w:rFonts w:ascii="Arial" w:hAnsi="Arial"/>
        </w:rPr>
        <w:t>impugnó</w:t>
      </w:r>
      <w:r w:rsidR="00A50CA3">
        <w:rPr>
          <w:rFonts w:ascii="Arial" w:hAnsi="Arial"/>
        </w:rPr>
        <w:t xml:space="preserve"> </w:t>
      </w:r>
      <w:r w:rsidR="00535AD8">
        <w:rPr>
          <w:rFonts w:ascii="Arial" w:hAnsi="Arial"/>
        </w:rPr>
        <w:t xml:space="preserve">actos partidistas relacionados </w:t>
      </w:r>
      <w:r w:rsidR="00286934">
        <w:rPr>
          <w:rFonts w:ascii="Arial" w:hAnsi="Arial"/>
        </w:rPr>
        <w:t xml:space="preserve">con la selección de </w:t>
      </w:r>
      <w:r w:rsidR="00147AA6">
        <w:rPr>
          <w:rFonts w:ascii="Arial" w:hAnsi="Arial"/>
        </w:rPr>
        <w:t>candidat</w:t>
      </w:r>
      <w:r w:rsidR="00C75911">
        <w:rPr>
          <w:rFonts w:ascii="Arial" w:hAnsi="Arial"/>
        </w:rPr>
        <w:t>uras</w:t>
      </w:r>
      <w:r w:rsidR="00CA0DA0">
        <w:rPr>
          <w:rFonts w:ascii="Arial" w:hAnsi="Arial"/>
        </w:rPr>
        <w:t>,</w:t>
      </w:r>
      <w:r w:rsidR="00286934">
        <w:rPr>
          <w:rFonts w:ascii="Arial" w:hAnsi="Arial"/>
          <w:b/>
        </w:rPr>
        <w:t xml:space="preserve"> </w:t>
      </w:r>
      <w:r w:rsidR="006F33DC" w:rsidRPr="006F33DC">
        <w:rPr>
          <w:rFonts w:ascii="Arial" w:hAnsi="Arial"/>
        </w:rPr>
        <w:t>argumentando que</w:t>
      </w:r>
      <w:r w:rsidR="006F33DC">
        <w:rPr>
          <w:rFonts w:ascii="Arial" w:hAnsi="Arial"/>
          <w:b/>
        </w:rPr>
        <w:t xml:space="preserve"> </w:t>
      </w:r>
      <w:r w:rsidR="00133D96">
        <w:rPr>
          <w:rFonts w:ascii="Arial" w:hAnsi="Arial"/>
        </w:rPr>
        <w:t xml:space="preserve">Morena no la registró como candidata a regidora para el ayuntamiento de Guanajuato, </w:t>
      </w:r>
      <w:r w:rsidR="00D644D9">
        <w:rPr>
          <w:rFonts w:ascii="Arial" w:hAnsi="Arial"/>
        </w:rPr>
        <w:t xml:space="preserve">de ahí que es evidente que su pretensión es que se revoque la sentencia del Tribunal Local, así como la de la Comisión de Justicia, </w:t>
      </w:r>
      <w:r w:rsidR="00B87E73">
        <w:rPr>
          <w:rFonts w:ascii="Arial" w:hAnsi="Arial"/>
        </w:rPr>
        <w:t xml:space="preserve">para finalmente </w:t>
      </w:r>
      <w:r w:rsidR="00D644D9">
        <w:rPr>
          <w:rFonts w:ascii="Arial" w:hAnsi="Arial"/>
        </w:rPr>
        <w:t>se</w:t>
      </w:r>
      <w:r w:rsidR="00B87E73">
        <w:rPr>
          <w:rFonts w:ascii="Arial" w:hAnsi="Arial"/>
        </w:rPr>
        <w:t xml:space="preserve">r </w:t>
      </w:r>
      <w:r w:rsidR="00D644D9">
        <w:rPr>
          <w:rFonts w:ascii="Arial" w:hAnsi="Arial"/>
        </w:rPr>
        <w:t>registr</w:t>
      </w:r>
      <w:r w:rsidR="00B87E73">
        <w:rPr>
          <w:rFonts w:ascii="Arial" w:hAnsi="Arial"/>
        </w:rPr>
        <w:t>ada</w:t>
      </w:r>
      <w:r w:rsidR="00D644D9">
        <w:rPr>
          <w:rFonts w:ascii="Arial" w:hAnsi="Arial"/>
        </w:rPr>
        <w:t xml:space="preserve"> como candidat</w:t>
      </w:r>
      <w:r w:rsidR="000C0C2F">
        <w:rPr>
          <w:rFonts w:ascii="Arial" w:hAnsi="Arial"/>
        </w:rPr>
        <w:t xml:space="preserve">a </w:t>
      </w:r>
      <w:r w:rsidR="00D644D9">
        <w:rPr>
          <w:rFonts w:ascii="Arial" w:hAnsi="Arial"/>
        </w:rPr>
        <w:t xml:space="preserve">a </w:t>
      </w:r>
      <w:r w:rsidR="000C0C2F">
        <w:rPr>
          <w:rFonts w:ascii="Arial" w:hAnsi="Arial"/>
        </w:rPr>
        <w:t>regidora</w:t>
      </w:r>
      <w:r w:rsidR="00D644D9" w:rsidRPr="00087BBD">
        <w:rPr>
          <w:rFonts w:ascii="Arial" w:hAnsi="Arial"/>
          <w:bCs/>
        </w:rPr>
        <w:t>.</w:t>
      </w:r>
    </w:p>
    <w:p w:rsidR="002D485E" w:rsidRDefault="002D485E" w:rsidP="007C3A4E">
      <w:pPr>
        <w:pStyle w:val="NormalWeb"/>
        <w:shd w:val="clear" w:color="auto" w:fill="FFFFFF" w:themeFill="background1"/>
        <w:spacing w:before="0" w:beforeAutospacing="0" w:after="0" w:afterAutospacing="0" w:line="360" w:lineRule="auto"/>
        <w:jc w:val="both"/>
        <w:rPr>
          <w:rFonts w:ascii="Arial" w:hAnsi="Arial"/>
          <w:bCs/>
        </w:rPr>
      </w:pPr>
    </w:p>
    <w:p w:rsidR="00EC63F3" w:rsidRDefault="00EC63F3" w:rsidP="00346D79">
      <w:pPr>
        <w:spacing w:after="0" w:line="240" w:lineRule="auto"/>
        <w:jc w:val="both"/>
        <w:rPr>
          <w:bCs/>
        </w:rPr>
      </w:pPr>
    </w:p>
    <w:p w:rsidR="00EC63F3" w:rsidRPr="003441A8" w:rsidRDefault="00EC63F3" w:rsidP="002D485E">
      <w:pPr>
        <w:spacing w:after="0" w:line="240" w:lineRule="auto"/>
        <w:jc w:val="both"/>
        <w:rPr>
          <w:b/>
        </w:rPr>
      </w:pPr>
      <w:r>
        <w:rPr>
          <w:b/>
        </w:rPr>
        <w:t xml:space="preserve">3. </w:t>
      </w:r>
      <w:r w:rsidR="001135E2">
        <w:rPr>
          <w:b/>
        </w:rPr>
        <w:t>V</w:t>
      </w:r>
      <w:r>
        <w:rPr>
          <w:b/>
        </w:rPr>
        <w:t>aloración</w:t>
      </w:r>
    </w:p>
    <w:p w:rsidR="00EC63F3" w:rsidRDefault="00EC63F3" w:rsidP="002D485E">
      <w:pPr>
        <w:spacing w:after="0" w:line="240" w:lineRule="auto"/>
        <w:jc w:val="both"/>
        <w:rPr>
          <w:bCs/>
        </w:rPr>
      </w:pPr>
    </w:p>
    <w:p w:rsidR="00F95F42" w:rsidRDefault="00F95F42" w:rsidP="00F95F42">
      <w:pPr>
        <w:pStyle w:val="NormalWeb"/>
        <w:shd w:val="clear" w:color="auto" w:fill="FFFFFF" w:themeFill="background1"/>
        <w:spacing w:before="0" w:beforeAutospacing="0" w:after="0" w:afterAutospacing="0" w:line="360" w:lineRule="auto"/>
        <w:jc w:val="both"/>
        <w:rPr>
          <w:rFonts w:ascii="Arial" w:hAnsi="Arial"/>
        </w:rPr>
      </w:pPr>
      <w:r w:rsidRPr="00A647AD">
        <w:rPr>
          <w:rFonts w:ascii="Arial" w:hAnsi="Arial"/>
        </w:rPr>
        <w:t xml:space="preserve">Como se adelantó, esta </w:t>
      </w:r>
      <w:r w:rsidRPr="00A647AD">
        <w:rPr>
          <w:rFonts w:ascii="Arial" w:hAnsi="Arial"/>
          <w:b/>
          <w:bCs/>
        </w:rPr>
        <w:t>Sala Monterrey</w:t>
      </w:r>
      <w:r w:rsidRPr="00A647AD">
        <w:rPr>
          <w:rFonts w:ascii="Arial" w:hAnsi="Arial"/>
        </w:rPr>
        <w:t xml:space="preserve"> considera que es improcedente el </w:t>
      </w:r>
      <w:r>
        <w:rPr>
          <w:rFonts w:ascii="Arial" w:hAnsi="Arial"/>
        </w:rPr>
        <w:t>juicio ciudadano</w:t>
      </w:r>
      <w:r w:rsidRPr="00A647AD">
        <w:rPr>
          <w:rFonts w:ascii="Arial" w:hAnsi="Arial"/>
        </w:rPr>
        <w:t xml:space="preserve"> presentado por </w:t>
      </w:r>
      <w:r w:rsidR="004C2595">
        <w:rPr>
          <w:rFonts w:ascii="Arial" w:hAnsi="Arial"/>
        </w:rPr>
        <w:t>la</w:t>
      </w:r>
      <w:r w:rsidRPr="00A647AD">
        <w:rPr>
          <w:rFonts w:ascii="Arial" w:hAnsi="Arial"/>
        </w:rPr>
        <w:t xml:space="preserve"> impugnante, porque </w:t>
      </w:r>
      <w:r>
        <w:rPr>
          <w:rFonts w:ascii="Arial" w:hAnsi="Arial"/>
        </w:rPr>
        <w:t>su pretensión</w:t>
      </w:r>
      <w:r w:rsidRPr="00905353">
        <w:rPr>
          <w:rFonts w:ascii="Arial" w:hAnsi="Arial"/>
        </w:rPr>
        <w:t xml:space="preserve"> </w:t>
      </w:r>
      <w:r w:rsidRPr="00D93975">
        <w:rPr>
          <w:rFonts w:ascii="Arial" w:hAnsi="Arial"/>
          <w:b/>
          <w:bCs/>
        </w:rPr>
        <w:t>se ha consumado de modo irreparable</w:t>
      </w:r>
      <w:r>
        <w:rPr>
          <w:rFonts w:ascii="Arial" w:hAnsi="Arial"/>
        </w:rPr>
        <w:t>.</w:t>
      </w:r>
    </w:p>
    <w:p w:rsidR="00F95F42" w:rsidRDefault="00F95F42" w:rsidP="004C2595">
      <w:pPr>
        <w:spacing w:after="0" w:line="240" w:lineRule="auto"/>
        <w:jc w:val="both"/>
        <w:rPr>
          <w:b/>
        </w:rPr>
      </w:pPr>
    </w:p>
    <w:p w:rsidR="00133D96" w:rsidRDefault="00624F83" w:rsidP="00EC63F3">
      <w:pPr>
        <w:spacing w:after="0" w:line="360" w:lineRule="auto"/>
        <w:jc w:val="both"/>
        <w:rPr>
          <w:bCs/>
        </w:rPr>
      </w:pPr>
      <w:r>
        <w:rPr>
          <w:bCs/>
        </w:rPr>
        <w:t xml:space="preserve">En efecto, la pretensión de la </w:t>
      </w:r>
      <w:r w:rsidR="00565411">
        <w:rPr>
          <w:bCs/>
        </w:rPr>
        <w:t xml:space="preserve">actora </w:t>
      </w:r>
      <w:r w:rsidR="0063758E">
        <w:rPr>
          <w:bCs/>
        </w:rPr>
        <w:t xml:space="preserve">de </w:t>
      </w:r>
      <w:r w:rsidR="00565411">
        <w:rPr>
          <w:bCs/>
        </w:rPr>
        <w:t>ser registrada como</w:t>
      </w:r>
      <w:r w:rsidR="009A450C">
        <w:rPr>
          <w:bCs/>
        </w:rPr>
        <w:t xml:space="preserve"> candidata a</w:t>
      </w:r>
      <w:r w:rsidR="00565411">
        <w:rPr>
          <w:bCs/>
        </w:rPr>
        <w:t xml:space="preserve"> regidora de</w:t>
      </w:r>
      <w:r w:rsidR="009A450C">
        <w:rPr>
          <w:bCs/>
        </w:rPr>
        <w:t xml:space="preserve">l Ayuntamiento de Guanajuato, al considerar que </w:t>
      </w:r>
      <w:r w:rsidR="0063758E">
        <w:rPr>
          <w:bCs/>
        </w:rPr>
        <w:t xml:space="preserve">fue ilegal el </w:t>
      </w:r>
      <w:r w:rsidR="004B4331">
        <w:t>proceso interno de selección de candidaturas al ayuntamiento de Guanajuato</w:t>
      </w:r>
      <w:r w:rsidR="00A40A92">
        <w:t xml:space="preserve">, </w:t>
      </w:r>
      <w:r w:rsidR="0063758E" w:rsidRPr="00565411">
        <w:rPr>
          <w:bCs/>
        </w:rPr>
        <w:t>no puede ser alcanzada</w:t>
      </w:r>
      <w:r w:rsidR="00133D96">
        <w:rPr>
          <w:bCs/>
        </w:rPr>
        <w:t>.</w:t>
      </w:r>
    </w:p>
    <w:p w:rsidR="00133D96" w:rsidRDefault="00133D96" w:rsidP="00EC63F3">
      <w:pPr>
        <w:spacing w:after="0" w:line="360" w:lineRule="auto"/>
        <w:jc w:val="both"/>
        <w:rPr>
          <w:bCs/>
        </w:rPr>
      </w:pPr>
    </w:p>
    <w:p w:rsidR="00F07238" w:rsidRPr="0063758E" w:rsidRDefault="00133D96" w:rsidP="00EC63F3">
      <w:pPr>
        <w:spacing w:after="0" w:line="360" w:lineRule="auto"/>
        <w:jc w:val="both"/>
      </w:pPr>
      <w:r>
        <w:rPr>
          <w:bCs/>
        </w:rPr>
        <w:t xml:space="preserve">Lo anterior, </w:t>
      </w:r>
      <w:r w:rsidR="0063758E" w:rsidRPr="00565411">
        <w:rPr>
          <w:bCs/>
        </w:rPr>
        <w:t>porque el acto de registro se ha consumado de manera irreparable</w:t>
      </w:r>
      <w:r w:rsidR="008519E5" w:rsidRPr="008519E5">
        <w:t>, pues la jornada electoral se celebró el pasado 6 de</w:t>
      </w:r>
      <w:r w:rsidR="00F84AD3">
        <w:t xml:space="preserve"> junio</w:t>
      </w:r>
      <w:r w:rsidR="008519E5" w:rsidRPr="008519E5">
        <w:t>, por ende, ya no es posible restituirle algún derecho respecto de dicho acto, pues aun cuando le asistiera la razón no se podrían retrotraer sus efectos</w:t>
      </w:r>
      <w:r>
        <w:t xml:space="preserve"> a la etapa interna partidista, </w:t>
      </w:r>
      <w:r w:rsidR="00EB2F23">
        <w:t>pues</w:t>
      </w:r>
      <w:r w:rsidR="008519E5" w:rsidRPr="008519E5">
        <w:t xml:space="preserve"> el medio de impugnación </w:t>
      </w:r>
      <w:r w:rsidR="005465BA">
        <w:t>se recibió</w:t>
      </w:r>
      <w:r w:rsidR="008519E5" w:rsidRPr="008519E5">
        <w:t xml:space="preserve"> </w:t>
      </w:r>
      <w:r w:rsidR="008519E5">
        <w:t xml:space="preserve">el </w:t>
      </w:r>
      <w:r w:rsidR="00F84AD3">
        <w:t>8</w:t>
      </w:r>
      <w:r w:rsidR="008519E5">
        <w:t xml:space="preserve"> de junio </w:t>
      </w:r>
      <w:r w:rsidR="008519E5" w:rsidRPr="008519E5">
        <w:t xml:space="preserve">en esta Sala Regional, </w:t>
      </w:r>
      <w:r w:rsidR="008519E5">
        <w:t xml:space="preserve">es decir, una vez concluida </w:t>
      </w:r>
      <w:r w:rsidR="008519E5" w:rsidRPr="008519E5">
        <w:t>la jornada electoral</w:t>
      </w:r>
      <w:r w:rsidR="008519E5">
        <w:t xml:space="preserve"> en </w:t>
      </w:r>
      <w:r w:rsidR="00F84AD3">
        <w:t>Guanajuato</w:t>
      </w:r>
      <w:r w:rsidR="00F07238">
        <w:t>.</w:t>
      </w:r>
    </w:p>
    <w:p w:rsidR="00133D96" w:rsidRDefault="00133D96" w:rsidP="0055534B">
      <w:pPr>
        <w:shd w:val="clear" w:color="auto" w:fill="FFFFFF" w:themeFill="background1"/>
        <w:spacing w:after="0" w:line="360" w:lineRule="auto"/>
        <w:jc w:val="both"/>
      </w:pPr>
    </w:p>
    <w:p w:rsidR="0055534B" w:rsidRDefault="006F0D81" w:rsidP="0055534B">
      <w:pPr>
        <w:shd w:val="clear" w:color="auto" w:fill="FFFFFF" w:themeFill="background1"/>
        <w:spacing w:after="0" w:line="360" w:lineRule="auto"/>
        <w:jc w:val="both"/>
        <w:rPr>
          <w:rFonts w:eastAsia="Times New Roman"/>
          <w:bCs/>
          <w:lang w:eastAsia="es-MX"/>
        </w:rPr>
      </w:pPr>
      <w:r>
        <w:rPr>
          <w:rFonts w:eastAsia="Times New Roman"/>
          <w:bCs/>
          <w:lang w:eastAsia="es-MX"/>
        </w:rPr>
        <w:t>Además</w:t>
      </w:r>
      <w:r w:rsidR="0055534B">
        <w:rPr>
          <w:rFonts w:eastAsia="Times New Roman"/>
          <w:bCs/>
          <w:lang w:eastAsia="es-MX"/>
        </w:rPr>
        <w:t xml:space="preserve">, </w:t>
      </w:r>
      <w:r w:rsidR="0055534B" w:rsidRPr="00C21BB1">
        <w:rPr>
          <w:rFonts w:eastAsia="Times New Roman"/>
          <w:bCs/>
          <w:lang w:eastAsia="es-MX"/>
        </w:rPr>
        <w:t>es un hecho notorio</w:t>
      </w:r>
      <w:r w:rsidR="0055534B" w:rsidRPr="00C21BB1">
        <w:rPr>
          <w:rFonts w:eastAsia="Times New Roman"/>
          <w:bCs/>
          <w:vertAlign w:val="superscript"/>
          <w:lang w:eastAsia="es-MX"/>
        </w:rPr>
        <w:footnoteReference w:id="16"/>
      </w:r>
      <w:r w:rsidR="0055534B" w:rsidRPr="00C21BB1">
        <w:rPr>
          <w:rFonts w:eastAsia="Times New Roman"/>
          <w:bCs/>
          <w:lang w:eastAsia="es-MX"/>
        </w:rPr>
        <w:t xml:space="preserve"> que el </w:t>
      </w:r>
      <w:r w:rsidR="0055534B">
        <w:rPr>
          <w:rFonts w:eastAsia="Times New Roman"/>
          <w:bCs/>
          <w:lang w:eastAsia="es-MX"/>
        </w:rPr>
        <w:t>pasado 6</w:t>
      </w:r>
      <w:r w:rsidR="0055534B" w:rsidRPr="00C21BB1">
        <w:rPr>
          <w:rFonts w:eastAsia="Times New Roman"/>
          <w:bCs/>
          <w:lang w:eastAsia="es-MX"/>
        </w:rPr>
        <w:t xml:space="preserve"> de </w:t>
      </w:r>
      <w:r w:rsidR="0055534B">
        <w:rPr>
          <w:rFonts w:eastAsia="Times New Roman"/>
          <w:bCs/>
          <w:lang w:eastAsia="es-MX"/>
        </w:rPr>
        <w:t xml:space="preserve">junio se </w:t>
      </w:r>
      <w:r>
        <w:rPr>
          <w:rFonts w:eastAsia="Times New Roman"/>
          <w:bCs/>
          <w:lang w:eastAsia="es-MX"/>
        </w:rPr>
        <w:t xml:space="preserve">llevó a cabo </w:t>
      </w:r>
      <w:r w:rsidR="0055534B" w:rsidRPr="00C21BB1">
        <w:rPr>
          <w:rFonts w:eastAsia="Times New Roman"/>
          <w:bCs/>
          <w:lang w:eastAsia="es-MX"/>
        </w:rPr>
        <w:t xml:space="preserve">la jornada electoral en </w:t>
      </w:r>
      <w:r w:rsidR="00372A6C">
        <w:rPr>
          <w:rFonts w:eastAsia="Times New Roman"/>
          <w:bCs/>
          <w:lang w:eastAsia="es-MX"/>
        </w:rPr>
        <w:t>esa entidad</w:t>
      </w:r>
      <w:r w:rsidR="0055534B" w:rsidRPr="00C21BB1">
        <w:rPr>
          <w:rFonts w:eastAsia="Times New Roman"/>
          <w:bCs/>
          <w:lang w:eastAsia="es-MX"/>
        </w:rPr>
        <w:t xml:space="preserve">, en la cual se eligieron, entre otros, a los integrantes del </w:t>
      </w:r>
      <w:r w:rsidR="00372A6C">
        <w:rPr>
          <w:rFonts w:eastAsia="Times New Roman"/>
          <w:bCs/>
          <w:lang w:eastAsia="es-MX"/>
        </w:rPr>
        <w:t>A</w:t>
      </w:r>
      <w:r w:rsidR="0055534B" w:rsidRPr="00C21BB1">
        <w:rPr>
          <w:rFonts w:eastAsia="Times New Roman"/>
          <w:bCs/>
          <w:lang w:eastAsia="es-MX"/>
        </w:rPr>
        <w:t xml:space="preserve">yuntamiento de </w:t>
      </w:r>
      <w:r w:rsidR="00372A6C">
        <w:rPr>
          <w:rFonts w:eastAsia="Times New Roman"/>
          <w:bCs/>
          <w:lang w:eastAsia="es-MX"/>
        </w:rPr>
        <w:t>Guanajuato</w:t>
      </w:r>
      <w:r w:rsidR="0055534B" w:rsidRPr="00C21BB1">
        <w:rPr>
          <w:rFonts w:eastAsia="Times New Roman"/>
          <w:bCs/>
          <w:lang w:eastAsia="es-MX"/>
        </w:rPr>
        <w:t>,</w:t>
      </w:r>
      <w:r w:rsidR="0055534B" w:rsidRPr="00C21BB1">
        <w:rPr>
          <w:rFonts w:eastAsia="Times New Roman"/>
          <w:bCs/>
          <w:lang w:val="es-ES" w:eastAsia="es-MX"/>
        </w:rPr>
        <w:t xml:space="preserve"> hecho que imposibilita a</w:t>
      </w:r>
      <w:r w:rsidR="00372A6C">
        <w:rPr>
          <w:rFonts w:eastAsia="Times New Roman"/>
          <w:bCs/>
          <w:lang w:val="es-ES" w:eastAsia="es-MX"/>
        </w:rPr>
        <w:t xml:space="preserve"> </w:t>
      </w:r>
      <w:r w:rsidR="0055534B" w:rsidRPr="00C21BB1">
        <w:rPr>
          <w:rFonts w:eastAsia="Times New Roman"/>
          <w:bCs/>
          <w:lang w:val="es-ES" w:eastAsia="es-MX"/>
        </w:rPr>
        <w:t>l</w:t>
      </w:r>
      <w:r w:rsidR="00372A6C">
        <w:rPr>
          <w:rFonts w:eastAsia="Times New Roman"/>
          <w:bCs/>
          <w:lang w:val="es-ES" w:eastAsia="es-MX"/>
        </w:rPr>
        <w:t>a</w:t>
      </w:r>
      <w:r w:rsidR="0055534B" w:rsidRPr="00C21BB1">
        <w:rPr>
          <w:rFonts w:eastAsia="Times New Roman"/>
          <w:bCs/>
          <w:lang w:val="es-ES" w:eastAsia="es-MX"/>
        </w:rPr>
        <w:t xml:space="preserve"> </w:t>
      </w:r>
      <w:r w:rsidR="0055534B">
        <w:rPr>
          <w:rFonts w:eastAsia="Times New Roman"/>
          <w:bCs/>
          <w:lang w:val="es-ES" w:eastAsia="es-MX"/>
        </w:rPr>
        <w:t>impugnante</w:t>
      </w:r>
      <w:r w:rsidR="0055534B" w:rsidRPr="00C21BB1">
        <w:rPr>
          <w:rFonts w:eastAsia="Times New Roman"/>
          <w:bCs/>
          <w:lang w:val="es-ES" w:eastAsia="es-MX"/>
        </w:rPr>
        <w:t xml:space="preserve"> poder ser votad</w:t>
      </w:r>
      <w:r w:rsidR="00372A6C">
        <w:rPr>
          <w:rFonts w:eastAsia="Times New Roman"/>
          <w:bCs/>
          <w:lang w:val="es-ES" w:eastAsia="es-MX"/>
        </w:rPr>
        <w:t>a</w:t>
      </w:r>
      <w:r w:rsidR="0055534B" w:rsidRPr="00C21BB1">
        <w:rPr>
          <w:rFonts w:eastAsia="Times New Roman"/>
          <w:bCs/>
          <w:lang w:val="es-ES" w:eastAsia="es-MX"/>
        </w:rPr>
        <w:t xml:space="preserve"> para el cargo referido</w:t>
      </w:r>
      <w:r w:rsidR="0055534B">
        <w:rPr>
          <w:rFonts w:eastAsia="Times New Roman"/>
          <w:bCs/>
          <w:lang w:val="es-ES" w:eastAsia="es-MX"/>
        </w:rPr>
        <w:t>, esto, con independencia de que le asista o no la razón</w:t>
      </w:r>
      <w:r w:rsidR="0055534B" w:rsidRPr="00C21BB1">
        <w:rPr>
          <w:rFonts w:eastAsia="Times New Roman"/>
          <w:bCs/>
          <w:lang w:eastAsia="es-MX"/>
        </w:rPr>
        <w:t xml:space="preserve">, </w:t>
      </w:r>
      <w:r w:rsidR="0055534B">
        <w:rPr>
          <w:rFonts w:eastAsia="Times New Roman"/>
          <w:bCs/>
          <w:lang w:eastAsia="es-MX"/>
        </w:rPr>
        <w:t xml:space="preserve">pues </w:t>
      </w:r>
      <w:r w:rsidR="0055534B" w:rsidRPr="00C21BB1">
        <w:rPr>
          <w:rFonts w:eastAsia="Times New Roman"/>
          <w:bCs/>
          <w:lang w:eastAsia="es-MX"/>
        </w:rPr>
        <w:t xml:space="preserve">no podría </w:t>
      </w:r>
      <w:r w:rsidR="0055534B">
        <w:rPr>
          <w:rFonts w:eastAsia="Times New Roman"/>
          <w:bCs/>
          <w:lang w:eastAsia="es-MX"/>
        </w:rPr>
        <w:t>tener</w:t>
      </w:r>
      <w:r w:rsidR="0055534B" w:rsidRPr="00C21BB1">
        <w:rPr>
          <w:rFonts w:eastAsia="Times New Roman"/>
          <w:bCs/>
          <w:lang w:eastAsia="es-MX"/>
        </w:rPr>
        <w:t xml:space="preserve"> alguna consecuencia jurídica </w:t>
      </w:r>
      <w:r w:rsidR="0055534B">
        <w:rPr>
          <w:rFonts w:eastAsia="Times New Roman"/>
          <w:bCs/>
          <w:lang w:eastAsia="es-MX"/>
        </w:rPr>
        <w:t>en</w:t>
      </w:r>
      <w:r w:rsidR="0055534B" w:rsidRPr="00C21BB1">
        <w:rPr>
          <w:rFonts w:eastAsia="Times New Roman"/>
          <w:bCs/>
          <w:lang w:eastAsia="es-MX"/>
        </w:rPr>
        <w:t xml:space="preserve"> su favor, ya que actualmente la jornada </w:t>
      </w:r>
      <w:r w:rsidR="0055534B">
        <w:rPr>
          <w:rFonts w:eastAsia="Times New Roman"/>
          <w:bCs/>
          <w:lang w:eastAsia="es-MX"/>
        </w:rPr>
        <w:t>electiva</w:t>
      </w:r>
      <w:r w:rsidR="0055534B" w:rsidRPr="00C21BB1">
        <w:rPr>
          <w:rFonts w:eastAsia="Times New Roman"/>
          <w:bCs/>
          <w:lang w:eastAsia="es-MX"/>
        </w:rPr>
        <w:t xml:space="preserve"> en la cual pretendía participar ya se llevó a cabo.</w:t>
      </w:r>
    </w:p>
    <w:p w:rsidR="00633AB2" w:rsidRDefault="00633AB2" w:rsidP="0055534B">
      <w:pPr>
        <w:shd w:val="clear" w:color="auto" w:fill="FFFFFF" w:themeFill="background1"/>
        <w:spacing w:after="0" w:line="360" w:lineRule="auto"/>
        <w:jc w:val="both"/>
        <w:rPr>
          <w:rFonts w:eastAsia="Times New Roman"/>
          <w:bCs/>
          <w:lang w:eastAsia="es-MX"/>
        </w:rPr>
      </w:pPr>
    </w:p>
    <w:p w:rsidR="00633AB2" w:rsidRDefault="00633AB2" w:rsidP="0055534B">
      <w:pPr>
        <w:shd w:val="clear" w:color="auto" w:fill="FFFFFF" w:themeFill="background1"/>
        <w:spacing w:after="0" w:line="360" w:lineRule="auto"/>
        <w:jc w:val="both"/>
        <w:rPr>
          <w:rFonts w:eastAsia="Times New Roman"/>
          <w:bCs/>
          <w:lang w:eastAsia="es-MX"/>
        </w:rPr>
      </w:pPr>
      <w:r>
        <w:rPr>
          <w:rFonts w:eastAsia="Times New Roman"/>
          <w:bCs/>
          <w:lang w:eastAsia="es-MX"/>
        </w:rPr>
        <w:t>Esto, porque el acto que esencialmente se impugna es el proceso</w:t>
      </w:r>
      <w:r w:rsidR="00401D24">
        <w:rPr>
          <w:rFonts w:eastAsia="Times New Roman"/>
          <w:bCs/>
          <w:lang w:eastAsia="es-MX"/>
        </w:rPr>
        <w:t xml:space="preserve"> interno de selección de candidaturas de regidurías de Morena para el Ayuntamiento de Guanajuato</w:t>
      </w:r>
      <w:r w:rsidR="000B0BBE">
        <w:rPr>
          <w:rFonts w:eastAsia="Times New Roman"/>
          <w:bCs/>
          <w:lang w:eastAsia="es-MX"/>
        </w:rPr>
        <w:t xml:space="preserve">, lo cual fue superado con el acuerdo de aprobación de registro de candidaturas del Instituto Local </w:t>
      </w:r>
      <w:r w:rsidR="00E84FFD">
        <w:rPr>
          <w:rFonts w:eastAsia="Times New Roman"/>
          <w:bCs/>
          <w:lang w:eastAsia="es-MX"/>
        </w:rPr>
        <w:t>y con la celebración de la jornada electoral.</w:t>
      </w:r>
    </w:p>
    <w:p w:rsidR="009F742A" w:rsidRDefault="009F742A" w:rsidP="009F742A">
      <w:pPr>
        <w:spacing w:before="240" w:after="240" w:line="360" w:lineRule="auto"/>
        <w:jc w:val="both"/>
        <w:rPr>
          <w:b/>
          <w:bCs/>
          <w:highlight w:val="yellow"/>
        </w:rPr>
      </w:pPr>
      <w:r>
        <w:rPr>
          <w:rFonts w:eastAsia="Times New Roman"/>
          <w:bCs/>
          <w:lang w:eastAsia="es-MX"/>
        </w:rPr>
        <w:t xml:space="preserve">Además, </w:t>
      </w:r>
      <w:r w:rsidRPr="009F742A">
        <w:rPr>
          <w:bCs/>
        </w:rPr>
        <w:t xml:space="preserve">el registro de </w:t>
      </w:r>
      <w:r w:rsidR="005E2BBA">
        <w:rPr>
          <w:bCs/>
        </w:rPr>
        <w:t xml:space="preserve">las </w:t>
      </w:r>
      <w:r w:rsidRPr="009F742A">
        <w:rPr>
          <w:bCs/>
        </w:rPr>
        <w:t xml:space="preserve">candidaturas a </w:t>
      </w:r>
      <w:r w:rsidR="005E2BBA">
        <w:rPr>
          <w:bCs/>
        </w:rPr>
        <w:t xml:space="preserve">regidurías </w:t>
      </w:r>
      <w:r w:rsidRPr="009F742A">
        <w:rPr>
          <w:bCs/>
        </w:rPr>
        <w:t xml:space="preserve">forma parte de la etapa de los actos previos a la elección, y toda vez que ésta concluye al iniciarse la jornada electoral, con base en el principio de definitividad de las etapas electorales, </w:t>
      </w:r>
      <w:r w:rsidRPr="009F742A">
        <w:rPr>
          <w:bCs/>
        </w:rPr>
        <w:lastRenderedPageBreak/>
        <w:t xml:space="preserve">resulta irreparable la violación que se hubiere cometido </w:t>
      </w:r>
      <w:r w:rsidRPr="00CC1D0E">
        <w:rPr>
          <w:b/>
          <w:bCs/>
        </w:rPr>
        <w:t>en la etapa de preparación de la elección durante la etapa de resultados electorales</w:t>
      </w:r>
      <w:r w:rsidR="00501B7C" w:rsidRPr="00CC1D0E">
        <w:rPr>
          <w:rStyle w:val="Refdenotaalpie"/>
          <w:b/>
        </w:rPr>
        <w:footnoteReference w:id="17"/>
      </w:r>
      <w:r w:rsidRPr="00CC1D0E">
        <w:rPr>
          <w:b/>
          <w:bCs/>
        </w:rPr>
        <w:t>.</w:t>
      </w:r>
    </w:p>
    <w:p w:rsidR="00DF6932" w:rsidRPr="00CC1D0E" w:rsidRDefault="00133D96" w:rsidP="00DF6932">
      <w:pPr>
        <w:spacing w:before="240" w:after="240" w:line="360" w:lineRule="auto"/>
        <w:jc w:val="both"/>
        <w:rPr>
          <w:bCs/>
        </w:rPr>
      </w:pPr>
      <w:r w:rsidRPr="00CC1D0E">
        <w:rPr>
          <w:bCs/>
        </w:rPr>
        <w:t xml:space="preserve">En ese sentido, </w:t>
      </w:r>
      <w:r w:rsidR="007E5C60" w:rsidRPr="00CC1D0E">
        <w:rPr>
          <w:bCs/>
        </w:rPr>
        <w:t xml:space="preserve">dado que la </w:t>
      </w:r>
      <w:r w:rsidR="0070287C" w:rsidRPr="00CC1D0E">
        <w:rPr>
          <w:bCs/>
        </w:rPr>
        <w:t>promovente pretende que a través de su impugnación finalmente se analicen aspectos del proceso interno de candidaturas de Morena, etapa que fue superada con el registro de las candidaturas que finalmente fueron votadas el pasado 6 de junio, es que se arriba a la conclusión de que su pretensión se ha consumado de modo irreparable.</w:t>
      </w:r>
    </w:p>
    <w:p w:rsidR="00FF1EBE" w:rsidRPr="009F742A" w:rsidRDefault="00FF1EBE" w:rsidP="009F742A">
      <w:pPr>
        <w:spacing w:before="240" w:after="240" w:line="360" w:lineRule="auto"/>
        <w:jc w:val="both"/>
        <w:rPr>
          <w:bCs/>
        </w:rPr>
      </w:pPr>
      <w:r w:rsidRPr="00CC1D0E">
        <w:rPr>
          <w:bCs/>
        </w:rPr>
        <w:t>Sin q</w:t>
      </w:r>
      <w:r w:rsidR="00350EF2" w:rsidRPr="00CC1D0E">
        <w:rPr>
          <w:bCs/>
        </w:rPr>
        <w:t xml:space="preserve">ue pase desapercibido, que la impugnante </w:t>
      </w:r>
      <w:r w:rsidR="008B04B9" w:rsidRPr="00CC1D0E">
        <w:rPr>
          <w:bCs/>
        </w:rPr>
        <w:t xml:space="preserve">pretenda obtener el registro como candidata a regidora de </w:t>
      </w:r>
      <w:r w:rsidR="00FA0DA0" w:rsidRPr="00846F69">
        <w:rPr>
          <w:bCs/>
        </w:rPr>
        <w:t>representación proporcional</w:t>
      </w:r>
      <w:r w:rsidR="008B04B9" w:rsidRPr="00CC1D0E">
        <w:rPr>
          <w:bCs/>
        </w:rPr>
        <w:t xml:space="preserve"> de Morena al ayuntamiento de Guanajuato, </w:t>
      </w:r>
      <w:r w:rsidR="00673995" w:rsidRPr="00CC1D0E">
        <w:rPr>
          <w:bCs/>
        </w:rPr>
        <w:t>porque como se adelantó, el registro ante el Instituto Local ya aconteció</w:t>
      </w:r>
      <w:r w:rsidR="004F4D00" w:rsidRPr="00CC1D0E">
        <w:rPr>
          <w:bCs/>
        </w:rPr>
        <w:t xml:space="preserve"> e incluso ya tuvo lugar la jornada electoral</w:t>
      </w:r>
      <w:r w:rsidR="009701B7" w:rsidRPr="00CC1D0E">
        <w:rPr>
          <w:bCs/>
        </w:rPr>
        <w:t xml:space="preserve">, y en ese sentido, como ya lo ha establecido </w:t>
      </w:r>
      <w:r w:rsidR="004027C5">
        <w:rPr>
          <w:bCs/>
        </w:rPr>
        <w:t>la</w:t>
      </w:r>
      <w:r w:rsidR="009701B7" w:rsidRPr="00CC1D0E">
        <w:rPr>
          <w:bCs/>
        </w:rPr>
        <w:t xml:space="preserve"> Sala </w:t>
      </w:r>
      <w:r w:rsidR="004027C5">
        <w:rPr>
          <w:bCs/>
        </w:rPr>
        <w:t>Superior</w:t>
      </w:r>
      <w:r w:rsidR="009701B7" w:rsidRPr="00CC1D0E">
        <w:rPr>
          <w:bCs/>
        </w:rPr>
        <w:t xml:space="preserve">, </w:t>
      </w:r>
      <w:r w:rsidR="00CB13AE" w:rsidRPr="00CC1D0E">
        <w:rPr>
          <w:bCs/>
        </w:rPr>
        <w:t xml:space="preserve">la pretensión de la impugnante </w:t>
      </w:r>
      <w:r w:rsidR="009A6C50" w:rsidRPr="00CC1D0E">
        <w:rPr>
          <w:bCs/>
        </w:rPr>
        <w:t>se tornó irreparable</w:t>
      </w:r>
      <w:r w:rsidR="00CB13AE" w:rsidRPr="00491812">
        <w:rPr>
          <w:rStyle w:val="Refdenotaalpie"/>
        </w:rPr>
        <w:footnoteReference w:id="18"/>
      </w:r>
      <w:r w:rsidR="00CB13AE" w:rsidRPr="00491812">
        <w:rPr>
          <w:bCs/>
        </w:rPr>
        <w:t>.</w:t>
      </w:r>
    </w:p>
    <w:p w:rsidR="009C3098" w:rsidRPr="00087BBD" w:rsidRDefault="009C3098" w:rsidP="009C3098">
      <w:pPr>
        <w:shd w:val="clear" w:color="auto" w:fill="FFFFFF" w:themeFill="background1"/>
        <w:spacing w:after="0" w:line="360" w:lineRule="auto"/>
        <w:jc w:val="both"/>
        <w:rPr>
          <w:lang w:eastAsia="es-MX"/>
        </w:rPr>
      </w:pPr>
      <w:r w:rsidRPr="00087BBD">
        <w:rPr>
          <w:lang w:eastAsia="es-MX"/>
        </w:rPr>
        <w:lastRenderedPageBreak/>
        <w:t xml:space="preserve">En consecuencia, al ser </w:t>
      </w:r>
      <w:r w:rsidRPr="00087BBD">
        <w:rPr>
          <w:b/>
          <w:lang w:eastAsia="es-MX"/>
        </w:rPr>
        <w:t>improcedente</w:t>
      </w:r>
      <w:r w:rsidRPr="00087BBD">
        <w:rPr>
          <w:lang w:eastAsia="es-MX"/>
        </w:rPr>
        <w:t xml:space="preserve"> el juicio, en términos del artículo 10, inciso b), de la Ley de Medios, se debe </w:t>
      </w:r>
      <w:r w:rsidRPr="00087BBD">
        <w:rPr>
          <w:b/>
          <w:lang w:eastAsia="es-MX"/>
        </w:rPr>
        <w:t>desechar de plano la demanda</w:t>
      </w:r>
      <w:r w:rsidRPr="00087BBD">
        <w:rPr>
          <w:lang w:eastAsia="es-MX"/>
        </w:rPr>
        <w:t>, ello con independencia de que se actualice otra causal de improcedencia.</w:t>
      </w:r>
    </w:p>
    <w:p w:rsidR="005217F3" w:rsidRPr="003441A8" w:rsidRDefault="005217F3" w:rsidP="009A7D37">
      <w:pPr>
        <w:spacing w:after="0" w:line="360" w:lineRule="auto"/>
        <w:jc w:val="both"/>
      </w:pPr>
    </w:p>
    <w:p w:rsidR="00243172" w:rsidRPr="003441A8" w:rsidRDefault="00243172" w:rsidP="009A7D37">
      <w:pPr>
        <w:shd w:val="clear" w:color="auto" w:fill="FFFFFF" w:themeFill="background1"/>
        <w:spacing w:after="0" w:line="360" w:lineRule="auto"/>
        <w:jc w:val="both"/>
      </w:pPr>
      <w:r w:rsidRPr="003441A8">
        <w:t>Por lo expuesto y fundado se:</w:t>
      </w:r>
    </w:p>
    <w:p w:rsidR="00994CED" w:rsidRPr="003441A8" w:rsidRDefault="00994CED" w:rsidP="009A7D37">
      <w:pPr>
        <w:shd w:val="clear" w:color="auto" w:fill="FFFFFF" w:themeFill="background1"/>
        <w:spacing w:after="0" w:line="360" w:lineRule="auto"/>
        <w:jc w:val="center"/>
      </w:pPr>
    </w:p>
    <w:p w:rsidR="00243172" w:rsidRPr="003441A8" w:rsidRDefault="00243172" w:rsidP="002D485E">
      <w:pPr>
        <w:pStyle w:val="Ttulo1"/>
        <w:shd w:val="clear" w:color="auto" w:fill="FFFFFF" w:themeFill="background1"/>
        <w:spacing w:before="0" w:beforeAutospacing="0" w:after="0" w:afterAutospacing="0" w:line="240" w:lineRule="auto"/>
        <w:jc w:val="center"/>
        <w:rPr>
          <w:rFonts w:cs="Arial"/>
          <w:szCs w:val="24"/>
        </w:rPr>
      </w:pPr>
      <w:bookmarkStart w:id="16" w:name="_Toc483300366"/>
      <w:bookmarkStart w:id="17" w:name="_Toc74150601"/>
      <w:r w:rsidRPr="003441A8">
        <w:rPr>
          <w:rFonts w:cs="Arial"/>
          <w:caps w:val="0"/>
          <w:szCs w:val="24"/>
        </w:rPr>
        <w:t>Resuelve</w:t>
      </w:r>
      <w:bookmarkEnd w:id="16"/>
      <w:bookmarkEnd w:id="17"/>
    </w:p>
    <w:p w:rsidR="00243172" w:rsidRPr="003441A8" w:rsidRDefault="00243172" w:rsidP="002D485E">
      <w:pPr>
        <w:shd w:val="clear" w:color="auto" w:fill="FFFFFF" w:themeFill="background1"/>
        <w:spacing w:after="0" w:line="240" w:lineRule="auto"/>
        <w:jc w:val="both"/>
        <w:rPr>
          <w:b/>
          <w:bCs/>
          <w:lang w:val="it-IT"/>
        </w:rPr>
      </w:pPr>
    </w:p>
    <w:p w:rsidR="009A241D" w:rsidRPr="005A2233" w:rsidRDefault="008519E5" w:rsidP="009A7D37">
      <w:pPr>
        <w:shd w:val="clear" w:color="auto" w:fill="FFFFFF" w:themeFill="background1"/>
        <w:spacing w:after="0" w:line="360" w:lineRule="auto"/>
        <w:jc w:val="both"/>
        <w:rPr>
          <w:bCs/>
          <w:lang w:val="it-IT"/>
        </w:rPr>
      </w:pPr>
      <w:r>
        <w:rPr>
          <w:b/>
          <w:bCs/>
          <w:lang w:val="it-IT"/>
        </w:rPr>
        <w:t>ÚNICO</w:t>
      </w:r>
      <w:r w:rsidR="009A7D37" w:rsidRPr="003441A8">
        <w:rPr>
          <w:b/>
          <w:bCs/>
          <w:lang w:val="it-IT"/>
        </w:rPr>
        <w:t xml:space="preserve">. </w:t>
      </w:r>
      <w:r w:rsidR="00243172" w:rsidRPr="003441A8">
        <w:rPr>
          <w:bCs/>
          <w:lang w:val="it-IT"/>
        </w:rPr>
        <w:t xml:space="preserve">Se </w:t>
      </w:r>
      <w:r>
        <w:rPr>
          <w:b/>
          <w:lang w:val="it-IT"/>
        </w:rPr>
        <w:t xml:space="preserve">desecha </w:t>
      </w:r>
      <w:r w:rsidRPr="009C3098">
        <w:rPr>
          <w:lang w:val="it-IT"/>
        </w:rPr>
        <w:t>de plano</w:t>
      </w:r>
      <w:r>
        <w:rPr>
          <w:b/>
          <w:lang w:val="it-IT"/>
        </w:rPr>
        <w:t xml:space="preserve"> </w:t>
      </w:r>
      <w:r w:rsidRPr="005A2233">
        <w:rPr>
          <w:lang w:val="it-IT"/>
        </w:rPr>
        <w:t>la demanda.</w:t>
      </w:r>
    </w:p>
    <w:p w:rsidR="00243172" w:rsidRPr="005A2233" w:rsidRDefault="00243172" w:rsidP="009A7D37">
      <w:pPr>
        <w:shd w:val="clear" w:color="auto" w:fill="FFFFFF" w:themeFill="background1"/>
        <w:spacing w:after="0" w:line="360" w:lineRule="auto"/>
        <w:jc w:val="both"/>
        <w:rPr>
          <w:bCs/>
          <w:u w:val="single"/>
          <w:lang w:val="it-IT"/>
        </w:rPr>
      </w:pPr>
    </w:p>
    <w:p w:rsidR="00243172" w:rsidRPr="003441A8" w:rsidRDefault="00243172" w:rsidP="009A7D37">
      <w:pPr>
        <w:shd w:val="clear" w:color="auto" w:fill="FFFFFF" w:themeFill="background1"/>
        <w:spacing w:after="0" w:line="360" w:lineRule="auto"/>
        <w:jc w:val="both"/>
      </w:pPr>
      <w:r w:rsidRPr="003441A8">
        <w:t>En su oportunidad, archívese el expediente como asunto concluido; en su caso, devuélvase la documentación que en original haya exhibido la responsable.</w:t>
      </w:r>
    </w:p>
    <w:p w:rsidR="00243172" w:rsidRPr="003441A8" w:rsidRDefault="00243172" w:rsidP="009A7D37">
      <w:pPr>
        <w:shd w:val="clear" w:color="auto" w:fill="FFFFFF" w:themeFill="background1"/>
        <w:spacing w:after="0" w:line="360" w:lineRule="auto"/>
        <w:jc w:val="both"/>
      </w:pPr>
    </w:p>
    <w:p w:rsidR="00243172" w:rsidRPr="003441A8" w:rsidRDefault="00243172" w:rsidP="009A7D37">
      <w:pPr>
        <w:shd w:val="clear" w:color="auto" w:fill="FFFFFF" w:themeFill="background1"/>
        <w:spacing w:after="0" w:line="360" w:lineRule="auto"/>
        <w:jc w:val="both"/>
        <w:rPr>
          <w:lang w:eastAsia="es-MX"/>
        </w:rPr>
      </w:pPr>
      <w:r w:rsidRPr="003441A8">
        <w:rPr>
          <w:b/>
          <w:bCs/>
          <w:lang w:eastAsia="es-MX"/>
        </w:rPr>
        <w:t>Notifíquese</w:t>
      </w:r>
      <w:r w:rsidRPr="003441A8">
        <w:rPr>
          <w:lang w:eastAsia="es-MX"/>
        </w:rPr>
        <w:t>, como en Derecho corresponda.</w:t>
      </w:r>
    </w:p>
    <w:p w:rsidR="00243172" w:rsidRPr="003441A8" w:rsidRDefault="00243172" w:rsidP="009A7D37">
      <w:pPr>
        <w:shd w:val="clear" w:color="auto" w:fill="FFFFFF" w:themeFill="background1"/>
        <w:spacing w:after="0" w:line="360" w:lineRule="auto"/>
        <w:jc w:val="both"/>
        <w:rPr>
          <w:lang w:eastAsia="es-MX"/>
        </w:rPr>
      </w:pPr>
    </w:p>
    <w:p w:rsidR="008D5E96" w:rsidRPr="003441A8" w:rsidRDefault="008D5E96" w:rsidP="009A7D37">
      <w:pPr>
        <w:shd w:val="clear" w:color="auto" w:fill="FFFFFF" w:themeFill="background1"/>
        <w:spacing w:after="0" w:line="360" w:lineRule="auto"/>
        <w:jc w:val="both"/>
        <w:rPr>
          <w:rFonts w:eastAsia="Calibri"/>
          <w:lang w:eastAsia="es-MX"/>
        </w:rPr>
      </w:pPr>
      <w:r w:rsidRPr="003441A8">
        <w:rPr>
          <w:rFonts w:eastAsia="Calibri"/>
          <w:lang w:eastAsia="es-MX"/>
        </w:rPr>
        <w:t xml:space="preserve">Así lo resolvieron, por </w:t>
      </w:r>
      <w:r w:rsidR="002D485E">
        <w:rPr>
          <w:rFonts w:eastAsia="Calibri"/>
          <w:b/>
          <w:lang w:eastAsia="es-MX"/>
        </w:rPr>
        <w:t>unanimidad</w:t>
      </w:r>
      <w:r w:rsidR="005A2233">
        <w:rPr>
          <w:rFonts w:eastAsia="Calibri"/>
          <w:b/>
          <w:lang w:eastAsia="es-MX"/>
        </w:rPr>
        <w:t xml:space="preserve"> </w:t>
      </w:r>
      <w:r w:rsidRPr="003441A8">
        <w:rPr>
          <w:rFonts w:eastAsia="Calibri"/>
          <w:lang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rsidR="00243172" w:rsidRPr="003441A8" w:rsidRDefault="00243172" w:rsidP="008300BC">
      <w:pPr>
        <w:spacing w:after="0" w:line="240" w:lineRule="auto"/>
        <w:jc w:val="both"/>
        <w:rPr>
          <w:bCs/>
          <w:i/>
          <w:iCs/>
          <w:sz w:val="22"/>
          <w:szCs w:val="22"/>
        </w:rPr>
      </w:pPr>
    </w:p>
    <w:p w:rsidR="000E122C" w:rsidRPr="00F37625" w:rsidRDefault="00243172" w:rsidP="00F37625">
      <w:pPr>
        <w:spacing w:after="0"/>
        <w:jc w:val="both"/>
        <w:rPr>
          <w:rFonts w:eastAsia="Calibri"/>
          <w:lang w:eastAsia="es-MX"/>
        </w:rPr>
      </w:pPr>
      <w:r w:rsidRPr="003441A8">
        <w:rPr>
          <w:bCs/>
          <w:i/>
          <w:iCs/>
          <w:sz w:val="22"/>
          <w:szCs w:val="22"/>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0E122C" w:rsidRPr="00F37625" w:rsidSect="00F34FFB">
      <w:headerReference w:type="even" r:id="rId11"/>
      <w:headerReference w:type="default" r:id="rId12"/>
      <w:footerReference w:type="even" r:id="rId13"/>
      <w:footerReference w:type="default" r:id="rId14"/>
      <w:headerReference w:type="first" r:id="rId15"/>
      <w:footerReference w:type="first" r:id="rId16"/>
      <w:pgSz w:w="12242" w:h="19295" w:code="119"/>
      <w:pgMar w:top="2552" w:right="1134" w:bottom="1985" w:left="2552"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96F" w:rsidRDefault="0001696F" w:rsidP="00243172">
      <w:pPr>
        <w:spacing w:after="0" w:line="240" w:lineRule="auto"/>
      </w:pPr>
      <w:r>
        <w:separator/>
      </w:r>
    </w:p>
  </w:endnote>
  <w:endnote w:type="continuationSeparator" w:id="0">
    <w:p w:rsidR="0001696F" w:rsidRDefault="0001696F" w:rsidP="00243172">
      <w:pPr>
        <w:spacing w:after="0" w:line="240" w:lineRule="auto"/>
      </w:pPr>
      <w:r>
        <w:continuationSeparator/>
      </w:r>
    </w:p>
  </w:endnote>
  <w:endnote w:type="continuationNotice" w:id="1">
    <w:p w:rsidR="0001696F" w:rsidRDefault="00016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Next">
    <w:panose1 w:val="00000000000000000000"/>
    <w:charset w:val="00"/>
    <w:family w:val="swiss"/>
    <w:notTrueType/>
    <w:pitch w:val="default"/>
    <w:sig w:usb0="00000003" w:usb1="00000000" w:usb2="00000000" w:usb3="00000000" w:csb0="00000001" w:csb1="00000000"/>
  </w:font>
  <w:font w:name="TheSansOsF SemiLight">
    <w:altName w:val="Times New Roman"/>
    <w:charset w:val="00"/>
    <w:family w:val="auto"/>
    <w:pitch w:val="default"/>
  </w:font>
  <w:font w:name="Montserra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D5" w:rsidRDefault="000222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D5" w:rsidRDefault="000222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D5" w:rsidRDefault="000222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96F" w:rsidRDefault="0001696F" w:rsidP="00243172">
      <w:pPr>
        <w:spacing w:after="0" w:line="240" w:lineRule="auto"/>
      </w:pPr>
      <w:r>
        <w:separator/>
      </w:r>
    </w:p>
  </w:footnote>
  <w:footnote w:type="continuationSeparator" w:id="0">
    <w:p w:rsidR="0001696F" w:rsidRDefault="0001696F" w:rsidP="00243172">
      <w:pPr>
        <w:spacing w:after="0" w:line="240" w:lineRule="auto"/>
      </w:pPr>
      <w:r>
        <w:continuationSeparator/>
      </w:r>
    </w:p>
  </w:footnote>
  <w:footnote w:type="continuationNotice" w:id="1">
    <w:p w:rsidR="0001696F" w:rsidRDefault="0001696F">
      <w:pPr>
        <w:spacing w:after="0" w:line="240" w:lineRule="auto"/>
      </w:pPr>
    </w:p>
  </w:footnote>
  <w:footnote w:id="2">
    <w:p w:rsidR="00753668" w:rsidRPr="00D71C93" w:rsidRDefault="00753668" w:rsidP="00243172">
      <w:pPr>
        <w:tabs>
          <w:tab w:val="left" w:pos="708"/>
        </w:tabs>
        <w:spacing w:after="0" w:line="240" w:lineRule="auto"/>
        <w:contextualSpacing/>
        <w:jc w:val="both"/>
        <w:rPr>
          <w:sz w:val="16"/>
          <w:szCs w:val="16"/>
          <w:shd w:val="clear" w:color="auto" w:fill="FFFFFF"/>
        </w:rPr>
      </w:pPr>
      <w:r w:rsidRPr="00D71C93">
        <w:rPr>
          <w:rStyle w:val="Refdenotaalpie"/>
          <w:sz w:val="16"/>
          <w:szCs w:val="16"/>
        </w:rPr>
        <w:footnoteRef/>
      </w:r>
      <w:r w:rsidRPr="00D71C93">
        <w:rPr>
          <w:sz w:val="16"/>
          <w:szCs w:val="16"/>
        </w:rPr>
        <w:t xml:space="preserve"> </w:t>
      </w:r>
      <w:r w:rsidRPr="00D71C93">
        <w:rPr>
          <w:rFonts w:eastAsia="Times New Roman"/>
          <w:sz w:val="16"/>
          <w:szCs w:val="16"/>
          <w:lang w:eastAsia="es-MX"/>
        </w:rPr>
        <w:t xml:space="preserve">Lo anterior, </w:t>
      </w:r>
      <w:r w:rsidR="00A54E3B" w:rsidRPr="00D71C93">
        <w:rPr>
          <w:rFonts w:eastAsia="Times New Roman"/>
          <w:sz w:val="16"/>
          <w:szCs w:val="16"/>
          <w:lang w:eastAsia="es-MX"/>
        </w:rPr>
        <w:t xml:space="preserve">con fundamento en lo dispuesto por los artículos </w:t>
      </w:r>
      <w:r w:rsidR="00A50CA3" w:rsidRPr="00CC1D0E">
        <w:rPr>
          <w:rFonts w:eastAsia="Times New Roman"/>
          <w:sz w:val="16"/>
          <w:szCs w:val="16"/>
          <w:lang w:eastAsia="es-MX"/>
        </w:rPr>
        <w:t>176</w:t>
      </w:r>
      <w:r w:rsidR="00A54E3B" w:rsidRPr="00CC1D0E">
        <w:rPr>
          <w:rFonts w:eastAsia="Times New Roman"/>
          <w:sz w:val="16"/>
          <w:szCs w:val="16"/>
          <w:lang w:eastAsia="es-MX"/>
        </w:rPr>
        <w:t xml:space="preserve">, fracción IV, inciso </w:t>
      </w:r>
      <w:r w:rsidR="00A50CA3" w:rsidRPr="00CC1D0E">
        <w:rPr>
          <w:rFonts w:eastAsia="Times New Roman"/>
          <w:sz w:val="16"/>
          <w:szCs w:val="16"/>
          <w:lang w:eastAsia="es-MX"/>
        </w:rPr>
        <w:t>b</w:t>
      </w:r>
      <w:r w:rsidR="00A54E3B" w:rsidRPr="00CC1D0E">
        <w:rPr>
          <w:rFonts w:eastAsia="Times New Roman"/>
          <w:sz w:val="16"/>
          <w:szCs w:val="16"/>
          <w:lang w:eastAsia="es-MX"/>
        </w:rPr>
        <w:t>),</w:t>
      </w:r>
      <w:r w:rsidR="00A54E3B" w:rsidRPr="00D71C93">
        <w:rPr>
          <w:rFonts w:eastAsia="Times New Roman"/>
          <w:sz w:val="16"/>
          <w:szCs w:val="16"/>
          <w:lang w:eastAsia="es-MX"/>
        </w:rPr>
        <w:t xml:space="preserve"> de la Ley Orgánica del Poder Judicial de la Federación y 83, párrafo 1, inciso b), fracción I, de la Ley General del Sistema de Medios de Impugnación en Materia Electoral.</w:t>
      </w:r>
    </w:p>
  </w:footnote>
  <w:footnote w:id="3">
    <w:p w:rsidR="001328B3" w:rsidRPr="00175A98" w:rsidRDefault="001328B3" w:rsidP="001328B3">
      <w:pPr>
        <w:pStyle w:val="Textonotapie"/>
        <w:jc w:val="both"/>
        <w:rPr>
          <w:sz w:val="16"/>
          <w:szCs w:val="16"/>
        </w:rPr>
      </w:pPr>
      <w:r w:rsidRPr="00175A98">
        <w:rPr>
          <w:rStyle w:val="Refdenotaalpie"/>
          <w:sz w:val="16"/>
          <w:szCs w:val="16"/>
        </w:rPr>
        <w:footnoteRef/>
      </w:r>
      <w:r w:rsidRPr="00175A98">
        <w:rPr>
          <w:sz w:val="16"/>
          <w:szCs w:val="16"/>
        </w:rPr>
        <w:t xml:space="preserve"> Hechos relevantes que se advierten de las constancias de autos y afirmaciones realizadas por las partes.</w:t>
      </w:r>
    </w:p>
  </w:footnote>
  <w:footnote w:id="4">
    <w:p w:rsidR="00632820" w:rsidRPr="00EF2A0D" w:rsidRDefault="00632820" w:rsidP="00EF2A0D">
      <w:pPr>
        <w:pStyle w:val="Textonotapie"/>
        <w:jc w:val="both"/>
        <w:rPr>
          <w:sz w:val="16"/>
          <w:szCs w:val="16"/>
          <w:lang w:val="es-MX"/>
        </w:rPr>
      </w:pPr>
      <w:r w:rsidRPr="00632820">
        <w:rPr>
          <w:rStyle w:val="Refdenotaalpie"/>
          <w:sz w:val="16"/>
          <w:szCs w:val="16"/>
        </w:rPr>
        <w:footnoteRef/>
      </w:r>
      <w:r w:rsidRPr="00632820">
        <w:rPr>
          <w:sz w:val="16"/>
          <w:szCs w:val="16"/>
        </w:rPr>
        <w:t xml:space="preserve"> </w:t>
      </w:r>
      <w:r w:rsidRPr="00632820">
        <w:rPr>
          <w:sz w:val="16"/>
          <w:szCs w:val="16"/>
          <w:lang w:val="es-MX"/>
        </w:rPr>
        <w:t>En adelante, todas las fechas corresponden al año 2021, salvo precisión en contrario.</w:t>
      </w:r>
    </w:p>
  </w:footnote>
  <w:footnote w:id="5">
    <w:p w:rsidR="00EF2A0D" w:rsidRPr="00EF2A0D" w:rsidRDefault="00EF2A0D" w:rsidP="00EF2A0D">
      <w:pPr>
        <w:pStyle w:val="Textonotapie"/>
        <w:jc w:val="both"/>
        <w:rPr>
          <w:lang w:val="es-MX"/>
        </w:rPr>
      </w:pPr>
      <w:r w:rsidRPr="00EF2A0D">
        <w:rPr>
          <w:rStyle w:val="Refdenotaalpie"/>
          <w:sz w:val="16"/>
          <w:szCs w:val="16"/>
        </w:rPr>
        <w:footnoteRef/>
      </w:r>
      <w:r w:rsidRPr="00EF2A0D">
        <w:rPr>
          <w:sz w:val="16"/>
          <w:szCs w:val="16"/>
        </w:rPr>
        <w:t xml:space="preserve"> </w:t>
      </w:r>
      <w:r w:rsidRPr="00EF2A0D">
        <w:rPr>
          <w:sz w:val="16"/>
          <w:szCs w:val="16"/>
          <w:lang w:val="es-MX"/>
        </w:rPr>
        <w:t xml:space="preserve">Visible en </w:t>
      </w:r>
      <w:hyperlink r:id="rId1" w:history="1">
        <w:r w:rsidR="00906ED0" w:rsidRPr="0038772D">
          <w:rPr>
            <w:rStyle w:val="Hipervnculo"/>
            <w:sz w:val="16"/>
            <w:szCs w:val="16"/>
            <w:lang w:val="es-MX"/>
          </w:rPr>
          <w:t>https://morena.si/wp-content/uploads/2021/01/GF_CONV_NAC_30ENE21_C.pdf</w:t>
        </w:r>
      </w:hyperlink>
      <w:r w:rsidR="00906ED0">
        <w:rPr>
          <w:sz w:val="16"/>
          <w:szCs w:val="16"/>
          <w:lang w:val="es-MX"/>
        </w:rPr>
        <w:t xml:space="preserve">. </w:t>
      </w:r>
    </w:p>
  </w:footnote>
  <w:footnote w:id="6">
    <w:p w:rsidR="00FB48C8" w:rsidRPr="002D4446" w:rsidRDefault="008F5ABF" w:rsidP="00CC4934">
      <w:pPr>
        <w:pStyle w:val="Textonotapie"/>
        <w:jc w:val="both"/>
        <w:rPr>
          <w:bCs/>
          <w:sz w:val="16"/>
          <w:szCs w:val="16"/>
        </w:rPr>
      </w:pPr>
      <w:r w:rsidRPr="00CC4934">
        <w:rPr>
          <w:rStyle w:val="Refdenotaalpie"/>
          <w:sz w:val="16"/>
          <w:szCs w:val="16"/>
        </w:rPr>
        <w:footnoteRef/>
      </w:r>
      <w:r w:rsidRPr="00CC4934">
        <w:rPr>
          <w:sz w:val="16"/>
          <w:szCs w:val="16"/>
        </w:rPr>
        <w:t xml:space="preserve"> </w:t>
      </w:r>
      <w:r w:rsidR="002D4446">
        <w:rPr>
          <w:sz w:val="16"/>
          <w:szCs w:val="16"/>
        </w:rPr>
        <w:t>En dicha resolución</w:t>
      </w:r>
      <w:r w:rsidR="0034652C" w:rsidRPr="00CC4934">
        <w:rPr>
          <w:bCs/>
          <w:sz w:val="16"/>
          <w:szCs w:val="16"/>
        </w:rPr>
        <w:t xml:space="preserve"> </w:t>
      </w:r>
      <w:r w:rsidR="002D4446">
        <w:rPr>
          <w:bCs/>
          <w:sz w:val="16"/>
          <w:szCs w:val="16"/>
        </w:rPr>
        <w:t>se</w:t>
      </w:r>
      <w:r w:rsidR="00FB48C8" w:rsidRPr="00CC4934">
        <w:rPr>
          <w:bCs/>
          <w:sz w:val="16"/>
          <w:szCs w:val="16"/>
        </w:rPr>
        <w:t xml:space="preserve"> </w:t>
      </w:r>
      <w:r w:rsidR="002D4446">
        <w:rPr>
          <w:bCs/>
          <w:sz w:val="16"/>
          <w:szCs w:val="16"/>
        </w:rPr>
        <w:t>determinó, en lo que interesa</w:t>
      </w:r>
      <w:r w:rsidR="00FB48C8" w:rsidRPr="00CC4934">
        <w:rPr>
          <w:bCs/>
          <w:sz w:val="16"/>
          <w:szCs w:val="16"/>
        </w:rPr>
        <w:t>:</w:t>
      </w:r>
      <w:r w:rsidR="002D4446">
        <w:rPr>
          <w:bCs/>
          <w:sz w:val="16"/>
          <w:szCs w:val="16"/>
        </w:rPr>
        <w:t xml:space="preserve"> </w:t>
      </w:r>
      <w:r w:rsidR="00FB48C8" w:rsidRPr="002D4446">
        <w:rPr>
          <w:sz w:val="16"/>
          <w:szCs w:val="16"/>
          <w:lang w:val="es-MX"/>
        </w:rPr>
        <w:t>[...]</w:t>
      </w:r>
    </w:p>
    <w:p w:rsidR="00FB48C8" w:rsidRPr="00FB48C8" w:rsidRDefault="00FB48C8" w:rsidP="00CC4934">
      <w:pPr>
        <w:pStyle w:val="Textonotapie"/>
        <w:jc w:val="both"/>
        <w:rPr>
          <w:i/>
          <w:lang w:val="es-MX"/>
        </w:rPr>
      </w:pPr>
      <w:r w:rsidRPr="00CC4934">
        <w:rPr>
          <w:b/>
          <w:i/>
          <w:sz w:val="16"/>
          <w:szCs w:val="16"/>
          <w:lang w:val="es-MX"/>
        </w:rPr>
        <w:t>2.2. Precisión del acto impugnado.</w:t>
      </w:r>
      <w:r w:rsidR="00A773A1" w:rsidRPr="00CC4934">
        <w:rPr>
          <w:i/>
          <w:sz w:val="16"/>
          <w:szCs w:val="16"/>
          <w:lang w:val="es-MX"/>
        </w:rPr>
        <w:t xml:space="preserve"> Del estudio integral de las demandas, este órgano plenario advierte que aún y cuando </w:t>
      </w:r>
      <w:r w:rsidR="00A773A1" w:rsidRPr="000B1803">
        <w:rPr>
          <w:b/>
          <w:i/>
          <w:sz w:val="16"/>
          <w:szCs w:val="16"/>
          <w:lang w:val="es-MX"/>
        </w:rPr>
        <w:t>la parte actora señala como acto impugnado</w:t>
      </w:r>
      <w:r w:rsidR="00DC7F73" w:rsidRPr="000B1803">
        <w:rPr>
          <w:b/>
          <w:i/>
          <w:sz w:val="16"/>
          <w:szCs w:val="16"/>
          <w:lang w:val="es-MX"/>
        </w:rPr>
        <w:t xml:space="preserve"> la indebida desig</w:t>
      </w:r>
      <w:r w:rsidR="00B813CE" w:rsidRPr="000B1803">
        <w:rPr>
          <w:b/>
          <w:i/>
          <w:sz w:val="16"/>
          <w:szCs w:val="16"/>
          <w:lang w:val="es-MX"/>
        </w:rPr>
        <w:t>na</w:t>
      </w:r>
      <w:r w:rsidR="00DC7F73" w:rsidRPr="000B1803">
        <w:rPr>
          <w:b/>
          <w:i/>
          <w:sz w:val="16"/>
          <w:szCs w:val="16"/>
          <w:lang w:val="es-MX"/>
        </w:rPr>
        <w:t xml:space="preserve">ción de candidaturas en el proceso intrapartidista y </w:t>
      </w:r>
      <w:r w:rsidR="00DC7F73" w:rsidRPr="00CC4934">
        <w:rPr>
          <w:i/>
          <w:sz w:val="16"/>
          <w:szCs w:val="16"/>
          <w:lang w:val="es-MX"/>
        </w:rPr>
        <w:t>además</w:t>
      </w:r>
      <w:r w:rsidR="00B813CE" w:rsidRPr="00CC4934">
        <w:rPr>
          <w:i/>
          <w:sz w:val="16"/>
          <w:szCs w:val="16"/>
          <w:lang w:val="es-MX"/>
        </w:rPr>
        <w:t>,</w:t>
      </w:r>
      <w:r w:rsidR="00DC7F73" w:rsidRPr="00CC4934">
        <w:rPr>
          <w:i/>
          <w:sz w:val="16"/>
          <w:szCs w:val="16"/>
          <w:lang w:val="es-MX"/>
        </w:rPr>
        <w:t xml:space="preserve"> atribuye</w:t>
      </w:r>
      <w:r w:rsidR="00B813CE" w:rsidRPr="00CC4934">
        <w:rPr>
          <w:i/>
          <w:sz w:val="16"/>
          <w:szCs w:val="16"/>
          <w:lang w:val="es-MX"/>
        </w:rPr>
        <w:t xml:space="preserve"> al Consejo General la aprobación del registro de las planillas</w:t>
      </w:r>
      <w:r w:rsidR="00813305" w:rsidRPr="00CC4934">
        <w:rPr>
          <w:i/>
          <w:sz w:val="16"/>
          <w:szCs w:val="16"/>
          <w:lang w:val="es-MX"/>
        </w:rPr>
        <w:t xml:space="preserve"> de candidatas y candidatos a integrar los ayuntamientos de Celaya y Guanajuato, respectivamente, </w:t>
      </w:r>
      <w:r w:rsidR="0003006F" w:rsidRPr="00CC4934">
        <w:rPr>
          <w:i/>
          <w:sz w:val="16"/>
          <w:szCs w:val="16"/>
          <w:lang w:val="es-MX"/>
        </w:rPr>
        <w:t>lo cierto es que en cuanto a este último no lo controvierte por vicios propios</w:t>
      </w:r>
      <w:r w:rsidR="00F33509" w:rsidRPr="00CC4934">
        <w:rPr>
          <w:i/>
          <w:sz w:val="16"/>
          <w:szCs w:val="16"/>
          <w:lang w:val="es-MX"/>
        </w:rPr>
        <w:t>, sino que lo considera indebido a partir de las irregularidades, que en su concepto, acontecieron durante el procedimiento</w:t>
      </w:r>
      <w:r w:rsidR="00CC4934" w:rsidRPr="00CC4934">
        <w:rPr>
          <w:i/>
          <w:sz w:val="16"/>
          <w:szCs w:val="16"/>
          <w:lang w:val="es-MX"/>
        </w:rPr>
        <w:t xml:space="preserve"> interno de selección de candidaturas realizado por la Comisión de Elecciones.</w:t>
      </w:r>
    </w:p>
  </w:footnote>
  <w:footnote w:id="7">
    <w:p w:rsidR="00114681" w:rsidRPr="00A6256C" w:rsidRDefault="00B325A2" w:rsidP="00BA221A">
      <w:pPr>
        <w:pStyle w:val="Textonotapie"/>
        <w:jc w:val="both"/>
        <w:rPr>
          <w:sz w:val="16"/>
          <w:szCs w:val="16"/>
          <w:lang w:val="es-MX"/>
        </w:rPr>
      </w:pPr>
      <w:r w:rsidRPr="00BA221A">
        <w:rPr>
          <w:rStyle w:val="Refdenotaalpie"/>
          <w:sz w:val="16"/>
          <w:szCs w:val="16"/>
        </w:rPr>
        <w:footnoteRef/>
      </w:r>
      <w:r w:rsidRPr="00BA221A">
        <w:rPr>
          <w:sz w:val="16"/>
          <w:szCs w:val="16"/>
        </w:rPr>
        <w:t xml:space="preserve"> </w:t>
      </w:r>
      <w:r w:rsidRPr="00BA221A">
        <w:rPr>
          <w:sz w:val="16"/>
          <w:szCs w:val="16"/>
          <w:lang w:val="es-MX"/>
        </w:rPr>
        <w:t>El respecto, en la</w:t>
      </w:r>
      <w:r w:rsidR="00FD2B87" w:rsidRPr="00BA221A">
        <w:rPr>
          <w:sz w:val="16"/>
          <w:szCs w:val="16"/>
          <w:lang w:val="es-MX"/>
        </w:rPr>
        <w:t xml:space="preserve"> pá</w:t>
      </w:r>
      <w:r w:rsidR="00BA221A" w:rsidRPr="00BA221A">
        <w:rPr>
          <w:sz w:val="16"/>
          <w:szCs w:val="16"/>
          <w:lang w:val="es-MX"/>
        </w:rPr>
        <w:t>gina 10, último párrafo de la</w:t>
      </w:r>
      <w:r w:rsidRPr="00BA221A">
        <w:rPr>
          <w:sz w:val="16"/>
          <w:szCs w:val="16"/>
          <w:lang w:val="es-MX"/>
        </w:rPr>
        <w:t xml:space="preserve"> sentencia emitida en el TEEG-J</w:t>
      </w:r>
      <w:r w:rsidR="00EF4D10" w:rsidRPr="00BA221A">
        <w:rPr>
          <w:sz w:val="16"/>
          <w:szCs w:val="16"/>
          <w:lang w:val="es-MX"/>
        </w:rPr>
        <w:t>PDC-174/2021, en la parte que interesa,</w:t>
      </w:r>
      <w:r w:rsidR="00595AB5">
        <w:rPr>
          <w:sz w:val="16"/>
          <w:szCs w:val="16"/>
          <w:lang w:val="es-MX"/>
        </w:rPr>
        <w:t xml:space="preserve"> el Tribunal de Guanajuato</w:t>
      </w:r>
      <w:r w:rsidR="00EF4D10" w:rsidRPr="00BA221A">
        <w:rPr>
          <w:sz w:val="16"/>
          <w:szCs w:val="16"/>
          <w:lang w:val="es-MX"/>
        </w:rPr>
        <w:t xml:space="preserve"> señal</w:t>
      </w:r>
      <w:r w:rsidR="00114681" w:rsidRPr="00BA221A">
        <w:rPr>
          <w:sz w:val="16"/>
          <w:szCs w:val="16"/>
          <w:lang w:val="es-MX"/>
        </w:rPr>
        <w:t>ó:</w:t>
      </w:r>
      <w:r w:rsidR="00A6256C">
        <w:rPr>
          <w:sz w:val="16"/>
          <w:szCs w:val="16"/>
          <w:lang w:val="es-MX"/>
        </w:rPr>
        <w:t xml:space="preserve"> </w:t>
      </w:r>
      <w:r w:rsidR="00114681" w:rsidRPr="00A6256C">
        <w:rPr>
          <w:sz w:val="16"/>
          <w:szCs w:val="16"/>
          <w:lang w:val="es-MX"/>
        </w:rPr>
        <w:t>[...]</w:t>
      </w:r>
    </w:p>
    <w:p w:rsidR="00114681" w:rsidRPr="00114681" w:rsidRDefault="00114681" w:rsidP="00BA221A">
      <w:pPr>
        <w:pStyle w:val="Textonotapie"/>
        <w:jc w:val="both"/>
        <w:rPr>
          <w:i/>
          <w:lang w:val="es-MX"/>
        </w:rPr>
      </w:pPr>
      <w:r w:rsidRPr="00BA221A">
        <w:rPr>
          <w:i/>
          <w:sz w:val="16"/>
          <w:szCs w:val="16"/>
          <w:lang w:val="es-MX"/>
        </w:rPr>
        <w:t xml:space="preserve">Por tanto, lo procedente es </w:t>
      </w:r>
      <w:r w:rsidRPr="00BA221A">
        <w:rPr>
          <w:b/>
          <w:i/>
          <w:sz w:val="16"/>
          <w:szCs w:val="16"/>
          <w:lang w:val="es-MX"/>
        </w:rPr>
        <w:t>revocar</w:t>
      </w:r>
      <w:r w:rsidRPr="00BA221A">
        <w:rPr>
          <w:i/>
          <w:sz w:val="16"/>
          <w:szCs w:val="16"/>
          <w:lang w:val="es-MX"/>
        </w:rPr>
        <w:t xml:space="preserve"> el acuerdo impugnado</w:t>
      </w:r>
      <w:r w:rsidR="00587976" w:rsidRPr="00BA221A">
        <w:rPr>
          <w:i/>
          <w:sz w:val="16"/>
          <w:szCs w:val="16"/>
          <w:lang w:val="es-MX"/>
        </w:rPr>
        <w:t>, ante la inexistencia de constancia idónea que acredite que la actora conoció el acto impugnado en la fecha de su emisión</w:t>
      </w:r>
      <w:r w:rsidR="00A175A8" w:rsidRPr="00BA221A">
        <w:rPr>
          <w:i/>
          <w:sz w:val="16"/>
          <w:szCs w:val="16"/>
          <w:lang w:val="es-MX"/>
        </w:rPr>
        <w:t xml:space="preserve"> y que pu</w:t>
      </w:r>
      <w:r w:rsidR="00FF5900" w:rsidRPr="00BA221A">
        <w:rPr>
          <w:i/>
          <w:sz w:val="16"/>
          <w:szCs w:val="16"/>
          <w:lang w:val="es-MX"/>
        </w:rPr>
        <w:t>e</w:t>
      </w:r>
      <w:r w:rsidR="00A175A8" w:rsidRPr="00BA221A">
        <w:rPr>
          <w:i/>
          <w:sz w:val="16"/>
          <w:szCs w:val="16"/>
          <w:lang w:val="es-MX"/>
        </w:rPr>
        <w:t>da dar sustento</w:t>
      </w:r>
      <w:r w:rsidR="00FF5900" w:rsidRPr="00BA221A">
        <w:rPr>
          <w:i/>
          <w:sz w:val="16"/>
          <w:szCs w:val="16"/>
          <w:lang w:val="es-MX"/>
        </w:rPr>
        <w:t xml:space="preserve"> a la determinación</w:t>
      </w:r>
      <w:r w:rsidR="006034E9" w:rsidRPr="00BA221A">
        <w:rPr>
          <w:i/>
          <w:sz w:val="16"/>
          <w:szCs w:val="16"/>
          <w:lang w:val="es-MX"/>
        </w:rPr>
        <w:t xml:space="preserve"> asumida por la responsable que la desechó argumentando extemporaneidad [...]</w:t>
      </w:r>
    </w:p>
  </w:footnote>
  <w:footnote w:id="8">
    <w:p w:rsidR="009730C6" w:rsidRPr="00A6256C" w:rsidRDefault="008C2147" w:rsidP="00E24292">
      <w:pPr>
        <w:pStyle w:val="Textonotapie"/>
        <w:jc w:val="both"/>
        <w:rPr>
          <w:sz w:val="16"/>
          <w:szCs w:val="16"/>
          <w:lang w:val="es-MX"/>
        </w:rPr>
      </w:pPr>
      <w:r w:rsidRPr="00E24292">
        <w:rPr>
          <w:rStyle w:val="Refdenotaalpie"/>
          <w:sz w:val="16"/>
          <w:szCs w:val="16"/>
        </w:rPr>
        <w:footnoteRef/>
      </w:r>
      <w:r w:rsidRPr="00E24292">
        <w:rPr>
          <w:sz w:val="16"/>
          <w:szCs w:val="16"/>
        </w:rPr>
        <w:t xml:space="preserve"> </w:t>
      </w:r>
      <w:r w:rsidRPr="00E24292">
        <w:rPr>
          <w:sz w:val="16"/>
          <w:szCs w:val="16"/>
          <w:lang w:val="es-MX"/>
        </w:rPr>
        <w:t>Lo anterior, conforme a lo señalado en el apartado de efecto, que, en lo que interesa,</w:t>
      </w:r>
      <w:r w:rsidR="009730C6" w:rsidRPr="00E24292">
        <w:rPr>
          <w:sz w:val="16"/>
          <w:szCs w:val="16"/>
          <w:lang w:val="es-MX"/>
        </w:rPr>
        <w:t xml:space="preserve"> señala:</w:t>
      </w:r>
      <w:r w:rsidR="00A6256C">
        <w:rPr>
          <w:sz w:val="16"/>
          <w:szCs w:val="16"/>
          <w:lang w:val="es-MX"/>
        </w:rPr>
        <w:t xml:space="preserve"> </w:t>
      </w:r>
      <w:r w:rsidR="009730C6" w:rsidRPr="00A6256C">
        <w:rPr>
          <w:sz w:val="16"/>
          <w:szCs w:val="16"/>
          <w:lang w:val="es-MX"/>
        </w:rPr>
        <w:t>[...]</w:t>
      </w:r>
    </w:p>
    <w:p w:rsidR="009730C6" w:rsidRPr="00A05E23" w:rsidRDefault="009730C6" w:rsidP="00E24292">
      <w:pPr>
        <w:pStyle w:val="Textonotapie"/>
        <w:jc w:val="both"/>
        <w:rPr>
          <w:i/>
          <w:lang w:val="es-MX"/>
        </w:rPr>
      </w:pPr>
      <w:r w:rsidRPr="00E24292">
        <w:rPr>
          <w:i/>
          <w:sz w:val="16"/>
          <w:szCs w:val="16"/>
          <w:lang w:val="es-MX"/>
        </w:rPr>
        <w:t>Revocar el acuerdo de desechamiento dictado en el expediente CNHJ-</w:t>
      </w:r>
      <w:r w:rsidR="00A05E23" w:rsidRPr="00E24292">
        <w:rPr>
          <w:i/>
          <w:sz w:val="16"/>
          <w:szCs w:val="16"/>
          <w:lang w:val="es-MX"/>
        </w:rPr>
        <w:t xml:space="preserve">GTO-1509/2021, para que dentro de las </w:t>
      </w:r>
      <w:r w:rsidR="00A05E23" w:rsidRPr="00E24292">
        <w:rPr>
          <w:b/>
          <w:i/>
          <w:sz w:val="16"/>
          <w:szCs w:val="16"/>
          <w:lang w:val="es-MX"/>
        </w:rPr>
        <w:t>24 horas</w:t>
      </w:r>
      <w:r w:rsidR="00A05E23" w:rsidRPr="00E24292">
        <w:rPr>
          <w:i/>
          <w:sz w:val="16"/>
          <w:szCs w:val="16"/>
          <w:lang w:val="es-MX"/>
        </w:rPr>
        <w:t xml:space="preserve"> </w:t>
      </w:r>
      <w:r w:rsidR="00A05E23" w:rsidRPr="00E24292">
        <w:rPr>
          <w:b/>
          <w:i/>
          <w:sz w:val="16"/>
          <w:szCs w:val="16"/>
          <w:lang w:val="es-MX"/>
        </w:rPr>
        <w:t>siguientes</w:t>
      </w:r>
      <w:r w:rsidR="00A05E23" w:rsidRPr="00E24292">
        <w:rPr>
          <w:i/>
          <w:sz w:val="16"/>
          <w:szCs w:val="16"/>
          <w:lang w:val="es-MX"/>
        </w:rPr>
        <w:t xml:space="preserve"> a la notificación de esta sentencia</w:t>
      </w:r>
      <w:r w:rsidR="00AB2747" w:rsidRPr="00E24292">
        <w:rPr>
          <w:i/>
          <w:sz w:val="16"/>
          <w:szCs w:val="16"/>
          <w:lang w:val="es-MX"/>
        </w:rPr>
        <w:t>, la Comisión de Justicia resuelva, de no actualizarse otra causal de improcedencia distinta, lo que en derecho corresponda sobre la admisión</w:t>
      </w:r>
      <w:r w:rsidR="00E24292" w:rsidRPr="00E24292">
        <w:rPr>
          <w:i/>
          <w:sz w:val="16"/>
          <w:szCs w:val="16"/>
          <w:lang w:val="es-MX"/>
        </w:rPr>
        <w:t xml:space="preserve"> del medio intrapartidario presentado por la actora en esa instancia.</w:t>
      </w:r>
    </w:p>
  </w:footnote>
  <w:footnote w:id="9">
    <w:p w:rsidR="0031387B" w:rsidRPr="00A6256C" w:rsidRDefault="0060251D" w:rsidP="00604FF5">
      <w:pPr>
        <w:pStyle w:val="Textonotapie"/>
        <w:jc w:val="both"/>
        <w:rPr>
          <w:sz w:val="16"/>
          <w:szCs w:val="16"/>
          <w:lang w:val="es-MX"/>
        </w:rPr>
      </w:pPr>
      <w:r w:rsidRPr="00604FF5">
        <w:rPr>
          <w:rStyle w:val="Refdenotaalpie"/>
          <w:sz w:val="16"/>
          <w:szCs w:val="16"/>
        </w:rPr>
        <w:footnoteRef/>
      </w:r>
      <w:r w:rsidRPr="00604FF5">
        <w:rPr>
          <w:sz w:val="16"/>
          <w:szCs w:val="16"/>
        </w:rPr>
        <w:t xml:space="preserve"> </w:t>
      </w:r>
      <w:r w:rsidRPr="00604FF5">
        <w:rPr>
          <w:sz w:val="16"/>
          <w:szCs w:val="16"/>
          <w:lang w:val="es-MX"/>
        </w:rPr>
        <w:t xml:space="preserve">En efecto, </w:t>
      </w:r>
      <w:r w:rsidR="0031387B" w:rsidRPr="00604FF5">
        <w:rPr>
          <w:sz w:val="16"/>
          <w:szCs w:val="16"/>
          <w:lang w:val="es-MX"/>
        </w:rPr>
        <w:t>en su resolución la Comisión de Justica, señaló, en lo que interesa, lo siguiente:</w:t>
      </w:r>
      <w:r w:rsidR="00A6256C">
        <w:rPr>
          <w:sz w:val="16"/>
          <w:szCs w:val="16"/>
          <w:lang w:val="es-MX"/>
        </w:rPr>
        <w:t xml:space="preserve"> </w:t>
      </w:r>
      <w:r w:rsidR="0031387B" w:rsidRPr="00A6256C">
        <w:rPr>
          <w:sz w:val="16"/>
          <w:szCs w:val="16"/>
          <w:lang w:val="es-MX"/>
        </w:rPr>
        <w:t>[...]</w:t>
      </w:r>
    </w:p>
    <w:p w:rsidR="0060251D" w:rsidRPr="0060251D" w:rsidRDefault="0031387B" w:rsidP="00604FF5">
      <w:pPr>
        <w:pStyle w:val="Textonotapie"/>
        <w:jc w:val="both"/>
        <w:rPr>
          <w:lang w:val="es-MX"/>
        </w:rPr>
      </w:pPr>
      <w:r w:rsidRPr="00604FF5">
        <w:rPr>
          <w:i/>
          <w:sz w:val="16"/>
          <w:szCs w:val="16"/>
          <w:lang w:val="es-MX"/>
        </w:rPr>
        <w:t>Ahora bien</w:t>
      </w:r>
      <w:r w:rsidR="00630EE7" w:rsidRPr="00604FF5">
        <w:rPr>
          <w:i/>
          <w:sz w:val="16"/>
          <w:szCs w:val="16"/>
          <w:lang w:val="es-MX"/>
        </w:rPr>
        <w:t>, la controversia planteada no podría ser resuelta por este órgano jurisdiccional en virtud de que no es</w:t>
      </w:r>
      <w:r w:rsidR="00BF53D8" w:rsidRPr="00604FF5">
        <w:rPr>
          <w:i/>
          <w:sz w:val="16"/>
          <w:szCs w:val="16"/>
          <w:lang w:val="es-MX"/>
        </w:rPr>
        <w:t xml:space="preserve"> la autoridad encargada de verificar que se hayan cumplido las medidas determinadas por el Instituto Estatal Electoral d</w:t>
      </w:r>
      <w:r w:rsidR="005F2069" w:rsidRPr="00604FF5">
        <w:rPr>
          <w:i/>
          <w:sz w:val="16"/>
          <w:szCs w:val="16"/>
          <w:lang w:val="es-MX"/>
        </w:rPr>
        <w:t>el Estado de Guanajuato, toda vez que, de asistirle la razón a la parte actora, ello implicaría la sustitución</w:t>
      </w:r>
      <w:r w:rsidR="0079359B" w:rsidRPr="00604FF5">
        <w:rPr>
          <w:i/>
          <w:sz w:val="16"/>
          <w:szCs w:val="16"/>
          <w:lang w:val="es-MX"/>
        </w:rPr>
        <w:t xml:space="preserve"> de los candidatos registrados ante la autoridad administrativa electoral</w:t>
      </w:r>
      <w:r w:rsidR="00B42661" w:rsidRPr="00604FF5">
        <w:rPr>
          <w:i/>
          <w:sz w:val="16"/>
          <w:szCs w:val="16"/>
          <w:lang w:val="es-MX"/>
        </w:rPr>
        <w:t xml:space="preserve"> y de conformidad con lo establecido en el artículo 194 de la Ley de Instituciones y Procedimientos Electorales para el Estado de Guanajuato, </w:t>
      </w:r>
      <w:r w:rsidR="00604FF5" w:rsidRPr="00604FF5">
        <w:rPr>
          <w:i/>
          <w:sz w:val="16"/>
          <w:szCs w:val="16"/>
          <w:lang w:val="es-MX"/>
        </w:rPr>
        <w:t>que dispone que [...]</w:t>
      </w:r>
      <w:r>
        <w:rPr>
          <w:lang w:val="es-MX"/>
        </w:rPr>
        <w:t xml:space="preserve"> </w:t>
      </w:r>
    </w:p>
  </w:footnote>
  <w:footnote w:id="10">
    <w:p w:rsidR="00493A7B" w:rsidRPr="000B1F50" w:rsidRDefault="00B14612" w:rsidP="00306D03">
      <w:pPr>
        <w:pStyle w:val="Textonotapie"/>
        <w:jc w:val="both"/>
        <w:rPr>
          <w:sz w:val="16"/>
          <w:szCs w:val="16"/>
          <w:lang w:val="es-MX"/>
        </w:rPr>
      </w:pPr>
      <w:r w:rsidRPr="00306D03">
        <w:rPr>
          <w:rStyle w:val="Refdenotaalpie"/>
          <w:sz w:val="16"/>
          <w:szCs w:val="16"/>
        </w:rPr>
        <w:footnoteRef/>
      </w:r>
      <w:r w:rsidRPr="00306D03">
        <w:rPr>
          <w:sz w:val="16"/>
          <w:szCs w:val="16"/>
        </w:rPr>
        <w:t xml:space="preserve"> </w:t>
      </w:r>
      <w:r w:rsidRPr="00306D03">
        <w:rPr>
          <w:sz w:val="16"/>
          <w:szCs w:val="16"/>
          <w:lang w:val="es-MX"/>
        </w:rPr>
        <w:t>En efecto, el Tribunal de Guanajuato consideró que controvertía</w:t>
      </w:r>
      <w:r w:rsidR="007175A5" w:rsidRPr="00306D03">
        <w:rPr>
          <w:sz w:val="16"/>
          <w:szCs w:val="16"/>
          <w:lang w:val="es-MX"/>
        </w:rPr>
        <w:t xml:space="preserve"> la resolución de la Comisión de Justicia que fue materia de análisis en el diverso juicio ciudadano TEEG-J</w:t>
      </w:r>
      <w:r w:rsidR="006F7657" w:rsidRPr="00306D03">
        <w:rPr>
          <w:sz w:val="16"/>
          <w:szCs w:val="16"/>
          <w:lang w:val="es-MX"/>
        </w:rPr>
        <w:t>PDC</w:t>
      </w:r>
      <w:r w:rsidR="00C151E2">
        <w:rPr>
          <w:sz w:val="16"/>
          <w:szCs w:val="16"/>
          <w:lang w:val="es-MX"/>
        </w:rPr>
        <w:t>-</w:t>
      </w:r>
      <w:r w:rsidR="00FA3E44" w:rsidRPr="00306D03">
        <w:rPr>
          <w:sz w:val="16"/>
          <w:szCs w:val="16"/>
          <w:lang w:val="es-MX"/>
        </w:rPr>
        <w:t>138/2021</w:t>
      </w:r>
      <w:r w:rsidR="00493A7B" w:rsidRPr="00306D03">
        <w:rPr>
          <w:sz w:val="16"/>
          <w:szCs w:val="16"/>
          <w:lang w:val="es-MX"/>
        </w:rPr>
        <w:t>, al señalar</w:t>
      </w:r>
      <w:r w:rsidR="00C151E2">
        <w:rPr>
          <w:sz w:val="16"/>
          <w:szCs w:val="16"/>
          <w:lang w:val="es-MX"/>
        </w:rPr>
        <w:t xml:space="preserve"> </w:t>
      </w:r>
      <w:r w:rsidR="00493A7B" w:rsidRPr="00306D03">
        <w:rPr>
          <w:sz w:val="16"/>
          <w:szCs w:val="16"/>
          <w:lang w:val="es-MX"/>
        </w:rPr>
        <w:t>lo siguiente:</w:t>
      </w:r>
      <w:r w:rsidR="000B1F50">
        <w:rPr>
          <w:sz w:val="16"/>
          <w:szCs w:val="16"/>
          <w:lang w:val="es-MX"/>
        </w:rPr>
        <w:t xml:space="preserve"> </w:t>
      </w:r>
      <w:r w:rsidR="00493A7B" w:rsidRPr="000B1F50">
        <w:rPr>
          <w:sz w:val="16"/>
          <w:szCs w:val="16"/>
          <w:lang w:val="es-MX"/>
        </w:rPr>
        <w:t>[...]</w:t>
      </w:r>
    </w:p>
    <w:p w:rsidR="00493A7B" w:rsidRDefault="00493A7B" w:rsidP="000B1F50">
      <w:pPr>
        <w:pStyle w:val="Textonotapie"/>
        <w:ind w:firstLine="284"/>
        <w:jc w:val="both"/>
        <w:rPr>
          <w:i/>
          <w:sz w:val="16"/>
          <w:szCs w:val="16"/>
          <w:lang w:val="es-MX"/>
        </w:rPr>
      </w:pPr>
      <w:r w:rsidRPr="00306D03">
        <w:rPr>
          <w:i/>
          <w:sz w:val="16"/>
          <w:szCs w:val="16"/>
          <w:lang w:val="es-MX"/>
        </w:rPr>
        <w:t>Para arribar a tal determinación</w:t>
      </w:r>
      <w:r w:rsidR="004628C7" w:rsidRPr="00306D03">
        <w:rPr>
          <w:i/>
          <w:sz w:val="16"/>
          <w:szCs w:val="16"/>
          <w:lang w:val="es-MX"/>
        </w:rPr>
        <w:t xml:space="preserve"> se considera que la actora aportó la documental consistente en </w:t>
      </w:r>
      <w:r w:rsidR="004628C7" w:rsidRPr="00306D03">
        <w:rPr>
          <w:b/>
          <w:i/>
          <w:sz w:val="16"/>
          <w:szCs w:val="16"/>
          <w:lang w:val="es-MX"/>
        </w:rPr>
        <w:t>copia simple</w:t>
      </w:r>
      <w:r w:rsidR="004628C7" w:rsidRPr="00306D03">
        <w:rPr>
          <w:i/>
          <w:sz w:val="16"/>
          <w:szCs w:val="16"/>
          <w:lang w:val="es-MX"/>
        </w:rPr>
        <w:t xml:space="preserve"> del acuerdo de </w:t>
      </w:r>
      <w:r w:rsidR="004628C7" w:rsidRPr="00973290">
        <w:rPr>
          <w:i/>
          <w:sz w:val="16"/>
          <w:szCs w:val="16"/>
          <w:lang w:val="es-MX"/>
        </w:rPr>
        <w:t xml:space="preserve">improcedencia del </w:t>
      </w:r>
      <w:r w:rsidR="00821B5C" w:rsidRPr="00973290">
        <w:rPr>
          <w:i/>
          <w:sz w:val="16"/>
          <w:szCs w:val="16"/>
          <w:lang w:val="es-MX"/>
        </w:rPr>
        <w:t>26 de mayo</w:t>
      </w:r>
      <w:r w:rsidR="00001E8B" w:rsidRPr="00306D03">
        <w:rPr>
          <w:i/>
          <w:sz w:val="16"/>
          <w:szCs w:val="16"/>
          <w:lang w:val="es-MX"/>
        </w:rPr>
        <w:t xml:space="preserve"> dictado en el </w:t>
      </w:r>
      <w:r w:rsidR="00001E8B" w:rsidRPr="003F5125">
        <w:rPr>
          <w:i/>
          <w:sz w:val="16"/>
          <w:szCs w:val="16"/>
          <w:lang w:val="es-MX"/>
        </w:rPr>
        <w:t>expediente CNHJ-GTO-1509/2021</w:t>
      </w:r>
      <w:r w:rsidR="00FE067A" w:rsidRPr="003F5125">
        <w:rPr>
          <w:i/>
          <w:sz w:val="16"/>
          <w:szCs w:val="16"/>
          <w:lang w:val="es-MX"/>
        </w:rPr>
        <w:t xml:space="preserve">; documento que fue base de sus argumentos de impugnación, aunque </w:t>
      </w:r>
      <w:r w:rsidR="00BB6791" w:rsidRPr="003F5125">
        <w:rPr>
          <w:i/>
          <w:sz w:val="16"/>
          <w:szCs w:val="16"/>
          <w:lang w:val="es-MX"/>
        </w:rPr>
        <w:t>refiriéndolo como el dictado en cumplimiento al acuerdo plenario de reencauzamiento</w:t>
      </w:r>
      <w:r w:rsidR="00306D03" w:rsidRPr="003F5125">
        <w:rPr>
          <w:i/>
          <w:sz w:val="16"/>
          <w:szCs w:val="16"/>
          <w:lang w:val="es-MX"/>
        </w:rPr>
        <w:t xml:space="preserve"> del expediente TEEG-JPDC-138/2021 y sus acumulados.</w:t>
      </w:r>
    </w:p>
    <w:p w:rsidR="0017699D" w:rsidRPr="0017699D" w:rsidRDefault="0017699D" w:rsidP="0017699D">
      <w:pPr>
        <w:pStyle w:val="Textonotapie"/>
        <w:ind w:firstLine="284"/>
        <w:jc w:val="both"/>
        <w:rPr>
          <w:bCs/>
          <w:i/>
          <w:sz w:val="16"/>
          <w:szCs w:val="16"/>
          <w:lang w:val="es-MX"/>
        </w:rPr>
      </w:pPr>
      <w:r w:rsidRPr="0017699D">
        <w:rPr>
          <w:i/>
          <w:sz w:val="16"/>
          <w:szCs w:val="16"/>
          <w:lang w:val="es-MX"/>
        </w:rPr>
        <w:t xml:space="preserve">Sin embargo, del expediente </w:t>
      </w:r>
      <w:r w:rsidRPr="0017699D">
        <w:rPr>
          <w:bCs/>
          <w:i/>
          <w:sz w:val="16"/>
          <w:szCs w:val="16"/>
          <w:lang w:val="es-MX"/>
        </w:rPr>
        <w:t>TEEG-JPDC-138/2021 y sus</w:t>
      </w:r>
      <w:r>
        <w:rPr>
          <w:bCs/>
          <w:i/>
          <w:sz w:val="16"/>
          <w:szCs w:val="16"/>
          <w:lang w:val="es-MX"/>
        </w:rPr>
        <w:t xml:space="preserve"> </w:t>
      </w:r>
      <w:r w:rsidRPr="0017699D">
        <w:rPr>
          <w:bCs/>
          <w:i/>
          <w:sz w:val="16"/>
          <w:szCs w:val="16"/>
          <w:lang w:val="es-MX"/>
        </w:rPr>
        <w:t>acumulados</w:t>
      </w:r>
      <w:r w:rsidRPr="0017699D">
        <w:rPr>
          <w:i/>
          <w:sz w:val="16"/>
          <w:szCs w:val="16"/>
          <w:lang w:val="es-MX"/>
        </w:rPr>
        <w:t xml:space="preserve">, se advierte la </w:t>
      </w:r>
      <w:r w:rsidRPr="0017699D">
        <w:rPr>
          <w:bCs/>
          <w:i/>
          <w:sz w:val="16"/>
          <w:szCs w:val="16"/>
          <w:lang w:val="es-MX"/>
        </w:rPr>
        <w:t>copia certificada de la resolución dictada</w:t>
      </w:r>
      <w:r>
        <w:rPr>
          <w:bCs/>
          <w:i/>
          <w:sz w:val="16"/>
          <w:szCs w:val="16"/>
          <w:lang w:val="es-MX"/>
        </w:rPr>
        <w:t xml:space="preserve"> </w:t>
      </w:r>
      <w:r w:rsidRPr="0017699D">
        <w:rPr>
          <w:bCs/>
          <w:i/>
          <w:sz w:val="16"/>
          <w:szCs w:val="16"/>
          <w:lang w:val="es-MX"/>
        </w:rPr>
        <w:t>en cumplimiento al acuerdo de reencauzamiento, la que aparece</w:t>
      </w:r>
      <w:r>
        <w:rPr>
          <w:bCs/>
          <w:i/>
          <w:sz w:val="16"/>
          <w:szCs w:val="16"/>
          <w:lang w:val="es-MX"/>
        </w:rPr>
        <w:t xml:space="preserve"> </w:t>
      </w:r>
      <w:r w:rsidRPr="0017699D">
        <w:rPr>
          <w:bCs/>
          <w:i/>
          <w:sz w:val="16"/>
          <w:szCs w:val="16"/>
          <w:lang w:val="es-MX"/>
        </w:rPr>
        <w:t>con fecha 8 de mayo.</w:t>
      </w:r>
    </w:p>
    <w:p w:rsidR="0017699D" w:rsidRPr="0017699D" w:rsidRDefault="0017699D" w:rsidP="0017699D">
      <w:pPr>
        <w:pStyle w:val="Textonotapie"/>
        <w:ind w:firstLine="284"/>
        <w:jc w:val="both"/>
        <w:rPr>
          <w:i/>
          <w:iCs/>
          <w:sz w:val="16"/>
          <w:szCs w:val="16"/>
          <w:lang w:val="es-MX"/>
        </w:rPr>
      </w:pPr>
      <w:r w:rsidRPr="0017699D">
        <w:rPr>
          <w:i/>
          <w:sz w:val="16"/>
          <w:szCs w:val="16"/>
          <w:lang w:val="es-MX"/>
        </w:rPr>
        <w:t xml:space="preserve">Ante tal discrepancia se requirió a la </w:t>
      </w:r>
      <w:r w:rsidRPr="0017699D">
        <w:rPr>
          <w:i/>
          <w:iCs/>
          <w:sz w:val="16"/>
          <w:szCs w:val="16"/>
          <w:lang w:val="es-MX"/>
        </w:rPr>
        <w:t>Comisión de Justicia</w:t>
      </w:r>
      <w:r>
        <w:rPr>
          <w:i/>
          <w:iCs/>
          <w:sz w:val="16"/>
          <w:szCs w:val="16"/>
          <w:lang w:val="es-MX"/>
        </w:rPr>
        <w:t xml:space="preserve"> </w:t>
      </w:r>
      <w:r w:rsidRPr="0017699D">
        <w:rPr>
          <w:i/>
          <w:sz w:val="16"/>
          <w:szCs w:val="16"/>
          <w:lang w:val="es-MX"/>
        </w:rPr>
        <w:t xml:space="preserve">informara sobre qué resolución emitió en cumplimiento al </w:t>
      </w:r>
      <w:r w:rsidRPr="0017699D">
        <w:rPr>
          <w:i/>
          <w:iCs/>
          <w:sz w:val="16"/>
          <w:szCs w:val="16"/>
          <w:lang w:val="es-MX"/>
        </w:rPr>
        <w:t>Juicio</w:t>
      </w:r>
      <w:r>
        <w:rPr>
          <w:i/>
          <w:iCs/>
          <w:sz w:val="16"/>
          <w:szCs w:val="16"/>
          <w:lang w:val="es-MX"/>
        </w:rPr>
        <w:t xml:space="preserve"> </w:t>
      </w:r>
      <w:r w:rsidRPr="0017699D">
        <w:rPr>
          <w:i/>
          <w:iCs/>
          <w:sz w:val="16"/>
          <w:szCs w:val="16"/>
          <w:lang w:val="es-MX"/>
        </w:rPr>
        <w:t xml:space="preserve">ciudadano </w:t>
      </w:r>
      <w:r w:rsidRPr="0017699D">
        <w:rPr>
          <w:bCs/>
          <w:i/>
          <w:sz w:val="16"/>
          <w:szCs w:val="16"/>
          <w:lang w:val="es-MX"/>
        </w:rPr>
        <w:t>TEEG-JPDC-138/2021</w:t>
      </w:r>
      <w:r w:rsidRPr="0017699D">
        <w:rPr>
          <w:i/>
          <w:sz w:val="16"/>
          <w:szCs w:val="16"/>
          <w:lang w:val="es-MX"/>
        </w:rPr>
        <w:t xml:space="preserve">, pues </w:t>
      </w:r>
      <w:r w:rsidRPr="0017699D">
        <w:rPr>
          <w:bCs/>
          <w:i/>
          <w:sz w:val="16"/>
          <w:szCs w:val="16"/>
          <w:lang w:val="es-MX"/>
        </w:rPr>
        <w:t>a esa decisión intrapartidaria</w:t>
      </w:r>
      <w:r>
        <w:rPr>
          <w:i/>
          <w:iCs/>
          <w:sz w:val="16"/>
          <w:szCs w:val="16"/>
          <w:lang w:val="es-MX"/>
        </w:rPr>
        <w:t xml:space="preserve"> </w:t>
      </w:r>
      <w:r w:rsidRPr="0017699D">
        <w:rPr>
          <w:bCs/>
          <w:i/>
          <w:sz w:val="16"/>
          <w:szCs w:val="16"/>
          <w:lang w:val="es-MX"/>
        </w:rPr>
        <w:t>se refirió la actora en su escrito de demanda y la ubicó como acto</w:t>
      </w:r>
      <w:r>
        <w:rPr>
          <w:i/>
          <w:iCs/>
          <w:sz w:val="16"/>
          <w:szCs w:val="16"/>
          <w:lang w:val="es-MX"/>
        </w:rPr>
        <w:t xml:space="preserve"> </w:t>
      </w:r>
      <w:r w:rsidRPr="0017699D">
        <w:rPr>
          <w:bCs/>
          <w:i/>
          <w:sz w:val="16"/>
          <w:szCs w:val="16"/>
          <w:lang w:val="es-MX"/>
        </w:rPr>
        <w:t>impugnado.</w:t>
      </w:r>
    </w:p>
    <w:p w:rsidR="0017699D" w:rsidRPr="0017699D" w:rsidRDefault="0017699D" w:rsidP="0017699D">
      <w:pPr>
        <w:pStyle w:val="Textonotapie"/>
        <w:ind w:firstLine="284"/>
        <w:jc w:val="both"/>
        <w:rPr>
          <w:i/>
          <w:sz w:val="16"/>
          <w:szCs w:val="16"/>
          <w:lang w:val="es-MX"/>
        </w:rPr>
      </w:pPr>
      <w:r w:rsidRPr="0017699D">
        <w:rPr>
          <w:i/>
          <w:sz w:val="16"/>
          <w:szCs w:val="16"/>
          <w:lang w:val="es-MX"/>
        </w:rPr>
        <w:t>El órgano requerido puntualizó que para dar cumplimiento al</w:t>
      </w:r>
      <w:r>
        <w:rPr>
          <w:i/>
          <w:sz w:val="16"/>
          <w:szCs w:val="16"/>
          <w:lang w:val="es-MX"/>
        </w:rPr>
        <w:t xml:space="preserve"> </w:t>
      </w:r>
      <w:r w:rsidRPr="0017699D">
        <w:rPr>
          <w:i/>
          <w:sz w:val="16"/>
          <w:szCs w:val="16"/>
          <w:lang w:val="es-MX"/>
        </w:rPr>
        <w:t xml:space="preserve">referido </w:t>
      </w:r>
      <w:r w:rsidRPr="0017699D">
        <w:rPr>
          <w:i/>
          <w:iCs/>
          <w:sz w:val="16"/>
          <w:szCs w:val="16"/>
          <w:lang w:val="es-MX"/>
        </w:rPr>
        <w:t xml:space="preserve">Juicio ciudadano, </w:t>
      </w:r>
      <w:r w:rsidRPr="0017699D">
        <w:rPr>
          <w:i/>
          <w:sz w:val="16"/>
          <w:szCs w:val="16"/>
          <w:lang w:val="es-MX"/>
        </w:rPr>
        <w:t xml:space="preserve">emitió la resolución del </w:t>
      </w:r>
      <w:r w:rsidRPr="0017699D">
        <w:rPr>
          <w:bCs/>
          <w:i/>
          <w:sz w:val="16"/>
          <w:szCs w:val="16"/>
          <w:lang w:val="es-MX"/>
        </w:rPr>
        <w:t xml:space="preserve">8 de mayo </w:t>
      </w:r>
      <w:r w:rsidRPr="0017699D">
        <w:rPr>
          <w:i/>
          <w:sz w:val="16"/>
          <w:szCs w:val="16"/>
          <w:lang w:val="es-MX"/>
        </w:rPr>
        <w:t>y remitió</w:t>
      </w:r>
      <w:r>
        <w:rPr>
          <w:i/>
          <w:sz w:val="16"/>
          <w:szCs w:val="16"/>
          <w:lang w:val="es-MX"/>
        </w:rPr>
        <w:t xml:space="preserve"> </w:t>
      </w:r>
      <w:r w:rsidRPr="0017699D">
        <w:rPr>
          <w:i/>
          <w:sz w:val="16"/>
          <w:szCs w:val="16"/>
          <w:lang w:val="es-MX"/>
        </w:rPr>
        <w:t>copia certificada de esta.</w:t>
      </w:r>
    </w:p>
    <w:p w:rsidR="0017699D" w:rsidRPr="0017699D" w:rsidRDefault="0017699D" w:rsidP="0017699D">
      <w:pPr>
        <w:pStyle w:val="Textonotapie"/>
        <w:ind w:firstLine="284"/>
        <w:jc w:val="both"/>
        <w:rPr>
          <w:i/>
          <w:sz w:val="16"/>
          <w:szCs w:val="16"/>
          <w:lang w:val="es-MX"/>
        </w:rPr>
      </w:pPr>
      <w:r w:rsidRPr="0017699D">
        <w:rPr>
          <w:i/>
          <w:sz w:val="16"/>
          <w:szCs w:val="16"/>
          <w:lang w:val="es-MX"/>
        </w:rPr>
        <w:t xml:space="preserve">Además, la resolución que aportó la </w:t>
      </w:r>
      <w:r w:rsidRPr="0017699D">
        <w:rPr>
          <w:i/>
          <w:iCs/>
          <w:sz w:val="16"/>
          <w:szCs w:val="16"/>
          <w:lang w:val="es-MX"/>
        </w:rPr>
        <w:t xml:space="preserve">Comisión de Justicia </w:t>
      </w:r>
      <w:r w:rsidRPr="0017699D">
        <w:rPr>
          <w:i/>
          <w:sz w:val="16"/>
          <w:szCs w:val="16"/>
          <w:lang w:val="es-MX"/>
        </w:rPr>
        <w:t>al</w:t>
      </w:r>
      <w:r>
        <w:rPr>
          <w:i/>
          <w:sz w:val="16"/>
          <w:szCs w:val="16"/>
          <w:lang w:val="es-MX"/>
        </w:rPr>
        <w:t xml:space="preserve"> </w:t>
      </w:r>
      <w:r w:rsidRPr="0017699D">
        <w:rPr>
          <w:i/>
          <w:sz w:val="16"/>
          <w:szCs w:val="16"/>
          <w:lang w:val="es-MX"/>
        </w:rPr>
        <w:t xml:space="preserve">expediente </w:t>
      </w:r>
      <w:r w:rsidRPr="0017699D">
        <w:rPr>
          <w:bCs/>
          <w:i/>
          <w:sz w:val="16"/>
          <w:szCs w:val="16"/>
          <w:lang w:val="es-MX"/>
        </w:rPr>
        <w:t xml:space="preserve">TEEG-JPDC-138/2021 y su acumulados </w:t>
      </w:r>
      <w:r w:rsidRPr="0017699D">
        <w:rPr>
          <w:i/>
          <w:sz w:val="16"/>
          <w:szCs w:val="16"/>
          <w:lang w:val="es-MX"/>
        </w:rPr>
        <w:t>para acreditar que</w:t>
      </w:r>
      <w:r>
        <w:rPr>
          <w:i/>
          <w:sz w:val="16"/>
          <w:szCs w:val="16"/>
          <w:lang w:val="es-MX"/>
        </w:rPr>
        <w:t xml:space="preserve"> </w:t>
      </w:r>
      <w:r w:rsidRPr="0017699D">
        <w:rPr>
          <w:i/>
          <w:sz w:val="16"/>
          <w:szCs w:val="16"/>
          <w:lang w:val="es-MX"/>
        </w:rPr>
        <w:t>cumplió con lo ahí ordenado, aparece en la página electrónica oficial</w:t>
      </w:r>
      <w:r w:rsidRPr="0017699D">
        <w:rPr>
          <w:bCs/>
          <w:i/>
          <w:sz w:val="16"/>
          <w:szCs w:val="16"/>
          <w:lang w:val="es-MX"/>
        </w:rPr>
        <w:t xml:space="preserve">8 </w:t>
      </w:r>
      <w:r w:rsidRPr="0017699D">
        <w:rPr>
          <w:i/>
          <w:sz w:val="16"/>
          <w:szCs w:val="16"/>
          <w:lang w:val="es-MX"/>
        </w:rPr>
        <w:t>del</w:t>
      </w:r>
      <w:r>
        <w:rPr>
          <w:i/>
          <w:sz w:val="16"/>
          <w:szCs w:val="16"/>
          <w:lang w:val="es-MX"/>
        </w:rPr>
        <w:t xml:space="preserve"> </w:t>
      </w:r>
      <w:r w:rsidRPr="0017699D">
        <w:rPr>
          <w:i/>
          <w:sz w:val="16"/>
          <w:szCs w:val="16"/>
          <w:lang w:val="es-MX"/>
        </w:rPr>
        <w:t>citado órgano partidario, lo que cobra relevancia para el dictado de esta</w:t>
      </w:r>
      <w:r>
        <w:rPr>
          <w:i/>
          <w:sz w:val="16"/>
          <w:szCs w:val="16"/>
          <w:lang w:val="es-MX"/>
        </w:rPr>
        <w:t xml:space="preserve"> </w:t>
      </w:r>
      <w:r w:rsidRPr="0017699D">
        <w:rPr>
          <w:i/>
          <w:sz w:val="16"/>
          <w:szCs w:val="16"/>
          <w:lang w:val="es-MX"/>
        </w:rPr>
        <w:t>resolución.</w:t>
      </w:r>
    </w:p>
    <w:p w:rsidR="000C17A8" w:rsidRPr="000C17A8" w:rsidRDefault="0017699D" w:rsidP="000C17A8">
      <w:pPr>
        <w:pStyle w:val="Textonotapie"/>
        <w:ind w:firstLine="284"/>
        <w:jc w:val="both"/>
        <w:rPr>
          <w:i/>
          <w:sz w:val="16"/>
          <w:szCs w:val="16"/>
          <w:lang w:val="es-MX"/>
        </w:rPr>
      </w:pPr>
      <w:r w:rsidRPr="0017699D">
        <w:rPr>
          <w:i/>
          <w:sz w:val="16"/>
          <w:szCs w:val="16"/>
          <w:lang w:val="es-MX"/>
        </w:rPr>
        <w:t>Todas estas aclaraciones se consideran pertinentes para</w:t>
      </w:r>
      <w:r>
        <w:rPr>
          <w:i/>
          <w:sz w:val="16"/>
          <w:szCs w:val="16"/>
          <w:lang w:val="es-MX"/>
        </w:rPr>
        <w:t xml:space="preserve"> </w:t>
      </w:r>
      <w:r w:rsidRPr="0017699D">
        <w:rPr>
          <w:i/>
          <w:sz w:val="16"/>
          <w:szCs w:val="16"/>
          <w:lang w:val="es-MX"/>
        </w:rPr>
        <w:t>evidenciar que a pesar de las inconsistencias advertidas y generadas</w:t>
      </w:r>
      <w:r w:rsidR="000C17A8" w:rsidRPr="000C17A8">
        <w:rPr>
          <w:sz w:val="28"/>
          <w:szCs w:val="28"/>
          <w:lang w:val="es-MX"/>
        </w:rPr>
        <w:t xml:space="preserve"> </w:t>
      </w:r>
      <w:r w:rsidR="000C17A8" w:rsidRPr="000C17A8">
        <w:rPr>
          <w:i/>
          <w:sz w:val="16"/>
          <w:szCs w:val="16"/>
          <w:lang w:val="es-MX"/>
        </w:rPr>
        <w:t>por la actora al exponer sus antecedentes e identificar el acto</w:t>
      </w:r>
      <w:r w:rsidR="000C17A8">
        <w:rPr>
          <w:i/>
          <w:sz w:val="16"/>
          <w:szCs w:val="16"/>
          <w:lang w:val="es-MX"/>
        </w:rPr>
        <w:t xml:space="preserve"> </w:t>
      </w:r>
      <w:r w:rsidR="000C17A8" w:rsidRPr="000C17A8">
        <w:rPr>
          <w:i/>
          <w:sz w:val="16"/>
          <w:szCs w:val="16"/>
          <w:lang w:val="es-MX"/>
        </w:rPr>
        <w:t xml:space="preserve">impugnado, este </w:t>
      </w:r>
      <w:r w:rsidR="000C17A8" w:rsidRPr="000C17A8">
        <w:rPr>
          <w:i/>
          <w:iCs/>
          <w:sz w:val="16"/>
          <w:szCs w:val="16"/>
          <w:lang w:val="es-MX"/>
        </w:rPr>
        <w:t xml:space="preserve">Tribunal </w:t>
      </w:r>
      <w:r w:rsidR="000C17A8" w:rsidRPr="000C17A8">
        <w:rPr>
          <w:i/>
          <w:sz w:val="16"/>
          <w:szCs w:val="16"/>
          <w:lang w:val="es-MX"/>
        </w:rPr>
        <w:t>actuó para tener certeza de en qué resolución</w:t>
      </w:r>
      <w:r w:rsidR="000C17A8">
        <w:rPr>
          <w:i/>
          <w:sz w:val="16"/>
          <w:szCs w:val="16"/>
          <w:lang w:val="es-MX"/>
        </w:rPr>
        <w:t xml:space="preserve"> </w:t>
      </w:r>
      <w:r w:rsidR="000C17A8" w:rsidRPr="000C17A8">
        <w:rPr>
          <w:i/>
          <w:sz w:val="16"/>
          <w:szCs w:val="16"/>
          <w:lang w:val="es-MX"/>
        </w:rPr>
        <w:t>centrar su estudio y se logró identificar que debía ser la del 8 de mayo,</w:t>
      </w:r>
      <w:r w:rsidR="000C17A8">
        <w:rPr>
          <w:i/>
          <w:sz w:val="16"/>
          <w:szCs w:val="16"/>
          <w:lang w:val="es-MX"/>
        </w:rPr>
        <w:t xml:space="preserve"> </w:t>
      </w:r>
      <w:r w:rsidR="000C17A8" w:rsidRPr="000C17A8">
        <w:rPr>
          <w:i/>
          <w:sz w:val="16"/>
          <w:szCs w:val="16"/>
          <w:lang w:val="es-MX"/>
        </w:rPr>
        <w:t>dictada en cumplimiento al expediente TEEG-JPDC-138/2021 y sus</w:t>
      </w:r>
      <w:r w:rsidR="000C17A8">
        <w:rPr>
          <w:i/>
          <w:sz w:val="16"/>
          <w:szCs w:val="16"/>
          <w:lang w:val="es-MX"/>
        </w:rPr>
        <w:t xml:space="preserve"> </w:t>
      </w:r>
      <w:r w:rsidR="000C17A8" w:rsidRPr="000C17A8">
        <w:rPr>
          <w:i/>
          <w:sz w:val="16"/>
          <w:szCs w:val="16"/>
          <w:lang w:val="es-MX"/>
        </w:rPr>
        <w:t>acumulados.</w:t>
      </w:r>
    </w:p>
    <w:p w:rsidR="000C17A8" w:rsidRPr="0017699D" w:rsidRDefault="000C17A8" w:rsidP="000C17A8">
      <w:pPr>
        <w:pStyle w:val="Textonotapie"/>
        <w:ind w:firstLine="284"/>
        <w:jc w:val="both"/>
        <w:rPr>
          <w:i/>
          <w:sz w:val="16"/>
          <w:szCs w:val="16"/>
          <w:lang w:val="es-MX"/>
        </w:rPr>
      </w:pPr>
      <w:r w:rsidRPr="000C17A8">
        <w:rPr>
          <w:i/>
          <w:sz w:val="16"/>
          <w:szCs w:val="16"/>
          <w:lang w:val="es-MX"/>
        </w:rPr>
        <w:t>Así las cosas, se reitera que dicha resolución intrapartidaria ya</w:t>
      </w:r>
      <w:r>
        <w:rPr>
          <w:i/>
          <w:sz w:val="16"/>
          <w:szCs w:val="16"/>
          <w:lang w:val="es-MX"/>
        </w:rPr>
        <w:t xml:space="preserve"> </w:t>
      </w:r>
      <w:r w:rsidRPr="000C17A8">
        <w:rPr>
          <w:i/>
          <w:sz w:val="16"/>
          <w:szCs w:val="16"/>
          <w:lang w:val="es-MX"/>
        </w:rPr>
        <w:t>había sido impugnada e incluso revocada en el expediente TEEG-JPDC-</w:t>
      </w:r>
      <w:r>
        <w:rPr>
          <w:i/>
          <w:sz w:val="16"/>
          <w:szCs w:val="16"/>
          <w:lang w:val="es-MX"/>
        </w:rPr>
        <w:t xml:space="preserve"> </w:t>
      </w:r>
      <w:r w:rsidRPr="000C17A8">
        <w:rPr>
          <w:i/>
          <w:sz w:val="16"/>
          <w:szCs w:val="16"/>
          <w:lang w:val="es-MX"/>
        </w:rPr>
        <w:t>174/2021 y por tal razón no puede ser objeto de nueva revisión, lo que</w:t>
      </w:r>
      <w:r>
        <w:rPr>
          <w:i/>
          <w:sz w:val="16"/>
          <w:szCs w:val="16"/>
          <w:lang w:val="es-MX"/>
        </w:rPr>
        <w:t xml:space="preserve"> </w:t>
      </w:r>
      <w:r w:rsidRPr="000C17A8">
        <w:rPr>
          <w:i/>
          <w:sz w:val="16"/>
          <w:szCs w:val="16"/>
          <w:lang w:val="es-MX"/>
        </w:rPr>
        <w:t>genera la improcedencia de la demanda y el consecuente</w:t>
      </w:r>
      <w:r>
        <w:rPr>
          <w:i/>
          <w:sz w:val="16"/>
          <w:szCs w:val="16"/>
          <w:lang w:val="es-MX"/>
        </w:rPr>
        <w:t xml:space="preserve"> </w:t>
      </w:r>
      <w:r w:rsidRPr="000C17A8">
        <w:rPr>
          <w:i/>
          <w:sz w:val="16"/>
          <w:szCs w:val="16"/>
          <w:lang w:val="es-MX"/>
        </w:rPr>
        <w:t>sobreseimiento del juicio.</w:t>
      </w:r>
    </w:p>
  </w:footnote>
  <w:footnote w:id="11">
    <w:p w:rsidR="00AA755C" w:rsidRPr="003917DB" w:rsidRDefault="00AA755C" w:rsidP="00AA755C">
      <w:pPr>
        <w:pStyle w:val="Textonotapie"/>
        <w:jc w:val="both"/>
        <w:rPr>
          <w:sz w:val="16"/>
          <w:szCs w:val="16"/>
          <w:lang w:val="es-MX"/>
        </w:rPr>
      </w:pPr>
      <w:r w:rsidRPr="003917DB">
        <w:rPr>
          <w:rStyle w:val="Refdenotaalpie"/>
          <w:sz w:val="16"/>
          <w:szCs w:val="16"/>
        </w:rPr>
        <w:footnoteRef/>
      </w:r>
      <w:r w:rsidRPr="003917DB">
        <w:rPr>
          <w:sz w:val="16"/>
          <w:szCs w:val="16"/>
        </w:rPr>
        <w:t xml:space="preserve"> </w:t>
      </w:r>
      <w:r w:rsidRPr="003917DB">
        <w:rPr>
          <w:sz w:val="16"/>
          <w:szCs w:val="16"/>
          <w:lang w:val="es-MX"/>
        </w:rPr>
        <w:t>A las 18:50 horas, según el aviso de interposición del juicio de protección de los derechos político electorales del ciudadano, visible en la hoja 5 del cuaderno accesorio del expediente en que se actúa.</w:t>
      </w:r>
    </w:p>
  </w:footnote>
  <w:footnote w:id="12">
    <w:p w:rsidR="00F66A96" w:rsidRPr="00116904" w:rsidRDefault="00F66A96" w:rsidP="00116904">
      <w:pPr>
        <w:pStyle w:val="Textonotapie"/>
        <w:jc w:val="both"/>
        <w:rPr>
          <w:sz w:val="16"/>
          <w:szCs w:val="16"/>
          <w:lang w:val="es-MX"/>
        </w:rPr>
      </w:pPr>
      <w:r w:rsidRPr="00116904">
        <w:rPr>
          <w:rStyle w:val="Refdenotaalpie"/>
          <w:sz w:val="16"/>
          <w:szCs w:val="16"/>
        </w:rPr>
        <w:footnoteRef/>
      </w:r>
      <w:r w:rsidRPr="00116904">
        <w:rPr>
          <w:sz w:val="16"/>
          <w:szCs w:val="16"/>
        </w:rPr>
        <w:t xml:space="preserve"> </w:t>
      </w:r>
      <w:r w:rsidR="00105B95" w:rsidRPr="00116904">
        <w:rPr>
          <w:sz w:val="16"/>
          <w:szCs w:val="16"/>
          <w:lang w:val="es-MX"/>
        </w:rPr>
        <w:t>A las 12:51 horas</w:t>
      </w:r>
      <w:r w:rsidR="00AD3684" w:rsidRPr="00116904">
        <w:rPr>
          <w:sz w:val="16"/>
          <w:szCs w:val="16"/>
          <w:lang w:val="es-MX"/>
        </w:rPr>
        <w:t xml:space="preserve"> en la oficialía de partes de esta Sala Monterrey, como se advierte de la hoja </w:t>
      </w:r>
      <w:r w:rsidR="00C32CBE" w:rsidRPr="00116904">
        <w:rPr>
          <w:sz w:val="16"/>
          <w:szCs w:val="16"/>
          <w:lang w:val="es-MX"/>
        </w:rPr>
        <w:t xml:space="preserve">3 del </w:t>
      </w:r>
      <w:r w:rsidR="00116904" w:rsidRPr="00116904">
        <w:rPr>
          <w:sz w:val="16"/>
          <w:szCs w:val="16"/>
          <w:lang w:val="es-MX"/>
        </w:rPr>
        <w:t>expediente que se actúa.</w:t>
      </w:r>
    </w:p>
  </w:footnote>
  <w:footnote w:id="13">
    <w:p w:rsidR="00981175" w:rsidRPr="006A7815" w:rsidRDefault="00981175" w:rsidP="00981175">
      <w:pPr>
        <w:pStyle w:val="Textonotapie"/>
        <w:jc w:val="both"/>
        <w:rPr>
          <w:sz w:val="16"/>
          <w:szCs w:val="16"/>
        </w:rPr>
      </w:pPr>
      <w:r w:rsidRPr="006A7815">
        <w:rPr>
          <w:rStyle w:val="Refdenotaalpie"/>
          <w:sz w:val="16"/>
          <w:szCs w:val="16"/>
        </w:rPr>
        <w:footnoteRef/>
      </w:r>
      <w:r w:rsidRPr="006A7815">
        <w:rPr>
          <w:sz w:val="16"/>
          <w:szCs w:val="16"/>
        </w:rPr>
        <w:t xml:space="preserve"> </w:t>
      </w:r>
      <w:r w:rsidRPr="006A7815">
        <w:rPr>
          <w:b/>
          <w:sz w:val="16"/>
          <w:szCs w:val="16"/>
        </w:rPr>
        <w:t>Artículo 10</w:t>
      </w:r>
    </w:p>
    <w:p w:rsidR="00981175" w:rsidRPr="006A7815" w:rsidRDefault="00981175" w:rsidP="00981175">
      <w:pPr>
        <w:pStyle w:val="Textonotapie"/>
        <w:jc w:val="both"/>
        <w:rPr>
          <w:sz w:val="16"/>
          <w:szCs w:val="16"/>
        </w:rPr>
      </w:pPr>
      <w:r w:rsidRPr="006A7815">
        <w:rPr>
          <w:sz w:val="16"/>
          <w:szCs w:val="16"/>
        </w:rPr>
        <w:t>1. Los medios de impugnación previstos en esta ley serán improcedentes en los siguientes casos: (…)</w:t>
      </w:r>
    </w:p>
    <w:p w:rsidR="00981175" w:rsidRPr="006A7815" w:rsidRDefault="00981175" w:rsidP="00981175">
      <w:pPr>
        <w:pStyle w:val="Textonotapie"/>
        <w:jc w:val="both"/>
        <w:rPr>
          <w:sz w:val="16"/>
          <w:szCs w:val="16"/>
        </w:rPr>
      </w:pPr>
      <w:r w:rsidRPr="006A7815">
        <w:rPr>
          <w:sz w:val="16"/>
          <w:szCs w:val="16"/>
        </w:rPr>
        <w:t>b)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no se hubiese interpuesto el medio de impugnación respectivo, dentro de los plazos señalados en esta ley;</w:t>
      </w:r>
    </w:p>
  </w:footnote>
  <w:footnote w:id="14">
    <w:p w:rsidR="00981175" w:rsidRPr="006A7815" w:rsidRDefault="00981175" w:rsidP="00981175">
      <w:pPr>
        <w:spacing w:after="0" w:line="240" w:lineRule="auto"/>
        <w:jc w:val="both"/>
        <w:rPr>
          <w:sz w:val="16"/>
          <w:szCs w:val="16"/>
        </w:rPr>
      </w:pPr>
      <w:r w:rsidRPr="006A7815">
        <w:rPr>
          <w:rStyle w:val="Refdenotaalpie"/>
          <w:sz w:val="16"/>
          <w:szCs w:val="16"/>
        </w:rPr>
        <w:footnoteRef/>
      </w:r>
      <w:r w:rsidRPr="006A7815">
        <w:rPr>
          <w:sz w:val="16"/>
          <w:szCs w:val="16"/>
        </w:rPr>
        <w:t xml:space="preserve"> Resulta aplicable por identidad jurídica sustancial la Tesis XL/99 de la Sala Superior con el rubro y texto: </w:t>
      </w:r>
      <w:r w:rsidRPr="006A7815">
        <w:rPr>
          <w:smallCaps/>
          <w:sz w:val="16"/>
          <w:szCs w:val="16"/>
        </w:rPr>
        <w:t>PROCESO ELECTORAL. SUPUESTO EN QUE EL PRINCIPIO DE DEFINITIVIDAD DE CADA UNA DE SUS ETAPAS PROPICIA LA IRREPARABILIDAD DE LAS PRETENDIDAS VIOLACIONES COMETIDAS EN UNA ETAPA ANTERIOR (LEGISLACIÓN DEL ESTADO DE TAMAULIPAS Y SIMILARES).</w:t>
      </w:r>
      <w:r w:rsidRPr="006A7815">
        <w:rPr>
          <w:sz w:val="16"/>
          <w:szCs w:val="16"/>
        </w:rPr>
        <w:t xml:space="preserve"> Atendiendo a lo dispuesto en los artículos 41, segundo párrafo, fracción IV, de la Constitución Política de los Estados Unidos Mexicanos, que en lo conducente dispone: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 y, 20, segundo párrafo, fracción III, de la Constitución Política del Estado de Tamaulipas, que en la parte correlativa, y en lo que interesa, establece: “La Ley establecerá un sistema de medios de impugnación para garantizar...que todos los actos y resoluciones electorales se sujeten invariablemente al principio de legalidad...tomando en cuenta el principio de definitividad de las etapas de los procesos electorales...”, se concluye que las resoluciones y los actos emitidos y llevados a cabo por las autoridades electorales correspondientes, en relación con el desarrollo de un proceso electoral, adquieren definitividad a la conclusión de cada una de las etapas en que dichos actos se emiten, lo cual se prevé con la finalidad esencial de otorgarle certeza al desarrollo de los comicios, así como seguridad jurídica a los participantes en los mismos. En ese sentido, el acuerdo por el cual se amplía el plazo para el registro de los representantes de los partidos políticos ante las mesas directivas de casilla y de sus representantes generales que pueden actuar ante las mismas por la ausencia de aquellos, forma parte de la etapa de preparación de la elección y, toda vez que ésta concluye al inicio de la jornada electoral, con base en el principio de definitividad de las etapas electorales constitucionalmente previsto, resulta material y jurídicamente imposible en la etapa de resultados electorales reparar la violación que, en su caso, se hubiere cometido a través del referido acuerdo de ampliación de los correspondientes registros, en virtud de que no puede revocarse o modificarse una situación jurídica correspondiente a una etapa anterior ya concluida, como es el caso de la preparación de la elección, toda vez que lo contrario implicaría afectar el bien jurídico protegido consistente en la certeza en el desarrollo de los comicios y la seguridad jurídica a los participantes en los mismos, ya que, al concluir la etapa de preparación de la elección, los actos y resoluciones ocurridos durante la misma que hayan surtido plenos efectos y no se hayan revocado o modificado dentro de la propia etapa, deberán tenerse por definitivos y firmes con el objeto de que los partidos políticos, ciudadanos y autoridades electorales se conduzcan conforme a ellos durante las etapas posteriores, adquiriendo por tales razones el carácter de irreparables a través del juicio de revisión constitucional electoral, en términos del artículo 86, párrafo 1, inciso d), de la Ley General del Sistema de Medios de Impugnación en Materia Electoral. Consultable en Justicia Electoral. Revista del Tribunal Electoral del Poder Judicial de la Federación, Suplemento 3, Año 2000, páginas 64 y 65.</w:t>
      </w:r>
    </w:p>
  </w:footnote>
  <w:footnote w:id="15">
    <w:p w:rsidR="00981175" w:rsidRPr="006A7815" w:rsidRDefault="00981175" w:rsidP="00981175">
      <w:pPr>
        <w:spacing w:after="0" w:line="240" w:lineRule="auto"/>
        <w:jc w:val="both"/>
        <w:rPr>
          <w:sz w:val="16"/>
          <w:szCs w:val="16"/>
        </w:rPr>
      </w:pPr>
      <w:r w:rsidRPr="006A7815">
        <w:rPr>
          <w:rStyle w:val="Refdenotaalpie"/>
          <w:sz w:val="16"/>
          <w:szCs w:val="16"/>
        </w:rPr>
        <w:footnoteRef/>
      </w:r>
      <w:r w:rsidRPr="006A7815">
        <w:rPr>
          <w:sz w:val="16"/>
          <w:szCs w:val="16"/>
        </w:rPr>
        <w:t xml:space="preserve"> Conviene referir la jurisprudencia 37/2002 de esta Sala Superior de rubro y texto: “MEDIOS DE IMPUGNACIÓN ELECTORALES. LAS CONDICIONES DE PROCEDIBILIDAD ESTABLECIDAS EN LA FRACCIÓN IV DEL ARTÍCULO 99 CONSTITUCIONAL SON GENERALES. El artículo 99 de la Constitución Política de los Estados Unidos Mexicanos, en su párrafo cuarto, fracción IV, establece que corresponde al Tribunal Electoral resolver, en forma definitiva e inatacable,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electoral respectivo o el resultado final de las elecciones y que esta impugnación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 Como se desprende de su lectura, se establecen una serie de requisitos que han sido clasificados como presupuestos o condiciones de procedibilidad, que sin embargo no se vinculan con un medio de impugnación específico, sino exclusivamente con la posibilidad jurídica de combatir los actos administrativo-electorales o jurisdiccionales que se emitan por las autoridades competentes de las entidades federativas. Analizados los presupuestos procedimentales de esta disposición, debe aplicarse el principio general del derecho referente a que, donde la ley no distingue nadie debe distinguir, y por tanto, si nuestra Ley Fundamental no establece que dicha posibilidad jurídica sólo sea exigible cuando la impugnación de tales actos o resoluciones estén vinculados a los comicios estatales, o se deduzca de algún medio específico de los establecidos en la Ley General del Sistema de Medios de Impugnación en Materia Electoral, dado que la ley secundaria no puede orientarse en sentido restrictivo, ni el legislador cuenta con la aptitud jurídica de limitar las normas de rango constitucional y aun y cuando se haya determinado como vía natural constitucional para la impugnación de elecciones estatales y municipales al juicio de revisión constitucional, debe inferirse que la exigibilidad que ampara la norma suprema lo es respecto de todos los medios de impugnación inscritos en esta ley secundaria, independientemente de la vía procesal exigida al actor para combatir los actos comiciales estatales. ”. Consultable en Justicia Electoral. Revista del Tribunal Electoral del Poder Judicial de la Federación, Suplemento 6, Año 2003, páginas 43 y 44. </w:t>
      </w:r>
    </w:p>
  </w:footnote>
  <w:footnote w:id="16">
    <w:p w:rsidR="0055534B" w:rsidRPr="006E0D5C" w:rsidRDefault="0055534B" w:rsidP="0055534B">
      <w:pPr>
        <w:pStyle w:val="Textonotapie"/>
        <w:jc w:val="both"/>
        <w:rPr>
          <w:sz w:val="16"/>
          <w:szCs w:val="16"/>
        </w:rPr>
      </w:pPr>
      <w:r w:rsidRPr="006E0D5C">
        <w:rPr>
          <w:rStyle w:val="Refdenotaalpie"/>
          <w:sz w:val="16"/>
          <w:szCs w:val="16"/>
        </w:rPr>
        <w:footnoteRef/>
      </w:r>
      <w:r w:rsidRPr="006E0D5C">
        <w:rPr>
          <w:sz w:val="16"/>
          <w:szCs w:val="16"/>
        </w:rPr>
        <w:t xml:space="preserve"> Conforme </w:t>
      </w:r>
      <w:r w:rsidRPr="006E0D5C">
        <w:rPr>
          <w:bCs/>
          <w:sz w:val="16"/>
          <w:szCs w:val="16"/>
        </w:rPr>
        <w:t>a lo dispuesto en el artículo 15, párrafo 1 de la Ley de medios.</w:t>
      </w:r>
    </w:p>
  </w:footnote>
  <w:footnote w:id="17">
    <w:p w:rsidR="00501B7C" w:rsidRDefault="00501B7C" w:rsidP="00501B7C">
      <w:pPr>
        <w:pStyle w:val="Textonotapie"/>
        <w:jc w:val="both"/>
        <w:rPr>
          <w:sz w:val="16"/>
          <w:lang w:val="es-MX"/>
        </w:rPr>
      </w:pPr>
      <w:r w:rsidRPr="00D40552">
        <w:rPr>
          <w:rStyle w:val="Refdenotaalpie"/>
          <w:sz w:val="16"/>
        </w:rPr>
        <w:footnoteRef/>
      </w:r>
      <w:r w:rsidRPr="00D40552">
        <w:rPr>
          <w:sz w:val="16"/>
        </w:rPr>
        <w:t xml:space="preserve"> </w:t>
      </w:r>
      <w:r>
        <w:rPr>
          <w:sz w:val="16"/>
        </w:rPr>
        <w:t>En s</w:t>
      </w:r>
      <w:r w:rsidRPr="00D40552">
        <w:rPr>
          <w:sz w:val="16"/>
        </w:rPr>
        <w:t>imilar</w:t>
      </w:r>
      <w:r>
        <w:rPr>
          <w:sz w:val="16"/>
        </w:rPr>
        <w:t>es</w:t>
      </w:r>
      <w:r w:rsidRPr="00D40552">
        <w:rPr>
          <w:sz w:val="16"/>
        </w:rPr>
        <w:t xml:space="preserve"> </w:t>
      </w:r>
      <w:r>
        <w:rPr>
          <w:sz w:val="16"/>
        </w:rPr>
        <w:t xml:space="preserve">términos se pronunció esta Sala al resolver </w:t>
      </w:r>
      <w:r w:rsidRPr="00D40552">
        <w:rPr>
          <w:sz w:val="16"/>
        </w:rPr>
        <w:t xml:space="preserve">el </w:t>
      </w:r>
      <w:r>
        <w:rPr>
          <w:sz w:val="16"/>
        </w:rPr>
        <w:t xml:space="preserve">juicio </w:t>
      </w:r>
      <w:r w:rsidRPr="00D40552">
        <w:rPr>
          <w:sz w:val="16"/>
        </w:rPr>
        <w:t>SM-JDC-613/2018</w:t>
      </w:r>
      <w:r>
        <w:rPr>
          <w:sz w:val="16"/>
        </w:rPr>
        <w:t xml:space="preserve">, </w:t>
      </w:r>
      <w:r w:rsidRPr="00D40552">
        <w:rPr>
          <w:sz w:val="16"/>
        </w:rPr>
        <w:t>en el que</w:t>
      </w:r>
      <w:r>
        <w:rPr>
          <w:sz w:val="16"/>
        </w:rPr>
        <w:t xml:space="preserve"> determinó</w:t>
      </w:r>
      <w:r w:rsidRPr="00D40552">
        <w:rPr>
          <w:sz w:val="16"/>
        </w:rPr>
        <w:t>:</w:t>
      </w:r>
      <w:r>
        <w:rPr>
          <w:sz w:val="16"/>
        </w:rPr>
        <w:t xml:space="preserve"> </w:t>
      </w:r>
      <w:r w:rsidRPr="00823C69">
        <w:rPr>
          <w:sz w:val="16"/>
          <w:lang w:val="es-MX"/>
        </w:rPr>
        <w:t>[...]</w:t>
      </w:r>
    </w:p>
    <w:p w:rsidR="00501B7C" w:rsidRPr="005C4CE2" w:rsidRDefault="00501B7C" w:rsidP="00501B7C">
      <w:pPr>
        <w:pStyle w:val="Textonotapie"/>
        <w:ind w:firstLine="284"/>
        <w:jc w:val="both"/>
        <w:rPr>
          <w:bCs/>
          <w:i/>
          <w:sz w:val="16"/>
          <w:lang w:val="es-ES"/>
        </w:rPr>
      </w:pPr>
      <w:r w:rsidRPr="005C4CE2">
        <w:rPr>
          <w:bCs/>
          <w:i/>
          <w:sz w:val="16"/>
          <w:lang w:val="es-ES"/>
        </w:rPr>
        <w:t xml:space="preserve">En el presente asunto, el actor controvierte la determinación del Tribunal local por medio de la cual sobreseyó en el juicio local JDC-082/2018, por medio del cual impugnó el </w:t>
      </w:r>
      <w:r w:rsidRPr="005C4CE2">
        <w:rPr>
          <w:i/>
          <w:sz w:val="16"/>
          <w:lang w:val="es-ES"/>
        </w:rPr>
        <w:t xml:space="preserve">Acuerdo del Consejo Nacional de Elecciones sobre el proceso interno de selección de candidatos/as a diputados por el principio de representación proporcional del Estado de Nuevo León, para el proceso electoral 2017-2018, </w:t>
      </w:r>
      <w:r w:rsidRPr="005C4CE2">
        <w:rPr>
          <w:bCs/>
          <w:i/>
          <w:sz w:val="16"/>
          <w:lang w:val="es-ES"/>
        </w:rPr>
        <w:t>en virtud de la extemporaneidad de la presentación de la demanda.</w:t>
      </w:r>
    </w:p>
    <w:p w:rsidR="00501B7C" w:rsidRPr="005C4CE2" w:rsidRDefault="00501B7C" w:rsidP="00501B7C">
      <w:pPr>
        <w:pStyle w:val="Textonotapie"/>
        <w:ind w:firstLine="284"/>
        <w:jc w:val="both"/>
        <w:rPr>
          <w:bCs/>
          <w:i/>
          <w:sz w:val="16"/>
          <w:lang w:val="es-ES"/>
        </w:rPr>
      </w:pPr>
      <w:r w:rsidRPr="005C4CE2">
        <w:rPr>
          <w:bCs/>
          <w:i/>
          <w:sz w:val="16"/>
          <w:lang w:val="es-ES"/>
        </w:rPr>
        <w:t xml:space="preserve">Al respecto, señaló que </w:t>
      </w:r>
      <w:r w:rsidRPr="005C4CE2">
        <w:rPr>
          <w:i/>
          <w:sz w:val="16"/>
          <w:lang w:val="es-ES"/>
        </w:rPr>
        <w:t xml:space="preserve">dicho acuerdo no fue publicado en los estrados físicos ni electrónicos, y le fue notificado hasta el diez de junio, por lo que dicho órgano jurisdiccional debió razonar el fondo del asunto; en consecuencia, su pretensión consiste en que </w:t>
      </w:r>
      <w:r w:rsidRPr="005C4CE2">
        <w:rPr>
          <w:bCs/>
          <w:i/>
          <w:sz w:val="16"/>
          <w:lang w:val="es-ES"/>
        </w:rPr>
        <w:t xml:space="preserve">esta Sala Regional revoque la determinación de sobreseimiento en el juicio decretada por el Tribunal local así como dejar sin efectos el </w:t>
      </w:r>
      <w:r w:rsidRPr="005C4CE2">
        <w:rPr>
          <w:i/>
          <w:sz w:val="16"/>
          <w:lang w:val="es-ES"/>
        </w:rPr>
        <w:t>Acuerdo sobre el proceso interno de selección de candidatos/as a diputados por el principio de representación proporcional del Estado de Nuevo León, para el proceso electoral 2017-2018.</w:t>
      </w:r>
    </w:p>
    <w:p w:rsidR="00501B7C" w:rsidRDefault="00501B7C" w:rsidP="00501B7C">
      <w:pPr>
        <w:pStyle w:val="Textonotapie"/>
        <w:ind w:firstLine="284"/>
        <w:jc w:val="both"/>
        <w:rPr>
          <w:bCs/>
          <w:i/>
          <w:sz w:val="16"/>
          <w:lang w:val="es-ES"/>
        </w:rPr>
      </w:pPr>
      <w:r w:rsidRPr="00D40552">
        <w:rPr>
          <w:bCs/>
          <w:i/>
          <w:sz w:val="16"/>
          <w:lang w:val="es-ES"/>
        </w:rPr>
        <w:t>En este orden de ideas, la resolución reclamada, atendiendo a la pretensión del actor realizada desde la instancia local, en el sentido de que se realice la asignación de candidaturas conforme a las reglas establecidas en la convocatoria y en los Estatutos de MORENA, constituyen un acto consumado de modo irreparable, en virtud de que los cargos cuya designación impugna fueron objeto de la jornada electoral que inició y concluyó el día primero de julio, por ende, ya no es posible restituir algún derecho al actor, pues aun cuando le asistiera la razón no se podrían retrotraer sus efectos, lo que se pone de manifiesto porque el medio de impugnación promovido en esta vía, fue presentado ante esta Sala Regional, hasta el dos de julio, es decir, al día siguiente de la jornada electoral.</w:t>
      </w:r>
    </w:p>
    <w:p w:rsidR="00501B7C" w:rsidRPr="00501B7C" w:rsidRDefault="00501B7C" w:rsidP="00501B7C">
      <w:pPr>
        <w:pStyle w:val="Textonotapie"/>
        <w:ind w:firstLine="284"/>
        <w:jc w:val="both"/>
        <w:rPr>
          <w:bCs/>
          <w:i/>
          <w:sz w:val="16"/>
          <w:szCs w:val="16"/>
          <w:lang w:val="es-ES"/>
        </w:rPr>
      </w:pPr>
      <w:r w:rsidRPr="0019588A">
        <w:rPr>
          <w:bCs/>
          <w:i/>
          <w:sz w:val="16"/>
          <w:szCs w:val="16"/>
          <w:lang w:val="es-ES"/>
        </w:rPr>
        <w:t xml:space="preserve">En consecuencia, al resultar improcedente el medio de impugnación interpuesto por el actor, en virtud de que a la fecha ya se llevó a cabo la jornada electoral el uno de julio pasado, lo conducente es desechar de plano el presente juicio. </w:t>
      </w:r>
    </w:p>
  </w:footnote>
  <w:footnote w:id="18">
    <w:p w:rsidR="00CB13AE" w:rsidRPr="00CC1D0E" w:rsidRDefault="00CB13AE" w:rsidP="001A35D2">
      <w:pPr>
        <w:pStyle w:val="Textonotapie"/>
        <w:jc w:val="both"/>
        <w:rPr>
          <w:bCs/>
          <w:sz w:val="16"/>
          <w:szCs w:val="16"/>
          <w:lang w:val="es-ES"/>
        </w:rPr>
      </w:pPr>
      <w:r w:rsidRPr="00CC1D0E">
        <w:rPr>
          <w:rStyle w:val="Refdenotaalpie"/>
          <w:i/>
          <w:sz w:val="16"/>
          <w:szCs w:val="16"/>
        </w:rPr>
        <w:footnoteRef/>
      </w:r>
      <w:r w:rsidR="00010DB2" w:rsidRPr="00CC1D0E">
        <w:rPr>
          <w:bCs/>
          <w:sz w:val="16"/>
          <w:szCs w:val="16"/>
          <w:lang w:val="es-ES"/>
        </w:rPr>
        <w:t xml:space="preserve">En similares términos se pronunció la Sala Superior al resolver el SUP-JDC-438/2018, donde analizó </w:t>
      </w:r>
      <w:r w:rsidR="00DC4A48" w:rsidRPr="00CC1D0E">
        <w:rPr>
          <w:bCs/>
          <w:sz w:val="16"/>
          <w:szCs w:val="16"/>
          <w:lang w:val="es-ES"/>
        </w:rPr>
        <w:t>una impugnación relacionada con</w:t>
      </w:r>
      <w:r w:rsidR="00634D7A" w:rsidRPr="00CC1D0E">
        <w:rPr>
          <w:bCs/>
          <w:sz w:val="16"/>
          <w:szCs w:val="16"/>
          <w:lang w:val="es-ES"/>
        </w:rPr>
        <w:t xml:space="preserve"> cargos de diputaciones federales y senadurías de representación proporcional, en donde en lo que interesa señaló: […]</w:t>
      </w:r>
    </w:p>
    <w:p w:rsidR="00A7040A" w:rsidRPr="00CC1D0E" w:rsidRDefault="00A7040A" w:rsidP="00A7040A">
      <w:pPr>
        <w:pStyle w:val="Textonotapie"/>
        <w:jc w:val="both"/>
        <w:rPr>
          <w:bCs/>
          <w:i/>
          <w:sz w:val="16"/>
          <w:szCs w:val="16"/>
          <w:lang w:val="es-ES"/>
        </w:rPr>
      </w:pPr>
      <w:r w:rsidRPr="00CC1D0E">
        <w:rPr>
          <w:bCs/>
          <w:i/>
          <w:sz w:val="16"/>
          <w:szCs w:val="16"/>
          <w:lang w:val="es-ES"/>
        </w:rPr>
        <w:t>La Sala Superior del Tribunal Electoral del Poder Judicial de la Federación es competente para conocer el presentes medio de impugnación, con fundamento en los artículos 41, párrafo segundo, base VI y 99, párrafo cuarto, fracción V, de la Constitución Política de los Estados Unidos Mexicanos; 186, fracción III, inciso c) y 189, fracción I, inciso e), de la Ley Orgánica del Poder Judicial de la Federación; 79; 80 párrafo 1, inciso g) y 83, párrafo 1, inciso a), de la Ley General del Sistema de Medios de Impugnación en Materia Electoral, por tratarse de un juicio para la protección de los derechos político-electorales del ciudadano, promovido por militantes del Partido del Trabajo que se ostentan como candidatos a diputaciones y senadurías, por el principio de representación proporcional y que estiman afectado su derecho a ser votados por dicho principio.</w:t>
      </w:r>
    </w:p>
    <w:p w:rsidR="00A7040A" w:rsidRPr="00CC1D0E" w:rsidRDefault="00A7040A" w:rsidP="00A7040A">
      <w:pPr>
        <w:pStyle w:val="Textonotapie"/>
        <w:jc w:val="both"/>
        <w:rPr>
          <w:b/>
          <w:bCs/>
          <w:i/>
          <w:sz w:val="16"/>
          <w:szCs w:val="16"/>
          <w:lang w:val="es-ES"/>
        </w:rPr>
      </w:pPr>
      <w:r w:rsidRPr="00CC1D0E">
        <w:rPr>
          <w:b/>
          <w:bCs/>
          <w:i/>
          <w:sz w:val="16"/>
          <w:szCs w:val="16"/>
          <w:lang w:val="es-ES"/>
        </w:rPr>
        <w:t>Lo anterior, toda vez que los medios de impugnación relacionados con los cargos de diputados federales y senadores por el principio de representación proporcional, son materia exclusiva de esta Sala Superior.</w:t>
      </w:r>
    </w:p>
    <w:p w:rsidR="00136DDE" w:rsidRPr="00CC1D0E" w:rsidRDefault="00136DDE" w:rsidP="001A35D2">
      <w:pPr>
        <w:pStyle w:val="Prrafodelista"/>
        <w:spacing w:after="0" w:line="240" w:lineRule="auto"/>
        <w:ind w:left="0"/>
        <w:jc w:val="both"/>
        <w:rPr>
          <w:rFonts w:eastAsia="Times New Roman"/>
          <w:b/>
          <w:i/>
          <w:color w:val="000000"/>
          <w:sz w:val="16"/>
          <w:szCs w:val="16"/>
          <w:lang w:val="es-MX" w:eastAsia="es-MX"/>
        </w:rPr>
      </w:pPr>
      <w:r w:rsidRPr="00CC1D0E">
        <w:rPr>
          <w:rFonts w:eastAsia="Times New Roman"/>
          <w:b/>
          <w:i/>
          <w:color w:val="000000"/>
          <w:sz w:val="16"/>
          <w:szCs w:val="16"/>
          <w:lang w:eastAsia="es-MX"/>
        </w:rPr>
        <w:t>En efecto, la aprobación d</w:t>
      </w:r>
      <w:r w:rsidRPr="00CC1D0E">
        <w:rPr>
          <w:b/>
          <w:i/>
          <w:sz w:val="16"/>
          <w:szCs w:val="16"/>
        </w:rPr>
        <w:t>el convenio de la coalición “Juntos Haremos Historia”, y el registro de las candidaturas a diputados federales por el principio representación proporcional, presentadas por los partidos políticos y coaliciones, fueron aprobadas por el Consejo General del INE a través de los acuerdos INE/CG634/2017 (de veintidós de diciembre de dos mil diecisiete) e INE/CG299/2018 (de veintinueve de marzo del presente año), es decir, dentro de la etapa de preparación de la elección, por lo cual, se trata de actos que quedaron superados con motivo de la celebración de la jornada electoral.</w:t>
      </w:r>
    </w:p>
    <w:p w:rsidR="00136DDE" w:rsidRPr="00CC1D0E" w:rsidRDefault="00136DDE" w:rsidP="001A35D2">
      <w:pPr>
        <w:pStyle w:val="Prrafodelista"/>
        <w:spacing w:after="0" w:line="240" w:lineRule="auto"/>
        <w:ind w:left="0"/>
        <w:jc w:val="both"/>
        <w:rPr>
          <w:i/>
          <w:snapToGrid w:val="0"/>
          <w:sz w:val="16"/>
          <w:szCs w:val="16"/>
          <w:lang w:eastAsia="es-MX"/>
        </w:rPr>
      </w:pPr>
      <w:r w:rsidRPr="00CC1D0E">
        <w:rPr>
          <w:i/>
          <w:snapToGrid w:val="0"/>
          <w:sz w:val="16"/>
          <w:szCs w:val="16"/>
          <w:lang w:eastAsia="es-MX"/>
        </w:rPr>
        <w:t>Ciertamente, es un hecho notorio para esta Sala Superior, el cual se invoca en términos del artículo 15, párrafo 1, de la Ley General del Sistema de Medios de Impugnación en Materia Electoral, que el primero de julio del presente año se llevó a cabo la elección para renovar, entre otros cargos, a los senadores y diputados federales de la República, por ende, con la celebración de la referida jornada electoral, quedó cerrada la fase de preparación de la elección, de ahí que los actos llevados a cabo en dicha etapa han adquirido definitividad y firmeza.</w:t>
      </w:r>
    </w:p>
    <w:p w:rsidR="00634D7A" w:rsidRPr="00501B7C" w:rsidRDefault="00136DDE" w:rsidP="001A35D2">
      <w:pPr>
        <w:pStyle w:val="Textonotapie"/>
        <w:jc w:val="both"/>
        <w:rPr>
          <w:bCs/>
          <w:i/>
          <w:sz w:val="16"/>
          <w:lang w:val="es-ES"/>
        </w:rPr>
      </w:pPr>
      <w:r w:rsidRPr="00CC1D0E">
        <w:rPr>
          <w:bCs/>
          <w:i/>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668" w:rsidRDefault="0001696F" w:rsidP="002F6BEE">
    <w:pPr>
      <w:pStyle w:val="Encabezado"/>
      <w:rPr>
        <w:b/>
        <w:noProof/>
        <w:sz w:val="22"/>
        <w:lang w:eastAsia="es-ES"/>
      </w:rPr>
    </w:pPr>
    <w:sdt>
      <w:sdtPr>
        <w:rPr>
          <w:b/>
          <w:noProof/>
          <w:sz w:val="22"/>
          <w:lang w:eastAsia="es-ES"/>
        </w:rPr>
        <w:id w:val="-2101856177"/>
        <w:docPartObj>
          <w:docPartGallery w:val="Page Numbers (Margins)"/>
          <w:docPartUnique/>
        </w:docPartObj>
      </w:sdtPr>
      <w:sdtEndPr/>
      <w:sdtContent>
        <w:r w:rsidR="00753668" w:rsidRPr="007E63D5">
          <w:rPr>
            <w:b/>
            <w:noProof/>
            <w:sz w:val="22"/>
            <w:lang w:val="es-MX" w:eastAsia="es-MX"/>
          </w:rPr>
          <mc:AlternateContent>
            <mc:Choice Requires="wps">
              <w:drawing>
                <wp:anchor distT="0" distB="0" distL="114300" distR="114300" simplePos="0" relativeHeight="251658241" behindDoc="0" locked="0" layoutInCell="0" allowOverlap="1" wp14:anchorId="23357BB1" wp14:editId="55D6ECD2">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29277608"/>
                                <w:docPartObj>
                                  <w:docPartGallery w:val="Page Numbers (Margins)"/>
                                  <w:docPartUnique/>
                                </w:docPartObj>
                              </w:sdtPr>
                              <w:sdtEndPr/>
                              <w:sdtContent>
                                <w:sdt>
                                  <w:sdtPr>
                                    <w:rPr>
                                      <w:rFonts w:asciiTheme="majorHAnsi" w:eastAsiaTheme="majorEastAsia" w:hAnsiTheme="majorHAnsi" w:cstheme="majorBidi"/>
                                      <w:sz w:val="48"/>
                                      <w:szCs w:val="48"/>
                                    </w:rPr>
                                    <w:id w:val="-1761219017"/>
                                    <w:docPartObj>
                                      <w:docPartGallery w:val="Page Numbers (Margins)"/>
                                      <w:docPartUnique/>
                                    </w:docPartObj>
                                  </w:sdtPr>
                                  <w:sdtEndPr/>
                                  <w:sdtContent>
                                    <w:p w:rsidR="00753668" w:rsidRDefault="00753668">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57BB1" id="Rectángulo 2" o:spid="_x0000_s1026" style="position:absolute;margin-left:0;margin-top:0;width:60pt;height:70.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oOS2lOQIAADEEAAAOAAAAAAAAAAAAAAAA&#10;AC4CAABkcnMvZTJvRG9jLnhtbFBLAQItABQABgAIAAAAIQBs1R/T2QAAAAUBAAAPAAAAAAAAAAAA&#10;AAAAAJMEAABkcnMvZG93bnJldi54bWxQSwUGAAAAAAQABADzAAAAmQUAAAAA&#10;" o:allowincell="f" stroked="f">
                  <v:textbox>
                    <w:txbxContent>
                      <w:sdt>
                        <w:sdtPr>
                          <w:rPr>
                            <w:rFonts w:asciiTheme="majorHAnsi" w:eastAsiaTheme="majorEastAsia" w:hAnsiTheme="majorHAnsi" w:cstheme="majorBidi"/>
                            <w:sz w:val="48"/>
                            <w:szCs w:val="48"/>
                          </w:rPr>
                          <w:id w:val="2129277608"/>
                          <w:docPartObj>
                            <w:docPartGallery w:val="Page Numbers (Margins)"/>
                            <w:docPartUnique/>
                          </w:docPartObj>
                        </w:sdtPr>
                        <w:sdtEndPr/>
                        <w:sdtContent>
                          <w:sdt>
                            <w:sdtPr>
                              <w:rPr>
                                <w:rFonts w:asciiTheme="majorHAnsi" w:eastAsiaTheme="majorEastAsia" w:hAnsiTheme="majorHAnsi" w:cstheme="majorBidi"/>
                                <w:sz w:val="48"/>
                                <w:szCs w:val="48"/>
                              </w:rPr>
                              <w:id w:val="-1761219017"/>
                              <w:docPartObj>
                                <w:docPartGallery w:val="Page Numbers (Margins)"/>
                                <w:docPartUnique/>
                              </w:docPartObj>
                            </w:sdtPr>
                            <w:sdtEndPr/>
                            <w:sdtContent>
                              <w:p w:rsidR="00753668" w:rsidRDefault="00753668">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rsidR="00753668" w:rsidRDefault="00753668" w:rsidP="002F6BEE">
    <w:pPr>
      <w:pStyle w:val="Encabezado"/>
      <w:rPr>
        <w:b/>
        <w:noProof/>
        <w:sz w:val="22"/>
        <w:lang w:eastAsia="es-ES"/>
      </w:rPr>
    </w:pPr>
  </w:p>
  <w:p w:rsidR="00753668" w:rsidRDefault="00753668" w:rsidP="002F6BEE">
    <w:pPr>
      <w:pStyle w:val="Encabezado"/>
      <w:rPr>
        <w:b/>
        <w:noProof/>
        <w:sz w:val="22"/>
        <w:lang w:eastAsia="es-ES"/>
      </w:rPr>
    </w:pPr>
    <w:r w:rsidRPr="00DF1A6E">
      <w:rPr>
        <w:b/>
        <w:noProof/>
        <w:sz w:val="22"/>
        <w:lang w:eastAsia="es-ES"/>
      </w:rPr>
      <w:t>SM-J</w:t>
    </w:r>
    <w:r w:rsidR="002C4184">
      <w:rPr>
        <w:b/>
        <w:noProof/>
        <w:sz w:val="22"/>
        <w:lang w:eastAsia="es-ES"/>
      </w:rPr>
      <w:t>DC</w:t>
    </w:r>
    <w:r w:rsidRPr="00DF1A6E">
      <w:rPr>
        <w:b/>
        <w:noProof/>
        <w:sz w:val="22"/>
        <w:lang w:eastAsia="es-ES"/>
      </w:rPr>
      <w:t>-</w:t>
    </w:r>
    <w:r w:rsidR="00B864FE">
      <w:rPr>
        <w:b/>
        <w:noProof/>
        <w:sz w:val="22"/>
        <w:lang w:eastAsia="es-ES"/>
      </w:rPr>
      <w:t>5</w:t>
    </w:r>
    <w:r w:rsidR="005A2233">
      <w:rPr>
        <w:b/>
        <w:noProof/>
        <w:sz w:val="22"/>
        <w:lang w:eastAsia="es-ES"/>
      </w:rPr>
      <w:t>7</w:t>
    </w:r>
    <w:r w:rsidR="0044227B">
      <w:rPr>
        <w:b/>
        <w:noProof/>
        <w:sz w:val="22"/>
        <w:lang w:eastAsia="es-ES"/>
      </w:rPr>
      <w:t>6</w:t>
    </w:r>
    <w:r w:rsidRPr="00DF1A6E">
      <w:rPr>
        <w:b/>
        <w:noProof/>
        <w:sz w:val="22"/>
        <w:lang w:eastAsia="es-ES"/>
      </w:rPr>
      <w:t>/20</w:t>
    </w:r>
    <w:r>
      <w:rPr>
        <w:b/>
        <w:noProof/>
        <w:sz w:val="22"/>
        <w:lang w:eastAsia="es-ES"/>
      </w:rPr>
      <w:t>21</w:t>
    </w:r>
  </w:p>
  <w:p w:rsidR="00753668" w:rsidRDefault="00753668" w:rsidP="002F6BEE">
    <w:pPr>
      <w:pStyle w:val="Encabezado"/>
      <w:rPr>
        <w:b/>
      </w:rPr>
    </w:pPr>
  </w:p>
  <w:p w:rsidR="00753668" w:rsidRPr="003F46B4" w:rsidRDefault="00753668" w:rsidP="002F6BEE">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668" w:rsidRDefault="00753668" w:rsidP="002F6BEE">
    <w:pPr>
      <w:pStyle w:val="Encabezado"/>
      <w:jc w:val="right"/>
    </w:pPr>
    <w:r w:rsidRPr="00A324D6">
      <w:rPr>
        <w:b/>
        <w:noProof/>
        <w:sz w:val="22"/>
        <w:lang w:val="es-MX" w:eastAsia="es-MX"/>
      </w:rPr>
      <w:drawing>
        <wp:anchor distT="0" distB="0" distL="114300" distR="114300" simplePos="0" relativeHeight="251658243" behindDoc="0" locked="0" layoutInCell="1" allowOverlap="1" wp14:anchorId="37BF9237" wp14:editId="4B592A70">
          <wp:simplePos x="0" y="0"/>
          <wp:positionH relativeFrom="column">
            <wp:posOffset>-1492250</wp:posOffset>
          </wp:positionH>
          <wp:positionV relativeFrom="paragraph">
            <wp:posOffset>-339090</wp:posOffset>
          </wp:positionV>
          <wp:extent cx="1378800" cy="1191600"/>
          <wp:effectExtent l="0" t="0" r="0" b="889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3668" w:rsidRDefault="00753668" w:rsidP="002F6BEE">
    <w:pPr>
      <w:pStyle w:val="Encabezado"/>
      <w:jc w:val="right"/>
    </w:pPr>
  </w:p>
  <w:p w:rsidR="00753668" w:rsidRDefault="00753668" w:rsidP="002F6BEE">
    <w:pPr>
      <w:pStyle w:val="Encabezado"/>
      <w:jc w:val="right"/>
      <w:rPr>
        <w:b/>
        <w:noProof/>
        <w:sz w:val="22"/>
        <w:lang w:eastAsia="es-ES"/>
      </w:rPr>
    </w:pPr>
    <w:r w:rsidRPr="00A324D6">
      <w:rPr>
        <w:b/>
        <w:noProof/>
        <w:sz w:val="22"/>
        <w:lang w:val="es-MX" w:eastAsia="es-MX"/>
      </w:rPr>
      <mc:AlternateContent>
        <mc:Choice Requires="wps">
          <w:drawing>
            <wp:anchor distT="0" distB="0" distL="114300" distR="114300" simplePos="0" relativeHeight="251658240" behindDoc="0" locked="0" layoutInCell="0" allowOverlap="1" wp14:anchorId="36BDD817" wp14:editId="2C17B62F">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53668" w:rsidRPr="009F45DC" w:rsidRDefault="0075366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DD817" id="Rectángulo 559" o:spid="_x0000_s1027" style="position:absolute;left:0;text-align:left;margin-left:553.7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" o:allowincell="f" stroked="f">
              <v:textbox>
                <w:txbxContent>
                  <w:p w:rsidR="00753668" w:rsidRPr="009F45DC" w:rsidRDefault="0075366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v:textbox>
              <w10:wrap anchorx="page" anchory="page"/>
            </v:rect>
          </w:pict>
        </mc:Fallback>
      </mc:AlternateContent>
    </w:r>
    <w:r w:rsidRPr="00DF1A6E">
      <w:rPr>
        <w:b/>
        <w:noProof/>
        <w:sz w:val="22"/>
        <w:lang w:eastAsia="es-ES"/>
      </w:rPr>
      <w:t>SM-</w:t>
    </w:r>
    <w:r>
      <w:rPr>
        <w:b/>
        <w:noProof/>
        <w:sz w:val="22"/>
        <w:lang w:eastAsia="es-ES"/>
      </w:rPr>
      <w:t>J</w:t>
    </w:r>
    <w:r w:rsidR="002C4184">
      <w:rPr>
        <w:b/>
        <w:noProof/>
        <w:sz w:val="22"/>
        <w:lang w:eastAsia="es-ES"/>
      </w:rPr>
      <w:t>DC</w:t>
    </w:r>
    <w:r>
      <w:rPr>
        <w:b/>
        <w:noProof/>
        <w:sz w:val="22"/>
        <w:lang w:eastAsia="es-ES"/>
      </w:rPr>
      <w:t>-</w:t>
    </w:r>
    <w:r w:rsidR="00B864FE">
      <w:rPr>
        <w:b/>
        <w:noProof/>
        <w:sz w:val="22"/>
        <w:lang w:eastAsia="es-ES"/>
      </w:rPr>
      <w:t>5</w:t>
    </w:r>
    <w:r w:rsidR="005A2233">
      <w:rPr>
        <w:b/>
        <w:noProof/>
        <w:sz w:val="22"/>
        <w:lang w:eastAsia="es-ES"/>
      </w:rPr>
      <w:t>7</w:t>
    </w:r>
    <w:r w:rsidR="00EE22E6">
      <w:rPr>
        <w:b/>
        <w:noProof/>
        <w:sz w:val="22"/>
        <w:lang w:eastAsia="es-ES"/>
      </w:rPr>
      <w:t>6</w:t>
    </w:r>
    <w:r w:rsidRPr="00DF1A6E">
      <w:rPr>
        <w:b/>
        <w:noProof/>
        <w:sz w:val="22"/>
        <w:lang w:eastAsia="es-ES"/>
      </w:rPr>
      <w:t>/20</w:t>
    </w:r>
    <w:r>
      <w:rPr>
        <w:b/>
        <w:noProof/>
        <w:sz w:val="22"/>
        <w:lang w:eastAsia="es-ES"/>
      </w:rPr>
      <w:t xml:space="preserve">21 </w:t>
    </w:r>
  </w:p>
  <w:p w:rsidR="00753668" w:rsidRDefault="00753668" w:rsidP="002F6BEE">
    <w:pPr>
      <w:pStyle w:val="Encabezado"/>
      <w:jc w:val="right"/>
    </w:pPr>
  </w:p>
  <w:p w:rsidR="00753668" w:rsidRDefault="00753668" w:rsidP="002F6BEE">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668" w:rsidRDefault="00753668">
    <w:pPr>
      <w:pStyle w:val="Encabezado"/>
    </w:pPr>
    <w:r>
      <w:rPr>
        <w:noProof/>
        <w:lang w:val="es-MX" w:eastAsia="es-MX"/>
      </w:rPr>
      <w:drawing>
        <wp:anchor distT="0" distB="0" distL="114300" distR="114300" simplePos="0" relativeHeight="251658242" behindDoc="0" locked="0" layoutInCell="1" allowOverlap="1" wp14:anchorId="4E352894" wp14:editId="68628AA8">
          <wp:simplePos x="0" y="0"/>
          <wp:positionH relativeFrom="column">
            <wp:posOffset>-1438275</wp:posOffset>
          </wp:positionH>
          <wp:positionV relativeFrom="paragraph">
            <wp:posOffset>-314325</wp:posOffset>
          </wp:positionV>
          <wp:extent cx="1378800" cy="1191600"/>
          <wp:effectExtent l="0" t="0" r="0" b="889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3668" w:rsidRDefault="00753668">
    <w:pPr>
      <w:pStyle w:val="Encabezado"/>
    </w:pPr>
  </w:p>
  <w:p w:rsidR="00753668" w:rsidRDefault="00753668">
    <w:pPr>
      <w:pStyle w:val="Encabezado"/>
    </w:pPr>
  </w:p>
  <w:p w:rsidR="00753668" w:rsidRDefault="00753668">
    <w:pPr>
      <w:pStyle w:val="Encabezado"/>
    </w:pPr>
  </w:p>
  <w:p w:rsidR="00753668" w:rsidRDefault="00753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6414"/>
    <w:multiLevelType w:val="hybridMultilevel"/>
    <w:tmpl w:val="521A198C"/>
    <w:lvl w:ilvl="0" w:tplc="52E0AFA6">
      <w:start w:val="1"/>
      <w:numFmt w:val="decimal"/>
      <w:lvlText w:val="%1."/>
      <w:lvlJc w:val="left"/>
      <w:pPr>
        <w:ind w:left="720" w:hanging="360"/>
      </w:pPr>
      <w:rPr>
        <w:b w:val="0"/>
        <w:i w:val="0"/>
        <w:sz w:val="20"/>
        <w:szCs w:val="20"/>
      </w:rPr>
    </w:lvl>
    <w:lvl w:ilvl="1" w:tplc="C7B882FC">
      <w:start w:val="1"/>
      <w:numFmt w:val="upperLetter"/>
      <w:lvlText w:val="%2."/>
      <w:lvlJc w:val="left"/>
      <w:pPr>
        <w:ind w:left="1480" w:hanging="40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E1998C9"/>
    <w:multiLevelType w:val="hybridMultilevel"/>
    <w:tmpl w:val="B47070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97262C"/>
    <w:multiLevelType w:val="multilevel"/>
    <w:tmpl w:val="905237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1C8E2D1A"/>
    <w:multiLevelType w:val="hybridMultilevel"/>
    <w:tmpl w:val="FAD67D5C"/>
    <w:lvl w:ilvl="0" w:tplc="CC9270A6">
      <w:start w:val="4"/>
      <w:numFmt w:val="bullet"/>
      <w:lvlText w:val="-"/>
      <w:lvlJc w:val="left"/>
      <w:pPr>
        <w:ind w:left="1494" w:hanging="360"/>
      </w:pPr>
      <w:rPr>
        <w:rFonts w:ascii="Arial" w:eastAsiaTheme="minorHAnsi" w:hAnsi="Arial" w:cs="Arial"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217B1DDB"/>
    <w:multiLevelType w:val="hybridMultilevel"/>
    <w:tmpl w:val="23746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095B1E"/>
    <w:multiLevelType w:val="hybridMultilevel"/>
    <w:tmpl w:val="35DA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365053"/>
    <w:multiLevelType w:val="hybridMultilevel"/>
    <w:tmpl w:val="8FD2E07A"/>
    <w:lvl w:ilvl="0" w:tplc="60AAD6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A4FD8"/>
    <w:multiLevelType w:val="multilevel"/>
    <w:tmpl w:val="CBCAB36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5A06FF7"/>
    <w:multiLevelType w:val="hybridMultilevel"/>
    <w:tmpl w:val="43E06F1C"/>
    <w:lvl w:ilvl="0" w:tplc="39664A92">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21668"/>
    <w:multiLevelType w:val="hybridMultilevel"/>
    <w:tmpl w:val="125CA2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5B2A08"/>
    <w:multiLevelType w:val="hybridMultilevel"/>
    <w:tmpl w:val="62E6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C815FA"/>
    <w:multiLevelType w:val="hybridMultilevel"/>
    <w:tmpl w:val="BB1A7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844D95"/>
    <w:multiLevelType w:val="hybridMultilevel"/>
    <w:tmpl w:val="B2E6D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47B1CC8"/>
    <w:multiLevelType w:val="hybridMultilevel"/>
    <w:tmpl w:val="279C12EE"/>
    <w:lvl w:ilvl="0" w:tplc="9FAC0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6D4F96"/>
    <w:multiLevelType w:val="hybridMultilevel"/>
    <w:tmpl w:val="C00E7B3E"/>
    <w:lvl w:ilvl="0" w:tplc="85BCE9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6CA41D0E"/>
    <w:multiLevelType w:val="hybridMultilevel"/>
    <w:tmpl w:val="C3BA3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F26F10"/>
    <w:multiLevelType w:val="multilevel"/>
    <w:tmpl w:val="EB5022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2EB6E8"/>
    <w:multiLevelType w:val="hybridMultilevel"/>
    <w:tmpl w:val="7A4377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41389D"/>
    <w:multiLevelType w:val="hybridMultilevel"/>
    <w:tmpl w:val="5CF47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BB1623"/>
    <w:multiLevelType w:val="hybridMultilevel"/>
    <w:tmpl w:val="9C8E7164"/>
    <w:lvl w:ilvl="0" w:tplc="9D88077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7"/>
  </w:num>
  <w:num w:numId="5">
    <w:abstractNumId w:val="19"/>
  </w:num>
  <w:num w:numId="6">
    <w:abstractNumId w:val="8"/>
  </w:num>
  <w:num w:numId="7">
    <w:abstractNumId w:val="6"/>
  </w:num>
  <w:num w:numId="8">
    <w:abstractNumId w:val="13"/>
  </w:num>
  <w:num w:numId="9">
    <w:abstractNumId w:val="12"/>
  </w:num>
  <w:num w:numId="10">
    <w:abstractNumId w:val="3"/>
  </w:num>
  <w:num w:numId="11">
    <w:abstractNumId w:val="10"/>
  </w:num>
  <w:num w:numId="12">
    <w:abstractNumId w:val="4"/>
  </w:num>
  <w:num w:numId="13">
    <w:abstractNumId w:val="18"/>
  </w:num>
  <w:num w:numId="14">
    <w:abstractNumId w:val="1"/>
  </w:num>
  <w:num w:numId="15">
    <w:abstractNumId w:val="11"/>
  </w:num>
  <w:num w:numId="16">
    <w:abstractNumId w:val="14"/>
  </w:num>
  <w:num w:numId="17">
    <w:abstractNumId w:val="16"/>
  </w:num>
  <w:num w:numId="18">
    <w:abstractNumId w:val="20"/>
  </w:num>
  <w:num w:numId="19">
    <w:abstractNumId w:val="5"/>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72"/>
    <w:rsid w:val="00001E8B"/>
    <w:rsid w:val="00002DB0"/>
    <w:rsid w:val="00003834"/>
    <w:rsid w:val="0000771C"/>
    <w:rsid w:val="00007C78"/>
    <w:rsid w:val="00010871"/>
    <w:rsid w:val="00010DB2"/>
    <w:rsid w:val="00011900"/>
    <w:rsid w:val="000126D4"/>
    <w:rsid w:val="00012E15"/>
    <w:rsid w:val="00013B09"/>
    <w:rsid w:val="00014605"/>
    <w:rsid w:val="000154FF"/>
    <w:rsid w:val="00015D80"/>
    <w:rsid w:val="0001696F"/>
    <w:rsid w:val="000174EF"/>
    <w:rsid w:val="00017956"/>
    <w:rsid w:val="000206EF"/>
    <w:rsid w:val="000209FB"/>
    <w:rsid w:val="00020D16"/>
    <w:rsid w:val="00021A66"/>
    <w:rsid w:val="00021A6E"/>
    <w:rsid w:val="000222D5"/>
    <w:rsid w:val="00025F7B"/>
    <w:rsid w:val="000261FE"/>
    <w:rsid w:val="00026340"/>
    <w:rsid w:val="00026755"/>
    <w:rsid w:val="000274B2"/>
    <w:rsid w:val="00027D41"/>
    <w:rsid w:val="00027EEF"/>
    <w:rsid w:val="0003006F"/>
    <w:rsid w:val="0003173C"/>
    <w:rsid w:val="00032C08"/>
    <w:rsid w:val="00032EE4"/>
    <w:rsid w:val="00033415"/>
    <w:rsid w:val="000351C6"/>
    <w:rsid w:val="000372F6"/>
    <w:rsid w:val="0003748B"/>
    <w:rsid w:val="00040BA8"/>
    <w:rsid w:val="00040D4C"/>
    <w:rsid w:val="0004100F"/>
    <w:rsid w:val="00042A18"/>
    <w:rsid w:val="0004632F"/>
    <w:rsid w:val="00050E64"/>
    <w:rsid w:val="00053880"/>
    <w:rsid w:val="0005541D"/>
    <w:rsid w:val="00057440"/>
    <w:rsid w:val="00057B0D"/>
    <w:rsid w:val="00057F0C"/>
    <w:rsid w:val="00060738"/>
    <w:rsid w:val="00061441"/>
    <w:rsid w:val="00061940"/>
    <w:rsid w:val="00063714"/>
    <w:rsid w:val="00063E4A"/>
    <w:rsid w:val="00064452"/>
    <w:rsid w:val="0006635C"/>
    <w:rsid w:val="000667AD"/>
    <w:rsid w:val="00066F7B"/>
    <w:rsid w:val="00072BFD"/>
    <w:rsid w:val="00075305"/>
    <w:rsid w:val="000775E2"/>
    <w:rsid w:val="00077AE8"/>
    <w:rsid w:val="00077C97"/>
    <w:rsid w:val="0008054E"/>
    <w:rsid w:val="0008192E"/>
    <w:rsid w:val="00083352"/>
    <w:rsid w:val="00083C37"/>
    <w:rsid w:val="00083D34"/>
    <w:rsid w:val="00085215"/>
    <w:rsid w:val="0008547B"/>
    <w:rsid w:val="00085AE9"/>
    <w:rsid w:val="00086BDB"/>
    <w:rsid w:val="0008716C"/>
    <w:rsid w:val="00090F6C"/>
    <w:rsid w:val="00091CC2"/>
    <w:rsid w:val="0009321B"/>
    <w:rsid w:val="00093759"/>
    <w:rsid w:val="00094077"/>
    <w:rsid w:val="00096028"/>
    <w:rsid w:val="00096261"/>
    <w:rsid w:val="000972A5"/>
    <w:rsid w:val="000972F4"/>
    <w:rsid w:val="000A0568"/>
    <w:rsid w:val="000A086F"/>
    <w:rsid w:val="000A1007"/>
    <w:rsid w:val="000A2446"/>
    <w:rsid w:val="000A4A3A"/>
    <w:rsid w:val="000A4BCD"/>
    <w:rsid w:val="000A53E3"/>
    <w:rsid w:val="000B0BBE"/>
    <w:rsid w:val="000B1803"/>
    <w:rsid w:val="000B1BCC"/>
    <w:rsid w:val="000B1F50"/>
    <w:rsid w:val="000B407A"/>
    <w:rsid w:val="000B5B86"/>
    <w:rsid w:val="000B6236"/>
    <w:rsid w:val="000B6776"/>
    <w:rsid w:val="000B6C92"/>
    <w:rsid w:val="000C0C2F"/>
    <w:rsid w:val="000C17A8"/>
    <w:rsid w:val="000C1C27"/>
    <w:rsid w:val="000C1EE8"/>
    <w:rsid w:val="000C575C"/>
    <w:rsid w:val="000C6676"/>
    <w:rsid w:val="000D1576"/>
    <w:rsid w:val="000D370D"/>
    <w:rsid w:val="000D409C"/>
    <w:rsid w:val="000D4927"/>
    <w:rsid w:val="000E122C"/>
    <w:rsid w:val="000E1BA4"/>
    <w:rsid w:val="000E32FC"/>
    <w:rsid w:val="000E419A"/>
    <w:rsid w:val="000E45BB"/>
    <w:rsid w:val="000E5D93"/>
    <w:rsid w:val="000E7242"/>
    <w:rsid w:val="000E7820"/>
    <w:rsid w:val="000E7934"/>
    <w:rsid w:val="000F1281"/>
    <w:rsid w:val="000F17AB"/>
    <w:rsid w:val="000F1813"/>
    <w:rsid w:val="000F1E06"/>
    <w:rsid w:val="000F2488"/>
    <w:rsid w:val="000F2B09"/>
    <w:rsid w:val="000F2EA8"/>
    <w:rsid w:val="000F59F3"/>
    <w:rsid w:val="000F67AF"/>
    <w:rsid w:val="000F7E23"/>
    <w:rsid w:val="000F7EF0"/>
    <w:rsid w:val="000F7F40"/>
    <w:rsid w:val="00100376"/>
    <w:rsid w:val="00100F85"/>
    <w:rsid w:val="001011C8"/>
    <w:rsid w:val="001048F1"/>
    <w:rsid w:val="001055B1"/>
    <w:rsid w:val="00105B95"/>
    <w:rsid w:val="001062D3"/>
    <w:rsid w:val="00106A79"/>
    <w:rsid w:val="001108EF"/>
    <w:rsid w:val="00110DCA"/>
    <w:rsid w:val="00112610"/>
    <w:rsid w:val="001135E2"/>
    <w:rsid w:val="00114681"/>
    <w:rsid w:val="001149BF"/>
    <w:rsid w:val="001156BB"/>
    <w:rsid w:val="001162C2"/>
    <w:rsid w:val="00116904"/>
    <w:rsid w:val="00120209"/>
    <w:rsid w:val="001211CB"/>
    <w:rsid w:val="00121979"/>
    <w:rsid w:val="00122976"/>
    <w:rsid w:val="001229B3"/>
    <w:rsid w:val="00122A35"/>
    <w:rsid w:val="00123D75"/>
    <w:rsid w:val="00123E1C"/>
    <w:rsid w:val="0013163D"/>
    <w:rsid w:val="001325D2"/>
    <w:rsid w:val="001328B3"/>
    <w:rsid w:val="00133257"/>
    <w:rsid w:val="00133C47"/>
    <w:rsid w:val="00133D96"/>
    <w:rsid w:val="00135CC3"/>
    <w:rsid w:val="001360AF"/>
    <w:rsid w:val="001362ED"/>
    <w:rsid w:val="00136DDE"/>
    <w:rsid w:val="00137F7A"/>
    <w:rsid w:val="0014107B"/>
    <w:rsid w:val="00143C8E"/>
    <w:rsid w:val="00143FD4"/>
    <w:rsid w:val="00144E0E"/>
    <w:rsid w:val="00145B54"/>
    <w:rsid w:val="00146D6E"/>
    <w:rsid w:val="00146F59"/>
    <w:rsid w:val="00147172"/>
    <w:rsid w:val="00147AA6"/>
    <w:rsid w:val="00150F3A"/>
    <w:rsid w:val="00151947"/>
    <w:rsid w:val="00152D66"/>
    <w:rsid w:val="00153444"/>
    <w:rsid w:val="00153A00"/>
    <w:rsid w:val="00154EB5"/>
    <w:rsid w:val="00157B19"/>
    <w:rsid w:val="00162878"/>
    <w:rsid w:val="00163298"/>
    <w:rsid w:val="00163445"/>
    <w:rsid w:val="0016388A"/>
    <w:rsid w:val="00163D2D"/>
    <w:rsid w:val="00163D44"/>
    <w:rsid w:val="00164A8A"/>
    <w:rsid w:val="00165290"/>
    <w:rsid w:val="0017053C"/>
    <w:rsid w:val="001709EC"/>
    <w:rsid w:val="00171403"/>
    <w:rsid w:val="001716E4"/>
    <w:rsid w:val="0017171E"/>
    <w:rsid w:val="00172D1A"/>
    <w:rsid w:val="00173E5B"/>
    <w:rsid w:val="00173FE5"/>
    <w:rsid w:val="00175A98"/>
    <w:rsid w:val="0017699D"/>
    <w:rsid w:val="001777A7"/>
    <w:rsid w:val="0017783E"/>
    <w:rsid w:val="0018004D"/>
    <w:rsid w:val="00180077"/>
    <w:rsid w:val="00182B5D"/>
    <w:rsid w:val="001835EE"/>
    <w:rsid w:val="00184577"/>
    <w:rsid w:val="00184832"/>
    <w:rsid w:val="00184B67"/>
    <w:rsid w:val="001860A3"/>
    <w:rsid w:val="00186522"/>
    <w:rsid w:val="00187016"/>
    <w:rsid w:val="00192638"/>
    <w:rsid w:val="001926CE"/>
    <w:rsid w:val="00193B02"/>
    <w:rsid w:val="001946AC"/>
    <w:rsid w:val="00194AF5"/>
    <w:rsid w:val="00194BC7"/>
    <w:rsid w:val="001954C9"/>
    <w:rsid w:val="0019588A"/>
    <w:rsid w:val="00196347"/>
    <w:rsid w:val="001972A8"/>
    <w:rsid w:val="001A0633"/>
    <w:rsid w:val="001A35D2"/>
    <w:rsid w:val="001A3BA5"/>
    <w:rsid w:val="001A3EF9"/>
    <w:rsid w:val="001A53C5"/>
    <w:rsid w:val="001A5521"/>
    <w:rsid w:val="001A6AFC"/>
    <w:rsid w:val="001A740F"/>
    <w:rsid w:val="001B0DAB"/>
    <w:rsid w:val="001B1DDF"/>
    <w:rsid w:val="001B33D9"/>
    <w:rsid w:val="001B388B"/>
    <w:rsid w:val="001B3E83"/>
    <w:rsid w:val="001B46AD"/>
    <w:rsid w:val="001B7032"/>
    <w:rsid w:val="001C0152"/>
    <w:rsid w:val="001C1D78"/>
    <w:rsid w:val="001C2D78"/>
    <w:rsid w:val="001C3228"/>
    <w:rsid w:val="001C3CB7"/>
    <w:rsid w:val="001C4297"/>
    <w:rsid w:val="001C5263"/>
    <w:rsid w:val="001C7744"/>
    <w:rsid w:val="001D13AB"/>
    <w:rsid w:val="001D19C4"/>
    <w:rsid w:val="001D1E1E"/>
    <w:rsid w:val="001D2C6B"/>
    <w:rsid w:val="001D4F89"/>
    <w:rsid w:val="001D5D11"/>
    <w:rsid w:val="001E0398"/>
    <w:rsid w:val="001E1E28"/>
    <w:rsid w:val="001E3FFA"/>
    <w:rsid w:val="001E7742"/>
    <w:rsid w:val="001E7E0D"/>
    <w:rsid w:val="001F3606"/>
    <w:rsid w:val="001F38DA"/>
    <w:rsid w:val="001F42C3"/>
    <w:rsid w:val="00200392"/>
    <w:rsid w:val="00200E2C"/>
    <w:rsid w:val="00201069"/>
    <w:rsid w:val="00202865"/>
    <w:rsid w:val="0020419A"/>
    <w:rsid w:val="00204727"/>
    <w:rsid w:val="00204F71"/>
    <w:rsid w:val="00206B30"/>
    <w:rsid w:val="0020749D"/>
    <w:rsid w:val="00210180"/>
    <w:rsid w:val="00210905"/>
    <w:rsid w:val="00210B8F"/>
    <w:rsid w:val="0021283D"/>
    <w:rsid w:val="002210C1"/>
    <w:rsid w:val="0022159F"/>
    <w:rsid w:val="0022277D"/>
    <w:rsid w:val="00222CAC"/>
    <w:rsid w:val="00222CD0"/>
    <w:rsid w:val="002242A3"/>
    <w:rsid w:val="00226498"/>
    <w:rsid w:val="002268DF"/>
    <w:rsid w:val="00230A89"/>
    <w:rsid w:val="00230B89"/>
    <w:rsid w:val="002323E6"/>
    <w:rsid w:val="0023281C"/>
    <w:rsid w:val="002332ED"/>
    <w:rsid w:val="00233DDC"/>
    <w:rsid w:val="002341FC"/>
    <w:rsid w:val="0023482B"/>
    <w:rsid w:val="00234A27"/>
    <w:rsid w:val="00235B23"/>
    <w:rsid w:val="002371DE"/>
    <w:rsid w:val="0023790F"/>
    <w:rsid w:val="00240021"/>
    <w:rsid w:val="002404D3"/>
    <w:rsid w:val="002410A3"/>
    <w:rsid w:val="00241496"/>
    <w:rsid w:val="00241ACB"/>
    <w:rsid w:val="00241F2E"/>
    <w:rsid w:val="00243172"/>
    <w:rsid w:val="00243978"/>
    <w:rsid w:val="002444DB"/>
    <w:rsid w:val="002446D8"/>
    <w:rsid w:val="00245923"/>
    <w:rsid w:val="0024759C"/>
    <w:rsid w:val="00250A71"/>
    <w:rsid w:val="00250BB0"/>
    <w:rsid w:val="00250F72"/>
    <w:rsid w:val="002535C8"/>
    <w:rsid w:val="00255F50"/>
    <w:rsid w:val="00256E0B"/>
    <w:rsid w:val="002608DC"/>
    <w:rsid w:val="00260B1A"/>
    <w:rsid w:val="00263F28"/>
    <w:rsid w:val="0026538A"/>
    <w:rsid w:val="002663CC"/>
    <w:rsid w:val="00266AB4"/>
    <w:rsid w:val="002727A3"/>
    <w:rsid w:val="00272F59"/>
    <w:rsid w:val="002731D4"/>
    <w:rsid w:val="0027335A"/>
    <w:rsid w:val="002752B6"/>
    <w:rsid w:val="0027608D"/>
    <w:rsid w:val="00276512"/>
    <w:rsid w:val="00276A7A"/>
    <w:rsid w:val="00277B94"/>
    <w:rsid w:val="00281ECA"/>
    <w:rsid w:val="00285427"/>
    <w:rsid w:val="002854AD"/>
    <w:rsid w:val="00286934"/>
    <w:rsid w:val="00286B60"/>
    <w:rsid w:val="0028774F"/>
    <w:rsid w:val="00287BFA"/>
    <w:rsid w:val="00287EE3"/>
    <w:rsid w:val="00290682"/>
    <w:rsid w:val="00290BDF"/>
    <w:rsid w:val="002913B8"/>
    <w:rsid w:val="002927E1"/>
    <w:rsid w:val="00292C26"/>
    <w:rsid w:val="002933BC"/>
    <w:rsid w:val="00293409"/>
    <w:rsid w:val="002958EC"/>
    <w:rsid w:val="002959F1"/>
    <w:rsid w:val="002A0D85"/>
    <w:rsid w:val="002A1EB9"/>
    <w:rsid w:val="002A1F84"/>
    <w:rsid w:val="002A2309"/>
    <w:rsid w:val="002A2AD1"/>
    <w:rsid w:val="002A4C1F"/>
    <w:rsid w:val="002A4EF6"/>
    <w:rsid w:val="002A5832"/>
    <w:rsid w:val="002A5DDA"/>
    <w:rsid w:val="002A7574"/>
    <w:rsid w:val="002A79FA"/>
    <w:rsid w:val="002B0F8D"/>
    <w:rsid w:val="002B167C"/>
    <w:rsid w:val="002B290E"/>
    <w:rsid w:val="002B2A4F"/>
    <w:rsid w:val="002B2F21"/>
    <w:rsid w:val="002B342A"/>
    <w:rsid w:val="002B6F35"/>
    <w:rsid w:val="002C1AC8"/>
    <w:rsid w:val="002C2017"/>
    <w:rsid w:val="002C2928"/>
    <w:rsid w:val="002C3247"/>
    <w:rsid w:val="002C36FA"/>
    <w:rsid w:val="002C37E6"/>
    <w:rsid w:val="002C3B38"/>
    <w:rsid w:val="002C3C94"/>
    <w:rsid w:val="002C4184"/>
    <w:rsid w:val="002C7886"/>
    <w:rsid w:val="002D02D9"/>
    <w:rsid w:val="002D057A"/>
    <w:rsid w:val="002D180B"/>
    <w:rsid w:val="002D2422"/>
    <w:rsid w:val="002D285E"/>
    <w:rsid w:val="002D4446"/>
    <w:rsid w:val="002D485E"/>
    <w:rsid w:val="002D5360"/>
    <w:rsid w:val="002D627A"/>
    <w:rsid w:val="002D7FCE"/>
    <w:rsid w:val="002E0C3B"/>
    <w:rsid w:val="002E273D"/>
    <w:rsid w:val="002E289A"/>
    <w:rsid w:val="002E2A3D"/>
    <w:rsid w:val="002E42C6"/>
    <w:rsid w:val="002E5264"/>
    <w:rsid w:val="002E7100"/>
    <w:rsid w:val="002F45D2"/>
    <w:rsid w:val="002F4702"/>
    <w:rsid w:val="002F570B"/>
    <w:rsid w:val="002F57F3"/>
    <w:rsid w:val="002F5B31"/>
    <w:rsid w:val="002F6BEE"/>
    <w:rsid w:val="0030148E"/>
    <w:rsid w:val="00302C44"/>
    <w:rsid w:val="003053B9"/>
    <w:rsid w:val="00305470"/>
    <w:rsid w:val="00306D03"/>
    <w:rsid w:val="00310DBD"/>
    <w:rsid w:val="003120C6"/>
    <w:rsid w:val="00312B00"/>
    <w:rsid w:val="00312B48"/>
    <w:rsid w:val="00312B71"/>
    <w:rsid w:val="0031387B"/>
    <w:rsid w:val="00313BD6"/>
    <w:rsid w:val="003146C5"/>
    <w:rsid w:val="00315094"/>
    <w:rsid w:val="00315314"/>
    <w:rsid w:val="00315667"/>
    <w:rsid w:val="00315B44"/>
    <w:rsid w:val="00316171"/>
    <w:rsid w:val="0031646B"/>
    <w:rsid w:val="00317932"/>
    <w:rsid w:val="003220A3"/>
    <w:rsid w:val="003231C8"/>
    <w:rsid w:val="003238A7"/>
    <w:rsid w:val="0032398C"/>
    <w:rsid w:val="00324076"/>
    <w:rsid w:val="003248D0"/>
    <w:rsid w:val="003250F1"/>
    <w:rsid w:val="003262E8"/>
    <w:rsid w:val="0032676A"/>
    <w:rsid w:val="00327FAB"/>
    <w:rsid w:val="00330A39"/>
    <w:rsid w:val="00331461"/>
    <w:rsid w:val="003341CA"/>
    <w:rsid w:val="0033521A"/>
    <w:rsid w:val="003369C1"/>
    <w:rsid w:val="00337873"/>
    <w:rsid w:val="003435BC"/>
    <w:rsid w:val="00343F39"/>
    <w:rsid w:val="003441A8"/>
    <w:rsid w:val="00345C18"/>
    <w:rsid w:val="0034652C"/>
    <w:rsid w:val="00346D79"/>
    <w:rsid w:val="003479CA"/>
    <w:rsid w:val="003500AE"/>
    <w:rsid w:val="00350EF2"/>
    <w:rsid w:val="003529F3"/>
    <w:rsid w:val="0035516C"/>
    <w:rsid w:val="00355C15"/>
    <w:rsid w:val="00357762"/>
    <w:rsid w:val="0035782F"/>
    <w:rsid w:val="00360287"/>
    <w:rsid w:val="00360744"/>
    <w:rsid w:val="003653A4"/>
    <w:rsid w:val="0036547E"/>
    <w:rsid w:val="003654F8"/>
    <w:rsid w:val="00366B77"/>
    <w:rsid w:val="00370EE8"/>
    <w:rsid w:val="00372827"/>
    <w:rsid w:val="00372A6C"/>
    <w:rsid w:val="00380C99"/>
    <w:rsid w:val="00380E1F"/>
    <w:rsid w:val="003820BD"/>
    <w:rsid w:val="0038359D"/>
    <w:rsid w:val="0038469E"/>
    <w:rsid w:val="003846ED"/>
    <w:rsid w:val="0038640C"/>
    <w:rsid w:val="00391222"/>
    <w:rsid w:val="003917DB"/>
    <w:rsid w:val="00391E42"/>
    <w:rsid w:val="003927BF"/>
    <w:rsid w:val="003934B6"/>
    <w:rsid w:val="003952EF"/>
    <w:rsid w:val="00396B40"/>
    <w:rsid w:val="00397C32"/>
    <w:rsid w:val="003A0318"/>
    <w:rsid w:val="003A2FD3"/>
    <w:rsid w:val="003A4931"/>
    <w:rsid w:val="003A693C"/>
    <w:rsid w:val="003A77F6"/>
    <w:rsid w:val="003A793D"/>
    <w:rsid w:val="003A7977"/>
    <w:rsid w:val="003B17F5"/>
    <w:rsid w:val="003B1FFB"/>
    <w:rsid w:val="003B5BB8"/>
    <w:rsid w:val="003B7BC6"/>
    <w:rsid w:val="003C0130"/>
    <w:rsid w:val="003C1B37"/>
    <w:rsid w:val="003C1EAD"/>
    <w:rsid w:val="003C3FED"/>
    <w:rsid w:val="003C57B2"/>
    <w:rsid w:val="003C5830"/>
    <w:rsid w:val="003C7B6B"/>
    <w:rsid w:val="003D0004"/>
    <w:rsid w:val="003D1017"/>
    <w:rsid w:val="003D21F6"/>
    <w:rsid w:val="003D42B6"/>
    <w:rsid w:val="003D4EA7"/>
    <w:rsid w:val="003D527F"/>
    <w:rsid w:val="003D6849"/>
    <w:rsid w:val="003D7B10"/>
    <w:rsid w:val="003E01F1"/>
    <w:rsid w:val="003E0F42"/>
    <w:rsid w:val="003E44C0"/>
    <w:rsid w:val="003E4A0B"/>
    <w:rsid w:val="003E4D3B"/>
    <w:rsid w:val="003E5A0D"/>
    <w:rsid w:val="003F0235"/>
    <w:rsid w:val="003F1736"/>
    <w:rsid w:val="003F1F48"/>
    <w:rsid w:val="003F242F"/>
    <w:rsid w:val="003F29D0"/>
    <w:rsid w:val="003F2ABC"/>
    <w:rsid w:val="003F2FB2"/>
    <w:rsid w:val="003F3645"/>
    <w:rsid w:val="003F5125"/>
    <w:rsid w:val="003F7037"/>
    <w:rsid w:val="003F7440"/>
    <w:rsid w:val="003F7CA9"/>
    <w:rsid w:val="00401166"/>
    <w:rsid w:val="0040143C"/>
    <w:rsid w:val="00401D24"/>
    <w:rsid w:val="004027C5"/>
    <w:rsid w:val="004032CD"/>
    <w:rsid w:val="004036C0"/>
    <w:rsid w:val="00403811"/>
    <w:rsid w:val="00404C47"/>
    <w:rsid w:val="004050CA"/>
    <w:rsid w:val="0040663C"/>
    <w:rsid w:val="00407AEA"/>
    <w:rsid w:val="00407BAD"/>
    <w:rsid w:val="004112D3"/>
    <w:rsid w:val="00412329"/>
    <w:rsid w:val="00413763"/>
    <w:rsid w:val="00415C26"/>
    <w:rsid w:val="00416F45"/>
    <w:rsid w:val="00417AB5"/>
    <w:rsid w:val="004217BB"/>
    <w:rsid w:val="00422EDF"/>
    <w:rsid w:val="00423051"/>
    <w:rsid w:val="0042346F"/>
    <w:rsid w:val="00423483"/>
    <w:rsid w:val="0042359D"/>
    <w:rsid w:val="00424AE0"/>
    <w:rsid w:val="00427FE1"/>
    <w:rsid w:val="00430630"/>
    <w:rsid w:val="00430AE1"/>
    <w:rsid w:val="00430E87"/>
    <w:rsid w:val="00433AEF"/>
    <w:rsid w:val="00433B6B"/>
    <w:rsid w:val="00437184"/>
    <w:rsid w:val="0043742D"/>
    <w:rsid w:val="00440178"/>
    <w:rsid w:val="00441E12"/>
    <w:rsid w:val="00442135"/>
    <w:rsid w:val="0044227B"/>
    <w:rsid w:val="00442B9B"/>
    <w:rsid w:val="00443257"/>
    <w:rsid w:val="0044428E"/>
    <w:rsid w:val="00447ECB"/>
    <w:rsid w:val="0045171C"/>
    <w:rsid w:val="0045176D"/>
    <w:rsid w:val="004528C4"/>
    <w:rsid w:val="00452FC4"/>
    <w:rsid w:val="0045546D"/>
    <w:rsid w:val="00455816"/>
    <w:rsid w:val="00461B6E"/>
    <w:rsid w:val="00462476"/>
    <w:rsid w:val="004628C7"/>
    <w:rsid w:val="00473330"/>
    <w:rsid w:val="00473512"/>
    <w:rsid w:val="00474C81"/>
    <w:rsid w:val="00475E19"/>
    <w:rsid w:val="00476E00"/>
    <w:rsid w:val="004777AE"/>
    <w:rsid w:val="00477DA1"/>
    <w:rsid w:val="004800BD"/>
    <w:rsid w:val="00480171"/>
    <w:rsid w:val="00480227"/>
    <w:rsid w:val="00481287"/>
    <w:rsid w:val="00483F35"/>
    <w:rsid w:val="00486630"/>
    <w:rsid w:val="00486676"/>
    <w:rsid w:val="00486C05"/>
    <w:rsid w:val="00491812"/>
    <w:rsid w:val="004933AF"/>
    <w:rsid w:val="00493A7B"/>
    <w:rsid w:val="00493E98"/>
    <w:rsid w:val="004940EE"/>
    <w:rsid w:val="004954F9"/>
    <w:rsid w:val="00495AC2"/>
    <w:rsid w:val="0049668A"/>
    <w:rsid w:val="004A090D"/>
    <w:rsid w:val="004A1F57"/>
    <w:rsid w:val="004A4FC1"/>
    <w:rsid w:val="004A632D"/>
    <w:rsid w:val="004A75DC"/>
    <w:rsid w:val="004A77E1"/>
    <w:rsid w:val="004A7CEE"/>
    <w:rsid w:val="004B0C29"/>
    <w:rsid w:val="004B13CD"/>
    <w:rsid w:val="004B1B9F"/>
    <w:rsid w:val="004B2D7B"/>
    <w:rsid w:val="004B2DFF"/>
    <w:rsid w:val="004B3D41"/>
    <w:rsid w:val="004B4331"/>
    <w:rsid w:val="004B549A"/>
    <w:rsid w:val="004B54CC"/>
    <w:rsid w:val="004B575B"/>
    <w:rsid w:val="004B6C36"/>
    <w:rsid w:val="004B7049"/>
    <w:rsid w:val="004B7E45"/>
    <w:rsid w:val="004C241F"/>
    <w:rsid w:val="004C2595"/>
    <w:rsid w:val="004C2749"/>
    <w:rsid w:val="004C385A"/>
    <w:rsid w:val="004C4129"/>
    <w:rsid w:val="004C4D63"/>
    <w:rsid w:val="004C598E"/>
    <w:rsid w:val="004C7813"/>
    <w:rsid w:val="004D1175"/>
    <w:rsid w:val="004D12EF"/>
    <w:rsid w:val="004D1481"/>
    <w:rsid w:val="004D2347"/>
    <w:rsid w:val="004D2F9A"/>
    <w:rsid w:val="004D7A8C"/>
    <w:rsid w:val="004E0048"/>
    <w:rsid w:val="004E09E7"/>
    <w:rsid w:val="004E1C63"/>
    <w:rsid w:val="004E1ED9"/>
    <w:rsid w:val="004E3BD0"/>
    <w:rsid w:val="004E59D3"/>
    <w:rsid w:val="004E6392"/>
    <w:rsid w:val="004E7222"/>
    <w:rsid w:val="004F2505"/>
    <w:rsid w:val="004F4D00"/>
    <w:rsid w:val="004F512B"/>
    <w:rsid w:val="004F51F5"/>
    <w:rsid w:val="004F5D46"/>
    <w:rsid w:val="004F700A"/>
    <w:rsid w:val="005018AE"/>
    <w:rsid w:val="00501B7C"/>
    <w:rsid w:val="00501F88"/>
    <w:rsid w:val="00502DE3"/>
    <w:rsid w:val="00503474"/>
    <w:rsid w:val="00503655"/>
    <w:rsid w:val="00505175"/>
    <w:rsid w:val="005066A7"/>
    <w:rsid w:val="0050686B"/>
    <w:rsid w:val="00507391"/>
    <w:rsid w:val="00510537"/>
    <w:rsid w:val="0051131A"/>
    <w:rsid w:val="0051706A"/>
    <w:rsid w:val="005170AB"/>
    <w:rsid w:val="00517D29"/>
    <w:rsid w:val="005217F3"/>
    <w:rsid w:val="005231C9"/>
    <w:rsid w:val="0052485A"/>
    <w:rsid w:val="00527CD3"/>
    <w:rsid w:val="00530783"/>
    <w:rsid w:val="00531B4E"/>
    <w:rsid w:val="00535042"/>
    <w:rsid w:val="0053515D"/>
    <w:rsid w:val="00535AD8"/>
    <w:rsid w:val="00535F02"/>
    <w:rsid w:val="00536590"/>
    <w:rsid w:val="00536AD2"/>
    <w:rsid w:val="005379E7"/>
    <w:rsid w:val="00537B36"/>
    <w:rsid w:val="00540A3A"/>
    <w:rsid w:val="005425EF"/>
    <w:rsid w:val="005465BA"/>
    <w:rsid w:val="00547230"/>
    <w:rsid w:val="005501CB"/>
    <w:rsid w:val="00552832"/>
    <w:rsid w:val="005545DE"/>
    <w:rsid w:val="0055464F"/>
    <w:rsid w:val="0055534B"/>
    <w:rsid w:val="00556329"/>
    <w:rsid w:val="00556C04"/>
    <w:rsid w:val="00560005"/>
    <w:rsid w:val="00562110"/>
    <w:rsid w:val="005653C2"/>
    <w:rsid w:val="00565411"/>
    <w:rsid w:val="00565530"/>
    <w:rsid w:val="00565767"/>
    <w:rsid w:val="0057249B"/>
    <w:rsid w:val="005732BE"/>
    <w:rsid w:val="00573B8F"/>
    <w:rsid w:val="00575FFD"/>
    <w:rsid w:val="005768D3"/>
    <w:rsid w:val="00580192"/>
    <w:rsid w:val="005813B8"/>
    <w:rsid w:val="005849F4"/>
    <w:rsid w:val="00585475"/>
    <w:rsid w:val="00587976"/>
    <w:rsid w:val="00592AEE"/>
    <w:rsid w:val="005951A9"/>
    <w:rsid w:val="005954EB"/>
    <w:rsid w:val="00595AB5"/>
    <w:rsid w:val="005A00E1"/>
    <w:rsid w:val="005A091E"/>
    <w:rsid w:val="005A1F87"/>
    <w:rsid w:val="005A2233"/>
    <w:rsid w:val="005A2262"/>
    <w:rsid w:val="005A2ACE"/>
    <w:rsid w:val="005B1928"/>
    <w:rsid w:val="005B1C8B"/>
    <w:rsid w:val="005B3482"/>
    <w:rsid w:val="005B6852"/>
    <w:rsid w:val="005C269C"/>
    <w:rsid w:val="005C4918"/>
    <w:rsid w:val="005C4CE2"/>
    <w:rsid w:val="005C544E"/>
    <w:rsid w:val="005C6859"/>
    <w:rsid w:val="005D4214"/>
    <w:rsid w:val="005D5BD1"/>
    <w:rsid w:val="005D5CF3"/>
    <w:rsid w:val="005D6C05"/>
    <w:rsid w:val="005D72CC"/>
    <w:rsid w:val="005D763F"/>
    <w:rsid w:val="005D76FE"/>
    <w:rsid w:val="005D7DA5"/>
    <w:rsid w:val="005E1C26"/>
    <w:rsid w:val="005E2BBA"/>
    <w:rsid w:val="005E45E2"/>
    <w:rsid w:val="005E5139"/>
    <w:rsid w:val="005E523B"/>
    <w:rsid w:val="005E62FB"/>
    <w:rsid w:val="005E7098"/>
    <w:rsid w:val="005E7379"/>
    <w:rsid w:val="005E7833"/>
    <w:rsid w:val="005F0815"/>
    <w:rsid w:val="005F2069"/>
    <w:rsid w:val="005F2394"/>
    <w:rsid w:val="005F24F7"/>
    <w:rsid w:val="005F2F87"/>
    <w:rsid w:val="005F412C"/>
    <w:rsid w:val="005F4816"/>
    <w:rsid w:val="005F5A92"/>
    <w:rsid w:val="005F7360"/>
    <w:rsid w:val="0060038E"/>
    <w:rsid w:val="0060251D"/>
    <w:rsid w:val="00602E2D"/>
    <w:rsid w:val="006034E9"/>
    <w:rsid w:val="00604FF5"/>
    <w:rsid w:val="006054BB"/>
    <w:rsid w:val="00605FAC"/>
    <w:rsid w:val="0060710D"/>
    <w:rsid w:val="00610204"/>
    <w:rsid w:val="006111CD"/>
    <w:rsid w:val="00611A56"/>
    <w:rsid w:val="006123A7"/>
    <w:rsid w:val="00612A14"/>
    <w:rsid w:val="00613074"/>
    <w:rsid w:val="00614274"/>
    <w:rsid w:val="00616112"/>
    <w:rsid w:val="00617E1A"/>
    <w:rsid w:val="00620ADA"/>
    <w:rsid w:val="00620F2D"/>
    <w:rsid w:val="00624F83"/>
    <w:rsid w:val="00626EEB"/>
    <w:rsid w:val="0062708E"/>
    <w:rsid w:val="00627909"/>
    <w:rsid w:val="00630C2B"/>
    <w:rsid w:val="00630EE7"/>
    <w:rsid w:val="00632820"/>
    <w:rsid w:val="00632E1C"/>
    <w:rsid w:val="00633AB2"/>
    <w:rsid w:val="00633D79"/>
    <w:rsid w:val="00634D7A"/>
    <w:rsid w:val="006354BD"/>
    <w:rsid w:val="00635E07"/>
    <w:rsid w:val="00636F1A"/>
    <w:rsid w:val="0063758E"/>
    <w:rsid w:val="006415BF"/>
    <w:rsid w:val="006416DD"/>
    <w:rsid w:val="00641F97"/>
    <w:rsid w:val="00645ADC"/>
    <w:rsid w:val="00646B2A"/>
    <w:rsid w:val="00647D29"/>
    <w:rsid w:val="00650280"/>
    <w:rsid w:val="00651375"/>
    <w:rsid w:val="00652A30"/>
    <w:rsid w:val="006538C5"/>
    <w:rsid w:val="006542E3"/>
    <w:rsid w:val="00654AF8"/>
    <w:rsid w:val="00656023"/>
    <w:rsid w:val="00661158"/>
    <w:rsid w:val="006617AF"/>
    <w:rsid w:val="0066202D"/>
    <w:rsid w:val="00662795"/>
    <w:rsid w:val="00664582"/>
    <w:rsid w:val="00665721"/>
    <w:rsid w:val="0066708E"/>
    <w:rsid w:val="00667907"/>
    <w:rsid w:val="0066794A"/>
    <w:rsid w:val="00673995"/>
    <w:rsid w:val="00673D55"/>
    <w:rsid w:val="00674328"/>
    <w:rsid w:val="006754FB"/>
    <w:rsid w:val="006759A3"/>
    <w:rsid w:val="00676667"/>
    <w:rsid w:val="00677CC0"/>
    <w:rsid w:val="00680C11"/>
    <w:rsid w:val="006818C8"/>
    <w:rsid w:val="00681A7B"/>
    <w:rsid w:val="006820B8"/>
    <w:rsid w:val="0068438F"/>
    <w:rsid w:val="0068589A"/>
    <w:rsid w:val="00686A80"/>
    <w:rsid w:val="00691966"/>
    <w:rsid w:val="00691A83"/>
    <w:rsid w:val="00693516"/>
    <w:rsid w:val="00694B1A"/>
    <w:rsid w:val="00694B2B"/>
    <w:rsid w:val="006954BE"/>
    <w:rsid w:val="00696979"/>
    <w:rsid w:val="006978F1"/>
    <w:rsid w:val="00697A62"/>
    <w:rsid w:val="006A165D"/>
    <w:rsid w:val="006A1CD3"/>
    <w:rsid w:val="006A2F93"/>
    <w:rsid w:val="006A32DD"/>
    <w:rsid w:val="006A3308"/>
    <w:rsid w:val="006A5A3F"/>
    <w:rsid w:val="006A77EF"/>
    <w:rsid w:val="006B0C2A"/>
    <w:rsid w:val="006B33E0"/>
    <w:rsid w:val="006B546A"/>
    <w:rsid w:val="006B58E5"/>
    <w:rsid w:val="006B7A06"/>
    <w:rsid w:val="006B7B61"/>
    <w:rsid w:val="006B7FC4"/>
    <w:rsid w:val="006C25CB"/>
    <w:rsid w:val="006C2A11"/>
    <w:rsid w:val="006C2A4B"/>
    <w:rsid w:val="006C475D"/>
    <w:rsid w:val="006C5A1E"/>
    <w:rsid w:val="006C7650"/>
    <w:rsid w:val="006C7B46"/>
    <w:rsid w:val="006D1428"/>
    <w:rsid w:val="006D26A5"/>
    <w:rsid w:val="006D2E4C"/>
    <w:rsid w:val="006D30D8"/>
    <w:rsid w:val="006D39F4"/>
    <w:rsid w:val="006D3E45"/>
    <w:rsid w:val="006D436F"/>
    <w:rsid w:val="006D455C"/>
    <w:rsid w:val="006D47A2"/>
    <w:rsid w:val="006D508F"/>
    <w:rsid w:val="006D5410"/>
    <w:rsid w:val="006D59CD"/>
    <w:rsid w:val="006D5D7A"/>
    <w:rsid w:val="006D5D89"/>
    <w:rsid w:val="006D750E"/>
    <w:rsid w:val="006D7E0B"/>
    <w:rsid w:val="006D7F76"/>
    <w:rsid w:val="006E038F"/>
    <w:rsid w:val="006E0765"/>
    <w:rsid w:val="006E22D2"/>
    <w:rsid w:val="006E2EBA"/>
    <w:rsid w:val="006E2FF6"/>
    <w:rsid w:val="006E300F"/>
    <w:rsid w:val="006E3777"/>
    <w:rsid w:val="006E4C70"/>
    <w:rsid w:val="006E619E"/>
    <w:rsid w:val="006E62CD"/>
    <w:rsid w:val="006E6ECE"/>
    <w:rsid w:val="006E7FC6"/>
    <w:rsid w:val="006F0D81"/>
    <w:rsid w:val="006F33DC"/>
    <w:rsid w:val="006F45C1"/>
    <w:rsid w:val="006F67A7"/>
    <w:rsid w:val="006F7657"/>
    <w:rsid w:val="0070062B"/>
    <w:rsid w:val="0070064E"/>
    <w:rsid w:val="00701F03"/>
    <w:rsid w:val="0070287C"/>
    <w:rsid w:val="007070FA"/>
    <w:rsid w:val="00707707"/>
    <w:rsid w:val="00707E7D"/>
    <w:rsid w:val="007127D4"/>
    <w:rsid w:val="007139AC"/>
    <w:rsid w:val="00714476"/>
    <w:rsid w:val="00714F3A"/>
    <w:rsid w:val="00716A75"/>
    <w:rsid w:val="00717262"/>
    <w:rsid w:val="007175A5"/>
    <w:rsid w:val="00721B20"/>
    <w:rsid w:val="0072369A"/>
    <w:rsid w:val="00723FF9"/>
    <w:rsid w:val="007259C2"/>
    <w:rsid w:val="00726177"/>
    <w:rsid w:val="00726C12"/>
    <w:rsid w:val="00727371"/>
    <w:rsid w:val="00727637"/>
    <w:rsid w:val="007311D1"/>
    <w:rsid w:val="00732A6F"/>
    <w:rsid w:val="00732BC1"/>
    <w:rsid w:val="00732DD7"/>
    <w:rsid w:val="00733A25"/>
    <w:rsid w:val="00734794"/>
    <w:rsid w:val="00734EA2"/>
    <w:rsid w:val="00736969"/>
    <w:rsid w:val="00736D30"/>
    <w:rsid w:val="00737279"/>
    <w:rsid w:val="00737F17"/>
    <w:rsid w:val="00740241"/>
    <w:rsid w:val="00742DDE"/>
    <w:rsid w:val="00743D30"/>
    <w:rsid w:val="00743F84"/>
    <w:rsid w:val="0074510A"/>
    <w:rsid w:val="00746C3C"/>
    <w:rsid w:val="00747B80"/>
    <w:rsid w:val="00747E88"/>
    <w:rsid w:val="0075146F"/>
    <w:rsid w:val="0075282D"/>
    <w:rsid w:val="007531A6"/>
    <w:rsid w:val="00753668"/>
    <w:rsid w:val="00753C2D"/>
    <w:rsid w:val="007552BC"/>
    <w:rsid w:val="00757ACE"/>
    <w:rsid w:val="00757FD1"/>
    <w:rsid w:val="00760070"/>
    <w:rsid w:val="00760616"/>
    <w:rsid w:val="00761563"/>
    <w:rsid w:val="00764606"/>
    <w:rsid w:val="00766B1E"/>
    <w:rsid w:val="007677A3"/>
    <w:rsid w:val="00770593"/>
    <w:rsid w:val="00771166"/>
    <w:rsid w:val="00772BA3"/>
    <w:rsid w:val="00773423"/>
    <w:rsid w:val="007736FE"/>
    <w:rsid w:val="007740D9"/>
    <w:rsid w:val="007756FA"/>
    <w:rsid w:val="00777152"/>
    <w:rsid w:val="00780263"/>
    <w:rsid w:val="00780938"/>
    <w:rsid w:val="007837ED"/>
    <w:rsid w:val="007871F7"/>
    <w:rsid w:val="00787527"/>
    <w:rsid w:val="00787F1B"/>
    <w:rsid w:val="007917A2"/>
    <w:rsid w:val="0079218D"/>
    <w:rsid w:val="0079359B"/>
    <w:rsid w:val="007935BB"/>
    <w:rsid w:val="0079481E"/>
    <w:rsid w:val="007955D8"/>
    <w:rsid w:val="00796C6C"/>
    <w:rsid w:val="007977E9"/>
    <w:rsid w:val="007A01E8"/>
    <w:rsid w:val="007A08A9"/>
    <w:rsid w:val="007A43CD"/>
    <w:rsid w:val="007A57A7"/>
    <w:rsid w:val="007A5FEA"/>
    <w:rsid w:val="007A6FCC"/>
    <w:rsid w:val="007A76B8"/>
    <w:rsid w:val="007B0F24"/>
    <w:rsid w:val="007B2D8A"/>
    <w:rsid w:val="007B405D"/>
    <w:rsid w:val="007B6977"/>
    <w:rsid w:val="007C0399"/>
    <w:rsid w:val="007C0FC3"/>
    <w:rsid w:val="007C13D8"/>
    <w:rsid w:val="007C2326"/>
    <w:rsid w:val="007C3A4E"/>
    <w:rsid w:val="007C3D05"/>
    <w:rsid w:val="007C4CE3"/>
    <w:rsid w:val="007C590D"/>
    <w:rsid w:val="007C785B"/>
    <w:rsid w:val="007C7F3A"/>
    <w:rsid w:val="007D01BA"/>
    <w:rsid w:val="007D1800"/>
    <w:rsid w:val="007D1D67"/>
    <w:rsid w:val="007D1F2B"/>
    <w:rsid w:val="007D276E"/>
    <w:rsid w:val="007D3443"/>
    <w:rsid w:val="007D5033"/>
    <w:rsid w:val="007E066C"/>
    <w:rsid w:val="007E1573"/>
    <w:rsid w:val="007E1FFD"/>
    <w:rsid w:val="007E44F7"/>
    <w:rsid w:val="007E4CEC"/>
    <w:rsid w:val="007E55DD"/>
    <w:rsid w:val="007E5C60"/>
    <w:rsid w:val="007E600B"/>
    <w:rsid w:val="007E6223"/>
    <w:rsid w:val="007E676A"/>
    <w:rsid w:val="007E6A53"/>
    <w:rsid w:val="007E76DA"/>
    <w:rsid w:val="007E79D6"/>
    <w:rsid w:val="007F00EF"/>
    <w:rsid w:val="007F03C5"/>
    <w:rsid w:val="007F2E9D"/>
    <w:rsid w:val="007F344C"/>
    <w:rsid w:val="007F36F0"/>
    <w:rsid w:val="007F475D"/>
    <w:rsid w:val="00801B38"/>
    <w:rsid w:val="0080258A"/>
    <w:rsid w:val="00802D48"/>
    <w:rsid w:val="00807097"/>
    <w:rsid w:val="008070CD"/>
    <w:rsid w:val="00812477"/>
    <w:rsid w:val="0081276D"/>
    <w:rsid w:val="008127EA"/>
    <w:rsid w:val="00813305"/>
    <w:rsid w:val="00813B8A"/>
    <w:rsid w:val="00816FAB"/>
    <w:rsid w:val="00821B5C"/>
    <w:rsid w:val="00823C69"/>
    <w:rsid w:val="008247AA"/>
    <w:rsid w:val="00824B76"/>
    <w:rsid w:val="0082599E"/>
    <w:rsid w:val="00825FE1"/>
    <w:rsid w:val="008278AE"/>
    <w:rsid w:val="008300BC"/>
    <w:rsid w:val="008300ED"/>
    <w:rsid w:val="008301BD"/>
    <w:rsid w:val="00831A48"/>
    <w:rsid w:val="00832C55"/>
    <w:rsid w:val="00833661"/>
    <w:rsid w:val="0083482C"/>
    <w:rsid w:val="00841FE6"/>
    <w:rsid w:val="008444BA"/>
    <w:rsid w:val="00845A25"/>
    <w:rsid w:val="00846530"/>
    <w:rsid w:val="00846F69"/>
    <w:rsid w:val="00847469"/>
    <w:rsid w:val="008519E5"/>
    <w:rsid w:val="00853BB1"/>
    <w:rsid w:val="00855B87"/>
    <w:rsid w:val="00856F40"/>
    <w:rsid w:val="008577D2"/>
    <w:rsid w:val="008619F4"/>
    <w:rsid w:val="00862F95"/>
    <w:rsid w:val="00863323"/>
    <w:rsid w:val="00863D70"/>
    <w:rsid w:val="008657BE"/>
    <w:rsid w:val="00865B7D"/>
    <w:rsid w:val="00867725"/>
    <w:rsid w:val="00870563"/>
    <w:rsid w:val="00872424"/>
    <w:rsid w:val="00872A30"/>
    <w:rsid w:val="00873212"/>
    <w:rsid w:val="0087390D"/>
    <w:rsid w:val="00874E23"/>
    <w:rsid w:val="00875D5D"/>
    <w:rsid w:val="00877264"/>
    <w:rsid w:val="00883441"/>
    <w:rsid w:val="00883CF3"/>
    <w:rsid w:val="008842E1"/>
    <w:rsid w:val="0088596F"/>
    <w:rsid w:val="00885D31"/>
    <w:rsid w:val="008860E8"/>
    <w:rsid w:val="00887D87"/>
    <w:rsid w:val="0089228B"/>
    <w:rsid w:val="0089338F"/>
    <w:rsid w:val="00893508"/>
    <w:rsid w:val="00893D55"/>
    <w:rsid w:val="00894FBB"/>
    <w:rsid w:val="00896740"/>
    <w:rsid w:val="00897D1B"/>
    <w:rsid w:val="008A0C4D"/>
    <w:rsid w:val="008A16AD"/>
    <w:rsid w:val="008A2B1B"/>
    <w:rsid w:val="008A44F7"/>
    <w:rsid w:val="008A4F3A"/>
    <w:rsid w:val="008A6525"/>
    <w:rsid w:val="008B04B9"/>
    <w:rsid w:val="008B158A"/>
    <w:rsid w:val="008B3ED6"/>
    <w:rsid w:val="008B470C"/>
    <w:rsid w:val="008B76B7"/>
    <w:rsid w:val="008B7770"/>
    <w:rsid w:val="008C00E6"/>
    <w:rsid w:val="008C120B"/>
    <w:rsid w:val="008C2147"/>
    <w:rsid w:val="008C2D35"/>
    <w:rsid w:val="008C2E88"/>
    <w:rsid w:val="008C6B73"/>
    <w:rsid w:val="008C6F3D"/>
    <w:rsid w:val="008C78E6"/>
    <w:rsid w:val="008D3018"/>
    <w:rsid w:val="008D388E"/>
    <w:rsid w:val="008D39B5"/>
    <w:rsid w:val="008D5747"/>
    <w:rsid w:val="008D5E96"/>
    <w:rsid w:val="008D6D1D"/>
    <w:rsid w:val="008E0388"/>
    <w:rsid w:val="008E07E1"/>
    <w:rsid w:val="008E0E99"/>
    <w:rsid w:val="008E279B"/>
    <w:rsid w:val="008E334C"/>
    <w:rsid w:val="008E5DA4"/>
    <w:rsid w:val="008E5DD3"/>
    <w:rsid w:val="008E6FD3"/>
    <w:rsid w:val="008F05BC"/>
    <w:rsid w:val="008F13BB"/>
    <w:rsid w:val="008F18C2"/>
    <w:rsid w:val="008F22CF"/>
    <w:rsid w:val="008F2CB9"/>
    <w:rsid w:val="008F31AF"/>
    <w:rsid w:val="008F3B79"/>
    <w:rsid w:val="008F3F5F"/>
    <w:rsid w:val="008F5075"/>
    <w:rsid w:val="008F5ABF"/>
    <w:rsid w:val="008F5D96"/>
    <w:rsid w:val="008F5E94"/>
    <w:rsid w:val="008F67BB"/>
    <w:rsid w:val="008F6EA7"/>
    <w:rsid w:val="0090081D"/>
    <w:rsid w:val="00901B72"/>
    <w:rsid w:val="00903043"/>
    <w:rsid w:val="00904AD2"/>
    <w:rsid w:val="00906ED0"/>
    <w:rsid w:val="00911074"/>
    <w:rsid w:val="00911D6A"/>
    <w:rsid w:val="009137AE"/>
    <w:rsid w:val="009160B0"/>
    <w:rsid w:val="00916664"/>
    <w:rsid w:val="009236B9"/>
    <w:rsid w:val="00925D39"/>
    <w:rsid w:val="00930006"/>
    <w:rsid w:val="00930F62"/>
    <w:rsid w:val="00931D63"/>
    <w:rsid w:val="009347B2"/>
    <w:rsid w:val="009354BC"/>
    <w:rsid w:val="00936034"/>
    <w:rsid w:val="00936B07"/>
    <w:rsid w:val="00936CB5"/>
    <w:rsid w:val="0094032A"/>
    <w:rsid w:val="009438F7"/>
    <w:rsid w:val="009450C2"/>
    <w:rsid w:val="00945ED6"/>
    <w:rsid w:val="009519AB"/>
    <w:rsid w:val="009544FE"/>
    <w:rsid w:val="00954888"/>
    <w:rsid w:val="00954B97"/>
    <w:rsid w:val="0095628E"/>
    <w:rsid w:val="00957E24"/>
    <w:rsid w:val="00960D6E"/>
    <w:rsid w:val="009615CB"/>
    <w:rsid w:val="00962BC8"/>
    <w:rsid w:val="00962EAC"/>
    <w:rsid w:val="0096475C"/>
    <w:rsid w:val="00964C22"/>
    <w:rsid w:val="00965FEE"/>
    <w:rsid w:val="009701B7"/>
    <w:rsid w:val="009704F6"/>
    <w:rsid w:val="00970640"/>
    <w:rsid w:val="00970F9F"/>
    <w:rsid w:val="009730C6"/>
    <w:rsid w:val="00973290"/>
    <w:rsid w:val="00973810"/>
    <w:rsid w:val="00973F30"/>
    <w:rsid w:val="00974388"/>
    <w:rsid w:val="00976E57"/>
    <w:rsid w:val="00980598"/>
    <w:rsid w:val="00981175"/>
    <w:rsid w:val="00981494"/>
    <w:rsid w:val="00982F21"/>
    <w:rsid w:val="00983E40"/>
    <w:rsid w:val="00985EC0"/>
    <w:rsid w:val="009867FC"/>
    <w:rsid w:val="00986A0B"/>
    <w:rsid w:val="00987D53"/>
    <w:rsid w:val="0099125C"/>
    <w:rsid w:val="00991E38"/>
    <w:rsid w:val="00994CA8"/>
    <w:rsid w:val="00994CED"/>
    <w:rsid w:val="00995C1A"/>
    <w:rsid w:val="009971AC"/>
    <w:rsid w:val="009A241D"/>
    <w:rsid w:val="009A450C"/>
    <w:rsid w:val="009A47D4"/>
    <w:rsid w:val="009A5D68"/>
    <w:rsid w:val="009A6C50"/>
    <w:rsid w:val="009A7D37"/>
    <w:rsid w:val="009A7FE9"/>
    <w:rsid w:val="009B0EC3"/>
    <w:rsid w:val="009B2001"/>
    <w:rsid w:val="009B2868"/>
    <w:rsid w:val="009B4312"/>
    <w:rsid w:val="009B4566"/>
    <w:rsid w:val="009B58B8"/>
    <w:rsid w:val="009B5D2F"/>
    <w:rsid w:val="009B7A03"/>
    <w:rsid w:val="009C0F68"/>
    <w:rsid w:val="009C1E2A"/>
    <w:rsid w:val="009C2645"/>
    <w:rsid w:val="009C2A4B"/>
    <w:rsid w:val="009C3098"/>
    <w:rsid w:val="009C3698"/>
    <w:rsid w:val="009C462D"/>
    <w:rsid w:val="009C4F3E"/>
    <w:rsid w:val="009C5BC5"/>
    <w:rsid w:val="009C6457"/>
    <w:rsid w:val="009C72B9"/>
    <w:rsid w:val="009C775C"/>
    <w:rsid w:val="009D1739"/>
    <w:rsid w:val="009D26D4"/>
    <w:rsid w:val="009D48B6"/>
    <w:rsid w:val="009D5A5F"/>
    <w:rsid w:val="009D7312"/>
    <w:rsid w:val="009E03BF"/>
    <w:rsid w:val="009E11ED"/>
    <w:rsid w:val="009E2965"/>
    <w:rsid w:val="009E2E1A"/>
    <w:rsid w:val="009E3E67"/>
    <w:rsid w:val="009E5DF1"/>
    <w:rsid w:val="009E7955"/>
    <w:rsid w:val="009F3218"/>
    <w:rsid w:val="009F742A"/>
    <w:rsid w:val="00A0041F"/>
    <w:rsid w:val="00A00A54"/>
    <w:rsid w:val="00A01D72"/>
    <w:rsid w:val="00A04AC8"/>
    <w:rsid w:val="00A04B2A"/>
    <w:rsid w:val="00A055F3"/>
    <w:rsid w:val="00A05E23"/>
    <w:rsid w:val="00A068A5"/>
    <w:rsid w:val="00A07747"/>
    <w:rsid w:val="00A11196"/>
    <w:rsid w:val="00A14C43"/>
    <w:rsid w:val="00A166D4"/>
    <w:rsid w:val="00A17388"/>
    <w:rsid w:val="00A175A8"/>
    <w:rsid w:val="00A2161D"/>
    <w:rsid w:val="00A23952"/>
    <w:rsid w:val="00A24642"/>
    <w:rsid w:val="00A24DED"/>
    <w:rsid w:val="00A2748D"/>
    <w:rsid w:val="00A27A77"/>
    <w:rsid w:val="00A30B2D"/>
    <w:rsid w:val="00A30D7D"/>
    <w:rsid w:val="00A346CE"/>
    <w:rsid w:val="00A36116"/>
    <w:rsid w:val="00A36495"/>
    <w:rsid w:val="00A36A36"/>
    <w:rsid w:val="00A375C1"/>
    <w:rsid w:val="00A37B4D"/>
    <w:rsid w:val="00A40A92"/>
    <w:rsid w:val="00A40C68"/>
    <w:rsid w:val="00A40CF5"/>
    <w:rsid w:val="00A43334"/>
    <w:rsid w:val="00A437F1"/>
    <w:rsid w:val="00A44E42"/>
    <w:rsid w:val="00A47EA1"/>
    <w:rsid w:val="00A50CA3"/>
    <w:rsid w:val="00A51089"/>
    <w:rsid w:val="00A522A4"/>
    <w:rsid w:val="00A52AB7"/>
    <w:rsid w:val="00A5310F"/>
    <w:rsid w:val="00A53698"/>
    <w:rsid w:val="00A54E3B"/>
    <w:rsid w:val="00A55243"/>
    <w:rsid w:val="00A559F5"/>
    <w:rsid w:val="00A57467"/>
    <w:rsid w:val="00A60416"/>
    <w:rsid w:val="00A6063E"/>
    <w:rsid w:val="00A607F5"/>
    <w:rsid w:val="00A6086B"/>
    <w:rsid w:val="00A610FA"/>
    <w:rsid w:val="00A611B6"/>
    <w:rsid w:val="00A6256C"/>
    <w:rsid w:val="00A63032"/>
    <w:rsid w:val="00A6575F"/>
    <w:rsid w:val="00A671E4"/>
    <w:rsid w:val="00A67B5D"/>
    <w:rsid w:val="00A67D8F"/>
    <w:rsid w:val="00A7040A"/>
    <w:rsid w:val="00A7171A"/>
    <w:rsid w:val="00A7286F"/>
    <w:rsid w:val="00A72B2E"/>
    <w:rsid w:val="00A7496F"/>
    <w:rsid w:val="00A749E2"/>
    <w:rsid w:val="00A74CFC"/>
    <w:rsid w:val="00A7681B"/>
    <w:rsid w:val="00A7694E"/>
    <w:rsid w:val="00A773A1"/>
    <w:rsid w:val="00A77D4B"/>
    <w:rsid w:val="00A80CD5"/>
    <w:rsid w:val="00A81ED6"/>
    <w:rsid w:val="00A82641"/>
    <w:rsid w:val="00A82965"/>
    <w:rsid w:val="00A82E40"/>
    <w:rsid w:val="00A8431D"/>
    <w:rsid w:val="00A849B2"/>
    <w:rsid w:val="00A85F82"/>
    <w:rsid w:val="00A86573"/>
    <w:rsid w:val="00A8664D"/>
    <w:rsid w:val="00A87E18"/>
    <w:rsid w:val="00A904F7"/>
    <w:rsid w:val="00A9051E"/>
    <w:rsid w:val="00A90C50"/>
    <w:rsid w:val="00A917AF"/>
    <w:rsid w:val="00A9444A"/>
    <w:rsid w:val="00A95204"/>
    <w:rsid w:val="00A95B0D"/>
    <w:rsid w:val="00A96B3D"/>
    <w:rsid w:val="00A97447"/>
    <w:rsid w:val="00AA181B"/>
    <w:rsid w:val="00AA1C1A"/>
    <w:rsid w:val="00AA1D48"/>
    <w:rsid w:val="00AA44D6"/>
    <w:rsid w:val="00AA4D18"/>
    <w:rsid w:val="00AA5898"/>
    <w:rsid w:val="00AA6EDA"/>
    <w:rsid w:val="00AA707C"/>
    <w:rsid w:val="00AA7233"/>
    <w:rsid w:val="00AA755C"/>
    <w:rsid w:val="00AA7F42"/>
    <w:rsid w:val="00AB051D"/>
    <w:rsid w:val="00AB0BA0"/>
    <w:rsid w:val="00AB188E"/>
    <w:rsid w:val="00AB2747"/>
    <w:rsid w:val="00AB2BCA"/>
    <w:rsid w:val="00AB5101"/>
    <w:rsid w:val="00AB5A7E"/>
    <w:rsid w:val="00AB6B42"/>
    <w:rsid w:val="00AB7174"/>
    <w:rsid w:val="00AB74A1"/>
    <w:rsid w:val="00AC1123"/>
    <w:rsid w:val="00AC1A09"/>
    <w:rsid w:val="00AC1AB7"/>
    <w:rsid w:val="00AC1D0E"/>
    <w:rsid w:val="00AC3767"/>
    <w:rsid w:val="00AC51D1"/>
    <w:rsid w:val="00AC5E32"/>
    <w:rsid w:val="00AC652B"/>
    <w:rsid w:val="00AD071A"/>
    <w:rsid w:val="00AD2612"/>
    <w:rsid w:val="00AD3684"/>
    <w:rsid w:val="00AD53B6"/>
    <w:rsid w:val="00AD5C24"/>
    <w:rsid w:val="00AD5E95"/>
    <w:rsid w:val="00AD655A"/>
    <w:rsid w:val="00AD6E57"/>
    <w:rsid w:val="00AD6EED"/>
    <w:rsid w:val="00AE34C5"/>
    <w:rsid w:val="00AE3603"/>
    <w:rsid w:val="00AE51D7"/>
    <w:rsid w:val="00AE5355"/>
    <w:rsid w:val="00AE729F"/>
    <w:rsid w:val="00AF0574"/>
    <w:rsid w:val="00AF0C7A"/>
    <w:rsid w:val="00AF1F12"/>
    <w:rsid w:val="00AF2054"/>
    <w:rsid w:val="00AF3300"/>
    <w:rsid w:val="00AF521C"/>
    <w:rsid w:val="00AF63F7"/>
    <w:rsid w:val="00AF7BD5"/>
    <w:rsid w:val="00B02931"/>
    <w:rsid w:val="00B02CB1"/>
    <w:rsid w:val="00B0383F"/>
    <w:rsid w:val="00B0488B"/>
    <w:rsid w:val="00B04981"/>
    <w:rsid w:val="00B06673"/>
    <w:rsid w:val="00B0676F"/>
    <w:rsid w:val="00B10C4E"/>
    <w:rsid w:val="00B12294"/>
    <w:rsid w:val="00B13D2C"/>
    <w:rsid w:val="00B13E84"/>
    <w:rsid w:val="00B1406D"/>
    <w:rsid w:val="00B143DB"/>
    <w:rsid w:val="00B14612"/>
    <w:rsid w:val="00B162B4"/>
    <w:rsid w:val="00B166C7"/>
    <w:rsid w:val="00B1686D"/>
    <w:rsid w:val="00B21459"/>
    <w:rsid w:val="00B2199C"/>
    <w:rsid w:val="00B220BD"/>
    <w:rsid w:val="00B22B26"/>
    <w:rsid w:val="00B22E67"/>
    <w:rsid w:val="00B23A12"/>
    <w:rsid w:val="00B23AFE"/>
    <w:rsid w:val="00B24215"/>
    <w:rsid w:val="00B2439E"/>
    <w:rsid w:val="00B255E2"/>
    <w:rsid w:val="00B25E81"/>
    <w:rsid w:val="00B26849"/>
    <w:rsid w:val="00B26A2F"/>
    <w:rsid w:val="00B3031D"/>
    <w:rsid w:val="00B30DBC"/>
    <w:rsid w:val="00B31520"/>
    <w:rsid w:val="00B325A2"/>
    <w:rsid w:val="00B36C0D"/>
    <w:rsid w:val="00B37093"/>
    <w:rsid w:val="00B379A7"/>
    <w:rsid w:val="00B40070"/>
    <w:rsid w:val="00B40A60"/>
    <w:rsid w:val="00B416F5"/>
    <w:rsid w:val="00B42661"/>
    <w:rsid w:val="00B426B7"/>
    <w:rsid w:val="00B44A18"/>
    <w:rsid w:val="00B45134"/>
    <w:rsid w:val="00B45E58"/>
    <w:rsid w:val="00B50CD8"/>
    <w:rsid w:val="00B513A4"/>
    <w:rsid w:val="00B528C2"/>
    <w:rsid w:val="00B54451"/>
    <w:rsid w:val="00B57A7A"/>
    <w:rsid w:val="00B57A95"/>
    <w:rsid w:val="00B57BFE"/>
    <w:rsid w:val="00B620E3"/>
    <w:rsid w:val="00B63F91"/>
    <w:rsid w:val="00B656F7"/>
    <w:rsid w:val="00B6591E"/>
    <w:rsid w:val="00B6611A"/>
    <w:rsid w:val="00B66452"/>
    <w:rsid w:val="00B6674E"/>
    <w:rsid w:val="00B669A0"/>
    <w:rsid w:val="00B7012C"/>
    <w:rsid w:val="00B75284"/>
    <w:rsid w:val="00B80647"/>
    <w:rsid w:val="00B813CE"/>
    <w:rsid w:val="00B8217B"/>
    <w:rsid w:val="00B8308C"/>
    <w:rsid w:val="00B846C6"/>
    <w:rsid w:val="00B84E43"/>
    <w:rsid w:val="00B85344"/>
    <w:rsid w:val="00B864FE"/>
    <w:rsid w:val="00B87B36"/>
    <w:rsid w:val="00B87E73"/>
    <w:rsid w:val="00B94F3C"/>
    <w:rsid w:val="00B94F4D"/>
    <w:rsid w:val="00B954AB"/>
    <w:rsid w:val="00B9667C"/>
    <w:rsid w:val="00B96E3C"/>
    <w:rsid w:val="00B97CE2"/>
    <w:rsid w:val="00BA221A"/>
    <w:rsid w:val="00BA3621"/>
    <w:rsid w:val="00BA3F3F"/>
    <w:rsid w:val="00BA48FE"/>
    <w:rsid w:val="00BA4F47"/>
    <w:rsid w:val="00BA5ACA"/>
    <w:rsid w:val="00BA7DB6"/>
    <w:rsid w:val="00BB20D0"/>
    <w:rsid w:val="00BB2B80"/>
    <w:rsid w:val="00BB3160"/>
    <w:rsid w:val="00BB57FA"/>
    <w:rsid w:val="00BB6436"/>
    <w:rsid w:val="00BB6791"/>
    <w:rsid w:val="00BB67FA"/>
    <w:rsid w:val="00BB6B85"/>
    <w:rsid w:val="00BB730A"/>
    <w:rsid w:val="00BC4BF4"/>
    <w:rsid w:val="00BC6879"/>
    <w:rsid w:val="00BD0AA9"/>
    <w:rsid w:val="00BD0E13"/>
    <w:rsid w:val="00BD2CBE"/>
    <w:rsid w:val="00BD3AB4"/>
    <w:rsid w:val="00BD3C38"/>
    <w:rsid w:val="00BD50CF"/>
    <w:rsid w:val="00BD5C64"/>
    <w:rsid w:val="00BD7816"/>
    <w:rsid w:val="00BD7FF9"/>
    <w:rsid w:val="00BE0D20"/>
    <w:rsid w:val="00BE1E3F"/>
    <w:rsid w:val="00BE2299"/>
    <w:rsid w:val="00BE28BC"/>
    <w:rsid w:val="00BE499F"/>
    <w:rsid w:val="00BE4C60"/>
    <w:rsid w:val="00BE6292"/>
    <w:rsid w:val="00BE6AA1"/>
    <w:rsid w:val="00BE798A"/>
    <w:rsid w:val="00BE7A5B"/>
    <w:rsid w:val="00BE7BFF"/>
    <w:rsid w:val="00BF2905"/>
    <w:rsid w:val="00BF2EB3"/>
    <w:rsid w:val="00BF34E9"/>
    <w:rsid w:val="00BF4238"/>
    <w:rsid w:val="00BF5164"/>
    <w:rsid w:val="00BF53D8"/>
    <w:rsid w:val="00C01A9C"/>
    <w:rsid w:val="00C027A7"/>
    <w:rsid w:val="00C03367"/>
    <w:rsid w:val="00C03BF4"/>
    <w:rsid w:val="00C054DC"/>
    <w:rsid w:val="00C057FD"/>
    <w:rsid w:val="00C07283"/>
    <w:rsid w:val="00C12729"/>
    <w:rsid w:val="00C151E2"/>
    <w:rsid w:val="00C15934"/>
    <w:rsid w:val="00C16106"/>
    <w:rsid w:val="00C22197"/>
    <w:rsid w:val="00C22775"/>
    <w:rsid w:val="00C233BC"/>
    <w:rsid w:val="00C24514"/>
    <w:rsid w:val="00C24794"/>
    <w:rsid w:val="00C26309"/>
    <w:rsid w:val="00C27B40"/>
    <w:rsid w:val="00C27D77"/>
    <w:rsid w:val="00C30A8D"/>
    <w:rsid w:val="00C310B4"/>
    <w:rsid w:val="00C32CBE"/>
    <w:rsid w:val="00C3494F"/>
    <w:rsid w:val="00C34C94"/>
    <w:rsid w:val="00C350D7"/>
    <w:rsid w:val="00C363D4"/>
    <w:rsid w:val="00C41DED"/>
    <w:rsid w:val="00C41EC5"/>
    <w:rsid w:val="00C429BD"/>
    <w:rsid w:val="00C43EEF"/>
    <w:rsid w:val="00C44856"/>
    <w:rsid w:val="00C44D37"/>
    <w:rsid w:val="00C45361"/>
    <w:rsid w:val="00C46A14"/>
    <w:rsid w:val="00C46ED1"/>
    <w:rsid w:val="00C474A4"/>
    <w:rsid w:val="00C51A18"/>
    <w:rsid w:val="00C5657F"/>
    <w:rsid w:val="00C602FA"/>
    <w:rsid w:val="00C603E6"/>
    <w:rsid w:val="00C6140C"/>
    <w:rsid w:val="00C6394E"/>
    <w:rsid w:val="00C64315"/>
    <w:rsid w:val="00C644A7"/>
    <w:rsid w:val="00C654D9"/>
    <w:rsid w:val="00C657B7"/>
    <w:rsid w:val="00C6697D"/>
    <w:rsid w:val="00C67D28"/>
    <w:rsid w:val="00C75911"/>
    <w:rsid w:val="00C75C44"/>
    <w:rsid w:val="00C76EF4"/>
    <w:rsid w:val="00C7718A"/>
    <w:rsid w:val="00C807FA"/>
    <w:rsid w:val="00C849EA"/>
    <w:rsid w:val="00C86739"/>
    <w:rsid w:val="00C93DFC"/>
    <w:rsid w:val="00C93F4D"/>
    <w:rsid w:val="00C94649"/>
    <w:rsid w:val="00C946C7"/>
    <w:rsid w:val="00C965AA"/>
    <w:rsid w:val="00C96B98"/>
    <w:rsid w:val="00C96F58"/>
    <w:rsid w:val="00CA023A"/>
    <w:rsid w:val="00CA0DA0"/>
    <w:rsid w:val="00CA0F5B"/>
    <w:rsid w:val="00CA3C34"/>
    <w:rsid w:val="00CA5A3C"/>
    <w:rsid w:val="00CA753E"/>
    <w:rsid w:val="00CA7FEF"/>
    <w:rsid w:val="00CB00E4"/>
    <w:rsid w:val="00CB13AE"/>
    <w:rsid w:val="00CB29BF"/>
    <w:rsid w:val="00CB35BE"/>
    <w:rsid w:val="00CB5E78"/>
    <w:rsid w:val="00CB6ADD"/>
    <w:rsid w:val="00CC0581"/>
    <w:rsid w:val="00CC11A5"/>
    <w:rsid w:val="00CC1D0E"/>
    <w:rsid w:val="00CC2100"/>
    <w:rsid w:val="00CC3CB5"/>
    <w:rsid w:val="00CC3D68"/>
    <w:rsid w:val="00CC4934"/>
    <w:rsid w:val="00CC4FE1"/>
    <w:rsid w:val="00CC5B12"/>
    <w:rsid w:val="00CD232C"/>
    <w:rsid w:val="00CD3800"/>
    <w:rsid w:val="00CD5C6F"/>
    <w:rsid w:val="00CD722F"/>
    <w:rsid w:val="00CE0363"/>
    <w:rsid w:val="00CE052F"/>
    <w:rsid w:val="00CE06D8"/>
    <w:rsid w:val="00CE2135"/>
    <w:rsid w:val="00CE6E99"/>
    <w:rsid w:val="00CF0704"/>
    <w:rsid w:val="00CF20A5"/>
    <w:rsid w:val="00CF28BD"/>
    <w:rsid w:val="00CF3336"/>
    <w:rsid w:val="00CF43D7"/>
    <w:rsid w:val="00CF4F3A"/>
    <w:rsid w:val="00CF51E4"/>
    <w:rsid w:val="00CF5E4D"/>
    <w:rsid w:val="00CF6063"/>
    <w:rsid w:val="00CF67C4"/>
    <w:rsid w:val="00CF775B"/>
    <w:rsid w:val="00CF7CF7"/>
    <w:rsid w:val="00D01B24"/>
    <w:rsid w:val="00D031F6"/>
    <w:rsid w:val="00D0388A"/>
    <w:rsid w:val="00D038FA"/>
    <w:rsid w:val="00D04BD6"/>
    <w:rsid w:val="00D04C63"/>
    <w:rsid w:val="00D05253"/>
    <w:rsid w:val="00D07A11"/>
    <w:rsid w:val="00D07B6D"/>
    <w:rsid w:val="00D13FBE"/>
    <w:rsid w:val="00D15526"/>
    <w:rsid w:val="00D15D6C"/>
    <w:rsid w:val="00D16A3E"/>
    <w:rsid w:val="00D16D3E"/>
    <w:rsid w:val="00D178A3"/>
    <w:rsid w:val="00D17BBD"/>
    <w:rsid w:val="00D20A14"/>
    <w:rsid w:val="00D21BF1"/>
    <w:rsid w:val="00D22648"/>
    <w:rsid w:val="00D227E9"/>
    <w:rsid w:val="00D23E6D"/>
    <w:rsid w:val="00D27CFC"/>
    <w:rsid w:val="00D307B5"/>
    <w:rsid w:val="00D30829"/>
    <w:rsid w:val="00D31ADA"/>
    <w:rsid w:val="00D31B6B"/>
    <w:rsid w:val="00D35694"/>
    <w:rsid w:val="00D364F5"/>
    <w:rsid w:val="00D37ABC"/>
    <w:rsid w:val="00D40482"/>
    <w:rsid w:val="00D40552"/>
    <w:rsid w:val="00D41790"/>
    <w:rsid w:val="00D42E19"/>
    <w:rsid w:val="00D42EEA"/>
    <w:rsid w:val="00D4720C"/>
    <w:rsid w:val="00D47C1D"/>
    <w:rsid w:val="00D50767"/>
    <w:rsid w:val="00D50DEE"/>
    <w:rsid w:val="00D51582"/>
    <w:rsid w:val="00D53E94"/>
    <w:rsid w:val="00D53F19"/>
    <w:rsid w:val="00D54917"/>
    <w:rsid w:val="00D574E7"/>
    <w:rsid w:val="00D644D9"/>
    <w:rsid w:val="00D666B1"/>
    <w:rsid w:val="00D70AB0"/>
    <w:rsid w:val="00D70C6F"/>
    <w:rsid w:val="00D7165A"/>
    <w:rsid w:val="00D71C93"/>
    <w:rsid w:val="00D7355E"/>
    <w:rsid w:val="00D74955"/>
    <w:rsid w:val="00D75259"/>
    <w:rsid w:val="00D7590B"/>
    <w:rsid w:val="00D76D32"/>
    <w:rsid w:val="00D771A9"/>
    <w:rsid w:val="00D82387"/>
    <w:rsid w:val="00D8543E"/>
    <w:rsid w:val="00D87732"/>
    <w:rsid w:val="00D9023E"/>
    <w:rsid w:val="00D9091E"/>
    <w:rsid w:val="00D92598"/>
    <w:rsid w:val="00D93B54"/>
    <w:rsid w:val="00D95B21"/>
    <w:rsid w:val="00D967CD"/>
    <w:rsid w:val="00D9755D"/>
    <w:rsid w:val="00DA1CB0"/>
    <w:rsid w:val="00DA516E"/>
    <w:rsid w:val="00DA578E"/>
    <w:rsid w:val="00DA7995"/>
    <w:rsid w:val="00DB1452"/>
    <w:rsid w:val="00DB3BAF"/>
    <w:rsid w:val="00DB43D5"/>
    <w:rsid w:val="00DB5A3F"/>
    <w:rsid w:val="00DB6D14"/>
    <w:rsid w:val="00DC01AA"/>
    <w:rsid w:val="00DC177C"/>
    <w:rsid w:val="00DC1888"/>
    <w:rsid w:val="00DC270C"/>
    <w:rsid w:val="00DC3DFB"/>
    <w:rsid w:val="00DC436C"/>
    <w:rsid w:val="00DC4A48"/>
    <w:rsid w:val="00DC5718"/>
    <w:rsid w:val="00DC602F"/>
    <w:rsid w:val="00DC6405"/>
    <w:rsid w:val="00DC66B1"/>
    <w:rsid w:val="00DC6C2E"/>
    <w:rsid w:val="00DC7F73"/>
    <w:rsid w:val="00DD0ECC"/>
    <w:rsid w:val="00DD1223"/>
    <w:rsid w:val="00DD1861"/>
    <w:rsid w:val="00DD1F17"/>
    <w:rsid w:val="00DD1F19"/>
    <w:rsid w:val="00DD5560"/>
    <w:rsid w:val="00DD579B"/>
    <w:rsid w:val="00DD5C71"/>
    <w:rsid w:val="00DD62C9"/>
    <w:rsid w:val="00DD7538"/>
    <w:rsid w:val="00DE493A"/>
    <w:rsid w:val="00DE60B7"/>
    <w:rsid w:val="00DF0444"/>
    <w:rsid w:val="00DF2925"/>
    <w:rsid w:val="00DF4059"/>
    <w:rsid w:val="00DF6932"/>
    <w:rsid w:val="00DF7E3B"/>
    <w:rsid w:val="00E00720"/>
    <w:rsid w:val="00E013CA"/>
    <w:rsid w:val="00E01AA7"/>
    <w:rsid w:val="00E02E0D"/>
    <w:rsid w:val="00E0353E"/>
    <w:rsid w:val="00E0573F"/>
    <w:rsid w:val="00E074E6"/>
    <w:rsid w:val="00E078E6"/>
    <w:rsid w:val="00E07D5F"/>
    <w:rsid w:val="00E1314B"/>
    <w:rsid w:val="00E1368C"/>
    <w:rsid w:val="00E14F21"/>
    <w:rsid w:val="00E214AD"/>
    <w:rsid w:val="00E2177B"/>
    <w:rsid w:val="00E22BA7"/>
    <w:rsid w:val="00E24292"/>
    <w:rsid w:val="00E25993"/>
    <w:rsid w:val="00E30F0B"/>
    <w:rsid w:val="00E332C9"/>
    <w:rsid w:val="00E352BC"/>
    <w:rsid w:val="00E405D6"/>
    <w:rsid w:val="00E40A52"/>
    <w:rsid w:val="00E43442"/>
    <w:rsid w:val="00E43E5C"/>
    <w:rsid w:val="00E45B67"/>
    <w:rsid w:val="00E51BF9"/>
    <w:rsid w:val="00E51FDD"/>
    <w:rsid w:val="00E53298"/>
    <w:rsid w:val="00E5797F"/>
    <w:rsid w:val="00E60CE1"/>
    <w:rsid w:val="00E60E8C"/>
    <w:rsid w:val="00E61EA0"/>
    <w:rsid w:val="00E62997"/>
    <w:rsid w:val="00E62AAA"/>
    <w:rsid w:val="00E63F33"/>
    <w:rsid w:val="00E66A2E"/>
    <w:rsid w:val="00E67AD5"/>
    <w:rsid w:val="00E70236"/>
    <w:rsid w:val="00E70478"/>
    <w:rsid w:val="00E70EE9"/>
    <w:rsid w:val="00E74564"/>
    <w:rsid w:val="00E746B1"/>
    <w:rsid w:val="00E757E8"/>
    <w:rsid w:val="00E7662F"/>
    <w:rsid w:val="00E80E64"/>
    <w:rsid w:val="00E82E72"/>
    <w:rsid w:val="00E83FAD"/>
    <w:rsid w:val="00E843DC"/>
    <w:rsid w:val="00E84612"/>
    <w:rsid w:val="00E84FFD"/>
    <w:rsid w:val="00E86148"/>
    <w:rsid w:val="00E8648D"/>
    <w:rsid w:val="00E86ECA"/>
    <w:rsid w:val="00E87D59"/>
    <w:rsid w:val="00E91231"/>
    <w:rsid w:val="00E918DA"/>
    <w:rsid w:val="00E92DCF"/>
    <w:rsid w:val="00E93308"/>
    <w:rsid w:val="00E93C49"/>
    <w:rsid w:val="00E942A9"/>
    <w:rsid w:val="00E95B78"/>
    <w:rsid w:val="00EA14C7"/>
    <w:rsid w:val="00EA1E8F"/>
    <w:rsid w:val="00EA23F0"/>
    <w:rsid w:val="00EA3ECA"/>
    <w:rsid w:val="00EA4EE2"/>
    <w:rsid w:val="00EB0A3D"/>
    <w:rsid w:val="00EB11AF"/>
    <w:rsid w:val="00EB2DEE"/>
    <w:rsid w:val="00EB2F23"/>
    <w:rsid w:val="00EB3AA1"/>
    <w:rsid w:val="00EB696D"/>
    <w:rsid w:val="00EB6A55"/>
    <w:rsid w:val="00EB6DC4"/>
    <w:rsid w:val="00EC02C0"/>
    <w:rsid w:val="00EC0B62"/>
    <w:rsid w:val="00EC183C"/>
    <w:rsid w:val="00EC1DAC"/>
    <w:rsid w:val="00EC1F8E"/>
    <w:rsid w:val="00EC41A9"/>
    <w:rsid w:val="00EC4444"/>
    <w:rsid w:val="00EC4845"/>
    <w:rsid w:val="00EC5043"/>
    <w:rsid w:val="00EC63F3"/>
    <w:rsid w:val="00EC6CCF"/>
    <w:rsid w:val="00ED09C8"/>
    <w:rsid w:val="00ED09FE"/>
    <w:rsid w:val="00ED2AC2"/>
    <w:rsid w:val="00ED6295"/>
    <w:rsid w:val="00EE039D"/>
    <w:rsid w:val="00EE09B5"/>
    <w:rsid w:val="00EE0C6F"/>
    <w:rsid w:val="00EE15C7"/>
    <w:rsid w:val="00EE22E6"/>
    <w:rsid w:val="00EE44CA"/>
    <w:rsid w:val="00EE4C2C"/>
    <w:rsid w:val="00EE5213"/>
    <w:rsid w:val="00EE66DA"/>
    <w:rsid w:val="00EE6E52"/>
    <w:rsid w:val="00EE7BD6"/>
    <w:rsid w:val="00EF011F"/>
    <w:rsid w:val="00EF0255"/>
    <w:rsid w:val="00EF0F94"/>
    <w:rsid w:val="00EF2551"/>
    <w:rsid w:val="00EF2A0D"/>
    <w:rsid w:val="00EF2E15"/>
    <w:rsid w:val="00EF4D10"/>
    <w:rsid w:val="00EF539C"/>
    <w:rsid w:val="00EF75C0"/>
    <w:rsid w:val="00EF7CA3"/>
    <w:rsid w:val="00EF7FE2"/>
    <w:rsid w:val="00F04467"/>
    <w:rsid w:val="00F05801"/>
    <w:rsid w:val="00F05A54"/>
    <w:rsid w:val="00F05EFC"/>
    <w:rsid w:val="00F07238"/>
    <w:rsid w:val="00F073B1"/>
    <w:rsid w:val="00F115BC"/>
    <w:rsid w:val="00F11609"/>
    <w:rsid w:val="00F1559F"/>
    <w:rsid w:val="00F165CA"/>
    <w:rsid w:val="00F16E99"/>
    <w:rsid w:val="00F17307"/>
    <w:rsid w:val="00F17466"/>
    <w:rsid w:val="00F17C84"/>
    <w:rsid w:val="00F17D61"/>
    <w:rsid w:val="00F2217B"/>
    <w:rsid w:val="00F228D7"/>
    <w:rsid w:val="00F2546F"/>
    <w:rsid w:val="00F2754B"/>
    <w:rsid w:val="00F305BD"/>
    <w:rsid w:val="00F33509"/>
    <w:rsid w:val="00F34FC0"/>
    <w:rsid w:val="00F34FFB"/>
    <w:rsid w:val="00F35814"/>
    <w:rsid w:val="00F35DA6"/>
    <w:rsid w:val="00F37625"/>
    <w:rsid w:val="00F403CF"/>
    <w:rsid w:val="00F41765"/>
    <w:rsid w:val="00F4306D"/>
    <w:rsid w:val="00F437EF"/>
    <w:rsid w:val="00F444C0"/>
    <w:rsid w:val="00F465D7"/>
    <w:rsid w:val="00F476D8"/>
    <w:rsid w:val="00F477B4"/>
    <w:rsid w:val="00F47C71"/>
    <w:rsid w:val="00F47CAB"/>
    <w:rsid w:val="00F52562"/>
    <w:rsid w:val="00F57F2F"/>
    <w:rsid w:val="00F611F4"/>
    <w:rsid w:val="00F614D2"/>
    <w:rsid w:val="00F617F7"/>
    <w:rsid w:val="00F61F70"/>
    <w:rsid w:val="00F62457"/>
    <w:rsid w:val="00F642AB"/>
    <w:rsid w:val="00F64698"/>
    <w:rsid w:val="00F64C63"/>
    <w:rsid w:val="00F655B6"/>
    <w:rsid w:val="00F65FC2"/>
    <w:rsid w:val="00F66A96"/>
    <w:rsid w:val="00F70E9C"/>
    <w:rsid w:val="00F71838"/>
    <w:rsid w:val="00F72226"/>
    <w:rsid w:val="00F7301A"/>
    <w:rsid w:val="00F73B5B"/>
    <w:rsid w:val="00F74883"/>
    <w:rsid w:val="00F75C7B"/>
    <w:rsid w:val="00F764CB"/>
    <w:rsid w:val="00F766E7"/>
    <w:rsid w:val="00F80309"/>
    <w:rsid w:val="00F8152A"/>
    <w:rsid w:val="00F83DA8"/>
    <w:rsid w:val="00F84AD3"/>
    <w:rsid w:val="00F85085"/>
    <w:rsid w:val="00F85667"/>
    <w:rsid w:val="00F86038"/>
    <w:rsid w:val="00F86346"/>
    <w:rsid w:val="00F8709E"/>
    <w:rsid w:val="00F87E9F"/>
    <w:rsid w:val="00F912AE"/>
    <w:rsid w:val="00F91901"/>
    <w:rsid w:val="00F91DE1"/>
    <w:rsid w:val="00F924BF"/>
    <w:rsid w:val="00F92775"/>
    <w:rsid w:val="00F94288"/>
    <w:rsid w:val="00F9470E"/>
    <w:rsid w:val="00F95E12"/>
    <w:rsid w:val="00F95F42"/>
    <w:rsid w:val="00F96850"/>
    <w:rsid w:val="00F96E25"/>
    <w:rsid w:val="00F97AA7"/>
    <w:rsid w:val="00FA02DA"/>
    <w:rsid w:val="00FA0DA0"/>
    <w:rsid w:val="00FA21A9"/>
    <w:rsid w:val="00FA2B5B"/>
    <w:rsid w:val="00FA3B5A"/>
    <w:rsid w:val="00FA3E44"/>
    <w:rsid w:val="00FA4C6B"/>
    <w:rsid w:val="00FA74B4"/>
    <w:rsid w:val="00FB29F6"/>
    <w:rsid w:val="00FB4244"/>
    <w:rsid w:val="00FB48C8"/>
    <w:rsid w:val="00FB4DA9"/>
    <w:rsid w:val="00FB657F"/>
    <w:rsid w:val="00FB6F3F"/>
    <w:rsid w:val="00FB7DC4"/>
    <w:rsid w:val="00FC15E9"/>
    <w:rsid w:val="00FC16A7"/>
    <w:rsid w:val="00FC17AF"/>
    <w:rsid w:val="00FC1B9B"/>
    <w:rsid w:val="00FC2666"/>
    <w:rsid w:val="00FC312A"/>
    <w:rsid w:val="00FC39A5"/>
    <w:rsid w:val="00FC4E6B"/>
    <w:rsid w:val="00FC4FAD"/>
    <w:rsid w:val="00FC7406"/>
    <w:rsid w:val="00FC7DD7"/>
    <w:rsid w:val="00FD019E"/>
    <w:rsid w:val="00FD06E3"/>
    <w:rsid w:val="00FD1EA9"/>
    <w:rsid w:val="00FD2B87"/>
    <w:rsid w:val="00FD3A49"/>
    <w:rsid w:val="00FD48A4"/>
    <w:rsid w:val="00FD49F8"/>
    <w:rsid w:val="00FE067A"/>
    <w:rsid w:val="00FE4167"/>
    <w:rsid w:val="00FE4BA3"/>
    <w:rsid w:val="00FE4FB4"/>
    <w:rsid w:val="00FE52F5"/>
    <w:rsid w:val="00FE5AF0"/>
    <w:rsid w:val="00FE5FC7"/>
    <w:rsid w:val="00FE7528"/>
    <w:rsid w:val="00FF194F"/>
    <w:rsid w:val="00FF1B27"/>
    <w:rsid w:val="00FF1EBE"/>
    <w:rsid w:val="00FF3800"/>
    <w:rsid w:val="00FF43D9"/>
    <w:rsid w:val="00FF5420"/>
    <w:rsid w:val="00FF5900"/>
    <w:rsid w:val="0CDC72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91B9"/>
  <w15:chartTrackingRefBased/>
  <w15:docId w15:val="{6AB5924C-480F-496B-B5ED-B31C3970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295"/>
    <w:pPr>
      <w:spacing w:after="200" w:line="276" w:lineRule="auto"/>
    </w:pPr>
    <w:rPr>
      <w:rFonts w:ascii="Arial" w:hAnsi="Arial" w:cs="Arial"/>
      <w:sz w:val="24"/>
      <w:szCs w:val="24"/>
      <w:lang w:val="es-ES_tradnl"/>
    </w:rPr>
  </w:style>
  <w:style w:type="paragraph" w:styleId="Ttulo1">
    <w:name w:val="heading 1"/>
    <w:basedOn w:val="Normal"/>
    <w:next w:val="Normal"/>
    <w:link w:val="Ttulo1Car"/>
    <w:uiPriority w:val="9"/>
    <w:qFormat/>
    <w:rsid w:val="00243172"/>
    <w:pPr>
      <w:keepNext/>
      <w:spacing w:before="100" w:beforeAutospacing="1" w:after="100" w:afterAutospacing="1" w:line="360" w:lineRule="auto"/>
      <w:jc w:val="both"/>
      <w:outlineLvl w:val="0"/>
    </w:pPr>
    <w:rPr>
      <w:rFonts w:eastAsiaTheme="majorEastAsia" w:cstheme="majorBidi"/>
      <w:b/>
      <w:bCs/>
      <w:caps/>
      <w:kern w:val="32"/>
      <w:szCs w:val="32"/>
    </w:rPr>
  </w:style>
  <w:style w:type="paragraph" w:styleId="Ttulo2">
    <w:name w:val="heading 2"/>
    <w:basedOn w:val="Normal"/>
    <w:next w:val="Normal"/>
    <w:link w:val="Ttulo2Car"/>
    <w:unhideWhenUsed/>
    <w:qFormat/>
    <w:rsid w:val="002431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243172"/>
    <w:pPr>
      <w:keepNext/>
      <w:keepLines/>
      <w:spacing w:before="40" w:after="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24317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4317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2431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172"/>
    <w:rPr>
      <w:rFonts w:ascii="Arial" w:eastAsiaTheme="majorEastAsia" w:hAnsi="Arial" w:cstheme="majorBidi"/>
      <w:b/>
      <w:bCs/>
      <w:caps/>
      <w:kern w:val="32"/>
      <w:sz w:val="24"/>
      <w:szCs w:val="32"/>
      <w:lang w:val="es-ES_tradnl"/>
    </w:rPr>
  </w:style>
  <w:style w:type="character" w:customStyle="1" w:styleId="Ttulo2Car">
    <w:name w:val="Título 2 Car"/>
    <w:basedOn w:val="Fuentedeprrafopredeter"/>
    <w:link w:val="Ttulo2"/>
    <w:rsid w:val="0024317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6Car">
    <w:name w:val="Título 6 Car"/>
    <w:basedOn w:val="Fuentedeprrafopredeter"/>
    <w:link w:val="Ttulo6"/>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243172"/>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243172"/>
    <w:rPr>
      <w:rFonts w:asciiTheme="majorHAnsi" w:eastAsiaTheme="majorEastAsia" w:hAnsiTheme="majorHAnsi" w:cstheme="majorBidi"/>
      <w:color w:val="272727" w:themeColor="text1" w:themeTint="D8"/>
      <w:sz w:val="21"/>
      <w:szCs w:val="21"/>
      <w:lang w:val="es-ES_tradnl"/>
    </w:rPr>
  </w:style>
  <w:style w:type="paragraph" w:styleId="Subttulo">
    <w:name w:val="Subtitle"/>
    <w:basedOn w:val="Normal"/>
    <w:next w:val="Normal"/>
    <w:link w:val="SubttuloCar"/>
    <w:autoRedefine/>
    <w:uiPriority w:val="11"/>
    <w:qFormat/>
    <w:rsid w:val="00243172"/>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243172"/>
    <w:rPr>
      <w:rFonts w:ascii="Arial" w:eastAsiaTheme="minorEastAsia" w:hAnsi="Arial" w:cs="Arial"/>
      <w:b/>
      <w:spacing w:val="15"/>
      <w:sz w:val="24"/>
      <w:szCs w:val="24"/>
      <w:lang w:val="es-ES_tradnl" w:eastAsia="es-ES_tradnl"/>
    </w:rPr>
  </w:style>
  <w:style w:type="paragraph" w:styleId="Encabezado">
    <w:name w:val="header"/>
    <w:basedOn w:val="Normal"/>
    <w:link w:val="EncabezadoCar"/>
    <w:rsid w:val="00243172"/>
    <w:pPr>
      <w:tabs>
        <w:tab w:val="center" w:pos="4419"/>
        <w:tab w:val="right" w:pos="8838"/>
      </w:tabs>
      <w:spacing w:after="0" w:line="240" w:lineRule="auto"/>
    </w:pPr>
  </w:style>
  <w:style w:type="character" w:customStyle="1" w:styleId="EncabezadoCar">
    <w:name w:val="Encabezado Car"/>
    <w:basedOn w:val="Fuentedeprrafopredeter"/>
    <w:link w:val="Encabezado"/>
    <w:rsid w:val="00243172"/>
    <w:rPr>
      <w:rFonts w:ascii="Arial" w:hAnsi="Arial" w:cs="Arial"/>
      <w:sz w:val="24"/>
      <w:szCs w:val="24"/>
      <w:lang w:val="es-ES_tradnl"/>
    </w:rPr>
  </w:style>
  <w:style w:type="table" w:styleId="Tablaconcuadrcula">
    <w:name w:val="Table Grid"/>
    <w:basedOn w:val="Tablanormal"/>
    <w:rsid w:val="002431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243172"/>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243172"/>
    <w:rPr>
      <w:rFonts w:ascii="Arial" w:hAnsi="Arial" w:cs="Arial"/>
      <w:sz w:val="24"/>
      <w:szCs w:val="24"/>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243172"/>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TEXTO GENERAL SENTENCIAS,List Paragraph1,Dot pt,No Spacing1"/>
    <w:basedOn w:val="Normal"/>
    <w:link w:val="PrrafodelistaCar"/>
    <w:uiPriority w:val="34"/>
    <w:qFormat/>
    <w:rsid w:val="00243172"/>
    <w:pPr>
      <w:ind w:left="720"/>
      <w:contextualSpacing/>
    </w:pPr>
  </w:style>
  <w:style w:type="paragraph" w:styleId="Sinespaciado">
    <w:name w:val="No Spacing"/>
    <w:basedOn w:val="Normal"/>
    <w:link w:val="SinespaciadoCar"/>
    <w:uiPriority w:val="1"/>
    <w:qFormat/>
    <w:rsid w:val="00243172"/>
    <w:pPr>
      <w:spacing w:after="0" w:line="240" w:lineRule="auto"/>
      <w:jc w:val="both"/>
    </w:pPr>
    <w:rPr>
      <w:rFonts w:cstheme="minorBidi"/>
      <w:sz w:val="18"/>
    </w:rPr>
  </w:style>
  <w:style w:type="character" w:customStyle="1" w:styleId="SinespaciadoCar">
    <w:name w:val="Sin espaciado Car"/>
    <w:basedOn w:val="Fuentedeprrafopredeter"/>
    <w:link w:val="Sinespaciado"/>
    <w:uiPriority w:val="1"/>
    <w:rsid w:val="00243172"/>
    <w:rPr>
      <w:rFonts w:ascii="Arial" w:hAnsi="Arial"/>
      <w:sz w:val="18"/>
      <w:szCs w:val="24"/>
      <w:lang w:val="es-ES_tradnl"/>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43172"/>
    <w:pPr>
      <w:spacing w:before="100" w:beforeAutospacing="1" w:after="100" w:afterAutospacing="1" w:line="240" w:lineRule="auto"/>
    </w:pPr>
    <w:rPr>
      <w:rFonts w:ascii="Times New Roman" w:eastAsia="Times New Roman" w:hAnsi="Times New Roman"/>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43172"/>
    <w:rPr>
      <w:rFonts w:ascii="Times New Roman" w:eastAsia="Times New Roman" w:hAnsi="Times New Roman" w:cs="Arial"/>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1 Car"/>
    <w:link w:val="Prrafodelista"/>
    <w:uiPriority w:val="34"/>
    <w:qFormat/>
    <w:locked/>
    <w:rsid w:val="00243172"/>
    <w:rPr>
      <w:rFonts w:ascii="Arial" w:hAnsi="Arial" w:cs="Arial"/>
      <w:sz w:val="24"/>
      <w:szCs w:val="24"/>
      <w:lang w:val="es-ES_tradnl"/>
    </w:rPr>
  </w:style>
  <w:style w:type="paragraph" w:styleId="Piedepgina">
    <w:name w:val="footer"/>
    <w:basedOn w:val="Normal"/>
    <w:link w:val="PiedepginaCar"/>
    <w:uiPriority w:val="99"/>
    <w:unhideWhenUsed/>
    <w:rsid w:val="00243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172"/>
    <w:rPr>
      <w:rFonts w:ascii="Arial" w:hAnsi="Arial" w:cs="Arial"/>
      <w:sz w:val="24"/>
      <w:szCs w:val="24"/>
      <w:lang w:val="es-ES_tradnl"/>
    </w:rPr>
  </w:style>
  <w:style w:type="character" w:styleId="Textoennegrita">
    <w:name w:val="Strong"/>
    <w:basedOn w:val="Fuentedeprrafopredeter"/>
    <w:uiPriority w:val="22"/>
    <w:qFormat/>
    <w:rsid w:val="00243172"/>
    <w:rPr>
      <w:b/>
      <w:bCs/>
    </w:rPr>
  </w:style>
  <w:style w:type="paragraph" w:styleId="Textodeglobo">
    <w:name w:val="Balloon Text"/>
    <w:basedOn w:val="Normal"/>
    <w:link w:val="TextodegloboCar"/>
    <w:uiPriority w:val="99"/>
    <w:semiHidden/>
    <w:unhideWhenUsed/>
    <w:rsid w:val="00243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172"/>
    <w:rPr>
      <w:rFonts w:ascii="Segoe UI" w:hAnsi="Segoe UI" w:cs="Segoe UI"/>
      <w:sz w:val="18"/>
      <w:szCs w:val="18"/>
      <w:lang w:val="es-ES_tradnl"/>
    </w:rPr>
  </w:style>
  <w:style w:type="table" w:customStyle="1" w:styleId="Tablaconcuadrcula1">
    <w:name w:val="Tabla con cuadrícula1"/>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172"/>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43172"/>
    <w:pPr>
      <w:spacing w:after="0" w:line="240" w:lineRule="auto"/>
    </w:pPr>
  </w:style>
  <w:style w:type="character" w:customStyle="1" w:styleId="TextonotaalfinalCar">
    <w:name w:val="Texto nota al final Car"/>
    <w:basedOn w:val="Fuentedeprrafopredeter"/>
    <w:link w:val="Textonotaalfinal"/>
    <w:uiPriority w:val="99"/>
    <w:semiHidden/>
    <w:rsid w:val="00243172"/>
    <w:rPr>
      <w:rFonts w:ascii="Arial" w:hAnsi="Arial" w:cs="Arial"/>
      <w:sz w:val="24"/>
      <w:szCs w:val="24"/>
      <w:lang w:val="es-ES_tradnl"/>
    </w:rPr>
  </w:style>
  <w:style w:type="character" w:styleId="Refdenotaalfinal">
    <w:name w:val="endnote reference"/>
    <w:basedOn w:val="Fuentedeprrafopredeter"/>
    <w:uiPriority w:val="99"/>
    <w:semiHidden/>
    <w:unhideWhenUsed/>
    <w:rsid w:val="00243172"/>
    <w:rPr>
      <w:vertAlign w:val="superscript"/>
    </w:rPr>
  </w:style>
  <w:style w:type="character" w:customStyle="1" w:styleId="apple-converted-space">
    <w:name w:val="apple-converted-space"/>
    <w:basedOn w:val="Fuentedeprrafopredeter"/>
    <w:rsid w:val="00243172"/>
  </w:style>
  <w:style w:type="character" w:styleId="Hipervnculo">
    <w:name w:val="Hyperlink"/>
    <w:basedOn w:val="Fuentedeprrafopredeter"/>
    <w:uiPriority w:val="99"/>
    <w:unhideWhenUsed/>
    <w:rsid w:val="00243172"/>
    <w:rPr>
      <w:color w:val="0563C1" w:themeColor="hyperlink"/>
      <w:u w:val="single"/>
    </w:rPr>
  </w:style>
  <w:style w:type="paragraph" w:customStyle="1" w:styleId="Pa3">
    <w:name w:val="Pa3"/>
    <w:basedOn w:val="Normal"/>
    <w:next w:val="Normal"/>
    <w:uiPriority w:val="99"/>
    <w:rsid w:val="00243172"/>
    <w:pPr>
      <w:autoSpaceDE w:val="0"/>
      <w:autoSpaceDN w:val="0"/>
      <w:adjustRightInd w:val="0"/>
      <w:spacing w:after="0" w:line="201" w:lineRule="atLeast"/>
    </w:pPr>
    <w:rPr>
      <w:rFonts w:ascii="Avenir Next" w:hAnsi="Avenir Next" w:cstheme="minorBid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43172"/>
    <w:pPr>
      <w:spacing w:after="0" w:line="240" w:lineRule="auto"/>
      <w:jc w:val="both"/>
    </w:pPr>
    <w:rPr>
      <w:rFonts w:asciiTheme="minorHAnsi" w:hAnsiTheme="minorHAnsi" w:cstheme="minorBidi"/>
      <w:sz w:val="22"/>
      <w:szCs w:val="22"/>
      <w:vertAlign w:val="superscript"/>
      <w:lang w:val="es-MX"/>
    </w:rPr>
  </w:style>
  <w:style w:type="table" w:customStyle="1" w:styleId="Tablaconcuadrcula50">
    <w:name w:val="Tabla con cuadrícula50"/>
    <w:basedOn w:val="Tablanormal"/>
    <w:uiPriority w:val="59"/>
    <w:rsid w:val="00243172"/>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3172"/>
    <w:rPr>
      <w:sz w:val="16"/>
      <w:szCs w:val="16"/>
    </w:rPr>
  </w:style>
  <w:style w:type="paragraph" w:styleId="Textocomentario">
    <w:name w:val="annotation text"/>
    <w:basedOn w:val="Normal"/>
    <w:link w:val="TextocomentarioCar"/>
    <w:uiPriority w:val="99"/>
    <w:semiHidden/>
    <w:unhideWhenUsed/>
    <w:rsid w:val="00243172"/>
    <w:pPr>
      <w:spacing w:line="240" w:lineRule="auto"/>
    </w:pPr>
  </w:style>
  <w:style w:type="character" w:customStyle="1" w:styleId="TextocomentarioCar">
    <w:name w:val="Texto comentario Car"/>
    <w:basedOn w:val="Fuentedeprrafopredeter"/>
    <w:link w:val="Textocomentario"/>
    <w:uiPriority w:val="99"/>
    <w:semiHidden/>
    <w:rsid w:val="00243172"/>
    <w:rPr>
      <w:rFonts w:ascii="Arial" w:hAnsi="Arial" w:cs="Arial"/>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243172"/>
    <w:rPr>
      <w:b/>
      <w:bCs/>
    </w:rPr>
  </w:style>
  <w:style w:type="character" w:customStyle="1" w:styleId="AsuntodelcomentarioCar">
    <w:name w:val="Asunto del comentario Car"/>
    <w:basedOn w:val="TextocomentarioCar"/>
    <w:link w:val="Asuntodelcomentario"/>
    <w:uiPriority w:val="99"/>
    <w:semiHidden/>
    <w:rsid w:val="00243172"/>
    <w:rPr>
      <w:rFonts w:ascii="Arial" w:hAnsi="Arial" w:cs="Arial"/>
      <w:b/>
      <w:bCs/>
      <w:sz w:val="24"/>
      <w:szCs w:val="24"/>
      <w:lang w:val="es-ES_tradnl"/>
    </w:rPr>
  </w:style>
  <w:style w:type="paragraph" w:styleId="Revisin">
    <w:name w:val="Revision"/>
    <w:hidden/>
    <w:uiPriority w:val="99"/>
    <w:semiHidden/>
    <w:rsid w:val="00243172"/>
    <w:pPr>
      <w:spacing w:after="0" w:line="240" w:lineRule="auto"/>
    </w:pPr>
    <w:rPr>
      <w:rFonts w:ascii="Calibri" w:eastAsia="Calibri" w:hAnsi="Calibri" w:cs="Times New Roman"/>
      <w:sz w:val="24"/>
      <w:szCs w:val="24"/>
    </w:rPr>
  </w:style>
  <w:style w:type="character" w:customStyle="1" w:styleId="lbl-encabezado-negro">
    <w:name w:val="lbl-encabezado-negro"/>
    <w:basedOn w:val="Fuentedeprrafopredeter"/>
    <w:rsid w:val="00243172"/>
  </w:style>
  <w:style w:type="character" w:customStyle="1" w:styleId="Mencinsinresolver1">
    <w:name w:val="Mención sin resolver1"/>
    <w:basedOn w:val="Fuentedeprrafopredeter"/>
    <w:uiPriority w:val="99"/>
    <w:semiHidden/>
    <w:unhideWhenUsed/>
    <w:rsid w:val="00243172"/>
    <w:rPr>
      <w:color w:val="605E5C"/>
      <w:shd w:val="clear" w:color="auto" w:fill="E1DFDD"/>
    </w:rPr>
  </w:style>
  <w:style w:type="character" w:customStyle="1" w:styleId="red">
    <w:name w:val="red"/>
    <w:basedOn w:val="Fuentedeprrafopredeter"/>
    <w:rsid w:val="00243172"/>
  </w:style>
  <w:style w:type="character" w:styleId="Ttulodellibro">
    <w:name w:val="Book Title"/>
    <w:basedOn w:val="Fuentedeprrafopredeter"/>
    <w:uiPriority w:val="33"/>
    <w:qFormat/>
    <w:rsid w:val="00243172"/>
    <w:rPr>
      <w:b/>
      <w:bCs/>
      <w:smallCaps/>
      <w:spacing w:val="5"/>
    </w:rPr>
  </w:style>
  <w:style w:type="character" w:customStyle="1" w:styleId="Mencinsinresolver2">
    <w:name w:val="Mención sin resolver2"/>
    <w:basedOn w:val="Fuentedeprrafopredeter"/>
    <w:uiPriority w:val="99"/>
    <w:semiHidden/>
    <w:unhideWhenUsed/>
    <w:rsid w:val="00243172"/>
    <w:rPr>
      <w:color w:val="605E5C"/>
      <w:shd w:val="clear" w:color="auto" w:fill="E1DFDD"/>
    </w:rPr>
  </w:style>
  <w:style w:type="paragraph" w:styleId="TtuloTDC">
    <w:name w:val="TOC Heading"/>
    <w:basedOn w:val="Ttulo1"/>
    <w:next w:val="Normal"/>
    <w:uiPriority w:val="39"/>
    <w:unhideWhenUsed/>
    <w:qFormat/>
    <w:rsid w:val="0024317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452FC4"/>
    <w:pPr>
      <w:tabs>
        <w:tab w:val="left" w:pos="660"/>
        <w:tab w:val="right" w:leader="dot" w:pos="8263"/>
      </w:tabs>
      <w:spacing w:after="0" w:line="240" w:lineRule="auto"/>
      <w:ind w:left="284" w:hanging="284"/>
      <w:jc w:val="both"/>
    </w:pPr>
  </w:style>
  <w:style w:type="paragraph" w:styleId="TDC2">
    <w:name w:val="toc 2"/>
    <w:basedOn w:val="Normal"/>
    <w:next w:val="Normal"/>
    <w:autoRedefine/>
    <w:uiPriority w:val="39"/>
    <w:unhideWhenUsed/>
    <w:rsid w:val="00243172"/>
    <w:pPr>
      <w:tabs>
        <w:tab w:val="right" w:leader="dot" w:pos="8222"/>
      </w:tabs>
      <w:spacing w:after="0" w:line="240" w:lineRule="auto"/>
      <w:ind w:left="200"/>
    </w:pPr>
  </w:style>
  <w:style w:type="paragraph" w:styleId="TDC3">
    <w:name w:val="toc 3"/>
    <w:basedOn w:val="Normal"/>
    <w:next w:val="Normal"/>
    <w:autoRedefine/>
    <w:uiPriority w:val="39"/>
    <w:unhideWhenUsed/>
    <w:rsid w:val="00243172"/>
    <w:pPr>
      <w:spacing w:after="100"/>
      <w:ind w:left="400"/>
    </w:pPr>
  </w:style>
  <w:style w:type="paragraph" w:customStyle="1" w:styleId="numerado">
    <w:name w:val="numerado"/>
    <w:basedOn w:val="NormalWeb"/>
    <w:qFormat/>
    <w:rsid w:val="00243172"/>
    <w:pPr>
      <w:numPr>
        <w:numId w:val="2"/>
      </w:numPr>
      <w:tabs>
        <w:tab w:val="left" w:pos="426"/>
      </w:tabs>
      <w:spacing w:before="240" w:beforeAutospacing="0" w:after="0" w:afterAutospacing="0" w:line="360" w:lineRule="auto"/>
      <w:ind w:left="0" w:firstLine="0"/>
      <w:jc w:val="both"/>
    </w:pPr>
    <w:rPr>
      <w:rFonts w:ascii="Univers" w:hAnsi="Univers"/>
      <w:sz w:val="28"/>
      <w:szCs w:val="28"/>
      <w:lang w:eastAsia="es-ES"/>
    </w:rPr>
  </w:style>
  <w:style w:type="paragraph" w:customStyle="1" w:styleId="Estilo1">
    <w:name w:val="Estilo1"/>
    <w:basedOn w:val="numerado"/>
    <w:link w:val="Estilo1Car"/>
    <w:qFormat/>
    <w:rsid w:val="00243172"/>
  </w:style>
  <w:style w:type="character" w:customStyle="1" w:styleId="Estilo1Car">
    <w:name w:val="Estilo1 Car"/>
    <w:basedOn w:val="Fuentedeprrafopredeter"/>
    <w:link w:val="Estilo1"/>
    <w:rsid w:val="00243172"/>
    <w:rPr>
      <w:rFonts w:ascii="Univers" w:eastAsia="Times New Roman" w:hAnsi="Univers" w:cs="Arial"/>
      <w:sz w:val="28"/>
      <w:szCs w:val="28"/>
      <w:lang w:val="es-ES_tradnl" w:eastAsia="es-ES"/>
    </w:rPr>
  </w:style>
  <w:style w:type="paragraph" w:customStyle="1" w:styleId="Notaalpie">
    <w:name w:val="Nota al pie"/>
    <w:basedOn w:val="Textonotapie"/>
    <w:link w:val="NotaalpieCar"/>
    <w:qFormat/>
    <w:rsid w:val="00243172"/>
    <w:pPr>
      <w:spacing w:before="120" w:after="120"/>
      <w:jc w:val="both"/>
    </w:pPr>
    <w:rPr>
      <w:rFonts w:eastAsia="Calibri" w:cs="Times New Roman"/>
    </w:rPr>
  </w:style>
  <w:style w:type="character" w:customStyle="1" w:styleId="NotaalpieCar">
    <w:name w:val="Nota al pie Car"/>
    <w:basedOn w:val="Fuentedeprrafopredeter"/>
    <w:link w:val="Notaalpie"/>
    <w:rsid w:val="00243172"/>
    <w:rPr>
      <w:rFonts w:ascii="Arial" w:eastAsia="Calibri" w:hAnsi="Arial" w:cs="Times New Roman"/>
      <w:sz w:val="24"/>
      <w:szCs w:val="24"/>
      <w:lang w:val="es-ES_tradnl"/>
    </w:rPr>
  </w:style>
  <w:style w:type="character" w:customStyle="1" w:styleId="A12">
    <w:name w:val="A12"/>
    <w:uiPriority w:val="99"/>
    <w:rsid w:val="00243172"/>
    <w:rPr>
      <w:rFonts w:cs="TheSansOsF SemiLight"/>
      <w:color w:val="000000"/>
      <w:sz w:val="12"/>
      <w:szCs w:val="12"/>
    </w:rPr>
  </w:style>
  <w:style w:type="paragraph" w:customStyle="1" w:styleId="Texto">
    <w:name w:val="Texto"/>
    <w:basedOn w:val="Normal"/>
    <w:link w:val="TextoCar"/>
    <w:rsid w:val="00243172"/>
    <w:pPr>
      <w:spacing w:after="101" w:line="216" w:lineRule="exact"/>
      <w:ind w:firstLine="288"/>
      <w:jc w:val="both"/>
    </w:pPr>
    <w:rPr>
      <w:rFonts w:eastAsia="Times New Roman"/>
      <w:sz w:val="18"/>
      <w:lang w:val="es-ES" w:eastAsia="es-ES"/>
    </w:rPr>
  </w:style>
  <w:style w:type="character" w:customStyle="1" w:styleId="TextoCar">
    <w:name w:val="Texto Car"/>
    <w:link w:val="Texto"/>
    <w:locked/>
    <w:rsid w:val="00243172"/>
    <w:rPr>
      <w:rFonts w:ascii="Arial" w:eastAsia="Times New Roman" w:hAnsi="Arial" w:cs="Arial"/>
      <w:sz w:val="18"/>
      <w:szCs w:val="24"/>
      <w:lang w:val="es-ES" w:eastAsia="es-ES"/>
    </w:rPr>
  </w:style>
  <w:style w:type="paragraph" w:styleId="Textoindependiente">
    <w:name w:val="Body Text"/>
    <w:basedOn w:val="Normal"/>
    <w:link w:val="TextoindependienteCar"/>
    <w:uiPriority w:val="1"/>
    <w:qFormat/>
    <w:rsid w:val="00243172"/>
    <w:pPr>
      <w:widowControl w:val="0"/>
      <w:autoSpaceDE w:val="0"/>
      <w:autoSpaceDN w:val="0"/>
      <w:spacing w:after="0" w:line="240" w:lineRule="auto"/>
    </w:pPr>
    <w:rPr>
      <w:rFonts w:eastAsia="Arial"/>
      <w:sz w:val="18"/>
      <w:szCs w:val="18"/>
      <w:lang w:val="es-ES" w:eastAsia="es-ES" w:bidi="es-ES"/>
    </w:rPr>
  </w:style>
  <w:style w:type="character" w:customStyle="1" w:styleId="TextoindependienteCar">
    <w:name w:val="Texto independiente Car"/>
    <w:basedOn w:val="Fuentedeprrafopredeter"/>
    <w:link w:val="Textoindependiente"/>
    <w:uiPriority w:val="1"/>
    <w:rsid w:val="00243172"/>
    <w:rPr>
      <w:rFonts w:ascii="Arial" w:eastAsia="Arial" w:hAnsi="Arial" w:cs="Arial"/>
      <w:sz w:val="18"/>
      <w:szCs w:val="18"/>
      <w:lang w:val="es-ES" w:eastAsia="es-ES" w:bidi="es-ES"/>
    </w:rPr>
  </w:style>
  <w:style w:type="paragraph" w:customStyle="1" w:styleId="Pa11">
    <w:name w:val="Pa1+1"/>
    <w:basedOn w:val="Normal"/>
    <w:uiPriority w:val="99"/>
    <w:rsid w:val="00243172"/>
    <w:pPr>
      <w:autoSpaceDE w:val="0"/>
      <w:autoSpaceDN w:val="0"/>
      <w:spacing w:after="0" w:line="221" w:lineRule="atLeast"/>
    </w:pPr>
    <w:rPr>
      <w:rFonts w:ascii="TheSansOsF SemiLight" w:hAnsi="TheSansOsF SemiLight" w:cs="Times New Roman"/>
    </w:rPr>
  </w:style>
  <w:style w:type="character" w:customStyle="1" w:styleId="NormalsentenciaCar">
    <w:name w:val="Normal sentencia Car"/>
    <w:basedOn w:val="Fuentedeprrafopredeter"/>
    <w:link w:val="Normalsentencia"/>
    <w:locked/>
    <w:rsid w:val="00243172"/>
    <w:rPr>
      <w:rFonts w:ascii="Arial" w:hAnsi="Arial" w:cs="Arial"/>
      <w:sz w:val="28"/>
      <w:lang w:val="es-ES" w:eastAsia="es-ES"/>
    </w:rPr>
  </w:style>
  <w:style w:type="paragraph" w:customStyle="1" w:styleId="Normalsentencia">
    <w:name w:val="Normal sentencia"/>
    <w:basedOn w:val="Normal"/>
    <w:link w:val="NormalsentenciaCar"/>
    <w:qFormat/>
    <w:rsid w:val="00243172"/>
    <w:pPr>
      <w:spacing w:before="240" w:after="120" w:line="360" w:lineRule="auto"/>
      <w:ind w:firstLine="709"/>
      <w:jc w:val="both"/>
    </w:pPr>
    <w:rPr>
      <w:sz w:val="28"/>
      <w:szCs w:val="22"/>
      <w:lang w:val="es-ES" w:eastAsia="es-ES"/>
    </w:rPr>
  </w:style>
  <w:style w:type="character" w:customStyle="1" w:styleId="A3">
    <w:name w:val="A3"/>
    <w:uiPriority w:val="99"/>
    <w:rsid w:val="00243172"/>
    <w:rPr>
      <w:rFonts w:cs="Montserrat"/>
      <w:color w:val="000000"/>
      <w:sz w:val="20"/>
      <w:szCs w:val="20"/>
    </w:rPr>
  </w:style>
  <w:style w:type="paragraph" w:customStyle="1" w:styleId="xmsonormal">
    <w:name w:val="x_msonormal"/>
    <w:basedOn w:val="Normal"/>
    <w:rsid w:val="00243172"/>
    <w:pPr>
      <w:spacing w:before="100" w:beforeAutospacing="1" w:after="100" w:afterAutospacing="1" w:line="240" w:lineRule="auto"/>
    </w:pPr>
    <w:rPr>
      <w:rFonts w:ascii="Times New Roman" w:eastAsia="Times New Roman" w:hAnsi="Times New Roman" w:cs="Times New Roman"/>
      <w:lang w:val="es-MX" w:eastAsia="es-MX"/>
    </w:rPr>
  </w:style>
  <w:style w:type="paragraph" w:styleId="Lista">
    <w:name w:val="List"/>
    <w:basedOn w:val="Normal"/>
    <w:uiPriority w:val="99"/>
    <w:unhideWhenUsed/>
    <w:rsid w:val="00243172"/>
    <w:pPr>
      <w:ind w:left="283" w:hanging="283"/>
      <w:contextualSpacing/>
    </w:pPr>
  </w:style>
  <w:style w:type="paragraph" w:styleId="Sangradetextonormal">
    <w:name w:val="Body Text Indent"/>
    <w:basedOn w:val="Normal"/>
    <w:link w:val="SangradetextonormalCar"/>
    <w:uiPriority w:val="99"/>
    <w:semiHidden/>
    <w:unhideWhenUsed/>
    <w:rsid w:val="00243172"/>
    <w:pPr>
      <w:spacing w:after="120"/>
      <w:ind w:left="283"/>
    </w:pPr>
  </w:style>
  <w:style w:type="character" w:customStyle="1" w:styleId="SangradetextonormalCar">
    <w:name w:val="Sangría de texto normal Car"/>
    <w:basedOn w:val="Fuentedeprrafopredeter"/>
    <w:link w:val="Sangradetextonormal"/>
    <w:uiPriority w:val="99"/>
    <w:semiHidden/>
    <w:rsid w:val="00243172"/>
    <w:rPr>
      <w:rFonts w:ascii="Arial" w:hAnsi="Arial" w:cs="Arial"/>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431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3172"/>
    <w:rPr>
      <w:rFonts w:ascii="Arial" w:hAnsi="Arial" w:cs="Arial"/>
      <w:sz w:val="24"/>
      <w:szCs w:val="24"/>
      <w:lang w:val="es-ES_tradnl"/>
    </w:rPr>
  </w:style>
  <w:style w:type="character" w:customStyle="1" w:styleId="normaltextrun">
    <w:name w:val="normaltextrun"/>
    <w:basedOn w:val="Fuentedeprrafopredeter"/>
    <w:rsid w:val="002C2928"/>
  </w:style>
  <w:style w:type="paragraph" w:styleId="Textosinformato">
    <w:name w:val="Plain Text"/>
    <w:basedOn w:val="Normal"/>
    <w:link w:val="TextosinformatoCar"/>
    <w:uiPriority w:val="99"/>
    <w:unhideWhenUsed/>
    <w:rsid w:val="00175A98"/>
    <w:pPr>
      <w:spacing w:after="0" w:line="240" w:lineRule="auto"/>
    </w:pPr>
    <w:rPr>
      <w:rFonts w:ascii="Calibri" w:hAnsi="Calibri" w:cstheme="minorBidi"/>
      <w:sz w:val="22"/>
      <w:szCs w:val="21"/>
      <w:lang w:val="es-MX"/>
    </w:rPr>
  </w:style>
  <w:style w:type="character" w:customStyle="1" w:styleId="TextosinformatoCar">
    <w:name w:val="Texto sin formato Car"/>
    <w:basedOn w:val="Fuentedeprrafopredeter"/>
    <w:link w:val="Textosinformato"/>
    <w:uiPriority w:val="99"/>
    <w:rsid w:val="00175A98"/>
    <w:rPr>
      <w:rFonts w:ascii="Calibri" w:hAnsi="Calibri"/>
      <w:szCs w:val="21"/>
    </w:rPr>
  </w:style>
  <w:style w:type="paragraph" w:customStyle="1" w:styleId="Style5">
    <w:name w:val="Style5"/>
    <w:basedOn w:val="Normal"/>
    <w:uiPriority w:val="99"/>
    <w:qFormat/>
    <w:rsid w:val="005217F3"/>
    <w:pPr>
      <w:widowControl w:val="0"/>
      <w:autoSpaceDE w:val="0"/>
      <w:autoSpaceDN w:val="0"/>
      <w:adjustRightInd w:val="0"/>
      <w:spacing w:after="0" w:line="278" w:lineRule="exact"/>
      <w:jc w:val="both"/>
    </w:pPr>
    <w:rPr>
      <w:rFonts w:eastAsiaTheme="minorEastAsia"/>
      <w:lang w:val="es-MX" w:eastAsia="es-MX"/>
    </w:rPr>
  </w:style>
  <w:style w:type="paragraph" w:customStyle="1" w:styleId="TEXTOLIBRE">
    <w:name w:val="TEXTO LIBRE"/>
    <w:basedOn w:val="Normal"/>
    <w:link w:val="TEXTOLIBRECar"/>
    <w:rsid w:val="005217F3"/>
    <w:pPr>
      <w:spacing w:after="0" w:line="360" w:lineRule="auto"/>
      <w:jc w:val="both"/>
    </w:pPr>
    <w:rPr>
      <w:rFonts w:eastAsia="Times New Roman" w:cs="Times New Roman"/>
      <w:sz w:val="28"/>
      <w:lang w:val="es-MX" w:eastAsia="es-ES"/>
    </w:rPr>
  </w:style>
  <w:style w:type="character" w:customStyle="1" w:styleId="TEXTOLIBRECar">
    <w:name w:val="TEXTO LIBRE Car"/>
    <w:link w:val="TEXTOLIBRE"/>
    <w:rsid w:val="005217F3"/>
    <w:rPr>
      <w:rFonts w:ascii="Arial" w:eastAsia="Times New Roman" w:hAnsi="Arial" w:cs="Times New Roman"/>
      <w:sz w:val="28"/>
      <w:szCs w:val="24"/>
      <w:lang w:eastAsia="es-ES"/>
    </w:rPr>
  </w:style>
  <w:style w:type="character" w:styleId="Mencinsinresolver">
    <w:name w:val="Unresolved Mention"/>
    <w:basedOn w:val="Fuentedeprrafopredeter"/>
    <w:uiPriority w:val="99"/>
    <w:semiHidden/>
    <w:unhideWhenUsed/>
    <w:rsid w:val="0090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1047">
      <w:bodyDiv w:val="1"/>
      <w:marLeft w:val="0"/>
      <w:marRight w:val="0"/>
      <w:marTop w:val="0"/>
      <w:marBottom w:val="0"/>
      <w:divBdr>
        <w:top w:val="none" w:sz="0" w:space="0" w:color="auto"/>
        <w:left w:val="none" w:sz="0" w:space="0" w:color="auto"/>
        <w:bottom w:val="none" w:sz="0" w:space="0" w:color="auto"/>
        <w:right w:val="none" w:sz="0" w:space="0" w:color="auto"/>
      </w:divBdr>
    </w:div>
    <w:div w:id="365520806">
      <w:bodyDiv w:val="1"/>
      <w:marLeft w:val="0"/>
      <w:marRight w:val="0"/>
      <w:marTop w:val="0"/>
      <w:marBottom w:val="0"/>
      <w:divBdr>
        <w:top w:val="none" w:sz="0" w:space="0" w:color="auto"/>
        <w:left w:val="none" w:sz="0" w:space="0" w:color="auto"/>
        <w:bottom w:val="none" w:sz="0" w:space="0" w:color="auto"/>
        <w:right w:val="none" w:sz="0" w:space="0" w:color="auto"/>
      </w:divBdr>
    </w:div>
    <w:div w:id="438572275">
      <w:bodyDiv w:val="1"/>
      <w:marLeft w:val="0"/>
      <w:marRight w:val="0"/>
      <w:marTop w:val="0"/>
      <w:marBottom w:val="0"/>
      <w:divBdr>
        <w:top w:val="none" w:sz="0" w:space="0" w:color="auto"/>
        <w:left w:val="none" w:sz="0" w:space="0" w:color="auto"/>
        <w:bottom w:val="none" w:sz="0" w:space="0" w:color="auto"/>
        <w:right w:val="none" w:sz="0" w:space="0" w:color="auto"/>
      </w:divBdr>
    </w:div>
    <w:div w:id="461774499">
      <w:bodyDiv w:val="1"/>
      <w:marLeft w:val="0"/>
      <w:marRight w:val="0"/>
      <w:marTop w:val="0"/>
      <w:marBottom w:val="0"/>
      <w:divBdr>
        <w:top w:val="none" w:sz="0" w:space="0" w:color="auto"/>
        <w:left w:val="none" w:sz="0" w:space="0" w:color="auto"/>
        <w:bottom w:val="none" w:sz="0" w:space="0" w:color="auto"/>
        <w:right w:val="none" w:sz="0" w:space="0" w:color="auto"/>
      </w:divBdr>
      <w:divsChild>
        <w:div w:id="2144886825">
          <w:marLeft w:val="0"/>
          <w:marRight w:val="0"/>
          <w:marTop w:val="0"/>
          <w:marBottom w:val="0"/>
          <w:divBdr>
            <w:top w:val="none" w:sz="0" w:space="0" w:color="auto"/>
            <w:left w:val="none" w:sz="0" w:space="0" w:color="auto"/>
            <w:bottom w:val="none" w:sz="0" w:space="0" w:color="auto"/>
            <w:right w:val="none" w:sz="0" w:space="0" w:color="auto"/>
          </w:divBdr>
        </w:div>
        <w:div w:id="395398826">
          <w:marLeft w:val="0"/>
          <w:marRight w:val="0"/>
          <w:marTop w:val="0"/>
          <w:marBottom w:val="0"/>
          <w:divBdr>
            <w:top w:val="none" w:sz="0" w:space="0" w:color="auto"/>
            <w:left w:val="none" w:sz="0" w:space="0" w:color="auto"/>
            <w:bottom w:val="none" w:sz="0" w:space="0" w:color="auto"/>
            <w:right w:val="none" w:sz="0" w:space="0" w:color="auto"/>
          </w:divBdr>
        </w:div>
        <w:div w:id="2130315732">
          <w:marLeft w:val="0"/>
          <w:marRight w:val="0"/>
          <w:marTop w:val="0"/>
          <w:marBottom w:val="0"/>
          <w:divBdr>
            <w:top w:val="none" w:sz="0" w:space="0" w:color="auto"/>
            <w:left w:val="none" w:sz="0" w:space="0" w:color="auto"/>
            <w:bottom w:val="none" w:sz="0" w:space="0" w:color="auto"/>
            <w:right w:val="none" w:sz="0" w:space="0" w:color="auto"/>
          </w:divBdr>
        </w:div>
        <w:div w:id="494106096">
          <w:marLeft w:val="0"/>
          <w:marRight w:val="0"/>
          <w:marTop w:val="0"/>
          <w:marBottom w:val="0"/>
          <w:divBdr>
            <w:top w:val="none" w:sz="0" w:space="0" w:color="auto"/>
            <w:left w:val="none" w:sz="0" w:space="0" w:color="auto"/>
            <w:bottom w:val="none" w:sz="0" w:space="0" w:color="auto"/>
            <w:right w:val="none" w:sz="0" w:space="0" w:color="auto"/>
          </w:divBdr>
        </w:div>
        <w:div w:id="843326491">
          <w:marLeft w:val="0"/>
          <w:marRight w:val="0"/>
          <w:marTop w:val="0"/>
          <w:marBottom w:val="0"/>
          <w:divBdr>
            <w:top w:val="none" w:sz="0" w:space="0" w:color="auto"/>
            <w:left w:val="none" w:sz="0" w:space="0" w:color="auto"/>
            <w:bottom w:val="none" w:sz="0" w:space="0" w:color="auto"/>
            <w:right w:val="none" w:sz="0" w:space="0" w:color="auto"/>
          </w:divBdr>
        </w:div>
        <w:div w:id="1114178936">
          <w:marLeft w:val="0"/>
          <w:marRight w:val="0"/>
          <w:marTop w:val="0"/>
          <w:marBottom w:val="0"/>
          <w:divBdr>
            <w:top w:val="none" w:sz="0" w:space="0" w:color="auto"/>
            <w:left w:val="none" w:sz="0" w:space="0" w:color="auto"/>
            <w:bottom w:val="none" w:sz="0" w:space="0" w:color="auto"/>
            <w:right w:val="none" w:sz="0" w:space="0" w:color="auto"/>
          </w:divBdr>
        </w:div>
        <w:div w:id="1280066523">
          <w:marLeft w:val="0"/>
          <w:marRight w:val="0"/>
          <w:marTop w:val="0"/>
          <w:marBottom w:val="0"/>
          <w:divBdr>
            <w:top w:val="none" w:sz="0" w:space="0" w:color="auto"/>
            <w:left w:val="none" w:sz="0" w:space="0" w:color="auto"/>
            <w:bottom w:val="none" w:sz="0" w:space="0" w:color="auto"/>
            <w:right w:val="none" w:sz="0" w:space="0" w:color="auto"/>
          </w:divBdr>
        </w:div>
        <w:div w:id="862480280">
          <w:marLeft w:val="0"/>
          <w:marRight w:val="0"/>
          <w:marTop w:val="0"/>
          <w:marBottom w:val="0"/>
          <w:divBdr>
            <w:top w:val="none" w:sz="0" w:space="0" w:color="auto"/>
            <w:left w:val="none" w:sz="0" w:space="0" w:color="auto"/>
            <w:bottom w:val="none" w:sz="0" w:space="0" w:color="auto"/>
            <w:right w:val="none" w:sz="0" w:space="0" w:color="auto"/>
          </w:divBdr>
        </w:div>
        <w:div w:id="1790277636">
          <w:marLeft w:val="0"/>
          <w:marRight w:val="0"/>
          <w:marTop w:val="0"/>
          <w:marBottom w:val="0"/>
          <w:divBdr>
            <w:top w:val="none" w:sz="0" w:space="0" w:color="auto"/>
            <w:left w:val="none" w:sz="0" w:space="0" w:color="auto"/>
            <w:bottom w:val="none" w:sz="0" w:space="0" w:color="auto"/>
            <w:right w:val="none" w:sz="0" w:space="0" w:color="auto"/>
          </w:divBdr>
        </w:div>
        <w:div w:id="1588030105">
          <w:marLeft w:val="0"/>
          <w:marRight w:val="0"/>
          <w:marTop w:val="0"/>
          <w:marBottom w:val="0"/>
          <w:divBdr>
            <w:top w:val="none" w:sz="0" w:space="0" w:color="auto"/>
            <w:left w:val="none" w:sz="0" w:space="0" w:color="auto"/>
            <w:bottom w:val="none" w:sz="0" w:space="0" w:color="auto"/>
            <w:right w:val="none" w:sz="0" w:space="0" w:color="auto"/>
          </w:divBdr>
        </w:div>
        <w:div w:id="464353976">
          <w:marLeft w:val="0"/>
          <w:marRight w:val="0"/>
          <w:marTop w:val="0"/>
          <w:marBottom w:val="0"/>
          <w:divBdr>
            <w:top w:val="none" w:sz="0" w:space="0" w:color="auto"/>
            <w:left w:val="none" w:sz="0" w:space="0" w:color="auto"/>
            <w:bottom w:val="none" w:sz="0" w:space="0" w:color="auto"/>
            <w:right w:val="none" w:sz="0" w:space="0" w:color="auto"/>
          </w:divBdr>
        </w:div>
        <w:div w:id="389960006">
          <w:marLeft w:val="0"/>
          <w:marRight w:val="0"/>
          <w:marTop w:val="0"/>
          <w:marBottom w:val="0"/>
          <w:divBdr>
            <w:top w:val="none" w:sz="0" w:space="0" w:color="auto"/>
            <w:left w:val="none" w:sz="0" w:space="0" w:color="auto"/>
            <w:bottom w:val="none" w:sz="0" w:space="0" w:color="auto"/>
            <w:right w:val="none" w:sz="0" w:space="0" w:color="auto"/>
          </w:divBdr>
        </w:div>
        <w:div w:id="389613528">
          <w:marLeft w:val="0"/>
          <w:marRight w:val="0"/>
          <w:marTop w:val="0"/>
          <w:marBottom w:val="0"/>
          <w:divBdr>
            <w:top w:val="none" w:sz="0" w:space="0" w:color="auto"/>
            <w:left w:val="none" w:sz="0" w:space="0" w:color="auto"/>
            <w:bottom w:val="none" w:sz="0" w:space="0" w:color="auto"/>
            <w:right w:val="none" w:sz="0" w:space="0" w:color="auto"/>
          </w:divBdr>
        </w:div>
        <w:div w:id="1868252482">
          <w:marLeft w:val="0"/>
          <w:marRight w:val="0"/>
          <w:marTop w:val="0"/>
          <w:marBottom w:val="0"/>
          <w:divBdr>
            <w:top w:val="none" w:sz="0" w:space="0" w:color="auto"/>
            <w:left w:val="none" w:sz="0" w:space="0" w:color="auto"/>
            <w:bottom w:val="none" w:sz="0" w:space="0" w:color="auto"/>
            <w:right w:val="none" w:sz="0" w:space="0" w:color="auto"/>
          </w:divBdr>
        </w:div>
        <w:div w:id="323094967">
          <w:marLeft w:val="0"/>
          <w:marRight w:val="0"/>
          <w:marTop w:val="0"/>
          <w:marBottom w:val="0"/>
          <w:divBdr>
            <w:top w:val="none" w:sz="0" w:space="0" w:color="auto"/>
            <w:left w:val="none" w:sz="0" w:space="0" w:color="auto"/>
            <w:bottom w:val="none" w:sz="0" w:space="0" w:color="auto"/>
            <w:right w:val="none" w:sz="0" w:space="0" w:color="auto"/>
          </w:divBdr>
        </w:div>
        <w:div w:id="1032419991">
          <w:marLeft w:val="0"/>
          <w:marRight w:val="0"/>
          <w:marTop w:val="0"/>
          <w:marBottom w:val="0"/>
          <w:divBdr>
            <w:top w:val="none" w:sz="0" w:space="0" w:color="auto"/>
            <w:left w:val="none" w:sz="0" w:space="0" w:color="auto"/>
            <w:bottom w:val="none" w:sz="0" w:space="0" w:color="auto"/>
            <w:right w:val="none" w:sz="0" w:space="0" w:color="auto"/>
          </w:divBdr>
        </w:div>
        <w:div w:id="461507825">
          <w:marLeft w:val="0"/>
          <w:marRight w:val="0"/>
          <w:marTop w:val="0"/>
          <w:marBottom w:val="0"/>
          <w:divBdr>
            <w:top w:val="none" w:sz="0" w:space="0" w:color="auto"/>
            <w:left w:val="none" w:sz="0" w:space="0" w:color="auto"/>
            <w:bottom w:val="none" w:sz="0" w:space="0" w:color="auto"/>
            <w:right w:val="none" w:sz="0" w:space="0" w:color="auto"/>
          </w:divBdr>
        </w:div>
        <w:div w:id="2115250185">
          <w:marLeft w:val="0"/>
          <w:marRight w:val="0"/>
          <w:marTop w:val="0"/>
          <w:marBottom w:val="0"/>
          <w:divBdr>
            <w:top w:val="none" w:sz="0" w:space="0" w:color="auto"/>
            <w:left w:val="none" w:sz="0" w:space="0" w:color="auto"/>
            <w:bottom w:val="none" w:sz="0" w:space="0" w:color="auto"/>
            <w:right w:val="none" w:sz="0" w:space="0" w:color="auto"/>
          </w:divBdr>
        </w:div>
        <w:div w:id="2712344">
          <w:marLeft w:val="0"/>
          <w:marRight w:val="0"/>
          <w:marTop w:val="0"/>
          <w:marBottom w:val="0"/>
          <w:divBdr>
            <w:top w:val="none" w:sz="0" w:space="0" w:color="auto"/>
            <w:left w:val="none" w:sz="0" w:space="0" w:color="auto"/>
            <w:bottom w:val="none" w:sz="0" w:space="0" w:color="auto"/>
            <w:right w:val="none" w:sz="0" w:space="0" w:color="auto"/>
          </w:divBdr>
        </w:div>
        <w:div w:id="1121726317">
          <w:marLeft w:val="0"/>
          <w:marRight w:val="0"/>
          <w:marTop w:val="0"/>
          <w:marBottom w:val="0"/>
          <w:divBdr>
            <w:top w:val="none" w:sz="0" w:space="0" w:color="auto"/>
            <w:left w:val="none" w:sz="0" w:space="0" w:color="auto"/>
            <w:bottom w:val="none" w:sz="0" w:space="0" w:color="auto"/>
            <w:right w:val="none" w:sz="0" w:space="0" w:color="auto"/>
          </w:divBdr>
        </w:div>
        <w:div w:id="663385">
          <w:marLeft w:val="0"/>
          <w:marRight w:val="0"/>
          <w:marTop w:val="0"/>
          <w:marBottom w:val="0"/>
          <w:divBdr>
            <w:top w:val="none" w:sz="0" w:space="0" w:color="auto"/>
            <w:left w:val="none" w:sz="0" w:space="0" w:color="auto"/>
            <w:bottom w:val="none" w:sz="0" w:space="0" w:color="auto"/>
            <w:right w:val="none" w:sz="0" w:space="0" w:color="auto"/>
          </w:divBdr>
        </w:div>
        <w:div w:id="861211862">
          <w:marLeft w:val="0"/>
          <w:marRight w:val="0"/>
          <w:marTop w:val="0"/>
          <w:marBottom w:val="0"/>
          <w:divBdr>
            <w:top w:val="none" w:sz="0" w:space="0" w:color="auto"/>
            <w:left w:val="none" w:sz="0" w:space="0" w:color="auto"/>
            <w:bottom w:val="none" w:sz="0" w:space="0" w:color="auto"/>
            <w:right w:val="none" w:sz="0" w:space="0" w:color="auto"/>
          </w:divBdr>
        </w:div>
        <w:div w:id="1904676540">
          <w:marLeft w:val="0"/>
          <w:marRight w:val="0"/>
          <w:marTop w:val="0"/>
          <w:marBottom w:val="0"/>
          <w:divBdr>
            <w:top w:val="none" w:sz="0" w:space="0" w:color="auto"/>
            <w:left w:val="none" w:sz="0" w:space="0" w:color="auto"/>
            <w:bottom w:val="none" w:sz="0" w:space="0" w:color="auto"/>
            <w:right w:val="none" w:sz="0" w:space="0" w:color="auto"/>
          </w:divBdr>
        </w:div>
        <w:div w:id="1036781951">
          <w:marLeft w:val="0"/>
          <w:marRight w:val="0"/>
          <w:marTop w:val="0"/>
          <w:marBottom w:val="0"/>
          <w:divBdr>
            <w:top w:val="none" w:sz="0" w:space="0" w:color="auto"/>
            <w:left w:val="none" w:sz="0" w:space="0" w:color="auto"/>
            <w:bottom w:val="none" w:sz="0" w:space="0" w:color="auto"/>
            <w:right w:val="none" w:sz="0" w:space="0" w:color="auto"/>
          </w:divBdr>
        </w:div>
        <w:div w:id="1212183300">
          <w:marLeft w:val="0"/>
          <w:marRight w:val="0"/>
          <w:marTop w:val="0"/>
          <w:marBottom w:val="0"/>
          <w:divBdr>
            <w:top w:val="none" w:sz="0" w:space="0" w:color="auto"/>
            <w:left w:val="none" w:sz="0" w:space="0" w:color="auto"/>
            <w:bottom w:val="none" w:sz="0" w:space="0" w:color="auto"/>
            <w:right w:val="none" w:sz="0" w:space="0" w:color="auto"/>
          </w:divBdr>
        </w:div>
        <w:div w:id="2064674455">
          <w:marLeft w:val="0"/>
          <w:marRight w:val="0"/>
          <w:marTop w:val="0"/>
          <w:marBottom w:val="0"/>
          <w:divBdr>
            <w:top w:val="none" w:sz="0" w:space="0" w:color="auto"/>
            <w:left w:val="none" w:sz="0" w:space="0" w:color="auto"/>
            <w:bottom w:val="none" w:sz="0" w:space="0" w:color="auto"/>
            <w:right w:val="none" w:sz="0" w:space="0" w:color="auto"/>
          </w:divBdr>
        </w:div>
        <w:div w:id="1048648907">
          <w:marLeft w:val="0"/>
          <w:marRight w:val="0"/>
          <w:marTop w:val="0"/>
          <w:marBottom w:val="0"/>
          <w:divBdr>
            <w:top w:val="none" w:sz="0" w:space="0" w:color="auto"/>
            <w:left w:val="none" w:sz="0" w:space="0" w:color="auto"/>
            <w:bottom w:val="none" w:sz="0" w:space="0" w:color="auto"/>
            <w:right w:val="none" w:sz="0" w:space="0" w:color="auto"/>
          </w:divBdr>
        </w:div>
        <w:div w:id="870918336">
          <w:marLeft w:val="0"/>
          <w:marRight w:val="0"/>
          <w:marTop w:val="0"/>
          <w:marBottom w:val="0"/>
          <w:divBdr>
            <w:top w:val="none" w:sz="0" w:space="0" w:color="auto"/>
            <w:left w:val="none" w:sz="0" w:space="0" w:color="auto"/>
            <w:bottom w:val="none" w:sz="0" w:space="0" w:color="auto"/>
            <w:right w:val="none" w:sz="0" w:space="0" w:color="auto"/>
          </w:divBdr>
        </w:div>
        <w:div w:id="1801337926">
          <w:marLeft w:val="0"/>
          <w:marRight w:val="0"/>
          <w:marTop w:val="0"/>
          <w:marBottom w:val="0"/>
          <w:divBdr>
            <w:top w:val="none" w:sz="0" w:space="0" w:color="auto"/>
            <w:left w:val="none" w:sz="0" w:space="0" w:color="auto"/>
            <w:bottom w:val="none" w:sz="0" w:space="0" w:color="auto"/>
            <w:right w:val="none" w:sz="0" w:space="0" w:color="auto"/>
          </w:divBdr>
        </w:div>
        <w:div w:id="1702440399">
          <w:marLeft w:val="0"/>
          <w:marRight w:val="0"/>
          <w:marTop w:val="0"/>
          <w:marBottom w:val="0"/>
          <w:divBdr>
            <w:top w:val="none" w:sz="0" w:space="0" w:color="auto"/>
            <w:left w:val="none" w:sz="0" w:space="0" w:color="auto"/>
            <w:bottom w:val="none" w:sz="0" w:space="0" w:color="auto"/>
            <w:right w:val="none" w:sz="0" w:space="0" w:color="auto"/>
          </w:divBdr>
        </w:div>
        <w:div w:id="105278388">
          <w:marLeft w:val="0"/>
          <w:marRight w:val="0"/>
          <w:marTop w:val="0"/>
          <w:marBottom w:val="0"/>
          <w:divBdr>
            <w:top w:val="none" w:sz="0" w:space="0" w:color="auto"/>
            <w:left w:val="none" w:sz="0" w:space="0" w:color="auto"/>
            <w:bottom w:val="none" w:sz="0" w:space="0" w:color="auto"/>
            <w:right w:val="none" w:sz="0" w:space="0" w:color="auto"/>
          </w:divBdr>
        </w:div>
        <w:div w:id="2078166028">
          <w:marLeft w:val="0"/>
          <w:marRight w:val="0"/>
          <w:marTop w:val="0"/>
          <w:marBottom w:val="0"/>
          <w:divBdr>
            <w:top w:val="none" w:sz="0" w:space="0" w:color="auto"/>
            <w:left w:val="none" w:sz="0" w:space="0" w:color="auto"/>
            <w:bottom w:val="none" w:sz="0" w:space="0" w:color="auto"/>
            <w:right w:val="none" w:sz="0" w:space="0" w:color="auto"/>
          </w:divBdr>
        </w:div>
        <w:div w:id="302538646">
          <w:marLeft w:val="0"/>
          <w:marRight w:val="0"/>
          <w:marTop w:val="0"/>
          <w:marBottom w:val="0"/>
          <w:divBdr>
            <w:top w:val="none" w:sz="0" w:space="0" w:color="auto"/>
            <w:left w:val="none" w:sz="0" w:space="0" w:color="auto"/>
            <w:bottom w:val="none" w:sz="0" w:space="0" w:color="auto"/>
            <w:right w:val="none" w:sz="0" w:space="0" w:color="auto"/>
          </w:divBdr>
        </w:div>
        <w:div w:id="649292630">
          <w:marLeft w:val="0"/>
          <w:marRight w:val="0"/>
          <w:marTop w:val="0"/>
          <w:marBottom w:val="0"/>
          <w:divBdr>
            <w:top w:val="none" w:sz="0" w:space="0" w:color="auto"/>
            <w:left w:val="none" w:sz="0" w:space="0" w:color="auto"/>
            <w:bottom w:val="none" w:sz="0" w:space="0" w:color="auto"/>
            <w:right w:val="none" w:sz="0" w:space="0" w:color="auto"/>
          </w:divBdr>
        </w:div>
        <w:div w:id="2034720633">
          <w:marLeft w:val="0"/>
          <w:marRight w:val="0"/>
          <w:marTop w:val="0"/>
          <w:marBottom w:val="0"/>
          <w:divBdr>
            <w:top w:val="none" w:sz="0" w:space="0" w:color="auto"/>
            <w:left w:val="none" w:sz="0" w:space="0" w:color="auto"/>
            <w:bottom w:val="none" w:sz="0" w:space="0" w:color="auto"/>
            <w:right w:val="none" w:sz="0" w:space="0" w:color="auto"/>
          </w:divBdr>
        </w:div>
        <w:div w:id="1472675360">
          <w:marLeft w:val="0"/>
          <w:marRight w:val="0"/>
          <w:marTop w:val="0"/>
          <w:marBottom w:val="0"/>
          <w:divBdr>
            <w:top w:val="none" w:sz="0" w:space="0" w:color="auto"/>
            <w:left w:val="none" w:sz="0" w:space="0" w:color="auto"/>
            <w:bottom w:val="none" w:sz="0" w:space="0" w:color="auto"/>
            <w:right w:val="none" w:sz="0" w:space="0" w:color="auto"/>
          </w:divBdr>
        </w:div>
        <w:div w:id="1508985369">
          <w:marLeft w:val="0"/>
          <w:marRight w:val="0"/>
          <w:marTop w:val="0"/>
          <w:marBottom w:val="0"/>
          <w:divBdr>
            <w:top w:val="none" w:sz="0" w:space="0" w:color="auto"/>
            <w:left w:val="none" w:sz="0" w:space="0" w:color="auto"/>
            <w:bottom w:val="none" w:sz="0" w:space="0" w:color="auto"/>
            <w:right w:val="none" w:sz="0" w:space="0" w:color="auto"/>
          </w:divBdr>
        </w:div>
        <w:div w:id="1339969657">
          <w:marLeft w:val="0"/>
          <w:marRight w:val="0"/>
          <w:marTop w:val="0"/>
          <w:marBottom w:val="0"/>
          <w:divBdr>
            <w:top w:val="none" w:sz="0" w:space="0" w:color="auto"/>
            <w:left w:val="none" w:sz="0" w:space="0" w:color="auto"/>
            <w:bottom w:val="none" w:sz="0" w:space="0" w:color="auto"/>
            <w:right w:val="none" w:sz="0" w:space="0" w:color="auto"/>
          </w:divBdr>
        </w:div>
        <w:div w:id="1681463444">
          <w:marLeft w:val="0"/>
          <w:marRight w:val="0"/>
          <w:marTop w:val="0"/>
          <w:marBottom w:val="0"/>
          <w:divBdr>
            <w:top w:val="none" w:sz="0" w:space="0" w:color="auto"/>
            <w:left w:val="none" w:sz="0" w:space="0" w:color="auto"/>
            <w:bottom w:val="none" w:sz="0" w:space="0" w:color="auto"/>
            <w:right w:val="none" w:sz="0" w:space="0" w:color="auto"/>
          </w:divBdr>
        </w:div>
        <w:div w:id="2087801541">
          <w:marLeft w:val="0"/>
          <w:marRight w:val="0"/>
          <w:marTop w:val="0"/>
          <w:marBottom w:val="0"/>
          <w:divBdr>
            <w:top w:val="none" w:sz="0" w:space="0" w:color="auto"/>
            <w:left w:val="none" w:sz="0" w:space="0" w:color="auto"/>
            <w:bottom w:val="none" w:sz="0" w:space="0" w:color="auto"/>
            <w:right w:val="none" w:sz="0" w:space="0" w:color="auto"/>
          </w:divBdr>
        </w:div>
        <w:div w:id="1787433104">
          <w:marLeft w:val="0"/>
          <w:marRight w:val="0"/>
          <w:marTop w:val="0"/>
          <w:marBottom w:val="0"/>
          <w:divBdr>
            <w:top w:val="none" w:sz="0" w:space="0" w:color="auto"/>
            <w:left w:val="none" w:sz="0" w:space="0" w:color="auto"/>
            <w:bottom w:val="none" w:sz="0" w:space="0" w:color="auto"/>
            <w:right w:val="none" w:sz="0" w:space="0" w:color="auto"/>
          </w:divBdr>
        </w:div>
        <w:div w:id="1822306727">
          <w:marLeft w:val="0"/>
          <w:marRight w:val="0"/>
          <w:marTop w:val="0"/>
          <w:marBottom w:val="0"/>
          <w:divBdr>
            <w:top w:val="none" w:sz="0" w:space="0" w:color="auto"/>
            <w:left w:val="none" w:sz="0" w:space="0" w:color="auto"/>
            <w:bottom w:val="none" w:sz="0" w:space="0" w:color="auto"/>
            <w:right w:val="none" w:sz="0" w:space="0" w:color="auto"/>
          </w:divBdr>
        </w:div>
        <w:div w:id="1780683876">
          <w:marLeft w:val="0"/>
          <w:marRight w:val="0"/>
          <w:marTop w:val="0"/>
          <w:marBottom w:val="0"/>
          <w:divBdr>
            <w:top w:val="none" w:sz="0" w:space="0" w:color="auto"/>
            <w:left w:val="none" w:sz="0" w:space="0" w:color="auto"/>
            <w:bottom w:val="none" w:sz="0" w:space="0" w:color="auto"/>
            <w:right w:val="none" w:sz="0" w:space="0" w:color="auto"/>
          </w:divBdr>
        </w:div>
        <w:div w:id="1312827137">
          <w:marLeft w:val="0"/>
          <w:marRight w:val="0"/>
          <w:marTop w:val="0"/>
          <w:marBottom w:val="0"/>
          <w:divBdr>
            <w:top w:val="none" w:sz="0" w:space="0" w:color="auto"/>
            <w:left w:val="none" w:sz="0" w:space="0" w:color="auto"/>
            <w:bottom w:val="none" w:sz="0" w:space="0" w:color="auto"/>
            <w:right w:val="none" w:sz="0" w:space="0" w:color="auto"/>
          </w:divBdr>
        </w:div>
        <w:div w:id="1852141613">
          <w:marLeft w:val="0"/>
          <w:marRight w:val="0"/>
          <w:marTop w:val="0"/>
          <w:marBottom w:val="0"/>
          <w:divBdr>
            <w:top w:val="none" w:sz="0" w:space="0" w:color="auto"/>
            <w:left w:val="none" w:sz="0" w:space="0" w:color="auto"/>
            <w:bottom w:val="none" w:sz="0" w:space="0" w:color="auto"/>
            <w:right w:val="none" w:sz="0" w:space="0" w:color="auto"/>
          </w:divBdr>
        </w:div>
        <w:div w:id="359934609">
          <w:marLeft w:val="0"/>
          <w:marRight w:val="0"/>
          <w:marTop w:val="0"/>
          <w:marBottom w:val="0"/>
          <w:divBdr>
            <w:top w:val="none" w:sz="0" w:space="0" w:color="auto"/>
            <w:left w:val="none" w:sz="0" w:space="0" w:color="auto"/>
            <w:bottom w:val="none" w:sz="0" w:space="0" w:color="auto"/>
            <w:right w:val="none" w:sz="0" w:space="0" w:color="auto"/>
          </w:divBdr>
        </w:div>
        <w:div w:id="163057970">
          <w:marLeft w:val="0"/>
          <w:marRight w:val="0"/>
          <w:marTop w:val="0"/>
          <w:marBottom w:val="0"/>
          <w:divBdr>
            <w:top w:val="none" w:sz="0" w:space="0" w:color="auto"/>
            <w:left w:val="none" w:sz="0" w:space="0" w:color="auto"/>
            <w:bottom w:val="none" w:sz="0" w:space="0" w:color="auto"/>
            <w:right w:val="none" w:sz="0" w:space="0" w:color="auto"/>
          </w:divBdr>
        </w:div>
        <w:div w:id="1045326644">
          <w:marLeft w:val="0"/>
          <w:marRight w:val="0"/>
          <w:marTop w:val="0"/>
          <w:marBottom w:val="0"/>
          <w:divBdr>
            <w:top w:val="none" w:sz="0" w:space="0" w:color="auto"/>
            <w:left w:val="none" w:sz="0" w:space="0" w:color="auto"/>
            <w:bottom w:val="none" w:sz="0" w:space="0" w:color="auto"/>
            <w:right w:val="none" w:sz="0" w:space="0" w:color="auto"/>
          </w:divBdr>
        </w:div>
        <w:div w:id="1457092837">
          <w:marLeft w:val="0"/>
          <w:marRight w:val="0"/>
          <w:marTop w:val="0"/>
          <w:marBottom w:val="0"/>
          <w:divBdr>
            <w:top w:val="none" w:sz="0" w:space="0" w:color="auto"/>
            <w:left w:val="none" w:sz="0" w:space="0" w:color="auto"/>
            <w:bottom w:val="none" w:sz="0" w:space="0" w:color="auto"/>
            <w:right w:val="none" w:sz="0" w:space="0" w:color="auto"/>
          </w:divBdr>
        </w:div>
        <w:div w:id="110174342">
          <w:marLeft w:val="0"/>
          <w:marRight w:val="0"/>
          <w:marTop w:val="0"/>
          <w:marBottom w:val="0"/>
          <w:divBdr>
            <w:top w:val="none" w:sz="0" w:space="0" w:color="auto"/>
            <w:left w:val="none" w:sz="0" w:space="0" w:color="auto"/>
            <w:bottom w:val="none" w:sz="0" w:space="0" w:color="auto"/>
            <w:right w:val="none" w:sz="0" w:space="0" w:color="auto"/>
          </w:divBdr>
        </w:div>
        <w:div w:id="1000229343">
          <w:marLeft w:val="0"/>
          <w:marRight w:val="0"/>
          <w:marTop w:val="0"/>
          <w:marBottom w:val="0"/>
          <w:divBdr>
            <w:top w:val="none" w:sz="0" w:space="0" w:color="auto"/>
            <w:left w:val="none" w:sz="0" w:space="0" w:color="auto"/>
            <w:bottom w:val="none" w:sz="0" w:space="0" w:color="auto"/>
            <w:right w:val="none" w:sz="0" w:space="0" w:color="auto"/>
          </w:divBdr>
        </w:div>
        <w:div w:id="545259709">
          <w:marLeft w:val="0"/>
          <w:marRight w:val="0"/>
          <w:marTop w:val="0"/>
          <w:marBottom w:val="0"/>
          <w:divBdr>
            <w:top w:val="none" w:sz="0" w:space="0" w:color="auto"/>
            <w:left w:val="none" w:sz="0" w:space="0" w:color="auto"/>
            <w:bottom w:val="none" w:sz="0" w:space="0" w:color="auto"/>
            <w:right w:val="none" w:sz="0" w:space="0" w:color="auto"/>
          </w:divBdr>
        </w:div>
        <w:div w:id="1636178165">
          <w:marLeft w:val="0"/>
          <w:marRight w:val="0"/>
          <w:marTop w:val="0"/>
          <w:marBottom w:val="0"/>
          <w:divBdr>
            <w:top w:val="none" w:sz="0" w:space="0" w:color="auto"/>
            <w:left w:val="none" w:sz="0" w:space="0" w:color="auto"/>
            <w:bottom w:val="none" w:sz="0" w:space="0" w:color="auto"/>
            <w:right w:val="none" w:sz="0" w:space="0" w:color="auto"/>
          </w:divBdr>
        </w:div>
        <w:div w:id="74400336">
          <w:marLeft w:val="0"/>
          <w:marRight w:val="0"/>
          <w:marTop w:val="0"/>
          <w:marBottom w:val="0"/>
          <w:divBdr>
            <w:top w:val="none" w:sz="0" w:space="0" w:color="auto"/>
            <w:left w:val="none" w:sz="0" w:space="0" w:color="auto"/>
            <w:bottom w:val="none" w:sz="0" w:space="0" w:color="auto"/>
            <w:right w:val="none" w:sz="0" w:space="0" w:color="auto"/>
          </w:divBdr>
        </w:div>
        <w:div w:id="502162239">
          <w:marLeft w:val="0"/>
          <w:marRight w:val="0"/>
          <w:marTop w:val="0"/>
          <w:marBottom w:val="0"/>
          <w:divBdr>
            <w:top w:val="none" w:sz="0" w:space="0" w:color="auto"/>
            <w:left w:val="none" w:sz="0" w:space="0" w:color="auto"/>
            <w:bottom w:val="none" w:sz="0" w:space="0" w:color="auto"/>
            <w:right w:val="none" w:sz="0" w:space="0" w:color="auto"/>
          </w:divBdr>
        </w:div>
        <w:div w:id="77748457">
          <w:marLeft w:val="0"/>
          <w:marRight w:val="0"/>
          <w:marTop w:val="0"/>
          <w:marBottom w:val="0"/>
          <w:divBdr>
            <w:top w:val="none" w:sz="0" w:space="0" w:color="auto"/>
            <w:left w:val="none" w:sz="0" w:space="0" w:color="auto"/>
            <w:bottom w:val="none" w:sz="0" w:space="0" w:color="auto"/>
            <w:right w:val="none" w:sz="0" w:space="0" w:color="auto"/>
          </w:divBdr>
        </w:div>
        <w:div w:id="376778564">
          <w:marLeft w:val="0"/>
          <w:marRight w:val="0"/>
          <w:marTop w:val="0"/>
          <w:marBottom w:val="0"/>
          <w:divBdr>
            <w:top w:val="none" w:sz="0" w:space="0" w:color="auto"/>
            <w:left w:val="none" w:sz="0" w:space="0" w:color="auto"/>
            <w:bottom w:val="none" w:sz="0" w:space="0" w:color="auto"/>
            <w:right w:val="none" w:sz="0" w:space="0" w:color="auto"/>
          </w:divBdr>
        </w:div>
        <w:div w:id="1532839380">
          <w:marLeft w:val="0"/>
          <w:marRight w:val="0"/>
          <w:marTop w:val="0"/>
          <w:marBottom w:val="0"/>
          <w:divBdr>
            <w:top w:val="none" w:sz="0" w:space="0" w:color="auto"/>
            <w:left w:val="none" w:sz="0" w:space="0" w:color="auto"/>
            <w:bottom w:val="none" w:sz="0" w:space="0" w:color="auto"/>
            <w:right w:val="none" w:sz="0" w:space="0" w:color="auto"/>
          </w:divBdr>
        </w:div>
        <w:div w:id="1605729163">
          <w:marLeft w:val="0"/>
          <w:marRight w:val="0"/>
          <w:marTop w:val="0"/>
          <w:marBottom w:val="0"/>
          <w:divBdr>
            <w:top w:val="none" w:sz="0" w:space="0" w:color="auto"/>
            <w:left w:val="none" w:sz="0" w:space="0" w:color="auto"/>
            <w:bottom w:val="none" w:sz="0" w:space="0" w:color="auto"/>
            <w:right w:val="none" w:sz="0" w:space="0" w:color="auto"/>
          </w:divBdr>
        </w:div>
        <w:div w:id="936138739">
          <w:marLeft w:val="0"/>
          <w:marRight w:val="0"/>
          <w:marTop w:val="0"/>
          <w:marBottom w:val="0"/>
          <w:divBdr>
            <w:top w:val="none" w:sz="0" w:space="0" w:color="auto"/>
            <w:left w:val="none" w:sz="0" w:space="0" w:color="auto"/>
            <w:bottom w:val="none" w:sz="0" w:space="0" w:color="auto"/>
            <w:right w:val="none" w:sz="0" w:space="0" w:color="auto"/>
          </w:divBdr>
        </w:div>
        <w:div w:id="464738722">
          <w:marLeft w:val="0"/>
          <w:marRight w:val="0"/>
          <w:marTop w:val="0"/>
          <w:marBottom w:val="0"/>
          <w:divBdr>
            <w:top w:val="none" w:sz="0" w:space="0" w:color="auto"/>
            <w:left w:val="none" w:sz="0" w:space="0" w:color="auto"/>
            <w:bottom w:val="none" w:sz="0" w:space="0" w:color="auto"/>
            <w:right w:val="none" w:sz="0" w:space="0" w:color="auto"/>
          </w:divBdr>
        </w:div>
        <w:div w:id="925964045">
          <w:marLeft w:val="0"/>
          <w:marRight w:val="0"/>
          <w:marTop w:val="0"/>
          <w:marBottom w:val="0"/>
          <w:divBdr>
            <w:top w:val="none" w:sz="0" w:space="0" w:color="auto"/>
            <w:left w:val="none" w:sz="0" w:space="0" w:color="auto"/>
            <w:bottom w:val="none" w:sz="0" w:space="0" w:color="auto"/>
            <w:right w:val="none" w:sz="0" w:space="0" w:color="auto"/>
          </w:divBdr>
        </w:div>
        <w:div w:id="1861121422">
          <w:marLeft w:val="0"/>
          <w:marRight w:val="0"/>
          <w:marTop w:val="0"/>
          <w:marBottom w:val="0"/>
          <w:divBdr>
            <w:top w:val="none" w:sz="0" w:space="0" w:color="auto"/>
            <w:left w:val="none" w:sz="0" w:space="0" w:color="auto"/>
            <w:bottom w:val="none" w:sz="0" w:space="0" w:color="auto"/>
            <w:right w:val="none" w:sz="0" w:space="0" w:color="auto"/>
          </w:divBdr>
        </w:div>
        <w:div w:id="2127044558">
          <w:marLeft w:val="0"/>
          <w:marRight w:val="0"/>
          <w:marTop w:val="0"/>
          <w:marBottom w:val="0"/>
          <w:divBdr>
            <w:top w:val="none" w:sz="0" w:space="0" w:color="auto"/>
            <w:left w:val="none" w:sz="0" w:space="0" w:color="auto"/>
            <w:bottom w:val="none" w:sz="0" w:space="0" w:color="auto"/>
            <w:right w:val="none" w:sz="0" w:space="0" w:color="auto"/>
          </w:divBdr>
        </w:div>
        <w:div w:id="1033069139">
          <w:marLeft w:val="0"/>
          <w:marRight w:val="0"/>
          <w:marTop w:val="0"/>
          <w:marBottom w:val="0"/>
          <w:divBdr>
            <w:top w:val="none" w:sz="0" w:space="0" w:color="auto"/>
            <w:left w:val="none" w:sz="0" w:space="0" w:color="auto"/>
            <w:bottom w:val="none" w:sz="0" w:space="0" w:color="auto"/>
            <w:right w:val="none" w:sz="0" w:space="0" w:color="auto"/>
          </w:divBdr>
        </w:div>
        <w:div w:id="822813012">
          <w:marLeft w:val="0"/>
          <w:marRight w:val="0"/>
          <w:marTop w:val="0"/>
          <w:marBottom w:val="0"/>
          <w:divBdr>
            <w:top w:val="none" w:sz="0" w:space="0" w:color="auto"/>
            <w:left w:val="none" w:sz="0" w:space="0" w:color="auto"/>
            <w:bottom w:val="none" w:sz="0" w:space="0" w:color="auto"/>
            <w:right w:val="none" w:sz="0" w:space="0" w:color="auto"/>
          </w:divBdr>
        </w:div>
      </w:divsChild>
    </w:div>
    <w:div w:id="543519116">
      <w:bodyDiv w:val="1"/>
      <w:marLeft w:val="0"/>
      <w:marRight w:val="0"/>
      <w:marTop w:val="0"/>
      <w:marBottom w:val="0"/>
      <w:divBdr>
        <w:top w:val="none" w:sz="0" w:space="0" w:color="auto"/>
        <w:left w:val="none" w:sz="0" w:space="0" w:color="auto"/>
        <w:bottom w:val="none" w:sz="0" w:space="0" w:color="auto"/>
        <w:right w:val="none" w:sz="0" w:space="0" w:color="auto"/>
      </w:divBdr>
    </w:div>
    <w:div w:id="774330504">
      <w:bodyDiv w:val="1"/>
      <w:marLeft w:val="0"/>
      <w:marRight w:val="0"/>
      <w:marTop w:val="0"/>
      <w:marBottom w:val="0"/>
      <w:divBdr>
        <w:top w:val="none" w:sz="0" w:space="0" w:color="auto"/>
        <w:left w:val="none" w:sz="0" w:space="0" w:color="auto"/>
        <w:bottom w:val="none" w:sz="0" w:space="0" w:color="auto"/>
        <w:right w:val="none" w:sz="0" w:space="0" w:color="auto"/>
      </w:divBdr>
    </w:div>
    <w:div w:id="804396365">
      <w:bodyDiv w:val="1"/>
      <w:marLeft w:val="0"/>
      <w:marRight w:val="0"/>
      <w:marTop w:val="0"/>
      <w:marBottom w:val="0"/>
      <w:divBdr>
        <w:top w:val="none" w:sz="0" w:space="0" w:color="auto"/>
        <w:left w:val="none" w:sz="0" w:space="0" w:color="auto"/>
        <w:bottom w:val="none" w:sz="0" w:space="0" w:color="auto"/>
        <w:right w:val="none" w:sz="0" w:space="0" w:color="auto"/>
      </w:divBdr>
    </w:div>
    <w:div w:id="1102798194">
      <w:bodyDiv w:val="1"/>
      <w:marLeft w:val="0"/>
      <w:marRight w:val="0"/>
      <w:marTop w:val="0"/>
      <w:marBottom w:val="0"/>
      <w:divBdr>
        <w:top w:val="none" w:sz="0" w:space="0" w:color="auto"/>
        <w:left w:val="none" w:sz="0" w:space="0" w:color="auto"/>
        <w:bottom w:val="none" w:sz="0" w:space="0" w:color="auto"/>
        <w:right w:val="none" w:sz="0" w:space="0" w:color="auto"/>
      </w:divBdr>
    </w:div>
    <w:div w:id="1333025261">
      <w:bodyDiv w:val="1"/>
      <w:marLeft w:val="0"/>
      <w:marRight w:val="0"/>
      <w:marTop w:val="0"/>
      <w:marBottom w:val="0"/>
      <w:divBdr>
        <w:top w:val="none" w:sz="0" w:space="0" w:color="auto"/>
        <w:left w:val="none" w:sz="0" w:space="0" w:color="auto"/>
        <w:bottom w:val="none" w:sz="0" w:space="0" w:color="auto"/>
        <w:right w:val="none" w:sz="0" w:space="0" w:color="auto"/>
      </w:divBdr>
    </w:div>
    <w:div w:id="1553272127">
      <w:bodyDiv w:val="1"/>
      <w:marLeft w:val="0"/>
      <w:marRight w:val="0"/>
      <w:marTop w:val="0"/>
      <w:marBottom w:val="0"/>
      <w:divBdr>
        <w:top w:val="none" w:sz="0" w:space="0" w:color="auto"/>
        <w:left w:val="none" w:sz="0" w:space="0" w:color="auto"/>
        <w:bottom w:val="none" w:sz="0" w:space="0" w:color="auto"/>
        <w:right w:val="none" w:sz="0" w:space="0" w:color="auto"/>
      </w:divBdr>
    </w:div>
    <w:div w:id="18696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orena.si/wp-content/uploads/2021/01/GF_CONV_NAC_30ENE21_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637C779D61F14F93C6A32758F3737A" ma:contentTypeVersion="5" ma:contentTypeDescription="Crear nuevo documento." ma:contentTypeScope="" ma:versionID="48da8f0754938639c9dea661e2b7dcb5">
  <xsd:schema xmlns:xsd="http://www.w3.org/2001/XMLSchema" xmlns:xs="http://www.w3.org/2001/XMLSchema" xmlns:p="http://schemas.microsoft.com/office/2006/metadata/properties" xmlns:ns3="54ca4589-a5d9-4120-8c40-ae59a1a5bbc3" xmlns:ns4="482a1bec-9175-44e4-8f54-64b615453d73" targetNamespace="http://schemas.microsoft.com/office/2006/metadata/properties" ma:root="true" ma:fieldsID="8fb828f5b37ce31a038fda98c1d311e5" ns3:_="" ns4:_="">
    <xsd:import namespace="54ca4589-a5d9-4120-8c40-ae59a1a5bbc3"/>
    <xsd:import namespace="482a1bec-9175-44e4-8f54-64b615453d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a4589-a5d9-4120-8c40-ae59a1a5b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a1bec-9175-44e4-8f54-64b615453d7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CF22-262B-4CCE-BCF1-10F22D2B80B2}">
  <ds:schemaRefs>
    <ds:schemaRef ds:uri="http://schemas.microsoft.com/sharepoint/v3/contenttype/forms"/>
  </ds:schemaRefs>
</ds:datastoreItem>
</file>

<file path=customXml/itemProps2.xml><?xml version="1.0" encoding="utf-8"?>
<ds:datastoreItem xmlns:ds="http://schemas.openxmlformats.org/officeDocument/2006/customXml" ds:itemID="{AF93A24B-3370-4ED1-9FEB-D08D331C1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99DFA-9114-43CB-AFBE-39478764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a4589-a5d9-4120-8c40-ae59a1a5bbc3"/>
    <ds:schemaRef ds:uri="482a1bec-9175-44e4-8f54-64b615453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F783E-D4BC-4232-ACA8-007A5DAD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1982</Words>
  <Characters>10902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12859</CharactersWithSpaces>
  <SharedDoc>false</SharedDoc>
  <HLinks>
    <vt:vector size="48" baseType="variant">
      <vt:variant>
        <vt:i4>1245246</vt:i4>
      </vt:variant>
      <vt:variant>
        <vt:i4>41</vt:i4>
      </vt:variant>
      <vt:variant>
        <vt:i4>0</vt:i4>
      </vt:variant>
      <vt:variant>
        <vt:i4>5</vt:i4>
      </vt:variant>
      <vt:variant>
        <vt:lpwstr/>
      </vt:variant>
      <vt:variant>
        <vt:lpwstr>_Toc57407281</vt:lpwstr>
      </vt:variant>
      <vt:variant>
        <vt:i4>1179710</vt:i4>
      </vt:variant>
      <vt:variant>
        <vt:i4>35</vt:i4>
      </vt:variant>
      <vt:variant>
        <vt:i4>0</vt:i4>
      </vt:variant>
      <vt:variant>
        <vt:i4>5</vt:i4>
      </vt:variant>
      <vt:variant>
        <vt:lpwstr/>
      </vt:variant>
      <vt:variant>
        <vt:lpwstr>_Toc57407280</vt:lpwstr>
      </vt:variant>
      <vt:variant>
        <vt:i4>1769521</vt:i4>
      </vt:variant>
      <vt:variant>
        <vt:i4>29</vt:i4>
      </vt:variant>
      <vt:variant>
        <vt:i4>0</vt:i4>
      </vt:variant>
      <vt:variant>
        <vt:i4>5</vt:i4>
      </vt:variant>
      <vt:variant>
        <vt:lpwstr/>
      </vt:variant>
      <vt:variant>
        <vt:lpwstr>_Toc57407279</vt:lpwstr>
      </vt:variant>
      <vt:variant>
        <vt:i4>1703985</vt:i4>
      </vt:variant>
      <vt:variant>
        <vt:i4>23</vt:i4>
      </vt:variant>
      <vt:variant>
        <vt:i4>0</vt:i4>
      </vt:variant>
      <vt:variant>
        <vt:i4>5</vt:i4>
      </vt:variant>
      <vt:variant>
        <vt:lpwstr/>
      </vt:variant>
      <vt:variant>
        <vt:lpwstr>_Toc57407278</vt:lpwstr>
      </vt:variant>
      <vt:variant>
        <vt:i4>1376305</vt:i4>
      </vt:variant>
      <vt:variant>
        <vt:i4>17</vt:i4>
      </vt:variant>
      <vt:variant>
        <vt:i4>0</vt:i4>
      </vt:variant>
      <vt:variant>
        <vt:i4>5</vt:i4>
      </vt:variant>
      <vt:variant>
        <vt:lpwstr/>
      </vt:variant>
      <vt:variant>
        <vt:lpwstr>_Toc57407277</vt:lpwstr>
      </vt:variant>
      <vt:variant>
        <vt:i4>1507377</vt:i4>
      </vt:variant>
      <vt:variant>
        <vt:i4>14</vt:i4>
      </vt:variant>
      <vt:variant>
        <vt:i4>0</vt:i4>
      </vt:variant>
      <vt:variant>
        <vt:i4>5</vt:i4>
      </vt:variant>
      <vt:variant>
        <vt:lpwstr/>
      </vt:variant>
      <vt:variant>
        <vt:lpwstr>_Toc57407275</vt:lpwstr>
      </vt:variant>
      <vt:variant>
        <vt:i4>1310769</vt:i4>
      </vt:variant>
      <vt:variant>
        <vt:i4>8</vt:i4>
      </vt:variant>
      <vt:variant>
        <vt:i4>0</vt:i4>
      </vt:variant>
      <vt:variant>
        <vt:i4>5</vt:i4>
      </vt:variant>
      <vt:variant>
        <vt:lpwstr/>
      </vt:variant>
      <vt:variant>
        <vt:lpwstr>_Toc57407276</vt:lpwstr>
      </vt:variant>
      <vt:variant>
        <vt:i4>1441841</vt:i4>
      </vt:variant>
      <vt:variant>
        <vt:i4>2</vt:i4>
      </vt:variant>
      <vt:variant>
        <vt:i4>0</vt:i4>
      </vt:variant>
      <vt:variant>
        <vt:i4>5</vt:i4>
      </vt:variant>
      <vt:variant>
        <vt:lpwstr/>
      </vt:variant>
      <vt:variant>
        <vt:lpwstr>_Toc57407274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Sergio Carlos Robles Gutiérrez</cp:lastModifiedBy>
  <cp:revision>12</cp:revision>
  <cp:lastPrinted>2021-06-09T18:35:00Z</cp:lastPrinted>
  <dcterms:created xsi:type="dcterms:W3CDTF">2021-06-15T03:30:00Z</dcterms:created>
  <dcterms:modified xsi:type="dcterms:W3CDTF">2021-06-16T23:04:00Z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0x01010058637C779D61F14F93C6A32758F3737A</vt:lpwstr>
  </property>
</Properties>
</file>