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6"/>
      </w:tblGrid>
      <w:tr w:rsidR="00097796" w:rsidRPr="00542325" w14:paraId="2CB673C0" w14:textId="77777777" w:rsidTr="005560C2">
        <w:trPr>
          <w:trHeight w:val="4909"/>
          <w:jc w:val="right"/>
        </w:trPr>
        <w:tc>
          <w:tcPr>
            <w:tcW w:w="5626" w:type="dxa"/>
          </w:tcPr>
          <w:p w14:paraId="66CA9DF6" w14:textId="7FDB3962" w:rsidR="00097796" w:rsidRPr="00542325" w:rsidRDefault="001913AB" w:rsidP="00EC68D4">
            <w:pPr>
              <w:spacing w:before="120"/>
              <w:jc w:val="center"/>
              <w:rPr>
                <w:rFonts w:ascii="Arial" w:hAnsi="Arial" w:cs="Arial"/>
                <w:b/>
              </w:rPr>
            </w:pPr>
            <w:r w:rsidRPr="00542325">
              <w:rPr>
                <w:rFonts w:ascii="Arial" w:hAnsi="Arial" w:cs="Arial"/>
                <w:b/>
              </w:rPr>
              <w:t>ACUERDO PLENARIO DE REENCAUZAMIENTO</w:t>
            </w:r>
          </w:p>
          <w:p w14:paraId="061ACCA6" w14:textId="64521BD8" w:rsidR="00097796" w:rsidRPr="00542325" w:rsidRDefault="001913AB" w:rsidP="00752FB9">
            <w:pPr>
              <w:spacing w:before="120"/>
              <w:jc w:val="both"/>
              <w:rPr>
                <w:rFonts w:ascii="Arial" w:hAnsi="Arial" w:cs="Arial"/>
                <w:b/>
              </w:rPr>
            </w:pPr>
            <w:r w:rsidRPr="00542325">
              <w:rPr>
                <w:rFonts w:ascii="Arial" w:hAnsi="Arial" w:cs="Arial"/>
                <w:b/>
              </w:rPr>
              <w:t>JUICIO PARA LA PROTECCIÓN DE LOS DERECHOS POLÍTICO-ELECTORALES DEL CIUDADANO</w:t>
            </w:r>
          </w:p>
          <w:p w14:paraId="4D29B8EC" w14:textId="3E3B9318" w:rsidR="00097796" w:rsidRPr="00542325" w:rsidRDefault="001913AB" w:rsidP="00752FB9">
            <w:pPr>
              <w:spacing w:before="240" w:after="240"/>
              <w:jc w:val="both"/>
              <w:rPr>
                <w:rFonts w:ascii="Arial" w:eastAsia="Calibri" w:hAnsi="Arial" w:cs="Arial"/>
                <w:lang w:val="es-MX" w:eastAsia="en-US"/>
              </w:rPr>
            </w:pPr>
            <w:r w:rsidRPr="00542325">
              <w:rPr>
                <w:rFonts w:ascii="Arial" w:eastAsia="Calibri" w:hAnsi="Arial" w:cs="Arial"/>
                <w:b/>
                <w:lang w:val="es-MX" w:eastAsia="en-US"/>
              </w:rPr>
              <w:t>EXPEDIENTE:</w:t>
            </w:r>
            <w:r w:rsidRPr="00542325">
              <w:rPr>
                <w:rFonts w:ascii="Arial" w:eastAsia="Calibri" w:hAnsi="Arial" w:cs="Arial"/>
                <w:lang w:val="es-MX" w:eastAsia="en-US"/>
              </w:rPr>
              <w:t xml:space="preserve"> SM-JDC-</w:t>
            </w:r>
            <w:r w:rsidR="00D717A4">
              <w:rPr>
                <w:rFonts w:ascii="Arial" w:eastAsia="Calibri" w:hAnsi="Arial" w:cs="Arial"/>
                <w:lang w:val="es-MX" w:eastAsia="en-US"/>
              </w:rPr>
              <w:t>676</w:t>
            </w:r>
            <w:r w:rsidRPr="00542325">
              <w:rPr>
                <w:rFonts w:ascii="Arial" w:eastAsia="Calibri" w:hAnsi="Arial" w:cs="Arial"/>
                <w:lang w:val="es-MX" w:eastAsia="en-US"/>
              </w:rPr>
              <w:t>/2021</w:t>
            </w:r>
          </w:p>
          <w:p w14:paraId="54A80D8D" w14:textId="4283D821" w:rsidR="00097796" w:rsidRPr="00542325" w:rsidRDefault="001913AB" w:rsidP="00752FB9">
            <w:pPr>
              <w:spacing w:before="240" w:after="240"/>
              <w:jc w:val="both"/>
              <w:rPr>
                <w:rFonts w:ascii="Arial" w:hAnsi="Arial" w:cs="Arial"/>
                <w:bCs/>
              </w:rPr>
            </w:pPr>
            <w:r w:rsidRPr="00542325">
              <w:rPr>
                <w:rFonts w:ascii="Arial" w:eastAsia="Calibri" w:hAnsi="Arial" w:cs="Arial"/>
                <w:b/>
                <w:lang w:val="es-MX" w:eastAsia="en-US"/>
              </w:rPr>
              <w:t>ACTOR</w:t>
            </w:r>
            <w:r w:rsidR="00EC68D4" w:rsidRPr="00542325">
              <w:rPr>
                <w:rFonts w:ascii="Arial" w:eastAsia="Calibri" w:hAnsi="Arial" w:cs="Arial"/>
                <w:b/>
                <w:lang w:val="es-MX" w:eastAsia="en-US"/>
              </w:rPr>
              <w:t>A</w:t>
            </w:r>
            <w:r w:rsidRPr="00542325">
              <w:rPr>
                <w:rFonts w:ascii="Arial" w:eastAsia="Calibri" w:hAnsi="Arial" w:cs="Arial"/>
                <w:b/>
                <w:lang w:val="es-MX" w:eastAsia="en-US"/>
              </w:rPr>
              <w:t>:</w:t>
            </w:r>
            <w:r w:rsidRPr="00542325">
              <w:rPr>
                <w:rFonts w:ascii="Arial" w:hAnsi="Arial" w:cs="Arial"/>
                <w:b/>
              </w:rPr>
              <w:t xml:space="preserve"> </w:t>
            </w:r>
            <w:r w:rsidR="00D717A4">
              <w:rPr>
                <w:rFonts w:ascii="Arial" w:hAnsi="Arial" w:cs="Arial"/>
                <w:bCs/>
              </w:rPr>
              <w:t>NELSY KARENIA GODÍNE</w:t>
            </w:r>
            <w:r w:rsidR="004E7C6F">
              <w:rPr>
                <w:rFonts w:ascii="Arial" w:hAnsi="Arial" w:cs="Arial"/>
                <w:bCs/>
              </w:rPr>
              <w:t>S</w:t>
            </w:r>
            <w:r w:rsidR="00D717A4">
              <w:rPr>
                <w:rFonts w:ascii="Arial" w:hAnsi="Arial" w:cs="Arial"/>
                <w:bCs/>
              </w:rPr>
              <w:t xml:space="preserve"> AYALA</w:t>
            </w:r>
          </w:p>
          <w:p w14:paraId="4E1CAF91" w14:textId="7EEE2FCC" w:rsidR="00097796" w:rsidRPr="00542325" w:rsidRDefault="001913AB" w:rsidP="00752FB9">
            <w:pPr>
              <w:spacing w:before="240" w:after="240"/>
              <w:jc w:val="both"/>
              <w:rPr>
                <w:rFonts w:ascii="Arial" w:hAnsi="Arial" w:cs="Arial"/>
              </w:rPr>
            </w:pPr>
            <w:r w:rsidRPr="00542325">
              <w:rPr>
                <w:rFonts w:ascii="Arial" w:eastAsia="Calibri" w:hAnsi="Arial" w:cs="Arial"/>
                <w:b/>
                <w:lang w:val="es-MX" w:eastAsia="en-US"/>
              </w:rPr>
              <w:t>RESPONSABLE:</w:t>
            </w:r>
            <w:r w:rsidRPr="00542325">
              <w:rPr>
                <w:rFonts w:ascii="Arial" w:hAnsi="Arial" w:cs="Arial"/>
              </w:rPr>
              <w:t xml:space="preserve"> </w:t>
            </w:r>
            <w:r w:rsidR="00280958" w:rsidRPr="00542325">
              <w:rPr>
                <w:rFonts w:ascii="Arial" w:hAnsi="Arial" w:cs="Arial"/>
              </w:rPr>
              <w:t xml:space="preserve">MAGISTRADO PRESIDENTE DEL </w:t>
            </w:r>
            <w:r w:rsidR="00EC68D4" w:rsidRPr="00542325">
              <w:rPr>
                <w:rFonts w:ascii="Arial" w:hAnsi="Arial" w:cs="Arial"/>
              </w:rPr>
              <w:t>TRIBUNAL ESTA</w:t>
            </w:r>
            <w:r w:rsidR="00D717A4">
              <w:rPr>
                <w:rFonts w:ascii="Arial" w:hAnsi="Arial" w:cs="Arial"/>
              </w:rPr>
              <w:t>TAL</w:t>
            </w:r>
            <w:r w:rsidR="00EC68D4" w:rsidRPr="00542325">
              <w:rPr>
                <w:rFonts w:ascii="Arial" w:hAnsi="Arial" w:cs="Arial"/>
              </w:rPr>
              <w:t xml:space="preserve"> </w:t>
            </w:r>
            <w:r w:rsidR="00D717A4" w:rsidRPr="00542325">
              <w:rPr>
                <w:rFonts w:ascii="Arial" w:hAnsi="Arial" w:cs="Arial"/>
              </w:rPr>
              <w:t xml:space="preserve">ELECTORAL </w:t>
            </w:r>
            <w:r w:rsidR="00EC68D4" w:rsidRPr="00542325">
              <w:rPr>
                <w:rFonts w:ascii="Arial" w:hAnsi="Arial" w:cs="Arial"/>
              </w:rPr>
              <w:t xml:space="preserve">DE </w:t>
            </w:r>
            <w:r w:rsidR="00D717A4">
              <w:rPr>
                <w:rFonts w:ascii="Arial" w:hAnsi="Arial" w:cs="Arial"/>
              </w:rPr>
              <w:t>GUANAJUATO</w:t>
            </w:r>
          </w:p>
          <w:p w14:paraId="3D88233F" w14:textId="19329106" w:rsidR="00097796" w:rsidRPr="00542325" w:rsidRDefault="001913AB" w:rsidP="00752FB9">
            <w:pPr>
              <w:spacing w:before="240" w:after="240"/>
              <w:jc w:val="both"/>
              <w:rPr>
                <w:rFonts w:ascii="Arial" w:hAnsi="Arial" w:cs="Arial"/>
              </w:rPr>
            </w:pPr>
            <w:r w:rsidRPr="00542325">
              <w:rPr>
                <w:rFonts w:ascii="Arial" w:hAnsi="Arial" w:cs="Arial"/>
                <w:b/>
              </w:rPr>
              <w:t>MAGISTRADA:</w:t>
            </w:r>
            <w:r w:rsidRPr="00542325">
              <w:rPr>
                <w:rFonts w:ascii="Arial" w:hAnsi="Arial" w:cs="Arial"/>
              </w:rPr>
              <w:t xml:space="preserve"> CLAUDIA VALLE AGUILASOCHO</w:t>
            </w:r>
          </w:p>
          <w:p w14:paraId="4E7B5984" w14:textId="77777777" w:rsidR="009A44B5" w:rsidRDefault="001913AB" w:rsidP="00D717A4">
            <w:pPr>
              <w:spacing w:before="240" w:after="240"/>
              <w:jc w:val="both"/>
              <w:rPr>
                <w:rFonts w:ascii="Arial" w:hAnsi="Arial" w:cs="Arial"/>
              </w:rPr>
            </w:pPr>
            <w:r w:rsidRPr="00542325">
              <w:rPr>
                <w:rFonts w:ascii="Arial" w:hAnsi="Arial" w:cs="Arial"/>
                <w:b/>
              </w:rPr>
              <w:t>SECRETARI</w:t>
            </w:r>
            <w:r w:rsidR="00542325" w:rsidRPr="00542325">
              <w:rPr>
                <w:rFonts w:ascii="Arial" w:hAnsi="Arial" w:cs="Arial"/>
                <w:b/>
              </w:rPr>
              <w:t>A</w:t>
            </w:r>
            <w:r w:rsidR="00F4522F" w:rsidRPr="00542325">
              <w:rPr>
                <w:rFonts w:ascii="Arial" w:hAnsi="Arial" w:cs="Arial"/>
                <w:b/>
              </w:rPr>
              <w:t>:</w:t>
            </w:r>
            <w:r w:rsidR="00542325" w:rsidRPr="00542325">
              <w:rPr>
                <w:rFonts w:ascii="Arial" w:hAnsi="Arial" w:cs="Arial"/>
              </w:rPr>
              <w:t xml:space="preserve"> </w:t>
            </w:r>
            <w:r w:rsidR="009A44B5">
              <w:rPr>
                <w:rFonts w:ascii="Arial" w:hAnsi="Arial" w:cs="Arial"/>
              </w:rPr>
              <w:t>KAREN ANDREA GIL ALONSO</w:t>
            </w:r>
          </w:p>
          <w:p w14:paraId="2ABCEC00" w14:textId="78046DBB" w:rsidR="00260F7A" w:rsidRPr="00542325" w:rsidRDefault="009A44B5" w:rsidP="00D717A4">
            <w:pPr>
              <w:spacing w:before="240" w:after="240"/>
              <w:jc w:val="both"/>
              <w:rPr>
                <w:rFonts w:ascii="Arial" w:hAnsi="Arial" w:cs="Arial"/>
              </w:rPr>
            </w:pPr>
            <w:r w:rsidRPr="009A44B5">
              <w:rPr>
                <w:rFonts w:ascii="Arial" w:hAnsi="Arial" w:cs="Arial"/>
                <w:b/>
                <w:bCs/>
              </w:rPr>
              <w:t>COLABORÓ:</w:t>
            </w:r>
            <w:r>
              <w:rPr>
                <w:rFonts w:ascii="Arial" w:hAnsi="Arial" w:cs="Arial"/>
              </w:rPr>
              <w:t xml:space="preserve"> </w:t>
            </w:r>
            <w:r w:rsidR="00D717A4">
              <w:rPr>
                <w:rFonts w:ascii="Arial" w:hAnsi="Arial" w:cs="Arial"/>
              </w:rPr>
              <w:t>ZYANYA GUADALUPE AVILÉS NAVARRO</w:t>
            </w:r>
          </w:p>
        </w:tc>
      </w:tr>
    </w:tbl>
    <w:p w14:paraId="6E83459E" w14:textId="3ABA9FBF" w:rsidR="00097796" w:rsidRPr="00542325" w:rsidRDefault="00097796" w:rsidP="00EC68D4">
      <w:pPr>
        <w:spacing w:after="240" w:line="360" w:lineRule="auto"/>
        <w:jc w:val="both"/>
        <w:rPr>
          <w:rFonts w:ascii="Arial" w:hAnsi="Arial" w:cs="Arial"/>
        </w:rPr>
      </w:pPr>
      <w:r w:rsidRPr="00542325">
        <w:rPr>
          <w:rFonts w:ascii="Arial" w:hAnsi="Arial" w:cs="Arial"/>
        </w:rPr>
        <w:t xml:space="preserve">Monterrey, Nuevo León, a </w:t>
      </w:r>
      <w:r w:rsidR="009A44B5">
        <w:rPr>
          <w:rFonts w:ascii="Arial" w:hAnsi="Arial" w:cs="Arial"/>
        </w:rPr>
        <w:t>doce</w:t>
      </w:r>
      <w:r w:rsidR="00D717A4">
        <w:rPr>
          <w:rFonts w:ascii="Arial" w:hAnsi="Arial" w:cs="Arial"/>
        </w:rPr>
        <w:t xml:space="preserve"> de julio</w:t>
      </w:r>
      <w:r w:rsidR="00F83116" w:rsidRPr="00542325">
        <w:rPr>
          <w:rFonts w:ascii="Arial" w:hAnsi="Arial" w:cs="Arial"/>
        </w:rPr>
        <w:t xml:space="preserve"> </w:t>
      </w:r>
      <w:r w:rsidRPr="00542325">
        <w:rPr>
          <w:rFonts w:ascii="Arial" w:hAnsi="Arial" w:cs="Arial"/>
        </w:rPr>
        <w:t>de dos mil vein</w:t>
      </w:r>
      <w:r w:rsidR="00385AAA" w:rsidRPr="00542325">
        <w:rPr>
          <w:rFonts w:ascii="Arial" w:hAnsi="Arial" w:cs="Arial"/>
        </w:rPr>
        <w:t>tiuno</w:t>
      </w:r>
      <w:r w:rsidRPr="00542325">
        <w:rPr>
          <w:rFonts w:ascii="Arial" w:hAnsi="Arial" w:cs="Arial"/>
        </w:rPr>
        <w:t>.</w:t>
      </w:r>
    </w:p>
    <w:p w14:paraId="3D12B96E" w14:textId="1D169D19" w:rsidR="00097796" w:rsidRPr="009A44B5" w:rsidRDefault="00097796" w:rsidP="00EC68D4">
      <w:pPr>
        <w:spacing w:after="240" w:line="360" w:lineRule="auto"/>
        <w:jc w:val="both"/>
        <w:rPr>
          <w:rFonts w:ascii="Arial" w:hAnsi="Arial" w:cs="Arial"/>
          <w:b/>
          <w:bCs/>
        </w:rPr>
      </w:pPr>
      <w:r w:rsidRPr="00542325">
        <w:rPr>
          <w:rFonts w:ascii="Arial" w:hAnsi="Arial" w:cs="Arial"/>
          <w:lang w:val="es-ES_tradnl"/>
        </w:rPr>
        <w:t>Con fundamento</w:t>
      </w:r>
      <w:r w:rsidRPr="00542325">
        <w:rPr>
          <w:rFonts w:ascii="Arial" w:hAnsi="Arial" w:cs="Arial"/>
          <w:b/>
        </w:rPr>
        <w:t xml:space="preserve"> </w:t>
      </w:r>
      <w:r w:rsidRPr="00542325">
        <w:rPr>
          <w:rFonts w:ascii="Arial" w:hAnsi="Arial" w:cs="Arial"/>
        </w:rPr>
        <w:t>en los artículos 10, párrafo 1, inciso d)</w:t>
      </w:r>
      <w:r w:rsidR="0041139C" w:rsidRPr="00542325">
        <w:rPr>
          <w:rFonts w:ascii="Arial" w:hAnsi="Arial" w:cs="Arial"/>
        </w:rPr>
        <w:t>,</w:t>
      </w:r>
      <w:r w:rsidRPr="00542325">
        <w:rPr>
          <w:rFonts w:ascii="Arial" w:hAnsi="Arial" w:cs="Arial"/>
        </w:rPr>
        <w:t xml:space="preserve"> y 80, párrafo</w:t>
      </w:r>
      <w:r w:rsidR="00F36A4A" w:rsidRPr="00542325">
        <w:rPr>
          <w:rFonts w:ascii="Arial" w:hAnsi="Arial" w:cs="Arial"/>
        </w:rPr>
        <w:t xml:space="preserve"> </w:t>
      </w:r>
      <w:r w:rsidR="0066418D" w:rsidRPr="00542325">
        <w:rPr>
          <w:rFonts w:ascii="Arial" w:hAnsi="Arial" w:cs="Arial"/>
        </w:rPr>
        <w:t>2</w:t>
      </w:r>
      <w:r w:rsidR="00983728" w:rsidRPr="00542325">
        <w:rPr>
          <w:rFonts w:ascii="Arial" w:hAnsi="Arial" w:cs="Arial"/>
        </w:rPr>
        <w:t>,</w:t>
      </w:r>
      <w:r w:rsidRPr="00542325">
        <w:rPr>
          <w:rFonts w:ascii="Arial" w:hAnsi="Arial" w:cs="Arial"/>
        </w:rPr>
        <w:t xml:space="preserve"> de la Ley General del Sistema de Medios de </w:t>
      </w:r>
      <w:r w:rsidRPr="009A44B5">
        <w:rPr>
          <w:rFonts w:ascii="Arial" w:hAnsi="Arial" w:cs="Arial"/>
        </w:rPr>
        <w:t>Impugnación en Materia Electoral</w:t>
      </w:r>
      <w:r w:rsidRPr="009A44B5">
        <w:rPr>
          <w:rStyle w:val="Refdenotaalpie"/>
          <w:rFonts w:ascii="Arial" w:hAnsi="Arial" w:cs="Arial"/>
        </w:rPr>
        <w:footnoteReference w:id="1"/>
      </w:r>
      <w:r w:rsidRPr="009A44B5">
        <w:rPr>
          <w:rFonts w:ascii="Arial" w:hAnsi="Arial" w:cs="Arial"/>
        </w:rPr>
        <w:t>, 46</w:t>
      </w:r>
      <w:r w:rsidRPr="009A44B5">
        <w:rPr>
          <w:rFonts w:ascii="Arial" w:hAnsi="Arial" w:cs="Arial"/>
          <w:bCs/>
        </w:rPr>
        <w:t>, fracción II</w:t>
      </w:r>
      <w:r w:rsidR="0041139C" w:rsidRPr="009A44B5">
        <w:rPr>
          <w:rFonts w:ascii="Arial" w:hAnsi="Arial" w:cs="Arial"/>
          <w:bCs/>
        </w:rPr>
        <w:t>,</w:t>
      </w:r>
      <w:r w:rsidRPr="009A44B5">
        <w:rPr>
          <w:rFonts w:ascii="Arial" w:hAnsi="Arial" w:cs="Arial"/>
          <w:bCs/>
        </w:rPr>
        <w:t xml:space="preserve"> 49 y 75 del Reglamento Interno del Tribunal Electoral del Poder Judicial de la Federación, esta Sala Regional </w:t>
      </w:r>
      <w:r w:rsidRPr="009A44B5">
        <w:rPr>
          <w:rFonts w:ascii="Arial" w:hAnsi="Arial" w:cs="Arial"/>
          <w:b/>
          <w:bCs/>
        </w:rPr>
        <w:t>ACUERDA:</w:t>
      </w:r>
    </w:p>
    <w:p w14:paraId="6C4BC20B" w14:textId="38D71946" w:rsidR="00EC68D4" w:rsidRPr="009A44B5" w:rsidRDefault="00097796" w:rsidP="00EC68D4">
      <w:pPr>
        <w:pStyle w:val="NormalWeb"/>
        <w:shd w:val="clear" w:color="auto" w:fill="FFFFFF"/>
        <w:spacing w:before="0" w:beforeAutospacing="0" w:after="240" w:afterAutospacing="0" w:line="360" w:lineRule="auto"/>
        <w:jc w:val="both"/>
        <w:rPr>
          <w:rFonts w:ascii="Arial" w:hAnsi="Arial" w:cs="Arial"/>
        </w:rPr>
      </w:pPr>
      <w:r w:rsidRPr="009A44B5">
        <w:rPr>
          <w:rFonts w:ascii="Arial" w:hAnsi="Arial" w:cs="Arial"/>
          <w:b/>
          <w:lang w:val="es-ES_tradnl"/>
        </w:rPr>
        <w:t>I. Improcedencia.</w:t>
      </w:r>
      <w:r w:rsidR="004A1D31" w:rsidRPr="009A44B5">
        <w:rPr>
          <w:rFonts w:ascii="Arial" w:hAnsi="Arial" w:cs="Arial"/>
        </w:rPr>
        <w:t xml:space="preserve"> </w:t>
      </w:r>
      <w:r w:rsidR="00EC68D4" w:rsidRPr="009A44B5">
        <w:rPr>
          <w:rFonts w:ascii="Arial" w:hAnsi="Arial" w:cs="Arial"/>
        </w:rPr>
        <w:t>El presente juicio es improcedente</w:t>
      </w:r>
      <w:r w:rsidR="00286AF9" w:rsidRPr="009A44B5">
        <w:rPr>
          <w:rFonts w:ascii="Arial" w:hAnsi="Arial" w:cs="Arial"/>
        </w:rPr>
        <w:t>,</w:t>
      </w:r>
      <w:r w:rsidR="00EC68D4" w:rsidRPr="009A44B5">
        <w:rPr>
          <w:rFonts w:ascii="Arial" w:hAnsi="Arial" w:cs="Arial"/>
        </w:rPr>
        <w:t xml:space="preserve"> toda vez que la </w:t>
      </w:r>
      <w:r w:rsidR="00B32E2B" w:rsidRPr="009A44B5">
        <w:rPr>
          <w:rFonts w:ascii="Arial" w:hAnsi="Arial" w:cs="Arial"/>
        </w:rPr>
        <w:t xml:space="preserve">actora </w:t>
      </w:r>
      <w:r w:rsidR="00EC68D4" w:rsidRPr="009A44B5">
        <w:rPr>
          <w:rFonts w:ascii="Arial" w:hAnsi="Arial" w:cs="Arial"/>
        </w:rPr>
        <w:t xml:space="preserve">debió acudir ante el Pleno del Tribunal </w:t>
      </w:r>
      <w:r w:rsidR="00864A8F" w:rsidRPr="009A44B5">
        <w:rPr>
          <w:rFonts w:ascii="Arial" w:hAnsi="Arial" w:cs="Arial"/>
        </w:rPr>
        <w:t>Estatal Electoral de Guanajuato</w:t>
      </w:r>
      <w:r w:rsidR="00864A8F" w:rsidRPr="009A44B5">
        <w:rPr>
          <w:rStyle w:val="Refdenotaalpie"/>
          <w:rFonts w:ascii="Arial" w:hAnsi="Arial" w:cs="Arial"/>
        </w:rPr>
        <w:footnoteReference w:id="2"/>
      </w:r>
      <w:r w:rsidR="00EC68D4" w:rsidRPr="009A44B5">
        <w:rPr>
          <w:rFonts w:ascii="Arial" w:hAnsi="Arial" w:cs="Arial"/>
        </w:rPr>
        <w:t xml:space="preserve"> antes de promover ante esta Sala Regional su respectivo medio de impugnación, a fin de cumplir con el principio de definitividad, </w:t>
      </w:r>
      <w:r w:rsidR="00864A8F" w:rsidRPr="009A44B5">
        <w:rPr>
          <w:rFonts w:ascii="Arial" w:hAnsi="Arial" w:cs="Arial"/>
        </w:rPr>
        <w:t>el cual es un requisito de procedibilidad de los juicios que se presenten ante este órgano jurisdiccional.</w:t>
      </w:r>
    </w:p>
    <w:p w14:paraId="0A4BA04F" w14:textId="77777777" w:rsidR="00E93E30" w:rsidRPr="009A44B5" w:rsidRDefault="00E93E30" w:rsidP="00E93E30">
      <w:pPr>
        <w:spacing w:before="120" w:after="120" w:line="360" w:lineRule="auto"/>
        <w:jc w:val="both"/>
        <w:rPr>
          <w:rFonts w:ascii="Arial" w:hAnsi="Arial" w:cs="Arial"/>
        </w:rPr>
      </w:pPr>
      <w:r w:rsidRPr="009A44B5">
        <w:rPr>
          <w:rFonts w:ascii="Arial" w:hAnsi="Arial" w:cs="Arial"/>
        </w:rPr>
        <w:t xml:space="preserve">El artículo 80, párrafo 2, de la </w:t>
      </w:r>
      <w:r w:rsidRPr="009A44B5">
        <w:rPr>
          <w:rFonts w:ascii="Arial" w:hAnsi="Arial" w:cs="Arial"/>
          <w:i/>
          <w:iCs/>
        </w:rPr>
        <w:t>Ley de Medios</w:t>
      </w:r>
      <w:r w:rsidRPr="009A44B5">
        <w:rPr>
          <w:rFonts w:ascii="Arial" w:hAnsi="Arial" w:cs="Arial"/>
        </w:rPr>
        <w:t>, establece que el juicio de la ciudadanía federal procederá solamente cuando quien promueva haya agotado todas las instancias previas, realizando las gestiones necesarias para estar en condiciones de ejercer el derecho político-electoral presuntamente violado, en la forma y los plazos que las leyes respectivas establezcan para tal efecto.</w:t>
      </w:r>
    </w:p>
    <w:p w14:paraId="037249F9" w14:textId="5D6D9E97" w:rsidR="00D854BA" w:rsidRPr="009A44B5" w:rsidRDefault="00D854BA" w:rsidP="00D854BA">
      <w:pPr>
        <w:spacing w:before="120" w:after="120" w:line="360" w:lineRule="auto"/>
        <w:jc w:val="both"/>
        <w:rPr>
          <w:rFonts w:ascii="Arial" w:hAnsi="Arial" w:cs="Arial"/>
        </w:rPr>
      </w:pPr>
      <w:r w:rsidRPr="009A44B5">
        <w:rPr>
          <w:rFonts w:ascii="Arial" w:hAnsi="Arial" w:cs="Arial"/>
        </w:rPr>
        <w:t xml:space="preserve">Si no se agota la instancia ordinaria, es decir, la jurisdiccional local, el juicio promovido ante esta Sala Regional será improcedente, de acuerdo con el artículo 10, párrafo 1, inciso d), de la </w:t>
      </w:r>
      <w:r w:rsidRPr="009A44B5">
        <w:rPr>
          <w:rFonts w:ascii="Arial" w:hAnsi="Arial" w:cs="Arial"/>
          <w:i/>
        </w:rPr>
        <w:t>Ley de Medios</w:t>
      </w:r>
      <w:r w:rsidR="00E93E30" w:rsidRPr="009A44B5">
        <w:rPr>
          <w:rFonts w:ascii="Arial" w:hAnsi="Arial" w:cs="Arial"/>
          <w:i/>
        </w:rPr>
        <w:t>.</w:t>
      </w:r>
    </w:p>
    <w:p w14:paraId="1E0A424E" w14:textId="2EF15724" w:rsidR="00D854BA" w:rsidRPr="009A44B5" w:rsidRDefault="00D854BA" w:rsidP="00D854BA">
      <w:pPr>
        <w:spacing w:before="120" w:after="120" w:line="360" w:lineRule="auto"/>
        <w:jc w:val="both"/>
        <w:rPr>
          <w:rFonts w:ascii="Arial" w:hAnsi="Arial" w:cs="Arial"/>
        </w:rPr>
      </w:pPr>
      <w:r w:rsidRPr="009A44B5">
        <w:rPr>
          <w:rFonts w:ascii="Arial" w:hAnsi="Arial" w:cs="Arial"/>
        </w:rPr>
        <w:t>En el caso, l</w:t>
      </w:r>
      <w:r w:rsidR="001C085A" w:rsidRPr="009A44B5">
        <w:rPr>
          <w:rFonts w:ascii="Arial" w:hAnsi="Arial" w:cs="Arial"/>
        </w:rPr>
        <w:t xml:space="preserve">a actora </w:t>
      </w:r>
      <w:r w:rsidRPr="009A44B5">
        <w:rPr>
          <w:rFonts w:ascii="Arial" w:hAnsi="Arial" w:cs="Arial"/>
        </w:rPr>
        <w:t xml:space="preserve">comparece ante esta Sala Regional, a fin de controvertir el acuerdo de </w:t>
      </w:r>
      <w:r w:rsidR="001C085A" w:rsidRPr="009A44B5">
        <w:rPr>
          <w:rFonts w:ascii="Arial" w:hAnsi="Arial" w:cs="Arial"/>
        </w:rPr>
        <w:t>veintiocho</w:t>
      </w:r>
      <w:r w:rsidRPr="009A44B5">
        <w:rPr>
          <w:rFonts w:ascii="Arial" w:hAnsi="Arial" w:cs="Arial"/>
        </w:rPr>
        <w:t xml:space="preserve"> de junio</w:t>
      </w:r>
      <w:r w:rsidR="00286AF9" w:rsidRPr="009A44B5">
        <w:rPr>
          <w:rFonts w:ascii="Arial" w:hAnsi="Arial" w:cs="Arial"/>
        </w:rPr>
        <w:t>,</w:t>
      </w:r>
      <w:r w:rsidRPr="009A44B5">
        <w:rPr>
          <w:rFonts w:ascii="Arial" w:hAnsi="Arial" w:cs="Arial"/>
        </w:rPr>
        <w:t xml:space="preserve"> emitido por el Magistrado P</w:t>
      </w:r>
      <w:r w:rsidR="001C085A" w:rsidRPr="009A44B5">
        <w:rPr>
          <w:rFonts w:ascii="Arial" w:hAnsi="Arial" w:cs="Arial"/>
        </w:rPr>
        <w:t>residente</w:t>
      </w:r>
      <w:r w:rsidRPr="009A44B5">
        <w:rPr>
          <w:rFonts w:ascii="Arial" w:hAnsi="Arial" w:cs="Arial"/>
        </w:rPr>
        <w:t xml:space="preserve"> del </w:t>
      </w:r>
      <w:r w:rsidRPr="009A44B5">
        <w:rPr>
          <w:rFonts w:ascii="Arial" w:hAnsi="Arial" w:cs="Arial"/>
          <w:i/>
        </w:rPr>
        <w:t xml:space="preserve">Tribunal local </w:t>
      </w:r>
      <w:r w:rsidRPr="009A44B5">
        <w:rPr>
          <w:rFonts w:ascii="Arial" w:hAnsi="Arial" w:cs="Arial"/>
        </w:rPr>
        <w:t>en juicio</w:t>
      </w:r>
      <w:r w:rsidRPr="009A44B5">
        <w:rPr>
          <w:rFonts w:ascii="Arial" w:hAnsi="Arial" w:cs="Arial"/>
          <w:i/>
        </w:rPr>
        <w:t xml:space="preserve"> </w:t>
      </w:r>
      <w:r w:rsidR="001C085A" w:rsidRPr="009A44B5">
        <w:rPr>
          <w:rFonts w:ascii="Arial" w:hAnsi="Arial" w:cs="Arial"/>
          <w:noProof/>
        </w:rPr>
        <w:t>TEEG-JPDC-196</w:t>
      </w:r>
      <w:r w:rsidRPr="009A44B5">
        <w:rPr>
          <w:rFonts w:ascii="Arial" w:hAnsi="Arial" w:cs="Arial"/>
          <w:noProof/>
        </w:rPr>
        <w:t>/2021,</w:t>
      </w:r>
      <w:r w:rsidRPr="009A44B5">
        <w:rPr>
          <w:rFonts w:ascii="Arial" w:hAnsi="Arial" w:cs="Arial"/>
        </w:rPr>
        <w:t xml:space="preserve"> por el que</w:t>
      </w:r>
      <w:r w:rsidR="001C085A" w:rsidRPr="009A44B5">
        <w:rPr>
          <w:rFonts w:ascii="Arial" w:hAnsi="Arial" w:cs="Arial"/>
        </w:rPr>
        <w:t xml:space="preserve"> declaró </w:t>
      </w:r>
      <w:r w:rsidR="001C085A" w:rsidRPr="009A44B5">
        <w:rPr>
          <w:rFonts w:ascii="Arial" w:hAnsi="Arial" w:cs="Arial"/>
        </w:rPr>
        <w:lastRenderedPageBreak/>
        <w:t>improcedente su solicitud de apertura de un nuevo incidente de inejecución</w:t>
      </w:r>
      <w:r w:rsidR="00E93E30" w:rsidRPr="009A44B5">
        <w:rPr>
          <w:rFonts w:ascii="Arial" w:hAnsi="Arial" w:cs="Arial"/>
        </w:rPr>
        <w:t xml:space="preserve"> </w:t>
      </w:r>
      <w:r w:rsidR="00842113" w:rsidRPr="009A44B5">
        <w:rPr>
          <w:rFonts w:ascii="Arial" w:hAnsi="Arial" w:cs="Arial"/>
        </w:rPr>
        <w:t>de sentencia de cinco de junio,</w:t>
      </w:r>
      <w:r w:rsidR="005215F4" w:rsidRPr="009A44B5">
        <w:rPr>
          <w:rFonts w:ascii="Arial" w:hAnsi="Arial" w:cs="Arial"/>
        </w:rPr>
        <w:t xml:space="preserve"> relacionada con el procedimiento interno de selección de candidaturas a diputaciones locales por el principio de representación proporcional, </w:t>
      </w:r>
      <w:r w:rsidR="00842113" w:rsidRPr="009A44B5">
        <w:rPr>
          <w:rFonts w:ascii="Arial" w:hAnsi="Arial" w:cs="Arial"/>
        </w:rPr>
        <w:t xml:space="preserve">determinación </w:t>
      </w:r>
      <w:r w:rsidR="005215F4" w:rsidRPr="009A44B5">
        <w:rPr>
          <w:rFonts w:ascii="Arial" w:hAnsi="Arial" w:cs="Arial"/>
        </w:rPr>
        <w:t>por la que</w:t>
      </w:r>
      <w:r w:rsidR="00842113" w:rsidRPr="009A44B5">
        <w:rPr>
          <w:rFonts w:ascii="Arial" w:hAnsi="Arial" w:cs="Arial"/>
        </w:rPr>
        <w:t xml:space="preserve"> ordenó a la Comisión de Honestidad y Justicia MORENA emitiera una nueva resolución.</w:t>
      </w:r>
    </w:p>
    <w:p w14:paraId="0A9E5A85" w14:textId="485B4BCE" w:rsidR="00D854BA" w:rsidRPr="009A44B5" w:rsidRDefault="00D854BA" w:rsidP="00D854BA">
      <w:pPr>
        <w:spacing w:before="240" w:after="240" w:line="360" w:lineRule="auto"/>
        <w:jc w:val="both"/>
        <w:rPr>
          <w:rFonts w:ascii="Arial" w:hAnsi="Arial" w:cs="Arial"/>
        </w:rPr>
      </w:pPr>
      <w:r w:rsidRPr="009A44B5">
        <w:rPr>
          <w:rFonts w:ascii="Arial" w:hAnsi="Arial" w:cs="Arial"/>
        </w:rPr>
        <w:t xml:space="preserve">Al respecto, esta Sala Regional considera que dicho acto debe ser analizado y resuelto por el Pleno, autoridad máxima del </w:t>
      </w:r>
      <w:r w:rsidRPr="009A44B5">
        <w:rPr>
          <w:rFonts w:ascii="Arial" w:hAnsi="Arial" w:cs="Arial"/>
          <w:i/>
        </w:rPr>
        <w:t>Tribunal local</w:t>
      </w:r>
      <w:r w:rsidRPr="009A44B5">
        <w:rPr>
          <w:rFonts w:ascii="Arial" w:hAnsi="Arial" w:cs="Arial"/>
        </w:rPr>
        <w:t>, toda vez que fue emitido por uno de sus</w:t>
      </w:r>
      <w:r w:rsidR="001A0724" w:rsidRPr="009A44B5">
        <w:rPr>
          <w:rFonts w:ascii="Arial" w:hAnsi="Arial" w:cs="Arial"/>
        </w:rPr>
        <w:t xml:space="preserve"> integrantes</w:t>
      </w:r>
      <w:r w:rsidRPr="009A44B5">
        <w:rPr>
          <w:rFonts w:ascii="Arial" w:hAnsi="Arial" w:cs="Arial"/>
        </w:rPr>
        <w:t>, en calidad de Magistrado P</w:t>
      </w:r>
      <w:r w:rsidR="00A02429" w:rsidRPr="009A44B5">
        <w:rPr>
          <w:rFonts w:ascii="Arial" w:hAnsi="Arial" w:cs="Arial"/>
        </w:rPr>
        <w:t>reside</w:t>
      </w:r>
      <w:r w:rsidRPr="009A44B5">
        <w:rPr>
          <w:rFonts w:ascii="Arial" w:hAnsi="Arial" w:cs="Arial"/>
        </w:rPr>
        <w:t>nte, aun cuando la normativa local no prevea un medio de defensa específico, pues corresponde al órgano jurisdiccional local implementar uno que cumpla con el debido proceso y se satisfaga el requisito de definitividad.</w:t>
      </w:r>
    </w:p>
    <w:p w14:paraId="78034BEC" w14:textId="6BF317D7" w:rsidR="00D854BA" w:rsidRPr="009A44B5" w:rsidRDefault="00D854BA" w:rsidP="00D854BA">
      <w:pPr>
        <w:spacing w:before="240" w:after="240" w:line="360" w:lineRule="auto"/>
        <w:jc w:val="both"/>
        <w:rPr>
          <w:rFonts w:ascii="Arial" w:hAnsi="Arial" w:cs="Arial"/>
          <w:color w:val="000000"/>
          <w:shd w:val="clear" w:color="auto" w:fill="FFFFFF"/>
        </w:rPr>
      </w:pPr>
      <w:r w:rsidRPr="009A44B5">
        <w:rPr>
          <w:rFonts w:ascii="Arial" w:hAnsi="Arial" w:cs="Arial"/>
        </w:rPr>
        <w:t xml:space="preserve">En ese sentido, la Sala Superior de este Tribunal Electoral ha sostenido que, </w:t>
      </w:r>
      <w:r w:rsidRPr="009A44B5">
        <w:rPr>
          <w:rFonts w:ascii="Arial" w:hAnsi="Arial" w:cs="Arial"/>
          <w:color w:val="000000"/>
          <w:shd w:val="clear" w:color="auto" w:fill="FFFFFF"/>
        </w:rPr>
        <w:t>en aqu</w:t>
      </w:r>
      <w:r w:rsidR="00286AF9" w:rsidRPr="009A44B5">
        <w:rPr>
          <w:rFonts w:ascii="Arial" w:hAnsi="Arial" w:cs="Arial"/>
          <w:color w:val="000000"/>
          <w:shd w:val="clear" w:color="auto" w:fill="FFFFFF"/>
        </w:rPr>
        <w:t>e</w:t>
      </w:r>
      <w:r w:rsidRPr="009A44B5">
        <w:rPr>
          <w:rFonts w:ascii="Arial" w:hAnsi="Arial" w:cs="Arial"/>
          <w:color w:val="000000"/>
          <w:shd w:val="clear" w:color="auto" w:fill="FFFFFF"/>
        </w:rPr>
        <w:t xml:space="preserve">llos casos donde la legislación electoral local no prevea una vía idónea para controvertir ciertos actos o resoluciones, la autoridad estatal competente deberá implementar un medio sencillo y acorde, a fin de abocarse en plenitud de jurisdicción al conocimiento y resolución del asunto; y de ser planteado ante las Salas Regionales, </w:t>
      </w:r>
      <w:r w:rsidR="00286AF9" w:rsidRPr="009A44B5">
        <w:rPr>
          <w:rFonts w:ascii="Arial" w:hAnsi="Arial" w:cs="Arial"/>
          <w:color w:val="000000"/>
          <w:shd w:val="clear" w:color="auto" w:fill="FFFFFF"/>
        </w:rPr>
        <w:t>e</w:t>
      </w:r>
      <w:r w:rsidRPr="009A44B5">
        <w:rPr>
          <w:rFonts w:ascii="Arial" w:hAnsi="Arial" w:cs="Arial"/>
          <w:color w:val="000000"/>
          <w:shd w:val="clear" w:color="auto" w:fill="FFFFFF"/>
        </w:rPr>
        <w:t>stas deberán ordenar su reencauzamiento a la instancia jurisdiccional local correspondiente, a efecto de que proceda en los términos indicados</w:t>
      </w:r>
      <w:r w:rsidRPr="009A44B5">
        <w:rPr>
          <w:rStyle w:val="Refdenotaalpie"/>
          <w:rFonts w:ascii="Arial" w:hAnsi="Arial" w:cs="Arial"/>
          <w:color w:val="000000"/>
          <w:shd w:val="clear" w:color="auto" w:fill="FFFFFF"/>
        </w:rPr>
        <w:footnoteReference w:id="3"/>
      </w:r>
      <w:r w:rsidR="00A02429" w:rsidRPr="009A44B5">
        <w:rPr>
          <w:rFonts w:ascii="Arial" w:hAnsi="Arial" w:cs="Arial"/>
          <w:color w:val="000000"/>
          <w:shd w:val="clear" w:color="auto" w:fill="FFFFFF"/>
        </w:rPr>
        <w:t>.</w:t>
      </w:r>
    </w:p>
    <w:p w14:paraId="68C1D2C9" w14:textId="2C75CFC4" w:rsidR="00EC68D4" w:rsidRPr="009A44B5" w:rsidRDefault="00EC68D4" w:rsidP="00EC68D4">
      <w:pPr>
        <w:pStyle w:val="NormalWeb"/>
        <w:shd w:val="clear" w:color="auto" w:fill="FFFFFF"/>
        <w:spacing w:before="0" w:beforeAutospacing="0" w:after="240" w:afterAutospacing="0" w:line="360" w:lineRule="auto"/>
        <w:jc w:val="both"/>
        <w:rPr>
          <w:rFonts w:ascii="Arial" w:hAnsi="Arial" w:cs="Arial"/>
        </w:rPr>
      </w:pPr>
      <w:r w:rsidRPr="009A44B5">
        <w:rPr>
          <w:rFonts w:ascii="Arial" w:hAnsi="Arial" w:cs="Arial"/>
        </w:rPr>
        <w:t xml:space="preserve">De ahí que el presente juicio resulte </w:t>
      </w:r>
      <w:r w:rsidRPr="009A44B5">
        <w:rPr>
          <w:rFonts w:ascii="Arial" w:hAnsi="Arial" w:cs="Arial"/>
          <w:b/>
          <w:bCs/>
        </w:rPr>
        <w:t xml:space="preserve">improcedente, </w:t>
      </w:r>
      <w:r w:rsidRPr="009A44B5">
        <w:rPr>
          <w:rFonts w:ascii="Arial" w:hAnsi="Arial" w:cs="Arial"/>
        </w:rPr>
        <w:t>en virtud de que el acuerdo impugnado no es definitivo ni firme</w:t>
      </w:r>
      <w:r w:rsidR="00167417" w:rsidRPr="009A44B5">
        <w:rPr>
          <w:rFonts w:ascii="Arial" w:hAnsi="Arial" w:cs="Arial"/>
        </w:rPr>
        <w:t xml:space="preserve"> y,</w:t>
      </w:r>
      <w:r w:rsidRPr="009A44B5">
        <w:rPr>
          <w:rFonts w:ascii="Arial" w:hAnsi="Arial" w:cs="Arial"/>
        </w:rPr>
        <w:t xml:space="preserve"> en todo caso, será hasta que el Pleno del </w:t>
      </w:r>
      <w:r w:rsidRPr="009A44B5">
        <w:rPr>
          <w:rFonts w:ascii="Arial" w:hAnsi="Arial" w:cs="Arial"/>
          <w:i/>
        </w:rPr>
        <w:t>Tribunal local</w:t>
      </w:r>
      <w:r w:rsidRPr="009A44B5">
        <w:rPr>
          <w:rFonts w:ascii="Arial" w:hAnsi="Arial" w:cs="Arial"/>
        </w:rPr>
        <w:t xml:space="preserve"> resuelva sobre la legalidad del acto controvertido, cuando </w:t>
      </w:r>
      <w:r w:rsidR="00167417" w:rsidRPr="009A44B5">
        <w:rPr>
          <w:rFonts w:ascii="Arial" w:hAnsi="Arial" w:cs="Arial"/>
        </w:rPr>
        <w:t xml:space="preserve">la promovente </w:t>
      </w:r>
      <w:r w:rsidRPr="009A44B5">
        <w:rPr>
          <w:rFonts w:ascii="Arial" w:hAnsi="Arial" w:cs="Arial"/>
        </w:rPr>
        <w:t>esté en posibilidad de acudir a este órgano jurisdiccional, de así estimarlo conveniente</w:t>
      </w:r>
      <w:r w:rsidR="00167417" w:rsidRPr="009A44B5">
        <w:rPr>
          <w:rStyle w:val="Refdenotaalpie"/>
          <w:rFonts w:ascii="Arial" w:hAnsi="Arial" w:cs="Arial"/>
        </w:rPr>
        <w:footnoteReference w:id="4"/>
      </w:r>
      <w:r w:rsidRPr="009A44B5">
        <w:rPr>
          <w:rFonts w:ascii="Arial" w:hAnsi="Arial" w:cs="Arial"/>
        </w:rPr>
        <w:t>.</w:t>
      </w:r>
    </w:p>
    <w:p w14:paraId="0218BBFE" w14:textId="67E69328" w:rsidR="00290DF2" w:rsidRPr="009A44B5" w:rsidRDefault="00FD3C15" w:rsidP="00EC68D4">
      <w:pPr>
        <w:spacing w:after="240" w:line="360" w:lineRule="auto"/>
        <w:jc w:val="both"/>
        <w:rPr>
          <w:rFonts w:ascii="Arial" w:hAnsi="Arial" w:cs="Arial"/>
        </w:rPr>
      </w:pPr>
      <w:r w:rsidRPr="009A44B5">
        <w:rPr>
          <w:rFonts w:ascii="Arial" w:hAnsi="Arial" w:cs="Arial"/>
          <w:b/>
        </w:rPr>
        <w:t>II. Reencauzamiento.</w:t>
      </w:r>
      <w:r w:rsidRPr="009A44B5">
        <w:rPr>
          <w:rFonts w:ascii="Arial" w:hAnsi="Arial" w:cs="Arial"/>
        </w:rPr>
        <w:t xml:space="preserve"> </w:t>
      </w:r>
      <w:r w:rsidR="00010C73" w:rsidRPr="009A44B5">
        <w:rPr>
          <w:rFonts w:ascii="Arial" w:hAnsi="Arial" w:cs="Arial"/>
        </w:rPr>
        <w:t xml:space="preserve">Aun cuando el juicio </w:t>
      </w:r>
      <w:r w:rsidR="008E240A" w:rsidRPr="009A44B5">
        <w:rPr>
          <w:rFonts w:ascii="Arial" w:hAnsi="Arial" w:cs="Arial"/>
        </w:rPr>
        <w:t xml:space="preserve">promovido </w:t>
      </w:r>
      <w:r w:rsidR="00010C73" w:rsidRPr="009A44B5">
        <w:rPr>
          <w:rFonts w:ascii="Arial" w:hAnsi="Arial" w:cs="Arial"/>
        </w:rPr>
        <w:t xml:space="preserve">ante esta Sala Regional es improcedente, con el fin de garantizar </w:t>
      </w:r>
      <w:r w:rsidR="00806C61" w:rsidRPr="009A44B5">
        <w:rPr>
          <w:rFonts w:ascii="Arial" w:hAnsi="Arial" w:cs="Arial"/>
        </w:rPr>
        <w:t xml:space="preserve">el derecho de acceso a la justicia previsto en el artículo 17, párrafo segundo, de la Constitución Política de los Estados Unidos Mexicanos, </w:t>
      </w:r>
      <w:r w:rsidR="00806C61" w:rsidRPr="009A44B5">
        <w:rPr>
          <w:rFonts w:ascii="Arial" w:hAnsi="Arial" w:cs="Arial"/>
          <w:b/>
        </w:rPr>
        <w:t xml:space="preserve">procede reencauzar </w:t>
      </w:r>
      <w:r w:rsidR="00806C61" w:rsidRPr="009A44B5">
        <w:rPr>
          <w:rFonts w:ascii="Arial" w:hAnsi="Arial" w:cs="Arial"/>
        </w:rPr>
        <w:t>la demanda</w:t>
      </w:r>
      <w:r w:rsidR="00EB2AEF" w:rsidRPr="009A44B5">
        <w:rPr>
          <w:rFonts w:ascii="Arial" w:hAnsi="Arial" w:cs="Arial"/>
        </w:rPr>
        <w:t xml:space="preserve"> </w:t>
      </w:r>
      <w:r w:rsidR="00806C61" w:rsidRPr="009A44B5">
        <w:rPr>
          <w:rFonts w:ascii="Arial" w:hAnsi="Arial" w:cs="Arial"/>
        </w:rPr>
        <w:t>a</w:t>
      </w:r>
      <w:r w:rsidR="00215DAF" w:rsidRPr="009A44B5">
        <w:rPr>
          <w:rFonts w:ascii="Arial" w:hAnsi="Arial" w:cs="Arial"/>
        </w:rPr>
        <w:t xml:space="preserve">l </w:t>
      </w:r>
      <w:r w:rsidR="00E9144D" w:rsidRPr="009A44B5">
        <w:rPr>
          <w:rFonts w:ascii="Arial" w:hAnsi="Arial" w:cs="Arial"/>
          <w:i/>
          <w:iCs/>
        </w:rPr>
        <w:t>Tribunal l</w:t>
      </w:r>
      <w:r w:rsidR="00215DAF" w:rsidRPr="009A44B5">
        <w:rPr>
          <w:rFonts w:ascii="Arial" w:hAnsi="Arial" w:cs="Arial"/>
          <w:i/>
          <w:iCs/>
        </w:rPr>
        <w:t>ocal</w:t>
      </w:r>
      <w:r w:rsidR="00806C61" w:rsidRPr="009A44B5">
        <w:rPr>
          <w:rFonts w:ascii="Arial" w:hAnsi="Arial" w:cs="Arial"/>
          <w:i/>
          <w:iCs/>
        </w:rPr>
        <w:t>,</w:t>
      </w:r>
      <w:r w:rsidR="00806C61" w:rsidRPr="009A44B5">
        <w:rPr>
          <w:rFonts w:ascii="Arial" w:hAnsi="Arial" w:cs="Arial"/>
        </w:rPr>
        <w:t xml:space="preserve"> para que resuelva </w:t>
      </w:r>
      <w:r w:rsidR="008E240A" w:rsidRPr="009A44B5">
        <w:rPr>
          <w:rFonts w:ascii="Arial" w:hAnsi="Arial" w:cs="Arial"/>
          <w:bCs/>
        </w:rPr>
        <w:t>conforme a sus atribuciones.</w:t>
      </w:r>
    </w:p>
    <w:p w14:paraId="385F8724" w14:textId="6E325F96" w:rsidR="00290DF2" w:rsidRPr="009A44B5" w:rsidRDefault="00CC2787" w:rsidP="00EC68D4">
      <w:pPr>
        <w:spacing w:after="240" w:line="360" w:lineRule="auto"/>
        <w:jc w:val="both"/>
        <w:rPr>
          <w:rFonts w:ascii="Arial" w:hAnsi="Arial" w:cs="Arial"/>
          <w:lang w:val="es-ES_tradnl"/>
        </w:rPr>
      </w:pPr>
      <w:r w:rsidRPr="009A44B5">
        <w:rPr>
          <w:rFonts w:ascii="Arial" w:hAnsi="Arial" w:cs="Arial"/>
          <w:bCs/>
        </w:rPr>
        <w:lastRenderedPageBreak/>
        <w:t>E</w:t>
      </w:r>
      <w:r w:rsidRPr="009A44B5">
        <w:rPr>
          <w:rFonts w:ascii="Arial" w:hAnsi="Arial" w:cs="Arial"/>
        </w:rPr>
        <w:t xml:space="preserve">n el entendido de que corresponde al citado órgano </w:t>
      </w:r>
      <w:r w:rsidR="000124D6" w:rsidRPr="009A44B5">
        <w:rPr>
          <w:rFonts w:ascii="Arial" w:hAnsi="Arial" w:cs="Arial"/>
        </w:rPr>
        <w:t>jurisdiccional</w:t>
      </w:r>
      <w:r w:rsidRPr="009A44B5">
        <w:rPr>
          <w:rFonts w:ascii="Arial" w:hAnsi="Arial" w:cs="Arial"/>
        </w:rPr>
        <w:t xml:space="preserve"> la revisión </w:t>
      </w:r>
      <w:r w:rsidR="00B32E2B" w:rsidRPr="009A44B5">
        <w:rPr>
          <w:rFonts w:ascii="Arial" w:hAnsi="Arial" w:cs="Arial"/>
        </w:rPr>
        <w:t xml:space="preserve">de </w:t>
      </w:r>
      <w:r w:rsidR="00E9144D" w:rsidRPr="009A44B5">
        <w:rPr>
          <w:rFonts w:ascii="Arial" w:hAnsi="Arial" w:cs="Arial"/>
        </w:rPr>
        <w:t xml:space="preserve">la </w:t>
      </w:r>
      <w:r w:rsidRPr="009A44B5">
        <w:rPr>
          <w:rFonts w:ascii="Arial" w:hAnsi="Arial" w:cs="Arial"/>
        </w:rPr>
        <w:t xml:space="preserve">procedencia del medio de </w:t>
      </w:r>
      <w:r w:rsidR="00E9144D" w:rsidRPr="009A44B5">
        <w:rPr>
          <w:rFonts w:ascii="Arial" w:hAnsi="Arial" w:cs="Arial"/>
        </w:rPr>
        <w:t>defensa</w:t>
      </w:r>
      <w:r w:rsidRPr="009A44B5">
        <w:rPr>
          <w:rFonts w:ascii="Arial" w:hAnsi="Arial" w:cs="Arial"/>
        </w:rPr>
        <w:t>, por ser el competente para ello</w:t>
      </w:r>
      <w:r w:rsidRPr="009A44B5">
        <w:rPr>
          <w:rStyle w:val="Refdenotaalpie"/>
          <w:rFonts w:ascii="Arial" w:hAnsi="Arial" w:cs="Arial"/>
        </w:rPr>
        <w:footnoteReference w:id="5"/>
      </w:r>
      <w:r w:rsidRPr="009A44B5">
        <w:rPr>
          <w:rFonts w:ascii="Arial" w:hAnsi="Arial" w:cs="Arial"/>
        </w:rPr>
        <w:t>.</w:t>
      </w:r>
      <w:r w:rsidR="005662D2" w:rsidRPr="009A44B5">
        <w:rPr>
          <w:rFonts w:ascii="Arial" w:hAnsi="Arial" w:cs="Arial"/>
          <w:lang w:val="es-ES_tradnl"/>
        </w:rPr>
        <w:t xml:space="preserve"> </w:t>
      </w:r>
    </w:p>
    <w:p w14:paraId="6793D891" w14:textId="5DD2E47B" w:rsidR="00995405" w:rsidRPr="009A44B5" w:rsidRDefault="00995405" w:rsidP="00EC68D4">
      <w:pPr>
        <w:spacing w:after="240" w:line="360" w:lineRule="auto"/>
        <w:jc w:val="both"/>
        <w:rPr>
          <w:rFonts w:ascii="Arial" w:hAnsi="Arial" w:cs="Arial"/>
        </w:rPr>
      </w:pPr>
      <w:r w:rsidRPr="009A44B5">
        <w:rPr>
          <w:rFonts w:ascii="Arial" w:eastAsiaTheme="minorHAnsi" w:hAnsi="Arial" w:cs="Arial"/>
          <w:lang w:val="es-MX" w:eastAsia="en-US"/>
        </w:rPr>
        <w:t>En caso de que se reciba documentación relacionada con la publicitación del</w:t>
      </w:r>
      <w:r w:rsidRPr="009A44B5">
        <w:rPr>
          <w:rFonts w:ascii="Arial" w:hAnsi="Arial" w:cs="Arial"/>
        </w:rPr>
        <w:t xml:space="preserve"> </w:t>
      </w:r>
      <w:r w:rsidRPr="009A44B5">
        <w:rPr>
          <w:rFonts w:ascii="Arial" w:eastAsiaTheme="minorHAnsi" w:hAnsi="Arial" w:cs="Arial"/>
          <w:lang w:val="es-MX" w:eastAsia="en-US"/>
        </w:rPr>
        <w:t xml:space="preserve">medio de defensa, remítase sin mayor trámite al </w:t>
      </w:r>
      <w:r w:rsidR="00E9144D" w:rsidRPr="009A44B5">
        <w:rPr>
          <w:rFonts w:ascii="Arial" w:eastAsiaTheme="minorHAnsi" w:hAnsi="Arial" w:cs="Arial"/>
          <w:i/>
          <w:iCs/>
          <w:lang w:val="es-MX" w:eastAsia="en-US"/>
        </w:rPr>
        <w:t>Tribunal l</w:t>
      </w:r>
      <w:r w:rsidRPr="009A44B5">
        <w:rPr>
          <w:rFonts w:ascii="Arial" w:eastAsiaTheme="minorHAnsi" w:hAnsi="Arial" w:cs="Arial"/>
          <w:i/>
          <w:iCs/>
          <w:lang w:val="es-MX" w:eastAsia="en-US"/>
        </w:rPr>
        <w:t>ocal,</w:t>
      </w:r>
      <w:r w:rsidRPr="009A44B5">
        <w:rPr>
          <w:rFonts w:ascii="Arial" w:hAnsi="Arial" w:cs="Arial"/>
        </w:rPr>
        <w:t xml:space="preserve"> </w:t>
      </w:r>
      <w:r w:rsidRPr="009A44B5">
        <w:rPr>
          <w:rFonts w:ascii="Arial" w:eastAsiaTheme="minorHAnsi" w:hAnsi="Arial" w:cs="Arial"/>
          <w:lang w:val="es-MX" w:eastAsia="en-US"/>
        </w:rPr>
        <w:t>dejando una impresión o una copia certificada de la misma en el presente</w:t>
      </w:r>
      <w:r w:rsidRPr="009A44B5">
        <w:rPr>
          <w:rFonts w:ascii="Arial" w:hAnsi="Arial" w:cs="Arial"/>
        </w:rPr>
        <w:t xml:space="preserve"> </w:t>
      </w:r>
      <w:r w:rsidRPr="009A44B5">
        <w:rPr>
          <w:rFonts w:ascii="Arial" w:eastAsiaTheme="minorHAnsi" w:hAnsi="Arial" w:cs="Arial"/>
          <w:lang w:val="es-MX" w:eastAsia="en-US"/>
        </w:rPr>
        <w:t>expediente, según se haya recibido por correo electrónico o físicamente en la</w:t>
      </w:r>
      <w:r w:rsidRPr="009A44B5">
        <w:rPr>
          <w:rFonts w:ascii="Arial" w:hAnsi="Arial" w:cs="Arial"/>
        </w:rPr>
        <w:t xml:space="preserve"> </w:t>
      </w:r>
      <w:r w:rsidRPr="009A44B5">
        <w:rPr>
          <w:rFonts w:ascii="Arial" w:eastAsiaTheme="minorHAnsi" w:hAnsi="Arial" w:cs="Arial"/>
          <w:lang w:val="es-MX" w:eastAsia="en-US"/>
        </w:rPr>
        <w:t>Oficialía de Partes de esta Sala Regional, respectivamente.</w:t>
      </w:r>
      <w:r w:rsidRPr="009A44B5">
        <w:rPr>
          <w:rFonts w:ascii="Arial" w:hAnsi="Arial" w:cs="Arial"/>
        </w:rPr>
        <w:t xml:space="preserve"> </w:t>
      </w:r>
    </w:p>
    <w:p w14:paraId="2DE825FE" w14:textId="77777777" w:rsidR="00995405" w:rsidRPr="009A44B5" w:rsidRDefault="00995405" w:rsidP="00EC68D4">
      <w:pPr>
        <w:spacing w:after="240" w:line="360" w:lineRule="auto"/>
        <w:jc w:val="both"/>
        <w:rPr>
          <w:rFonts w:ascii="Arial" w:hAnsi="Arial" w:cs="Arial"/>
        </w:rPr>
      </w:pPr>
      <w:r w:rsidRPr="009A44B5">
        <w:rPr>
          <w:rFonts w:ascii="Arial" w:hAnsi="Arial" w:cs="Arial"/>
        </w:rPr>
        <w:t xml:space="preserve">A efecto de dar pleno cumplimiento a la presente determinación, se </w:t>
      </w:r>
      <w:r w:rsidRPr="009A44B5">
        <w:rPr>
          <w:rFonts w:ascii="Arial" w:hAnsi="Arial" w:cs="Arial"/>
          <w:b/>
        </w:rPr>
        <w:t xml:space="preserve">instruye </w:t>
      </w:r>
      <w:r w:rsidRPr="009A44B5">
        <w:rPr>
          <w:rFonts w:ascii="Arial" w:hAnsi="Arial" w:cs="Arial"/>
        </w:rPr>
        <w:t>a la Secretaría General de Acuerdos de esta Sala Regional para que realice las gestiones conducentes.</w:t>
      </w:r>
    </w:p>
    <w:p w14:paraId="3E0649A8" w14:textId="1325C98B" w:rsidR="00995405" w:rsidRPr="009A44B5" w:rsidRDefault="00324E5A" w:rsidP="00EC68D4">
      <w:pPr>
        <w:spacing w:after="240" w:line="360" w:lineRule="auto"/>
        <w:jc w:val="both"/>
        <w:rPr>
          <w:rFonts w:ascii="Arial" w:hAnsi="Arial" w:cs="Arial"/>
        </w:rPr>
      </w:pPr>
      <w:r w:rsidRPr="009A44B5">
        <w:rPr>
          <w:rFonts w:ascii="Arial" w:hAnsi="Arial" w:cs="Arial"/>
          <w:b/>
        </w:rPr>
        <w:t>III</w:t>
      </w:r>
      <w:r w:rsidR="00995405" w:rsidRPr="009A44B5">
        <w:rPr>
          <w:rFonts w:ascii="Arial" w:hAnsi="Arial" w:cs="Arial"/>
          <w:b/>
        </w:rPr>
        <w:t>. Archivo.</w:t>
      </w:r>
      <w:r w:rsidR="00995405" w:rsidRPr="009A44B5">
        <w:rPr>
          <w:rFonts w:ascii="Arial" w:hAnsi="Arial" w:cs="Arial"/>
        </w:rPr>
        <w:t xml:space="preserve"> En su oportunidad, archívese el expediente como asunto concluido.</w:t>
      </w:r>
    </w:p>
    <w:p w14:paraId="258693DC" w14:textId="77777777" w:rsidR="00097796" w:rsidRPr="009A44B5" w:rsidRDefault="00097796" w:rsidP="00EC68D4">
      <w:pPr>
        <w:spacing w:after="240" w:line="360" w:lineRule="auto"/>
        <w:jc w:val="both"/>
        <w:rPr>
          <w:rFonts w:ascii="Arial" w:hAnsi="Arial" w:cs="Arial"/>
          <w:b/>
          <w:lang w:val="es-ES_tradnl"/>
        </w:rPr>
      </w:pPr>
      <w:r w:rsidRPr="009A44B5">
        <w:rPr>
          <w:rFonts w:ascii="Arial" w:hAnsi="Arial" w:cs="Arial"/>
          <w:b/>
          <w:lang w:val="es-ES_tradnl"/>
        </w:rPr>
        <w:t>NOTIFÍQUESE.</w:t>
      </w:r>
    </w:p>
    <w:p w14:paraId="4454F549" w14:textId="338647C0" w:rsidR="00E40946" w:rsidRPr="009A44B5" w:rsidRDefault="00E40946" w:rsidP="00EC68D4">
      <w:pPr>
        <w:spacing w:after="240" w:line="360" w:lineRule="auto"/>
        <w:jc w:val="both"/>
        <w:rPr>
          <w:rFonts w:ascii="Arial" w:hAnsi="Arial" w:cs="Arial"/>
        </w:rPr>
      </w:pPr>
      <w:r w:rsidRPr="009A44B5">
        <w:rPr>
          <w:rFonts w:ascii="Arial" w:hAnsi="Arial" w:cs="Arial"/>
        </w:rPr>
        <w:t xml:space="preserve">Así lo acordaron por </w:t>
      </w:r>
      <w:r w:rsidR="009A44B5">
        <w:rPr>
          <w:rFonts w:ascii="Arial" w:hAnsi="Arial" w:cs="Arial"/>
          <w:b/>
        </w:rPr>
        <w:t>unanimidad</w:t>
      </w:r>
      <w:r w:rsidRPr="009A44B5">
        <w:rPr>
          <w:rFonts w:ascii="Arial" w:hAnsi="Arial" w:cs="Arial"/>
        </w:rPr>
        <w:t xml:space="preserve"> de votos, </w:t>
      </w:r>
      <w:r w:rsidR="00E9144D" w:rsidRPr="009A44B5">
        <w:rPr>
          <w:rFonts w:ascii="Arial" w:hAnsi="Arial" w:cs="Arial"/>
        </w:rPr>
        <w:t xml:space="preserve">la </w:t>
      </w:r>
      <w:r w:rsidRPr="009A44B5">
        <w:rPr>
          <w:rFonts w:ascii="Arial" w:hAnsi="Arial" w:cs="Arial"/>
        </w:rPr>
        <w:t>Magistrad</w:t>
      </w:r>
      <w:r w:rsidR="00E9144D" w:rsidRPr="009A44B5">
        <w:rPr>
          <w:rFonts w:ascii="Arial" w:hAnsi="Arial" w:cs="Arial"/>
        </w:rPr>
        <w:t xml:space="preserve">a y los Magistrados </w:t>
      </w:r>
      <w:r w:rsidRPr="009A44B5">
        <w:rPr>
          <w:rFonts w:ascii="Arial" w:hAnsi="Arial" w:cs="Arial"/>
        </w:rPr>
        <w:t>integrantes de la Sala Regional del Tribunal Electoral del Poder Judicial de la Federación, correspondiente a la Segunda Circunscripción Electoral Plurinominal, ante el Secretario General de Acuerdos, quien autoriza y da fe.</w:t>
      </w:r>
    </w:p>
    <w:p w14:paraId="1DD5F374" w14:textId="396C8F31" w:rsidR="009B2F3B" w:rsidRDefault="0001682F" w:rsidP="00A20F4B">
      <w:pPr>
        <w:spacing w:before="100" w:beforeAutospacing="1" w:after="100" w:afterAutospacing="1"/>
        <w:jc w:val="both"/>
        <w:rPr>
          <w:rFonts w:ascii="Arial" w:hAnsi="Arial" w:cs="Arial"/>
          <w:i/>
          <w:szCs w:val="22"/>
        </w:rPr>
      </w:pPr>
      <w:r w:rsidRPr="009A44B5">
        <w:rPr>
          <w:rFonts w:ascii="Arial" w:hAnsi="Arial" w:cs="Arial"/>
          <w:i/>
          <w:szCs w:val="22"/>
        </w:rPr>
        <w:t>Este documento es una representación gráfica autorizada mediante firmas electrónicas certificadas, el cual tiene plena validez jurídica, de conformidad con los numerales segundo y cuarto del Acuerdo General 3/2020 de la Sala Superior del Tribunal Electoral del Poder Judicial de la Federación, por el que se implementa la firma electrónica certificada del Poder Judicial de la Federación en los acuerdos, resoluciones y sentencias que se dicten con motivo del trámite, turno, sustanciación y resolución de los medios de impugnación en materia electoral.</w:t>
      </w:r>
    </w:p>
    <w:sectPr w:rsidR="009B2F3B" w:rsidSect="00D717A4">
      <w:headerReference w:type="even" r:id="rId8"/>
      <w:headerReference w:type="default" r:id="rId9"/>
      <w:footerReference w:type="even" r:id="rId10"/>
      <w:footerReference w:type="default" r:id="rId11"/>
      <w:headerReference w:type="first" r:id="rId12"/>
      <w:footerReference w:type="first" r:id="rId13"/>
      <w:pgSz w:w="12242" w:h="19295" w:code="119"/>
      <w:pgMar w:top="1134" w:right="1134" w:bottom="1985" w:left="2835" w:header="567" w:footer="8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9BDE5" w14:textId="77777777" w:rsidR="00A53CAC" w:rsidRDefault="00A53CAC" w:rsidP="00097796">
      <w:r>
        <w:separator/>
      </w:r>
    </w:p>
  </w:endnote>
  <w:endnote w:type="continuationSeparator" w:id="0">
    <w:p w14:paraId="0267AC47" w14:textId="77777777" w:rsidR="00A53CAC" w:rsidRDefault="00A53CAC" w:rsidP="00097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78492" w14:textId="77777777" w:rsidR="00752FB9" w:rsidRDefault="00752FB9" w:rsidP="00752FB9">
    <w:pPr>
      <w:pStyle w:val="Piedep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305E0" w14:textId="77777777" w:rsidR="00752FB9" w:rsidRDefault="00752FB9" w:rsidP="00752FB9">
    <w:pPr>
      <w:pStyle w:val="Piedepgina"/>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2A197" w14:textId="77777777" w:rsidR="00B24282" w:rsidRDefault="00B2428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081FB" w14:textId="77777777" w:rsidR="00A53CAC" w:rsidRDefault="00A53CAC" w:rsidP="00097796">
      <w:r>
        <w:separator/>
      </w:r>
    </w:p>
  </w:footnote>
  <w:footnote w:type="continuationSeparator" w:id="0">
    <w:p w14:paraId="0D255D05" w14:textId="77777777" w:rsidR="00A53CAC" w:rsidRDefault="00A53CAC" w:rsidP="00097796">
      <w:r>
        <w:continuationSeparator/>
      </w:r>
    </w:p>
  </w:footnote>
  <w:footnote w:id="1">
    <w:p w14:paraId="41580E2D" w14:textId="6A434707" w:rsidR="00097796" w:rsidRPr="00167417" w:rsidRDefault="00097796" w:rsidP="00167417">
      <w:pPr>
        <w:pStyle w:val="Textonotapie"/>
        <w:jc w:val="both"/>
      </w:pPr>
      <w:r w:rsidRPr="00167417">
        <w:rPr>
          <w:rStyle w:val="Refdenotaalpie"/>
        </w:rPr>
        <w:footnoteRef/>
      </w:r>
      <w:r w:rsidRPr="00167417">
        <w:t xml:space="preserve"> En lo sucesivo </w:t>
      </w:r>
      <w:r w:rsidRPr="00167417">
        <w:rPr>
          <w:i/>
        </w:rPr>
        <w:t>Ley de Medios.</w:t>
      </w:r>
    </w:p>
  </w:footnote>
  <w:footnote w:id="2">
    <w:p w14:paraId="77AA703E" w14:textId="77777777" w:rsidR="00864A8F" w:rsidRPr="00167417" w:rsidRDefault="00864A8F" w:rsidP="00864A8F">
      <w:pPr>
        <w:pStyle w:val="Textonotapie"/>
        <w:jc w:val="both"/>
        <w:rPr>
          <w:lang w:val="es-MX"/>
        </w:rPr>
      </w:pPr>
      <w:r w:rsidRPr="00167417">
        <w:rPr>
          <w:rStyle w:val="Refdenotaalpie"/>
        </w:rPr>
        <w:footnoteRef/>
      </w:r>
      <w:r w:rsidRPr="00167417">
        <w:t xml:space="preserve"> </w:t>
      </w:r>
      <w:r w:rsidRPr="00167417">
        <w:rPr>
          <w:lang w:val="es-MX"/>
        </w:rPr>
        <w:t xml:space="preserve">En lo subsecuente </w:t>
      </w:r>
      <w:r w:rsidRPr="00167417">
        <w:rPr>
          <w:i/>
          <w:lang w:val="es-MX"/>
        </w:rPr>
        <w:t>Tribunal local.</w:t>
      </w:r>
    </w:p>
  </w:footnote>
  <w:footnote w:id="3">
    <w:p w14:paraId="45E1C7D1" w14:textId="72BDB7CC" w:rsidR="00D854BA" w:rsidRDefault="00D854BA" w:rsidP="00D854BA">
      <w:pPr>
        <w:pStyle w:val="Default"/>
        <w:jc w:val="both"/>
        <w:rPr>
          <w:rFonts w:eastAsiaTheme="minorHAnsi"/>
          <w:sz w:val="20"/>
          <w:szCs w:val="20"/>
          <w:lang w:val="es-MX" w:eastAsia="en-US"/>
        </w:rPr>
      </w:pPr>
      <w:r>
        <w:rPr>
          <w:rStyle w:val="Refdenotaalpie"/>
          <w:sz w:val="20"/>
          <w:szCs w:val="20"/>
        </w:rPr>
        <w:footnoteRef/>
      </w:r>
      <w:r>
        <w:rPr>
          <w:sz w:val="20"/>
          <w:szCs w:val="20"/>
        </w:rPr>
        <w:t xml:space="preserve"> </w:t>
      </w:r>
      <w:r w:rsidR="00CE719D">
        <w:rPr>
          <w:rFonts w:eastAsiaTheme="minorHAnsi"/>
          <w:sz w:val="20"/>
          <w:szCs w:val="20"/>
          <w:lang w:val="es-MX" w:eastAsia="en-US"/>
        </w:rPr>
        <w:t>Jurisprudencia</w:t>
      </w:r>
      <w:r>
        <w:rPr>
          <w:rFonts w:eastAsiaTheme="minorHAnsi"/>
          <w:sz w:val="20"/>
          <w:szCs w:val="20"/>
          <w:lang w:val="es-MX" w:eastAsia="en-US"/>
        </w:rPr>
        <w:t xml:space="preserve"> 14/2014, de rubro: MEDIOS DE IMPUGNACIÓN EN MATERIA ELECTORAL. ANTE SU FALTA DE PREVISIÓN EN LA NORMATIVA LOCAL, LA AUTORIDAD ELECTORAL ESTATAL O DEL DISTRITO FEDERAL COMPETENTE DEBE IMPLEMENTAR UN PROCEDIMIENTO IDÓNEO. </w:t>
      </w:r>
    </w:p>
  </w:footnote>
  <w:footnote w:id="4">
    <w:p w14:paraId="3EB058F0" w14:textId="4DAAC336" w:rsidR="00167417" w:rsidRPr="00167417" w:rsidRDefault="00167417">
      <w:pPr>
        <w:pStyle w:val="Textonotapie"/>
        <w:rPr>
          <w:lang w:val="es-MX"/>
        </w:rPr>
      </w:pPr>
      <w:r w:rsidRPr="00167417">
        <w:rPr>
          <w:rStyle w:val="Refdenotaalpie"/>
        </w:rPr>
        <w:footnoteRef/>
      </w:r>
      <w:r w:rsidRPr="00167417">
        <w:t xml:space="preserve"> </w:t>
      </w:r>
      <w:r w:rsidRPr="00167417">
        <w:rPr>
          <w:lang w:val="es-MX"/>
        </w:rPr>
        <w:t xml:space="preserve">Similar criterio sostuvo esta Sala Regional al resolver </w:t>
      </w:r>
      <w:r w:rsidR="00D717A4">
        <w:rPr>
          <w:lang w:val="es-MX"/>
        </w:rPr>
        <w:t>los</w:t>
      </w:r>
      <w:r w:rsidRPr="00167417">
        <w:rPr>
          <w:lang w:val="es-MX"/>
        </w:rPr>
        <w:t xml:space="preserve"> expediente</w:t>
      </w:r>
      <w:r w:rsidR="00D717A4">
        <w:rPr>
          <w:lang w:val="es-MX"/>
        </w:rPr>
        <w:t>s SM-JRC-102/2021 y acumulado,</w:t>
      </w:r>
      <w:r w:rsidR="00842113">
        <w:rPr>
          <w:lang w:val="es-MX"/>
        </w:rPr>
        <w:t xml:space="preserve"> </w:t>
      </w:r>
      <w:r w:rsidR="004E7C6F">
        <w:rPr>
          <w:lang w:val="es-MX"/>
        </w:rPr>
        <w:t xml:space="preserve">y </w:t>
      </w:r>
      <w:r w:rsidR="00842113" w:rsidRPr="00842113">
        <w:rPr>
          <w:lang w:val="es-MX"/>
        </w:rPr>
        <w:t>SM-JDC-355/2021</w:t>
      </w:r>
      <w:r w:rsidR="00842113">
        <w:rPr>
          <w:lang w:val="es-MX"/>
        </w:rPr>
        <w:t>, entre otros.</w:t>
      </w:r>
    </w:p>
  </w:footnote>
  <w:footnote w:id="5">
    <w:p w14:paraId="1680905B" w14:textId="77777777" w:rsidR="00CC2787" w:rsidRPr="00167417" w:rsidRDefault="00CC2787" w:rsidP="00167417">
      <w:pPr>
        <w:pStyle w:val="Textonotapie"/>
        <w:jc w:val="both"/>
        <w:rPr>
          <w:lang w:val="es-MX"/>
        </w:rPr>
      </w:pPr>
      <w:r w:rsidRPr="00167417">
        <w:rPr>
          <w:rStyle w:val="Refdenotaalpie"/>
        </w:rPr>
        <w:footnoteRef/>
      </w:r>
      <w:r w:rsidRPr="00167417">
        <w:t xml:space="preserve"> Véase jurisprudencia 9/2012, de este Tribunal Electoral, de rubro: REENCAUZAMIENTO. EL ANÁLISIS DE LA PROCEDENCIA DEL MEDIO DE IMPUGNACIÓN CORRESPONDE A LA AUTORIDAD Y ÓRGANO COMPETENTE, publicada en </w:t>
      </w:r>
      <w:r w:rsidRPr="00167417">
        <w:rPr>
          <w:i/>
        </w:rPr>
        <w:t>Gaceta de Jurisprudencia y Tesis en materia electoral</w:t>
      </w:r>
      <w:r w:rsidRPr="00167417">
        <w:t>, Tribunal Electoral del Poder Judicial de la Federación, año 5, número 10, 2012, pp. 34 y 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B9C0C" w14:textId="5C7F2211" w:rsidR="00752FB9" w:rsidRPr="00FD2F33" w:rsidRDefault="004E7C6F" w:rsidP="00752FB9">
    <w:pPr>
      <w:pStyle w:val="Encabezado"/>
      <w:rPr>
        <w:rFonts w:ascii="Arial" w:hAnsi="Arial" w:cs="Arial"/>
        <w:b/>
        <w:sz w:val="22"/>
      </w:rPr>
    </w:pPr>
    <w:sdt>
      <w:sdtPr>
        <w:rPr>
          <w:rFonts w:ascii="Arial" w:hAnsi="Arial" w:cs="Arial"/>
          <w:b/>
          <w:sz w:val="22"/>
          <w:szCs w:val="22"/>
        </w:rPr>
        <w:id w:val="2065671749"/>
        <w:docPartObj>
          <w:docPartGallery w:val="Page Numbers (Margins)"/>
          <w:docPartUnique/>
        </w:docPartObj>
      </w:sdtPr>
      <w:sdtEndPr/>
      <w:sdtContent>
        <w:r w:rsidR="00EE6FEE" w:rsidRPr="00B73C10">
          <w:rPr>
            <w:rFonts w:ascii="Arial" w:hAnsi="Arial" w:cs="Arial"/>
            <w:b/>
            <w:noProof/>
            <w:sz w:val="22"/>
            <w:szCs w:val="22"/>
            <w:lang w:val="es-MX" w:eastAsia="es-MX"/>
          </w:rPr>
          <mc:AlternateContent>
            <mc:Choice Requires="wps">
              <w:drawing>
                <wp:anchor distT="0" distB="0" distL="114300" distR="114300" simplePos="0" relativeHeight="251660288" behindDoc="0" locked="0" layoutInCell="0" allowOverlap="1" wp14:anchorId="49FD2AA6" wp14:editId="1059FDDF">
                  <wp:simplePos x="0" y="0"/>
                  <wp:positionH relativeFrom="leftMargin">
                    <wp:align>center</wp:align>
                  </wp:positionH>
                  <wp:positionV relativeFrom="page">
                    <wp:align>center</wp:align>
                  </wp:positionV>
                  <wp:extent cx="762000" cy="895350"/>
                  <wp:effectExtent l="0" t="0" r="0" b="0"/>
                  <wp:wrapNone/>
                  <wp:docPr id="558"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64"/>
                                  <w:szCs w:val="64"/>
                                </w:rPr>
                                <w:id w:val="117659854"/>
                              </w:sdtPr>
                              <w:sdtEndPr/>
                              <w:sdtContent>
                                <w:sdt>
                                  <w:sdtPr>
                                    <w:rPr>
                                      <w:rFonts w:asciiTheme="majorHAnsi" w:eastAsiaTheme="majorEastAsia" w:hAnsiTheme="majorHAnsi" w:cstheme="majorBidi"/>
                                      <w:sz w:val="64"/>
                                      <w:szCs w:val="64"/>
                                    </w:rPr>
                                    <w:id w:val="706912283"/>
                                  </w:sdtPr>
                                  <w:sdtEndPr/>
                                  <w:sdtContent>
                                    <w:p w14:paraId="21AE5D00" w14:textId="77777777" w:rsidR="00752FB9" w:rsidRPr="00C45362" w:rsidRDefault="00EE6FEE">
                                      <w:pPr>
                                        <w:jc w:val="center"/>
                                        <w:rPr>
                                          <w:rFonts w:asciiTheme="majorHAnsi" w:eastAsiaTheme="majorEastAsia" w:hAnsiTheme="majorHAnsi" w:cstheme="majorBidi"/>
                                          <w:sz w:val="64"/>
                                          <w:szCs w:val="64"/>
                                        </w:rPr>
                                      </w:pPr>
                                      <w:r w:rsidRPr="00286AF9">
                                        <w:rPr>
                                          <w:rFonts w:ascii="Cambria" w:eastAsiaTheme="minorEastAsia" w:hAnsi="Cambria" w:cstheme="minorBidi"/>
                                          <w:sz w:val="64"/>
                                          <w:szCs w:val="64"/>
                                        </w:rPr>
                                        <w:fldChar w:fldCharType="begin"/>
                                      </w:r>
                                      <w:r w:rsidRPr="00286AF9">
                                        <w:rPr>
                                          <w:rFonts w:ascii="Cambria" w:hAnsi="Cambria"/>
                                          <w:sz w:val="64"/>
                                          <w:szCs w:val="64"/>
                                        </w:rPr>
                                        <w:instrText>PAGE   \* MERGEFORMAT</w:instrText>
                                      </w:r>
                                      <w:r w:rsidRPr="00286AF9">
                                        <w:rPr>
                                          <w:rFonts w:ascii="Cambria" w:eastAsiaTheme="minorEastAsia" w:hAnsi="Cambria" w:cstheme="minorBidi"/>
                                          <w:sz w:val="64"/>
                                          <w:szCs w:val="64"/>
                                        </w:rPr>
                                        <w:fldChar w:fldCharType="separate"/>
                                      </w:r>
                                      <w:r w:rsidR="00E9144D" w:rsidRPr="00286AF9">
                                        <w:rPr>
                                          <w:rFonts w:ascii="Cambria" w:eastAsiaTheme="majorEastAsia" w:hAnsi="Cambria" w:cstheme="majorBidi"/>
                                          <w:noProof/>
                                          <w:sz w:val="64"/>
                                          <w:szCs w:val="64"/>
                                        </w:rPr>
                                        <w:t>2</w:t>
                                      </w:r>
                                      <w:r w:rsidRPr="00286AF9">
                                        <w:rPr>
                                          <w:rFonts w:ascii="Cambria" w:eastAsiaTheme="majorEastAsia" w:hAnsi="Cambria" w:cstheme="majorBidi"/>
                                          <w:sz w:val="64"/>
                                          <w:szCs w:val="64"/>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D2AA6" id="Rectángulo 9" o:spid="_x0000_s1026"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" o:allowincell="f" stroked="f">
                  <v:textbox>
                    <w:txbxContent>
                      <w:sdt>
                        <w:sdtPr>
                          <w:rPr>
                            <w:rFonts w:asciiTheme="majorHAnsi" w:eastAsiaTheme="majorEastAsia" w:hAnsiTheme="majorHAnsi" w:cstheme="majorBidi"/>
                            <w:sz w:val="64"/>
                            <w:szCs w:val="64"/>
                          </w:rPr>
                          <w:id w:val="117659854"/>
                        </w:sdtPr>
                        <w:sdtEndPr/>
                        <w:sdtContent>
                          <w:sdt>
                            <w:sdtPr>
                              <w:rPr>
                                <w:rFonts w:asciiTheme="majorHAnsi" w:eastAsiaTheme="majorEastAsia" w:hAnsiTheme="majorHAnsi" w:cstheme="majorBidi"/>
                                <w:sz w:val="64"/>
                                <w:szCs w:val="64"/>
                              </w:rPr>
                              <w:id w:val="706912283"/>
                            </w:sdtPr>
                            <w:sdtEndPr/>
                            <w:sdtContent>
                              <w:p w14:paraId="21AE5D00" w14:textId="77777777" w:rsidR="00752FB9" w:rsidRPr="00C45362" w:rsidRDefault="00EE6FEE">
                                <w:pPr>
                                  <w:jc w:val="center"/>
                                  <w:rPr>
                                    <w:rFonts w:asciiTheme="majorHAnsi" w:eastAsiaTheme="majorEastAsia" w:hAnsiTheme="majorHAnsi" w:cstheme="majorBidi"/>
                                    <w:sz w:val="64"/>
                                    <w:szCs w:val="64"/>
                                  </w:rPr>
                                </w:pPr>
                                <w:r w:rsidRPr="00286AF9">
                                  <w:rPr>
                                    <w:rFonts w:ascii="Cambria" w:eastAsiaTheme="minorEastAsia" w:hAnsi="Cambria" w:cstheme="minorBidi"/>
                                    <w:sz w:val="64"/>
                                    <w:szCs w:val="64"/>
                                  </w:rPr>
                                  <w:fldChar w:fldCharType="begin"/>
                                </w:r>
                                <w:r w:rsidRPr="00286AF9">
                                  <w:rPr>
                                    <w:rFonts w:ascii="Cambria" w:hAnsi="Cambria"/>
                                    <w:sz w:val="64"/>
                                    <w:szCs w:val="64"/>
                                  </w:rPr>
                                  <w:instrText>PAGE   \* MERGEFORMAT</w:instrText>
                                </w:r>
                                <w:r w:rsidRPr="00286AF9">
                                  <w:rPr>
                                    <w:rFonts w:ascii="Cambria" w:eastAsiaTheme="minorEastAsia" w:hAnsi="Cambria" w:cstheme="minorBidi"/>
                                    <w:sz w:val="64"/>
                                    <w:szCs w:val="64"/>
                                  </w:rPr>
                                  <w:fldChar w:fldCharType="separate"/>
                                </w:r>
                                <w:r w:rsidR="00E9144D" w:rsidRPr="00286AF9">
                                  <w:rPr>
                                    <w:rFonts w:ascii="Cambria" w:eastAsiaTheme="majorEastAsia" w:hAnsi="Cambria" w:cstheme="majorBidi"/>
                                    <w:noProof/>
                                    <w:sz w:val="64"/>
                                    <w:szCs w:val="64"/>
                                  </w:rPr>
                                  <w:t>2</w:t>
                                </w:r>
                                <w:r w:rsidRPr="00286AF9">
                                  <w:rPr>
                                    <w:rFonts w:ascii="Cambria" w:eastAsiaTheme="majorEastAsia" w:hAnsi="Cambria" w:cstheme="majorBidi"/>
                                    <w:sz w:val="64"/>
                                    <w:szCs w:val="64"/>
                                  </w:rPr>
                                  <w:fldChar w:fldCharType="end"/>
                                </w:r>
                              </w:p>
                            </w:sdtContent>
                          </w:sdt>
                        </w:sdtContent>
                      </w:sdt>
                    </w:txbxContent>
                  </v:textbox>
                  <w10:wrap anchorx="margin" anchory="page"/>
                </v:rect>
              </w:pict>
            </mc:Fallback>
          </mc:AlternateContent>
        </w:r>
      </w:sdtContent>
    </w:sdt>
    <w:r w:rsidR="00EE6FEE" w:rsidRPr="00FD2F33">
      <w:rPr>
        <w:rFonts w:ascii="Arial" w:hAnsi="Arial" w:cs="Arial"/>
        <w:b/>
        <w:sz w:val="22"/>
      </w:rPr>
      <w:t>SM-JDC</w:t>
    </w:r>
    <w:r w:rsidR="00D717A4">
      <w:rPr>
        <w:rFonts w:ascii="Arial" w:hAnsi="Arial" w:cs="Arial"/>
        <w:b/>
        <w:sz w:val="22"/>
      </w:rPr>
      <w:t>-676</w:t>
    </w:r>
    <w:r w:rsidR="00EE6FEE" w:rsidRPr="00FD2F33">
      <w:rPr>
        <w:rFonts w:ascii="Arial" w:hAnsi="Arial" w:cs="Arial"/>
        <w:b/>
        <w:sz w:val="22"/>
      </w:rPr>
      <w:t>/202</w:t>
    </w:r>
    <w:r w:rsidR="003427B7" w:rsidRPr="00FD2F33">
      <w:rPr>
        <w:rFonts w:ascii="Arial" w:hAnsi="Arial" w:cs="Arial"/>
        <w:b/>
        <w:sz w:val="22"/>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AB23B" w14:textId="144ADA05" w:rsidR="00752FB9" w:rsidRPr="00FD2F33" w:rsidRDefault="00EE6FEE" w:rsidP="00752FB9">
    <w:pPr>
      <w:pStyle w:val="Encabezado"/>
      <w:jc w:val="right"/>
      <w:rPr>
        <w:rFonts w:ascii="Arial" w:hAnsi="Arial" w:cs="Arial"/>
        <w:b/>
        <w:sz w:val="22"/>
      </w:rPr>
    </w:pPr>
    <w:r>
      <w:rPr>
        <w:noProof/>
        <w:lang w:val="es-MX" w:eastAsia="es-MX"/>
      </w:rPr>
      <w:drawing>
        <wp:anchor distT="0" distB="0" distL="114300" distR="114300" simplePos="0" relativeHeight="251662336" behindDoc="1" locked="0" layoutInCell="1" allowOverlap="1" wp14:anchorId="676D0623" wp14:editId="5C915A69">
          <wp:simplePos x="0" y="0"/>
          <wp:positionH relativeFrom="column">
            <wp:posOffset>-1561465</wp:posOffset>
          </wp:positionH>
          <wp:positionV relativeFrom="paragraph">
            <wp:posOffset>-179070</wp:posOffset>
          </wp:positionV>
          <wp:extent cx="1371600" cy="1143000"/>
          <wp:effectExtent l="0" t="0" r="0" b="0"/>
          <wp:wrapTight wrapText="bothSides">
            <wp:wrapPolygon edited="0">
              <wp:start x="0" y="0"/>
              <wp:lineTo x="0" y="21240"/>
              <wp:lineTo x="21300" y="21240"/>
              <wp:lineTo x="21300" y="0"/>
              <wp:lineTo x="0" y="0"/>
            </wp:wrapPolygon>
          </wp:wrapTight>
          <wp:docPr id="9" name="Imagen 9"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143000"/>
                  </a:xfrm>
                  <a:prstGeom prst="rect">
                    <a:avLst/>
                  </a:prstGeom>
                  <a:noFill/>
                </pic:spPr>
              </pic:pic>
            </a:graphicData>
          </a:graphic>
          <wp14:sizeRelH relativeFrom="page">
            <wp14:pctWidth>0</wp14:pctWidth>
          </wp14:sizeRelH>
          <wp14:sizeRelV relativeFrom="page">
            <wp14:pctHeight>0</wp14:pctHeight>
          </wp14:sizeRelV>
        </wp:anchor>
      </w:drawing>
    </w:r>
    <w:sdt>
      <w:sdtPr>
        <w:rPr>
          <w:rFonts w:ascii="Arial" w:hAnsi="Arial" w:cs="Arial"/>
          <w:b/>
          <w:strike/>
          <w:sz w:val="20"/>
          <w:szCs w:val="20"/>
        </w:rPr>
        <w:id w:val="380211856"/>
        <w:docPartObj>
          <w:docPartGallery w:val="Page Numbers (Margins)"/>
          <w:docPartUnique/>
        </w:docPartObj>
      </w:sdtPr>
      <w:sdtEndPr/>
      <w:sdtContent>
        <w:r w:rsidRPr="0055667F">
          <w:rPr>
            <w:rFonts w:ascii="Arial" w:hAnsi="Arial" w:cs="Arial"/>
            <w:b/>
            <w:strike/>
            <w:noProof/>
            <w:sz w:val="20"/>
            <w:szCs w:val="20"/>
            <w:lang w:val="es-MX" w:eastAsia="es-MX"/>
          </w:rPr>
          <mc:AlternateContent>
            <mc:Choice Requires="wps">
              <w:drawing>
                <wp:anchor distT="0" distB="0" distL="114300" distR="114300" simplePos="0" relativeHeight="251661312" behindDoc="0" locked="0" layoutInCell="0" allowOverlap="1" wp14:anchorId="4F4644FC" wp14:editId="55D16564">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64"/>
                                  <w:szCs w:val="64"/>
                                </w:rPr>
                                <w:id w:val="-2052217359"/>
                              </w:sdtPr>
                              <w:sdtEndPr>
                                <w:rPr>
                                  <w:rFonts w:ascii="Cambria" w:hAnsi="Cambria"/>
                                </w:rPr>
                              </w:sdtEndPr>
                              <w:sdtContent>
                                <w:p w14:paraId="62C11043" w14:textId="77777777" w:rsidR="00752FB9" w:rsidRPr="00286AF9" w:rsidRDefault="00EE6FEE">
                                  <w:pPr>
                                    <w:jc w:val="center"/>
                                    <w:rPr>
                                      <w:rFonts w:ascii="Cambria" w:eastAsiaTheme="majorEastAsia" w:hAnsi="Cambria" w:cstheme="majorBidi"/>
                                      <w:sz w:val="64"/>
                                      <w:szCs w:val="64"/>
                                    </w:rPr>
                                  </w:pPr>
                                  <w:r w:rsidRPr="00286AF9">
                                    <w:rPr>
                                      <w:rFonts w:ascii="Cambria" w:eastAsiaTheme="minorEastAsia" w:hAnsi="Cambria" w:cstheme="minorBidi"/>
                                      <w:sz w:val="64"/>
                                      <w:szCs w:val="64"/>
                                    </w:rPr>
                                    <w:fldChar w:fldCharType="begin"/>
                                  </w:r>
                                  <w:r w:rsidRPr="00286AF9">
                                    <w:rPr>
                                      <w:rFonts w:ascii="Cambria" w:hAnsi="Cambria"/>
                                      <w:sz w:val="64"/>
                                      <w:szCs w:val="64"/>
                                    </w:rPr>
                                    <w:instrText>PAGE  \* MERGEFORMAT</w:instrText>
                                  </w:r>
                                  <w:r w:rsidRPr="00286AF9">
                                    <w:rPr>
                                      <w:rFonts w:ascii="Cambria" w:eastAsiaTheme="minorEastAsia" w:hAnsi="Cambria" w:cstheme="minorBidi"/>
                                      <w:sz w:val="64"/>
                                      <w:szCs w:val="64"/>
                                    </w:rPr>
                                    <w:fldChar w:fldCharType="separate"/>
                                  </w:r>
                                  <w:r w:rsidR="00E9144D" w:rsidRPr="00286AF9">
                                    <w:rPr>
                                      <w:rFonts w:ascii="Cambria" w:eastAsiaTheme="majorEastAsia" w:hAnsi="Cambria" w:cstheme="majorBidi"/>
                                      <w:noProof/>
                                      <w:sz w:val="64"/>
                                      <w:szCs w:val="64"/>
                                    </w:rPr>
                                    <w:t>3</w:t>
                                  </w:r>
                                  <w:r w:rsidRPr="00286AF9">
                                    <w:rPr>
                                      <w:rFonts w:ascii="Cambria" w:eastAsiaTheme="majorEastAsia" w:hAnsi="Cambria" w:cstheme="majorBidi"/>
                                      <w:sz w:val="64"/>
                                      <w:szCs w:val="64"/>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644FC" id="_x0000_s1027" style="position:absolute;left:0;text-align:left;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" o:allowincell="f" stroked="f">
                  <v:textbox>
                    <w:txbxContent>
                      <w:sdt>
                        <w:sdtPr>
                          <w:rPr>
                            <w:rFonts w:asciiTheme="majorHAnsi" w:eastAsiaTheme="majorEastAsia" w:hAnsiTheme="majorHAnsi" w:cstheme="majorBidi"/>
                            <w:sz w:val="64"/>
                            <w:szCs w:val="64"/>
                          </w:rPr>
                          <w:id w:val="-2052217359"/>
                        </w:sdtPr>
                        <w:sdtEndPr>
                          <w:rPr>
                            <w:rFonts w:ascii="Cambria" w:hAnsi="Cambria"/>
                          </w:rPr>
                        </w:sdtEndPr>
                        <w:sdtContent>
                          <w:p w14:paraId="62C11043" w14:textId="77777777" w:rsidR="00752FB9" w:rsidRPr="00286AF9" w:rsidRDefault="00EE6FEE">
                            <w:pPr>
                              <w:jc w:val="center"/>
                              <w:rPr>
                                <w:rFonts w:ascii="Cambria" w:eastAsiaTheme="majorEastAsia" w:hAnsi="Cambria" w:cstheme="majorBidi"/>
                                <w:sz w:val="64"/>
                                <w:szCs w:val="64"/>
                              </w:rPr>
                            </w:pPr>
                            <w:r w:rsidRPr="00286AF9">
                              <w:rPr>
                                <w:rFonts w:ascii="Cambria" w:eastAsiaTheme="minorEastAsia" w:hAnsi="Cambria" w:cstheme="minorBidi"/>
                                <w:sz w:val="64"/>
                                <w:szCs w:val="64"/>
                              </w:rPr>
                              <w:fldChar w:fldCharType="begin"/>
                            </w:r>
                            <w:r w:rsidRPr="00286AF9">
                              <w:rPr>
                                <w:rFonts w:ascii="Cambria" w:hAnsi="Cambria"/>
                                <w:sz w:val="64"/>
                                <w:szCs w:val="64"/>
                              </w:rPr>
                              <w:instrText>PAGE  \* MERGEFORMAT</w:instrText>
                            </w:r>
                            <w:r w:rsidRPr="00286AF9">
                              <w:rPr>
                                <w:rFonts w:ascii="Cambria" w:eastAsiaTheme="minorEastAsia" w:hAnsi="Cambria" w:cstheme="minorBidi"/>
                                <w:sz w:val="64"/>
                                <w:szCs w:val="64"/>
                              </w:rPr>
                              <w:fldChar w:fldCharType="separate"/>
                            </w:r>
                            <w:r w:rsidR="00E9144D" w:rsidRPr="00286AF9">
                              <w:rPr>
                                <w:rFonts w:ascii="Cambria" w:eastAsiaTheme="majorEastAsia" w:hAnsi="Cambria" w:cstheme="majorBidi"/>
                                <w:noProof/>
                                <w:sz w:val="64"/>
                                <w:szCs w:val="64"/>
                              </w:rPr>
                              <w:t>3</w:t>
                            </w:r>
                            <w:r w:rsidRPr="00286AF9">
                              <w:rPr>
                                <w:rFonts w:ascii="Cambria" w:eastAsiaTheme="majorEastAsia" w:hAnsi="Cambria" w:cstheme="majorBidi"/>
                                <w:sz w:val="64"/>
                                <w:szCs w:val="64"/>
                              </w:rPr>
                              <w:fldChar w:fldCharType="end"/>
                            </w:r>
                          </w:p>
                        </w:sdtContent>
                      </w:sdt>
                    </w:txbxContent>
                  </v:textbox>
                  <w10:wrap anchorx="margin" anchory="page"/>
                </v:rect>
              </w:pict>
            </mc:Fallback>
          </mc:AlternateContent>
        </w:r>
      </w:sdtContent>
    </w:sdt>
    <w:r w:rsidRPr="00FD2F33">
      <w:rPr>
        <w:rFonts w:ascii="Arial" w:hAnsi="Arial" w:cs="Arial"/>
        <w:b/>
        <w:sz w:val="22"/>
      </w:rPr>
      <w:t>SM-JDC-</w:t>
    </w:r>
    <w:r w:rsidR="00D717A4">
      <w:rPr>
        <w:rFonts w:ascii="Arial" w:hAnsi="Arial" w:cs="Arial"/>
        <w:b/>
        <w:sz w:val="22"/>
      </w:rPr>
      <w:t>676</w:t>
    </w:r>
    <w:r w:rsidRPr="00FD2F33">
      <w:rPr>
        <w:rFonts w:ascii="Arial" w:hAnsi="Arial" w:cs="Arial"/>
        <w:b/>
        <w:sz w:val="22"/>
      </w:rPr>
      <w:t>/202</w:t>
    </w:r>
    <w:r w:rsidR="003427B7" w:rsidRPr="00FD2F33">
      <w:rPr>
        <w:rFonts w:ascii="Arial" w:hAnsi="Arial" w:cs="Arial"/>
        <w:b/>
        <w:sz w:val="22"/>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4C3ED" w14:textId="36685B30" w:rsidR="00752FB9" w:rsidRDefault="00EE6FEE">
    <w:pPr>
      <w:pStyle w:val="Encabezado"/>
    </w:pPr>
    <w:r>
      <w:rPr>
        <w:noProof/>
        <w:lang w:val="es-MX" w:eastAsia="es-MX"/>
      </w:rPr>
      <w:drawing>
        <wp:anchor distT="0" distB="0" distL="114300" distR="114300" simplePos="0" relativeHeight="251659264" behindDoc="1" locked="0" layoutInCell="1" allowOverlap="1" wp14:anchorId="5D2B921B" wp14:editId="6DF12715">
          <wp:simplePos x="0" y="0"/>
          <wp:positionH relativeFrom="column">
            <wp:posOffset>-1455420</wp:posOffset>
          </wp:positionH>
          <wp:positionV relativeFrom="paragraph">
            <wp:posOffset>-217170</wp:posOffset>
          </wp:positionV>
          <wp:extent cx="1371600" cy="1143000"/>
          <wp:effectExtent l="0" t="0" r="0" b="0"/>
          <wp:wrapTight wrapText="bothSides">
            <wp:wrapPolygon edited="0">
              <wp:start x="0" y="0"/>
              <wp:lineTo x="0" y="21240"/>
              <wp:lineTo x="21300" y="21240"/>
              <wp:lineTo x="21300" y="0"/>
              <wp:lineTo x="0" y="0"/>
            </wp:wrapPolygon>
          </wp:wrapTight>
          <wp:docPr id="10" name="Imagen 10"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143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E7120"/>
    <w:multiLevelType w:val="hybridMultilevel"/>
    <w:tmpl w:val="C8E0EC82"/>
    <w:lvl w:ilvl="0" w:tplc="F54AABF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41632E"/>
    <w:multiLevelType w:val="hybridMultilevel"/>
    <w:tmpl w:val="41781F3A"/>
    <w:lvl w:ilvl="0" w:tplc="4A261FC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C7566BC"/>
    <w:multiLevelType w:val="hybridMultilevel"/>
    <w:tmpl w:val="2D36F8B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6C2255E"/>
    <w:multiLevelType w:val="hybridMultilevel"/>
    <w:tmpl w:val="825C8702"/>
    <w:lvl w:ilvl="0" w:tplc="C7D6E06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36A7FB4"/>
    <w:multiLevelType w:val="hybridMultilevel"/>
    <w:tmpl w:val="FEC0A802"/>
    <w:lvl w:ilvl="0" w:tplc="080A0017">
      <w:start w:val="1"/>
      <w:numFmt w:val="low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5" w15:restartNumberingAfterBreak="0">
    <w:nsid w:val="77612854"/>
    <w:multiLevelType w:val="hybridMultilevel"/>
    <w:tmpl w:val="C8E0EC82"/>
    <w:lvl w:ilvl="0" w:tplc="F54AABF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mirrorMargins/>
  <w:proofState w:spelling="clean"/>
  <w:defaultTabStop w:val="708"/>
  <w:hyphenationZone w:val="425"/>
  <w:evenAndOddHeaders/>
  <w:characterSpacingControl w:val="doNotCompress"/>
  <w:hdrShapeDefaults>
    <o:shapedefaults v:ext="edit" spidmax="61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796"/>
    <w:rsid w:val="00004DDB"/>
    <w:rsid w:val="00010C73"/>
    <w:rsid w:val="000124D6"/>
    <w:rsid w:val="000141DC"/>
    <w:rsid w:val="0001528F"/>
    <w:rsid w:val="0001682F"/>
    <w:rsid w:val="00016B79"/>
    <w:rsid w:val="00017087"/>
    <w:rsid w:val="0003035E"/>
    <w:rsid w:val="00032D34"/>
    <w:rsid w:val="000352FC"/>
    <w:rsid w:val="0004179E"/>
    <w:rsid w:val="000433ED"/>
    <w:rsid w:val="00046094"/>
    <w:rsid w:val="0005019A"/>
    <w:rsid w:val="0005334F"/>
    <w:rsid w:val="00055A00"/>
    <w:rsid w:val="00063EF3"/>
    <w:rsid w:val="00066A27"/>
    <w:rsid w:val="00077BDE"/>
    <w:rsid w:val="00080B1F"/>
    <w:rsid w:val="0008219A"/>
    <w:rsid w:val="00086C6B"/>
    <w:rsid w:val="0009128B"/>
    <w:rsid w:val="000932C2"/>
    <w:rsid w:val="00093B7B"/>
    <w:rsid w:val="00097796"/>
    <w:rsid w:val="000B33DF"/>
    <w:rsid w:val="000C0CE1"/>
    <w:rsid w:val="000C100C"/>
    <w:rsid w:val="000D3C23"/>
    <w:rsid w:val="000D3CE6"/>
    <w:rsid w:val="000D58E2"/>
    <w:rsid w:val="000E2001"/>
    <w:rsid w:val="000E50B1"/>
    <w:rsid w:val="000E7D8D"/>
    <w:rsid w:val="000F243D"/>
    <w:rsid w:val="000F506C"/>
    <w:rsid w:val="000F6BD4"/>
    <w:rsid w:val="000F72B3"/>
    <w:rsid w:val="0010594A"/>
    <w:rsid w:val="00106C17"/>
    <w:rsid w:val="00107BC5"/>
    <w:rsid w:val="001100F5"/>
    <w:rsid w:val="00113F5D"/>
    <w:rsid w:val="00113F86"/>
    <w:rsid w:val="00115DDB"/>
    <w:rsid w:val="00117F6C"/>
    <w:rsid w:val="0012106A"/>
    <w:rsid w:val="00125C61"/>
    <w:rsid w:val="001316AD"/>
    <w:rsid w:val="00137689"/>
    <w:rsid w:val="001423E8"/>
    <w:rsid w:val="00143260"/>
    <w:rsid w:val="00150219"/>
    <w:rsid w:val="00152FDF"/>
    <w:rsid w:val="00167417"/>
    <w:rsid w:val="001870E6"/>
    <w:rsid w:val="00187A83"/>
    <w:rsid w:val="001907FE"/>
    <w:rsid w:val="001913AB"/>
    <w:rsid w:val="00192556"/>
    <w:rsid w:val="00194F8D"/>
    <w:rsid w:val="00194FE9"/>
    <w:rsid w:val="00195964"/>
    <w:rsid w:val="00195C78"/>
    <w:rsid w:val="001A0724"/>
    <w:rsid w:val="001B4028"/>
    <w:rsid w:val="001B656E"/>
    <w:rsid w:val="001B6767"/>
    <w:rsid w:val="001B745F"/>
    <w:rsid w:val="001C085A"/>
    <w:rsid w:val="001C1F21"/>
    <w:rsid w:val="001C73A9"/>
    <w:rsid w:val="001D0066"/>
    <w:rsid w:val="001D30FB"/>
    <w:rsid w:val="001D546C"/>
    <w:rsid w:val="001E138F"/>
    <w:rsid w:val="001F3E41"/>
    <w:rsid w:val="001F7BB0"/>
    <w:rsid w:val="001F7E60"/>
    <w:rsid w:val="0021260A"/>
    <w:rsid w:val="00213252"/>
    <w:rsid w:val="0021553D"/>
    <w:rsid w:val="00215DAF"/>
    <w:rsid w:val="002163EF"/>
    <w:rsid w:val="0022287A"/>
    <w:rsid w:val="00226ADB"/>
    <w:rsid w:val="002319F7"/>
    <w:rsid w:val="00232E3A"/>
    <w:rsid w:val="00232F25"/>
    <w:rsid w:val="00236BFE"/>
    <w:rsid w:val="00242B63"/>
    <w:rsid w:val="00243760"/>
    <w:rsid w:val="0024557D"/>
    <w:rsid w:val="00247828"/>
    <w:rsid w:val="002517BD"/>
    <w:rsid w:val="002551B8"/>
    <w:rsid w:val="00260F7A"/>
    <w:rsid w:val="002646D3"/>
    <w:rsid w:val="00264851"/>
    <w:rsid w:val="002655B9"/>
    <w:rsid w:val="002678CC"/>
    <w:rsid w:val="002679E2"/>
    <w:rsid w:val="0027123E"/>
    <w:rsid w:val="00271999"/>
    <w:rsid w:val="002725B3"/>
    <w:rsid w:val="00273FFD"/>
    <w:rsid w:val="00280958"/>
    <w:rsid w:val="00282017"/>
    <w:rsid w:val="0028628A"/>
    <w:rsid w:val="0028676E"/>
    <w:rsid w:val="00286AF9"/>
    <w:rsid w:val="00290DF2"/>
    <w:rsid w:val="00292857"/>
    <w:rsid w:val="00292D0C"/>
    <w:rsid w:val="00292F76"/>
    <w:rsid w:val="002A170B"/>
    <w:rsid w:val="002A64A3"/>
    <w:rsid w:val="002C3106"/>
    <w:rsid w:val="002C617D"/>
    <w:rsid w:val="002D4595"/>
    <w:rsid w:val="002D6578"/>
    <w:rsid w:val="002E0B78"/>
    <w:rsid w:val="002E19CC"/>
    <w:rsid w:val="002E31B6"/>
    <w:rsid w:val="002E3B3E"/>
    <w:rsid w:val="002E773C"/>
    <w:rsid w:val="0030323F"/>
    <w:rsid w:val="00303A28"/>
    <w:rsid w:val="00312F5C"/>
    <w:rsid w:val="003149CA"/>
    <w:rsid w:val="00315067"/>
    <w:rsid w:val="00315AB5"/>
    <w:rsid w:val="0031728F"/>
    <w:rsid w:val="00324E5A"/>
    <w:rsid w:val="0032548F"/>
    <w:rsid w:val="003277B9"/>
    <w:rsid w:val="003323F2"/>
    <w:rsid w:val="003427B7"/>
    <w:rsid w:val="00343F38"/>
    <w:rsid w:val="00356B02"/>
    <w:rsid w:val="0035732C"/>
    <w:rsid w:val="003648B6"/>
    <w:rsid w:val="00366803"/>
    <w:rsid w:val="0036726C"/>
    <w:rsid w:val="0037616D"/>
    <w:rsid w:val="00381B4F"/>
    <w:rsid w:val="00385AAA"/>
    <w:rsid w:val="00392726"/>
    <w:rsid w:val="003930F5"/>
    <w:rsid w:val="003948BE"/>
    <w:rsid w:val="00394A23"/>
    <w:rsid w:val="003C2566"/>
    <w:rsid w:val="003C406A"/>
    <w:rsid w:val="003C66B2"/>
    <w:rsid w:val="003D78AB"/>
    <w:rsid w:val="003E0E15"/>
    <w:rsid w:val="003E3273"/>
    <w:rsid w:val="003F17C3"/>
    <w:rsid w:val="003F2C4A"/>
    <w:rsid w:val="004059F6"/>
    <w:rsid w:val="00406686"/>
    <w:rsid w:val="0041139C"/>
    <w:rsid w:val="00412C27"/>
    <w:rsid w:val="00413F46"/>
    <w:rsid w:val="00422CF2"/>
    <w:rsid w:val="00427D52"/>
    <w:rsid w:val="0043054C"/>
    <w:rsid w:val="004310F2"/>
    <w:rsid w:val="00444CE3"/>
    <w:rsid w:val="0045611D"/>
    <w:rsid w:val="00460E12"/>
    <w:rsid w:val="004623C7"/>
    <w:rsid w:val="00462E39"/>
    <w:rsid w:val="00463612"/>
    <w:rsid w:val="00463A27"/>
    <w:rsid w:val="00464B7E"/>
    <w:rsid w:val="00465DF2"/>
    <w:rsid w:val="004668CC"/>
    <w:rsid w:val="004773B8"/>
    <w:rsid w:val="00477CBE"/>
    <w:rsid w:val="0048582B"/>
    <w:rsid w:val="0049771D"/>
    <w:rsid w:val="004A1D31"/>
    <w:rsid w:val="004A5D38"/>
    <w:rsid w:val="004A6FAC"/>
    <w:rsid w:val="004B0D9D"/>
    <w:rsid w:val="004B4AE1"/>
    <w:rsid w:val="004C36D6"/>
    <w:rsid w:val="004C5069"/>
    <w:rsid w:val="004C618A"/>
    <w:rsid w:val="004C6663"/>
    <w:rsid w:val="004D11D1"/>
    <w:rsid w:val="004D2335"/>
    <w:rsid w:val="004D3EE8"/>
    <w:rsid w:val="004D401D"/>
    <w:rsid w:val="004D5597"/>
    <w:rsid w:val="004D6968"/>
    <w:rsid w:val="004E1523"/>
    <w:rsid w:val="004E52CC"/>
    <w:rsid w:val="004E7C6F"/>
    <w:rsid w:val="004F2E35"/>
    <w:rsid w:val="00500F9B"/>
    <w:rsid w:val="00500FB2"/>
    <w:rsid w:val="00502089"/>
    <w:rsid w:val="00502CFA"/>
    <w:rsid w:val="005112C5"/>
    <w:rsid w:val="00514300"/>
    <w:rsid w:val="00514AC3"/>
    <w:rsid w:val="0051616B"/>
    <w:rsid w:val="00517E71"/>
    <w:rsid w:val="005215E9"/>
    <w:rsid w:val="005215F4"/>
    <w:rsid w:val="0052161D"/>
    <w:rsid w:val="00521A76"/>
    <w:rsid w:val="0052678C"/>
    <w:rsid w:val="005322CF"/>
    <w:rsid w:val="00534269"/>
    <w:rsid w:val="00542325"/>
    <w:rsid w:val="00544643"/>
    <w:rsid w:val="00544691"/>
    <w:rsid w:val="00547591"/>
    <w:rsid w:val="005531D6"/>
    <w:rsid w:val="005553FE"/>
    <w:rsid w:val="005560C2"/>
    <w:rsid w:val="0055667F"/>
    <w:rsid w:val="005662D2"/>
    <w:rsid w:val="005715D0"/>
    <w:rsid w:val="005751CC"/>
    <w:rsid w:val="005821CE"/>
    <w:rsid w:val="00586C66"/>
    <w:rsid w:val="005902AF"/>
    <w:rsid w:val="00592676"/>
    <w:rsid w:val="00595D85"/>
    <w:rsid w:val="005975B5"/>
    <w:rsid w:val="005B0038"/>
    <w:rsid w:val="005B3408"/>
    <w:rsid w:val="005C2540"/>
    <w:rsid w:val="005C5861"/>
    <w:rsid w:val="005E1AD3"/>
    <w:rsid w:val="005E5087"/>
    <w:rsid w:val="005E513D"/>
    <w:rsid w:val="005E5EB6"/>
    <w:rsid w:val="005E6899"/>
    <w:rsid w:val="005F196A"/>
    <w:rsid w:val="005F34F3"/>
    <w:rsid w:val="005F3ECD"/>
    <w:rsid w:val="00602A0B"/>
    <w:rsid w:val="0060346E"/>
    <w:rsid w:val="00603CBC"/>
    <w:rsid w:val="00615C0F"/>
    <w:rsid w:val="006165E3"/>
    <w:rsid w:val="00616926"/>
    <w:rsid w:val="006204DC"/>
    <w:rsid w:val="00620779"/>
    <w:rsid w:val="00621D40"/>
    <w:rsid w:val="00623AB7"/>
    <w:rsid w:val="006262B2"/>
    <w:rsid w:val="00626ED0"/>
    <w:rsid w:val="0063208B"/>
    <w:rsid w:val="0063281C"/>
    <w:rsid w:val="006347AC"/>
    <w:rsid w:val="0063555D"/>
    <w:rsid w:val="0064069A"/>
    <w:rsid w:val="0064222B"/>
    <w:rsid w:val="00643320"/>
    <w:rsid w:val="00644951"/>
    <w:rsid w:val="0065220B"/>
    <w:rsid w:val="00653186"/>
    <w:rsid w:val="006538B6"/>
    <w:rsid w:val="006606D5"/>
    <w:rsid w:val="0066283B"/>
    <w:rsid w:val="0066418D"/>
    <w:rsid w:val="006677B4"/>
    <w:rsid w:val="006757F7"/>
    <w:rsid w:val="00675F4E"/>
    <w:rsid w:val="00677C8F"/>
    <w:rsid w:val="006966E0"/>
    <w:rsid w:val="006A1032"/>
    <w:rsid w:val="006A1A5C"/>
    <w:rsid w:val="006A5B1E"/>
    <w:rsid w:val="006B60E4"/>
    <w:rsid w:val="006C2E57"/>
    <w:rsid w:val="006C3894"/>
    <w:rsid w:val="006C6186"/>
    <w:rsid w:val="006C798A"/>
    <w:rsid w:val="006D16BB"/>
    <w:rsid w:val="006D44F6"/>
    <w:rsid w:val="006E66A9"/>
    <w:rsid w:val="006F16B0"/>
    <w:rsid w:val="006F383C"/>
    <w:rsid w:val="006F785F"/>
    <w:rsid w:val="006F7978"/>
    <w:rsid w:val="00703E04"/>
    <w:rsid w:val="007050D6"/>
    <w:rsid w:val="00711EF6"/>
    <w:rsid w:val="00725E64"/>
    <w:rsid w:val="00736006"/>
    <w:rsid w:val="00743205"/>
    <w:rsid w:val="00745B77"/>
    <w:rsid w:val="00752FB9"/>
    <w:rsid w:val="00753A07"/>
    <w:rsid w:val="00756682"/>
    <w:rsid w:val="00762EE6"/>
    <w:rsid w:val="0076465B"/>
    <w:rsid w:val="00765146"/>
    <w:rsid w:val="0076726A"/>
    <w:rsid w:val="007679E0"/>
    <w:rsid w:val="0077089E"/>
    <w:rsid w:val="0077370F"/>
    <w:rsid w:val="00782B9C"/>
    <w:rsid w:val="0078519C"/>
    <w:rsid w:val="007868E7"/>
    <w:rsid w:val="007A172B"/>
    <w:rsid w:val="007A1E29"/>
    <w:rsid w:val="007A5702"/>
    <w:rsid w:val="007A5849"/>
    <w:rsid w:val="007B58E8"/>
    <w:rsid w:val="007B6541"/>
    <w:rsid w:val="007B6F11"/>
    <w:rsid w:val="007C1D1C"/>
    <w:rsid w:val="007C6CA9"/>
    <w:rsid w:val="007D0EFC"/>
    <w:rsid w:val="007D52A0"/>
    <w:rsid w:val="007D6F63"/>
    <w:rsid w:val="007E0883"/>
    <w:rsid w:val="007E6EB2"/>
    <w:rsid w:val="007F2835"/>
    <w:rsid w:val="007F45CE"/>
    <w:rsid w:val="00800626"/>
    <w:rsid w:val="008009CC"/>
    <w:rsid w:val="00806C08"/>
    <w:rsid w:val="00806C61"/>
    <w:rsid w:val="00810D96"/>
    <w:rsid w:val="00815301"/>
    <w:rsid w:val="0082178A"/>
    <w:rsid w:val="00825262"/>
    <w:rsid w:val="00825A31"/>
    <w:rsid w:val="00830E5B"/>
    <w:rsid w:val="00830F15"/>
    <w:rsid w:val="008341F1"/>
    <w:rsid w:val="00834478"/>
    <w:rsid w:val="00841200"/>
    <w:rsid w:val="00842113"/>
    <w:rsid w:val="0085666B"/>
    <w:rsid w:val="00863228"/>
    <w:rsid w:val="008638EE"/>
    <w:rsid w:val="00864A8F"/>
    <w:rsid w:val="00865DE3"/>
    <w:rsid w:val="00874D20"/>
    <w:rsid w:val="00883051"/>
    <w:rsid w:val="00887C61"/>
    <w:rsid w:val="00897AE4"/>
    <w:rsid w:val="008A1399"/>
    <w:rsid w:val="008A7E36"/>
    <w:rsid w:val="008B0C92"/>
    <w:rsid w:val="008B336D"/>
    <w:rsid w:val="008B3951"/>
    <w:rsid w:val="008B6520"/>
    <w:rsid w:val="008C5068"/>
    <w:rsid w:val="008D1408"/>
    <w:rsid w:val="008D3715"/>
    <w:rsid w:val="008E0434"/>
    <w:rsid w:val="008E240A"/>
    <w:rsid w:val="008E44ED"/>
    <w:rsid w:val="008F099A"/>
    <w:rsid w:val="008F0A81"/>
    <w:rsid w:val="008F0E1A"/>
    <w:rsid w:val="008F3C66"/>
    <w:rsid w:val="00910953"/>
    <w:rsid w:val="00910A52"/>
    <w:rsid w:val="00916084"/>
    <w:rsid w:val="0092621A"/>
    <w:rsid w:val="00931398"/>
    <w:rsid w:val="00931E87"/>
    <w:rsid w:val="00937132"/>
    <w:rsid w:val="00937CF3"/>
    <w:rsid w:val="0095291B"/>
    <w:rsid w:val="009532BB"/>
    <w:rsid w:val="00953BAE"/>
    <w:rsid w:val="00954F6F"/>
    <w:rsid w:val="00956ABD"/>
    <w:rsid w:val="00963F99"/>
    <w:rsid w:val="00964B23"/>
    <w:rsid w:val="009659CD"/>
    <w:rsid w:val="00966720"/>
    <w:rsid w:val="00970932"/>
    <w:rsid w:val="00970D07"/>
    <w:rsid w:val="009756C3"/>
    <w:rsid w:val="00982A0E"/>
    <w:rsid w:val="00983728"/>
    <w:rsid w:val="009849DE"/>
    <w:rsid w:val="00987367"/>
    <w:rsid w:val="00991518"/>
    <w:rsid w:val="009940AD"/>
    <w:rsid w:val="00995405"/>
    <w:rsid w:val="009975F5"/>
    <w:rsid w:val="009A05E9"/>
    <w:rsid w:val="009A1336"/>
    <w:rsid w:val="009A44B5"/>
    <w:rsid w:val="009A521D"/>
    <w:rsid w:val="009A6F4A"/>
    <w:rsid w:val="009B1C6B"/>
    <w:rsid w:val="009B2F3B"/>
    <w:rsid w:val="009B47D3"/>
    <w:rsid w:val="009B5007"/>
    <w:rsid w:val="009B6000"/>
    <w:rsid w:val="009B724B"/>
    <w:rsid w:val="009C68FE"/>
    <w:rsid w:val="009D517C"/>
    <w:rsid w:val="009E27C1"/>
    <w:rsid w:val="009E5ACE"/>
    <w:rsid w:val="009F0EB1"/>
    <w:rsid w:val="009F2B95"/>
    <w:rsid w:val="009F7F9A"/>
    <w:rsid w:val="00A01FBE"/>
    <w:rsid w:val="00A02429"/>
    <w:rsid w:val="00A10572"/>
    <w:rsid w:val="00A12F58"/>
    <w:rsid w:val="00A13296"/>
    <w:rsid w:val="00A175F7"/>
    <w:rsid w:val="00A20F4B"/>
    <w:rsid w:val="00A37245"/>
    <w:rsid w:val="00A40825"/>
    <w:rsid w:val="00A434F1"/>
    <w:rsid w:val="00A461C5"/>
    <w:rsid w:val="00A500DB"/>
    <w:rsid w:val="00A534C1"/>
    <w:rsid w:val="00A53CAC"/>
    <w:rsid w:val="00A54061"/>
    <w:rsid w:val="00A57065"/>
    <w:rsid w:val="00A578AC"/>
    <w:rsid w:val="00A61628"/>
    <w:rsid w:val="00A63E89"/>
    <w:rsid w:val="00A660CC"/>
    <w:rsid w:val="00A67993"/>
    <w:rsid w:val="00A71843"/>
    <w:rsid w:val="00A7209D"/>
    <w:rsid w:val="00A72337"/>
    <w:rsid w:val="00A729B2"/>
    <w:rsid w:val="00A737BB"/>
    <w:rsid w:val="00A81120"/>
    <w:rsid w:val="00A85DD3"/>
    <w:rsid w:val="00A91940"/>
    <w:rsid w:val="00A952C0"/>
    <w:rsid w:val="00A95ACA"/>
    <w:rsid w:val="00A966A6"/>
    <w:rsid w:val="00AA2266"/>
    <w:rsid w:val="00AA2B72"/>
    <w:rsid w:val="00AA6658"/>
    <w:rsid w:val="00AB3F12"/>
    <w:rsid w:val="00AB4A9A"/>
    <w:rsid w:val="00AC0DBB"/>
    <w:rsid w:val="00AC1340"/>
    <w:rsid w:val="00AC1B3F"/>
    <w:rsid w:val="00AC44ED"/>
    <w:rsid w:val="00AD18FE"/>
    <w:rsid w:val="00AD32C1"/>
    <w:rsid w:val="00AD4843"/>
    <w:rsid w:val="00AE4764"/>
    <w:rsid w:val="00B01534"/>
    <w:rsid w:val="00B02A14"/>
    <w:rsid w:val="00B1196E"/>
    <w:rsid w:val="00B145E4"/>
    <w:rsid w:val="00B16F32"/>
    <w:rsid w:val="00B17348"/>
    <w:rsid w:val="00B22BEF"/>
    <w:rsid w:val="00B24282"/>
    <w:rsid w:val="00B32E2B"/>
    <w:rsid w:val="00B34FAF"/>
    <w:rsid w:val="00B511C1"/>
    <w:rsid w:val="00B66A35"/>
    <w:rsid w:val="00B74E8E"/>
    <w:rsid w:val="00B95167"/>
    <w:rsid w:val="00B96028"/>
    <w:rsid w:val="00B978B4"/>
    <w:rsid w:val="00BA65F3"/>
    <w:rsid w:val="00BB1907"/>
    <w:rsid w:val="00BB2F88"/>
    <w:rsid w:val="00BC304D"/>
    <w:rsid w:val="00BC782F"/>
    <w:rsid w:val="00BC78E0"/>
    <w:rsid w:val="00BD5687"/>
    <w:rsid w:val="00BE06F4"/>
    <w:rsid w:val="00BE0AFF"/>
    <w:rsid w:val="00BE2231"/>
    <w:rsid w:val="00BF0B3B"/>
    <w:rsid w:val="00C0080B"/>
    <w:rsid w:val="00C016D6"/>
    <w:rsid w:val="00C03E2E"/>
    <w:rsid w:val="00C05E6C"/>
    <w:rsid w:val="00C12EAA"/>
    <w:rsid w:val="00C24D57"/>
    <w:rsid w:val="00C37E0C"/>
    <w:rsid w:val="00C445FA"/>
    <w:rsid w:val="00C45362"/>
    <w:rsid w:val="00C46611"/>
    <w:rsid w:val="00C625A8"/>
    <w:rsid w:val="00C62FCB"/>
    <w:rsid w:val="00C65E7A"/>
    <w:rsid w:val="00C71458"/>
    <w:rsid w:val="00C84ED4"/>
    <w:rsid w:val="00C85847"/>
    <w:rsid w:val="00C90BBE"/>
    <w:rsid w:val="00CA1C89"/>
    <w:rsid w:val="00CA35FE"/>
    <w:rsid w:val="00CA3D7C"/>
    <w:rsid w:val="00CA5DBE"/>
    <w:rsid w:val="00CB08FB"/>
    <w:rsid w:val="00CB3E07"/>
    <w:rsid w:val="00CB412B"/>
    <w:rsid w:val="00CC2787"/>
    <w:rsid w:val="00CC2EAF"/>
    <w:rsid w:val="00CC5A7D"/>
    <w:rsid w:val="00CD292A"/>
    <w:rsid w:val="00CD36DD"/>
    <w:rsid w:val="00CE3973"/>
    <w:rsid w:val="00CE4380"/>
    <w:rsid w:val="00CE51AD"/>
    <w:rsid w:val="00CE6AAF"/>
    <w:rsid w:val="00CE719D"/>
    <w:rsid w:val="00D042AF"/>
    <w:rsid w:val="00D16FDD"/>
    <w:rsid w:val="00D31ED9"/>
    <w:rsid w:val="00D341E6"/>
    <w:rsid w:val="00D36EF6"/>
    <w:rsid w:val="00D36F2B"/>
    <w:rsid w:val="00D37384"/>
    <w:rsid w:val="00D47B0D"/>
    <w:rsid w:val="00D47B78"/>
    <w:rsid w:val="00D52808"/>
    <w:rsid w:val="00D53FF5"/>
    <w:rsid w:val="00D55358"/>
    <w:rsid w:val="00D62E31"/>
    <w:rsid w:val="00D66DDF"/>
    <w:rsid w:val="00D717A4"/>
    <w:rsid w:val="00D74E9E"/>
    <w:rsid w:val="00D807C4"/>
    <w:rsid w:val="00D854BA"/>
    <w:rsid w:val="00D85984"/>
    <w:rsid w:val="00D92A37"/>
    <w:rsid w:val="00D94A24"/>
    <w:rsid w:val="00D9684F"/>
    <w:rsid w:val="00D96E16"/>
    <w:rsid w:val="00D97CF4"/>
    <w:rsid w:val="00DA08A1"/>
    <w:rsid w:val="00DA5C3B"/>
    <w:rsid w:val="00DB203B"/>
    <w:rsid w:val="00DB2060"/>
    <w:rsid w:val="00DB20F0"/>
    <w:rsid w:val="00DB219F"/>
    <w:rsid w:val="00DC01BD"/>
    <w:rsid w:val="00DC1B11"/>
    <w:rsid w:val="00DD04EF"/>
    <w:rsid w:val="00DD37E7"/>
    <w:rsid w:val="00DD4879"/>
    <w:rsid w:val="00DE1176"/>
    <w:rsid w:val="00DF368A"/>
    <w:rsid w:val="00DF416F"/>
    <w:rsid w:val="00DF536D"/>
    <w:rsid w:val="00DF54CE"/>
    <w:rsid w:val="00DF6202"/>
    <w:rsid w:val="00DF6A2D"/>
    <w:rsid w:val="00E034B7"/>
    <w:rsid w:val="00E115EA"/>
    <w:rsid w:val="00E125EB"/>
    <w:rsid w:val="00E20F66"/>
    <w:rsid w:val="00E23979"/>
    <w:rsid w:val="00E24136"/>
    <w:rsid w:val="00E2424A"/>
    <w:rsid w:val="00E30048"/>
    <w:rsid w:val="00E32A1E"/>
    <w:rsid w:val="00E34C00"/>
    <w:rsid w:val="00E3554E"/>
    <w:rsid w:val="00E40946"/>
    <w:rsid w:val="00E4449E"/>
    <w:rsid w:val="00E46BF1"/>
    <w:rsid w:val="00E47106"/>
    <w:rsid w:val="00E47850"/>
    <w:rsid w:val="00E5204D"/>
    <w:rsid w:val="00E53CF6"/>
    <w:rsid w:val="00E63E61"/>
    <w:rsid w:val="00E6422B"/>
    <w:rsid w:val="00E64265"/>
    <w:rsid w:val="00E64B15"/>
    <w:rsid w:val="00E67DC3"/>
    <w:rsid w:val="00E70544"/>
    <w:rsid w:val="00E71375"/>
    <w:rsid w:val="00E7333F"/>
    <w:rsid w:val="00E77009"/>
    <w:rsid w:val="00E83B11"/>
    <w:rsid w:val="00E84420"/>
    <w:rsid w:val="00E855FB"/>
    <w:rsid w:val="00E90277"/>
    <w:rsid w:val="00E9144D"/>
    <w:rsid w:val="00E93E30"/>
    <w:rsid w:val="00EA3E37"/>
    <w:rsid w:val="00EB24E4"/>
    <w:rsid w:val="00EB2AEF"/>
    <w:rsid w:val="00EC06EA"/>
    <w:rsid w:val="00EC2D5D"/>
    <w:rsid w:val="00EC68D4"/>
    <w:rsid w:val="00ED0155"/>
    <w:rsid w:val="00ED5153"/>
    <w:rsid w:val="00EE3232"/>
    <w:rsid w:val="00EE6FEE"/>
    <w:rsid w:val="00EF1BB5"/>
    <w:rsid w:val="00EF29A5"/>
    <w:rsid w:val="00EF3A84"/>
    <w:rsid w:val="00F01E4F"/>
    <w:rsid w:val="00F05E74"/>
    <w:rsid w:val="00F127BC"/>
    <w:rsid w:val="00F13AC6"/>
    <w:rsid w:val="00F13D3C"/>
    <w:rsid w:val="00F164A3"/>
    <w:rsid w:val="00F229A5"/>
    <w:rsid w:val="00F25957"/>
    <w:rsid w:val="00F32E7E"/>
    <w:rsid w:val="00F32EA2"/>
    <w:rsid w:val="00F33D77"/>
    <w:rsid w:val="00F33EB1"/>
    <w:rsid w:val="00F34949"/>
    <w:rsid w:val="00F36A4A"/>
    <w:rsid w:val="00F41265"/>
    <w:rsid w:val="00F43B2F"/>
    <w:rsid w:val="00F445AB"/>
    <w:rsid w:val="00F45175"/>
    <w:rsid w:val="00F4522F"/>
    <w:rsid w:val="00F46F05"/>
    <w:rsid w:val="00F5370D"/>
    <w:rsid w:val="00F81EDF"/>
    <w:rsid w:val="00F83116"/>
    <w:rsid w:val="00F83DA5"/>
    <w:rsid w:val="00F91516"/>
    <w:rsid w:val="00F93493"/>
    <w:rsid w:val="00F94D3E"/>
    <w:rsid w:val="00F97DEC"/>
    <w:rsid w:val="00FA07C0"/>
    <w:rsid w:val="00FB1278"/>
    <w:rsid w:val="00FB6570"/>
    <w:rsid w:val="00FB712E"/>
    <w:rsid w:val="00FB7873"/>
    <w:rsid w:val="00FC20EC"/>
    <w:rsid w:val="00FC7EAF"/>
    <w:rsid w:val="00FD0D4C"/>
    <w:rsid w:val="00FD2F33"/>
    <w:rsid w:val="00FD3C15"/>
    <w:rsid w:val="00FD631A"/>
    <w:rsid w:val="00FD66DF"/>
    <w:rsid w:val="00FE732A"/>
    <w:rsid w:val="00FE7B8D"/>
    <w:rsid w:val="00FF75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54"/>
    <o:shapelayout v:ext="edit">
      <o:idmap v:ext="edit" data="1"/>
    </o:shapelayout>
  </w:shapeDefaults>
  <w:decimalSymbol w:val="."/>
  <w:listSeparator w:val=","/>
  <w14:docId w14:val="56142A5C"/>
  <w15:docId w15:val="{D5966FD6-8A16-46AB-AB1F-55D1CE108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79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97796"/>
    <w:pPr>
      <w:tabs>
        <w:tab w:val="center" w:pos="4252"/>
        <w:tab w:val="right" w:pos="8504"/>
      </w:tabs>
    </w:pPr>
  </w:style>
  <w:style w:type="character" w:customStyle="1" w:styleId="EncabezadoCar">
    <w:name w:val="Encabezado Car"/>
    <w:basedOn w:val="Fuentedeprrafopredeter"/>
    <w:link w:val="Encabezado"/>
    <w:rsid w:val="00097796"/>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097796"/>
    <w:pPr>
      <w:tabs>
        <w:tab w:val="center" w:pos="4252"/>
        <w:tab w:val="right" w:pos="8504"/>
      </w:tabs>
    </w:pPr>
  </w:style>
  <w:style w:type="character" w:customStyle="1" w:styleId="PiedepginaCar">
    <w:name w:val="Pie de página Car"/>
    <w:basedOn w:val="Fuentedeprrafopredeter"/>
    <w:link w:val="Piedepgina"/>
    <w:rsid w:val="00097796"/>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097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A Fu,Footnote reference,Footnote Text Char Char Char Char Char,Footnote Text Char Char Char Char,Footnote Text Char Char Char,Footnote Text Cha,FA Fußnotentext,FA Fu?notentext,Footnote Text Char Char,FA Fuﬂnotentext,Ca,FA Fu?notente,Ca1"/>
    <w:basedOn w:val="Normal"/>
    <w:link w:val="TextonotapieCar"/>
    <w:qFormat/>
    <w:rsid w:val="00097796"/>
    <w:rPr>
      <w:rFonts w:ascii="Arial" w:hAnsi="Arial"/>
      <w:sz w:val="20"/>
      <w:szCs w:val="20"/>
    </w:rPr>
  </w:style>
  <w:style w:type="character" w:customStyle="1" w:styleId="TextonotapieCar">
    <w:name w:val="Texto nota pie Car"/>
    <w:aliases w:val="FA Fu Car,Footnote reference Car,Footnote Text Char Char Char Char Char Car,Footnote Text Char Char Char Char Car,Footnote Text Char Char Char Car,Footnote Text Cha Car,FA Fußnotentext Car,FA Fu?notentext Car,FA Fuﬂnotentext Car"/>
    <w:basedOn w:val="Fuentedeprrafopredeter"/>
    <w:link w:val="Textonotapie"/>
    <w:qFormat/>
    <w:rsid w:val="00097796"/>
    <w:rPr>
      <w:rFonts w:ascii="Arial" w:eastAsia="Times New Roman" w:hAnsi="Arial" w:cs="Times New Roman"/>
      <w:sz w:val="20"/>
      <w:szCs w:val="20"/>
      <w:lang w:val="es-ES" w:eastAsia="es-ES"/>
    </w:rPr>
  </w:style>
  <w:style w:type="character" w:styleId="Refdenotaalpie">
    <w:name w:val="footnote reference"/>
    <w:aliases w:val="Texto de nota al pie,Footnotes refss,Appel note de bas de page,Footnote number,referencia nota al pie,BVI fnr,4_G,16 Point,Superscript 6 Point,Texto nota al pie,f,Ref. de nota al pie 2,Footnote Reference Char3,julio"/>
    <w:link w:val="4GChar"/>
    <w:qFormat/>
    <w:rsid w:val="00097796"/>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097796"/>
    <w:pPr>
      <w:jc w:val="both"/>
    </w:pPr>
    <w:rPr>
      <w:rFonts w:asciiTheme="minorHAnsi" w:eastAsiaTheme="minorHAnsi" w:hAnsiTheme="minorHAnsi" w:cstheme="minorBidi"/>
      <w:sz w:val="22"/>
      <w:szCs w:val="22"/>
      <w:vertAlign w:val="superscript"/>
      <w:lang w:val="es-MX" w:eastAsia="en-US"/>
    </w:rPr>
  </w:style>
  <w:style w:type="paragraph" w:styleId="Prrafodelista">
    <w:name w:val="List Paragraph"/>
    <w:basedOn w:val="Normal"/>
    <w:uiPriority w:val="34"/>
    <w:qFormat/>
    <w:rsid w:val="00F25957"/>
    <w:pPr>
      <w:ind w:left="720"/>
      <w:contextualSpacing/>
    </w:pPr>
  </w:style>
  <w:style w:type="character" w:styleId="Refdecomentario">
    <w:name w:val="annotation reference"/>
    <w:basedOn w:val="Fuentedeprrafopredeter"/>
    <w:uiPriority w:val="99"/>
    <w:semiHidden/>
    <w:unhideWhenUsed/>
    <w:rsid w:val="00C85847"/>
    <w:rPr>
      <w:sz w:val="16"/>
      <w:szCs w:val="16"/>
    </w:rPr>
  </w:style>
  <w:style w:type="paragraph" w:styleId="Textocomentario">
    <w:name w:val="annotation text"/>
    <w:basedOn w:val="Normal"/>
    <w:link w:val="TextocomentarioCar"/>
    <w:uiPriority w:val="99"/>
    <w:unhideWhenUsed/>
    <w:rsid w:val="00C85847"/>
    <w:rPr>
      <w:sz w:val="20"/>
      <w:szCs w:val="20"/>
    </w:rPr>
  </w:style>
  <w:style w:type="character" w:customStyle="1" w:styleId="TextocomentarioCar">
    <w:name w:val="Texto comentario Car"/>
    <w:basedOn w:val="Fuentedeprrafopredeter"/>
    <w:link w:val="Textocomentario"/>
    <w:uiPriority w:val="99"/>
    <w:rsid w:val="00C85847"/>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85847"/>
    <w:rPr>
      <w:b/>
      <w:bCs/>
    </w:rPr>
  </w:style>
  <w:style w:type="character" w:customStyle="1" w:styleId="AsuntodelcomentarioCar">
    <w:name w:val="Asunto del comentario Car"/>
    <w:basedOn w:val="TextocomentarioCar"/>
    <w:link w:val="Asuntodelcomentario"/>
    <w:uiPriority w:val="99"/>
    <w:semiHidden/>
    <w:rsid w:val="00C85847"/>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C8584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5847"/>
    <w:rPr>
      <w:rFonts w:ascii="Segoe UI" w:eastAsia="Times New Roman" w:hAnsi="Segoe UI" w:cs="Segoe UI"/>
      <w:sz w:val="18"/>
      <w:szCs w:val="18"/>
      <w:lang w:val="es-ES" w:eastAsia="es-ES"/>
    </w:rPr>
  </w:style>
  <w:style w:type="character" w:styleId="Hipervnculo">
    <w:name w:val="Hyperlink"/>
    <w:basedOn w:val="Fuentedeprrafopredeter"/>
    <w:uiPriority w:val="99"/>
    <w:unhideWhenUsed/>
    <w:rsid w:val="00C71458"/>
    <w:rPr>
      <w:color w:val="0563C1" w:themeColor="hyperlink"/>
      <w:u w:val="single"/>
    </w:rPr>
  </w:style>
  <w:style w:type="character" w:customStyle="1" w:styleId="Mencinsinresolver1">
    <w:name w:val="Mención sin resolver1"/>
    <w:basedOn w:val="Fuentedeprrafopredeter"/>
    <w:uiPriority w:val="99"/>
    <w:semiHidden/>
    <w:unhideWhenUsed/>
    <w:rsid w:val="00C71458"/>
    <w:rPr>
      <w:color w:val="605E5C"/>
      <w:shd w:val="clear" w:color="auto" w:fill="E1DFDD"/>
    </w:rPr>
  </w:style>
  <w:style w:type="paragraph" w:customStyle="1" w:styleId="Style5">
    <w:name w:val="Style5"/>
    <w:basedOn w:val="Normal"/>
    <w:uiPriority w:val="99"/>
    <w:rsid w:val="0022287A"/>
    <w:pPr>
      <w:widowControl w:val="0"/>
      <w:autoSpaceDE w:val="0"/>
      <w:autoSpaceDN w:val="0"/>
      <w:adjustRightInd w:val="0"/>
      <w:spacing w:line="440" w:lineRule="exact"/>
      <w:jc w:val="both"/>
    </w:pPr>
    <w:rPr>
      <w:rFonts w:ascii="Arial" w:hAnsi="Arial" w:cs="Arial"/>
      <w:lang w:val="es-MX" w:eastAsia="es-MX"/>
    </w:rPr>
  </w:style>
  <w:style w:type="paragraph" w:customStyle="1" w:styleId="TEXTOLIBRE">
    <w:name w:val="TEXTO LIBRE"/>
    <w:basedOn w:val="Normal"/>
    <w:rsid w:val="0022287A"/>
    <w:pPr>
      <w:spacing w:before="120" w:after="120" w:line="360" w:lineRule="auto"/>
      <w:ind w:firstLine="709"/>
      <w:jc w:val="both"/>
    </w:pPr>
    <w:rPr>
      <w:sz w:val="28"/>
    </w:rPr>
  </w:style>
  <w:style w:type="paragraph" w:styleId="Sinespaciado">
    <w:name w:val="No Spacing"/>
    <w:link w:val="SinespaciadoCar"/>
    <w:uiPriority w:val="1"/>
    <w:qFormat/>
    <w:rsid w:val="00521A76"/>
    <w:pPr>
      <w:spacing w:after="0"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521A76"/>
  </w:style>
  <w:style w:type="character" w:customStyle="1" w:styleId="SinespaciadoCar">
    <w:name w:val="Sin espaciado Car"/>
    <w:basedOn w:val="Fuentedeprrafopredeter"/>
    <w:link w:val="Sinespaciado"/>
    <w:uiPriority w:val="1"/>
    <w:rsid w:val="00521A76"/>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EC68D4"/>
    <w:pPr>
      <w:spacing w:before="100" w:beforeAutospacing="1" w:after="100" w:afterAutospacing="1"/>
    </w:pPr>
    <w:rPr>
      <w:lang w:val="es-MX" w:eastAsia="es-MX"/>
    </w:rPr>
  </w:style>
  <w:style w:type="paragraph" w:customStyle="1" w:styleId="Default">
    <w:name w:val="Default"/>
    <w:rsid w:val="008E240A"/>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Mencinsinresolver">
    <w:name w:val="Unresolved Mention"/>
    <w:basedOn w:val="Fuentedeprrafopredeter"/>
    <w:uiPriority w:val="99"/>
    <w:semiHidden/>
    <w:unhideWhenUsed/>
    <w:rsid w:val="00A024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764848">
      <w:bodyDiv w:val="1"/>
      <w:marLeft w:val="0"/>
      <w:marRight w:val="0"/>
      <w:marTop w:val="0"/>
      <w:marBottom w:val="0"/>
      <w:divBdr>
        <w:top w:val="none" w:sz="0" w:space="0" w:color="auto"/>
        <w:left w:val="none" w:sz="0" w:space="0" w:color="auto"/>
        <w:bottom w:val="none" w:sz="0" w:space="0" w:color="auto"/>
        <w:right w:val="none" w:sz="0" w:space="0" w:color="auto"/>
      </w:divBdr>
      <w:divsChild>
        <w:div w:id="932393480">
          <w:marLeft w:val="0"/>
          <w:marRight w:val="0"/>
          <w:marTop w:val="0"/>
          <w:marBottom w:val="0"/>
          <w:divBdr>
            <w:top w:val="none" w:sz="0" w:space="0" w:color="auto"/>
            <w:left w:val="none" w:sz="0" w:space="0" w:color="auto"/>
            <w:bottom w:val="none" w:sz="0" w:space="0" w:color="auto"/>
            <w:right w:val="none" w:sz="0" w:space="0" w:color="auto"/>
          </w:divBdr>
        </w:div>
      </w:divsChild>
    </w:div>
    <w:div w:id="102506416">
      <w:bodyDiv w:val="1"/>
      <w:marLeft w:val="0"/>
      <w:marRight w:val="0"/>
      <w:marTop w:val="0"/>
      <w:marBottom w:val="0"/>
      <w:divBdr>
        <w:top w:val="none" w:sz="0" w:space="0" w:color="auto"/>
        <w:left w:val="none" w:sz="0" w:space="0" w:color="auto"/>
        <w:bottom w:val="none" w:sz="0" w:space="0" w:color="auto"/>
        <w:right w:val="none" w:sz="0" w:space="0" w:color="auto"/>
      </w:divBdr>
      <w:divsChild>
        <w:div w:id="669286285">
          <w:marLeft w:val="0"/>
          <w:marRight w:val="0"/>
          <w:marTop w:val="0"/>
          <w:marBottom w:val="0"/>
          <w:divBdr>
            <w:top w:val="none" w:sz="0" w:space="0" w:color="auto"/>
            <w:left w:val="none" w:sz="0" w:space="0" w:color="auto"/>
            <w:bottom w:val="none" w:sz="0" w:space="0" w:color="auto"/>
            <w:right w:val="none" w:sz="0" w:space="0" w:color="auto"/>
          </w:divBdr>
        </w:div>
        <w:div w:id="1757511186">
          <w:marLeft w:val="0"/>
          <w:marRight w:val="0"/>
          <w:marTop w:val="0"/>
          <w:marBottom w:val="0"/>
          <w:divBdr>
            <w:top w:val="none" w:sz="0" w:space="0" w:color="auto"/>
            <w:left w:val="none" w:sz="0" w:space="0" w:color="auto"/>
            <w:bottom w:val="none" w:sz="0" w:space="0" w:color="auto"/>
            <w:right w:val="none" w:sz="0" w:space="0" w:color="auto"/>
          </w:divBdr>
        </w:div>
        <w:div w:id="658265640">
          <w:marLeft w:val="0"/>
          <w:marRight w:val="0"/>
          <w:marTop w:val="0"/>
          <w:marBottom w:val="0"/>
          <w:divBdr>
            <w:top w:val="none" w:sz="0" w:space="0" w:color="auto"/>
            <w:left w:val="none" w:sz="0" w:space="0" w:color="auto"/>
            <w:bottom w:val="none" w:sz="0" w:space="0" w:color="auto"/>
            <w:right w:val="none" w:sz="0" w:space="0" w:color="auto"/>
          </w:divBdr>
        </w:div>
        <w:div w:id="1394888774">
          <w:marLeft w:val="0"/>
          <w:marRight w:val="0"/>
          <w:marTop w:val="0"/>
          <w:marBottom w:val="0"/>
          <w:divBdr>
            <w:top w:val="none" w:sz="0" w:space="0" w:color="auto"/>
            <w:left w:val="none" w:sz="0" w:space="0" w:color="auto"/>
            <w:bottom w:val="none" w:sz="0" w:space="0" w:color="auto"/>
            <w:right w:val="none" w:sz="0" w:space="0" w:color="auto"/>
          </w:divBdr>
        </w:div>
        <w:div w:id="578368204">
          <w:marLeft w:val="0"/>
          <w:marRight w:val="0"/>
          <w:marTop w:val="0"/>
          <w:marBottom w:val="0"/>
          <w:divBdr>
            <w:top w:val="none" w:sz="0" w:space="0" w:color="auto"/>
            <w:left w:val="none" w:sz="0" w:space="0" w:color="auto"/>
            <w:bottom w:val="none" w:sz="0" w:space="0" w:color="auto"/>
            <w:right w:val="none" w:sz="0" w:space="0" w:color="auto"/>
          </w:divBdr>
        </w:div>
        <w:div w:id="1667198593">
          <w:marLeft w:val="0"/>
          <w:marRight w:val="0"/>
          <w:marTop w:val="0"/>
          <w:marBottom w:val="0"/>
          <w:divBdr>
            <w:top w:val="none" w:sz="0" w:space="0" w:color="auto"/>
            <w:left w:val="none" w:sz="0" w:space="0" w:color="auto"/>
            <w:bottom w:val="none" w:sz="0" w:space="0" w:color="auto"/>
            <w:right w:val="none" w:sz="0" w:space="0" w:color="auto"/>
          </w:divBdr>
        </w:div>
      </w:divsChild>
    </w:div>
    <w:div w:id="119417808">
      <w:bodyDiv w:val="1"/>
      <w:marLeft w:val="0"/>
      <w:marRight w:val="0"/>
      <w:marTop w:val="0"/>
      <w:marBottom w:val="0"/>
      <w:divBdr>
        <w:top w:val="none" w:sz="0" w:space="0" w:color="auto"/>
        <w:left w:val="none" w:sz="0" w:space="0" w:color="auto"/>
        <w:bottom w:val="none" w:sz="0" w:space="0" w:color="auto"/>
        <w:right w:val="none" w:sz="0" w:space="0" w:color="auto"/>
      </w:divBdr>
    </w:div>
    <w:div w:id="179204112">
      <w:bodyDiv w:val="1"/>
      <w:marLeft w:val="0"/>
      <w:marRight w:val="0"/>
      <w:marTop w:val="0"/>
      <w:marBottom w:val="0"/>
      <w:divBdr>
        <w:top w:val="none" w:sz="0" w:space="0" w:color="auto"/>
        <w:left w:val="none" w:sz="0" w:space="0" w:color="auto"/>
        <w:bottom w:val="none" w:sz="0" w:space="0" w:color="auto"/>
        <w:right w:val="none" w:sz="0" w:space="0" w:color="auto"/>
      </w:divBdr>
    </w:div>
    <w:div w:id="179977802">
      <w:bodyDiv w:val="1"/>
      <w:marLeft w:val="0"/>
      <w:marRight w:val="0"/>
      <w:marTop w:val="0"/>
      <w:marBottom w:val="0"/>
      <w:divBdr>
        <w:top w:val="none" w:sz="0" w:space="0" w:color="auto"/>
        <w:left w:val="none" w:sz="0" w:space="0" w:color="auto"/>
        <w:bottom w:val="none" w:sz="0" w:space="0" w:color="auto"/>
        <w:right w:val="none" w:sz="0" w:space="0" w:color="auto"/>
      </w:divBdr>
      <w:divsChild>
        <w:div w:id="1669550963">
          <w:marLeft w:val="0"/>
          <w:marRight w:val="0"/>
          <w:marTop w:val="0"/>
          <w:marBottom w:val="0"/>
          <w:divBdr>
            <w:top w:val="none" w:sz="0" w:space="0" w:color="auto"/>
            <w:left w:val="none" w:sz="0" w:space="0" w:color="auto"/>
            <w:bottom w:val="none" w:sz="0" w:space="0" w:color="auto"/>
            <w:right w:val="none" w:sz="0" w:space="0" w:color="auto"/>
          </w:divBdr>
        </w:div>
      </w:divsChild>
    </w:div>
    <w:div w:id="248584555">
      <w:bodyDiv w:val="1"/>
      <w:marLeft w:val="0"/>
      <w:marRight w:val="0"/>
      <w:marTop w:val="0"/>
      <w:marBottom w:val="0"/>
      <w:divBdr>
        <w:top w:val="none" w:sz="0" w:space="0" w:color="auto"/>
        <w:left w:val="none" w:sz="0" w:space="0" w:color="auto"/>
        <w:bottom w:val="none" w:sz="0" w:space="0" w:color="auto"/>
        <w:right w:val="none" w:sz="0" w:space="0" w:color="auto"/>
      </w:divBdr>
    </w:div>
    <w:div w:id="333797955">
      <w:bodyDiv w:val="1"/>
      <w:marLeft w:val="0"/>
      <w:marRight w:val="0"/>
      <w:marTop w:val="0"/>
      <w:marBottom w:val="0"/>
      <w:divBdr>
        <w:top w:val="none" w:sz="0" w:space="0" w:color="auto"/>
        <w:left w:val="none" w:sz="0" w:space="0" w:color="auto"/>
        <w:bottom w:val="none" w:sz="0" w:space="0" w:color="auto"/>
        <w:right w:val="none" w:sz="0" w:space="0" w:color="auto"/>
      </w:divBdr>
    </w:div>
    <w:div w:id="490952151">
      <w:bodyDiv w:val="1"/>
      <w:marLeft w:val="0"/>
      <w:marRight w:val="0"/>
      <w:marTop w:val="0"/>
      <w:marBottom w:val="0"/>
      <w:divBdr>
        <w:top w:val="none" w:sz="0" w:space="0" w:color="auto"/>
        <w:left w:val="none" w:sz="0" w:space="0" w:color="auto"/>
        <w:bottom w:val="none" w:sz="0" w:space="0" w:color="auto"/>
        <w:right w:val="none" w:sz="0" w:space="0" w:color="auto"/>
      </w:divBdr>
    </w:div>
    <w:div w:id="719741975">
      <w:bodyDiv w:val="1"/>
      <w:marLeft w:val="0"/>
      <w:marRight w:val="0"/>
      <w:marTop w:val="0"/>
      <w:marBottom w:val="0"/>
      <w:divBdr>
        <w:top w:val="none" w:sz="0" w:space="0" w:color="auto"/>
        <w:left w:val="none" w:sz="0" w:space="0" w:color="auto"/>
        <w:bottom w:val="none" w:sz="0" w:space="0" w:color="auto"/>
        <w:right w:val="none" w:sz="0" w:space="0" w:color="auto"/>
      </w:divBdr>
    </w:div>
    <w:div w:id="770468820">
      <w:bodyDiv w:val="1"/>
      <w:marLeft w:val="0"/>
      <w:marRight w:val="0"/>
      <w:marTop w:val="0"/>
      <w:marBottom w:val="0"/>
      <w:divBdr>
        <w:top w:val="none" w:sz="0" w:space="0" w:color="auto"/>
        <w:left w:val="none" w:sz="0" w:space="0" w:color="auto"/>
        <w:bottom w:val="none" w:sz="0" w:space="0" w:color="auto"/>
        <w:right w:val="none" w:sz="0" w:space="0" w:color="auto"/>
      </w:divBdr>
    </w:div>
    <w:div w:id="830295177">
      <w:bodyDiv w:val="1"/>
      <w:marLeft w:val="0"/>
      <w:marRight w:val="0"/>
      <w:marTop w:val="0"/>
      <w:marBottom w:val="0"/>
      <w:divBdr>
        <w:top w:val="none" w:sz="0" w:space="0" w:color="auto"/>
        <w:left w:val="none" w:sz="0" w:space="0" w:color="auto"/>
        <w:bottom w:val="none" w:sz="0" w:space="0" w:color="auto"/>
        <w:right w:val="none" w:sz="0" w:space="0" w:color="auto"/>
      </w:divBdr>
    </w:div>
    <w:div w:id="1064253681">
      <w:bodyDiv w:val="1"/>
      <w:marLeft w:val="0"/>
      <w:marRight w:val="0"/>
      <w:marTop w:val="0"/>
      <w:marBottom w:val="0"/>
      <w:divBdr>
        <w:top w:val="none" w:sz="0" w:space="0" w:color="auto"/>
        <w:left w:val="none" w:sz="0" w:space="0" w:color="auto"/>
        <w:bottom w:val="none" w:sz="0" w:space="0" w:color="auto"/>
        <w:right w:val="none" w:sz="0" w:space="0" w:color="auto"/>
      </w:divBdr>
      <w:divsChild>
        <w:div w:id="1924220297">
          <w:marLeft w:val="0"/>
          <w:marRight w:val="0"/>
          <w:marTop w:val="0"/>
          <w:marBottom w:val="0"/>
          <w:divBdr>
            <w:top w:val="none" w:sz="0" w:space="0" w:color="auto"/>
            <w:left w:val="none" w:sz="0" w:space="0" w:color="auto"/>
            <w:bottom w:val="none" w:sz="0" w:space="0" w:color="auto"/>
            <w:right w:val="none" w:sz="0" w:space="0" w:color="auto"/>
          </w:divBdr>
        </w:div>
      </w:divsChild>
    </w:div>
    <w:div w:id="1087965551">
      <w:bodyDiv w:val="1"/>
      <w:marLeft w:val="0"/>
      <w:marRight w:val="0"/>
      <w:marTop w:val="0"/>
      <w:marBottom w:val="0"/>
      <w:divBdr>
        <w:top w:val="none" w:sz="0" w:space="0" w:color="auto"/>
        <w:left w:val="none" w:sz="0" w:space="0" w:color="auto"/>
        <w:bottom w:val="none" w:sz="0" w:space="0" w:color="auto"/>
        <w:right w:val="none" w:sz="0" w:space="0" w:color="auto"/>
      </w:divBdr>
    </w:div>
    <w:div w:id="1170944426">
      <w:bodyDiv w:val="1"/>
      <w:marLeft w:val="0"/>
      <w:marRight w:val="0"/>
      <w:marTop w:val="0"/>
      <w:marBottom w:val="0"/>
      <w:divBdr>
        <w:top w:val="none" w:sz="0" w:space="0" w:color="auto"/>
        <w:left w:val="none" w:sz="0" w:space="0" w:color="auto"/>
        <w:bottom w:val="none" w:sz="0" w:space="0" w:color="auto"/>
        <w:right w:val="none" w:sz="0" w:space="0" w:color="auto"/>
      </w:divBdr>
    </w:div>
    <w:div w:id="1451626772">
      <w:bodyDiv w:val="1"/>
      <w:marLeft w:val="0"/>
      <w:marRight w:val="0"/>
      <w:marTop w:val="0"/>
      <w:marBottom w:val="0"/>
      <w:divBdr>
        <w:top w:val="none" w:sz="0" w:space="0" w:color="auto"/>
        <w:left w:val="none" w:sz="0" w:space="0" w:color="auto"/>
        <w:bottom w:val="none" w:sz="0" w:space="0" w:color="auto"/>
        <w:right w:val="none" w:sz="0" w:space="0" w:color="auto"/>
      </w:divBdr>
      <w:divsChild>
        <w:div w:id="284898053">
          <w:marLeft w:val="0"/>
          <w:marRight w:val="0"/>
          <w:marTop w:val="0"/>
          <w:marBottom w:val="0"/>
          <w:divBdr>
            <w:top w:val="none" w:sz="0" w:space="0" w:color="auto"/>
            <w:left w:val="none" w:sz="0" w:space="0" w:color="auto"/>
            <w:bottom w:val="none" w:sz="0" w:space="0" w:color="auto"/>
            <w:right w:val="none" w:sz="0" w:space="0" w:color="auto"/>
          </w:divBdr>
        </w:div>
      </w:divsChild>
    </w:div>
    <w:div w:id="1597519275">
      <w:bodyDiv w:val="1"/>
      <w:marLeft w:val="0"/>
      <w:marRight w:val="0"/>
      <w:marTop w:val="0"/>
      <w:marBottom w:val="0"/>
      <w:divBdr>
        <w:top w:val="none" w:sz="0" w:space="0" w:color="auto"/>
        <w:left w:val="none" w:sz="0" w:space="0" w:color="auto"/>
        <w:bottom w:val="none" w:sz="0" w:space="0" w:color="auto"/>
        <w:right w:val="none" w:sz="0" w:space="0" w:color="auto"/>
      </w:divBdr>
    </w:div>
    <w:div w:id="1653632830">
      <w:bodyDiv w:val="1"/>
      <w:marLeft w:val="0"/>
      <w:marRight w:val="0"/>
      <w:marTop w:val="0"/>
      <w:marBottom w:val="0"/>
      <w:divBdr>
        <w:top w:val="none" w:sz="0" w:space="0" w:color="auto"/>
        <w:left w:val="none" w:sz="0" w:space="0" w:color="auto"/>
        <w:bottom w:val="none" w:sz="0" w:space="0" w:color="auto"/>
        <w:right w:val="none" w:sz="0" w:space="0" w:color="auto"/>
      </w:divBdr>
    </w:div>
    <w:div w:id="1693608743">
      <w:bodyDiv w:val="1"/>
      <w:marLeft w:val="0"/>
      <w:marRight w:val="0"/>
      <w:marTop w:val="0"/>
      <w:marBottom w:val="0"/>
      <w:divBdr>
        <w:top w:val="none" w:sz="0" w:space="0" w:color="auto"/>
        <w:left w:val="none" w:sz="0" w:space="0" w:color="auto"/>
        <w:bottom w:val="none" w:sz="0" w:space="0" w:color="auto"/>
        <w:right w:val="none" w:sz="0" w:space="0" w:color="auto"/>
      </w:divBdr>
    </w:div>
    <w:div w:id="1773165584">
      <w:bodyDiv w:val="1"/>
      <w:marLeft w:val="0"/>
      <w:marRight w:val="0"/>
      <w:marTop w:val="0"/>
      <w:marBottom w:val="0"/>
      <w:divBdr>
        <w:top w:val="none" w:sz="0" w:space="0" w:color="auto"/>
        <w:left w:val="none" w:sz="0" w:space="0" w:color="auto"/>
        <w:bottom w:val="none" w:sz="0" w:space="0" w:color="auto"/>
        <w:right w:val="none" w:sz="0" w:space="0" w:color="auto"/>
      </w:divBdr>
    </w:div>
    <w:div w:id="1783652084">
      <w:bodyDiv w:val="1"/>
      <w:marLeft w:val="0"/>
      <w:marRight w:val="0"/>
      <w:marTop w:val="0"/>
      <w:marBottom w:val="0"/>
      <w:divBdr>
        <w:top w:val="none" w:sz="0" w:space="0" w:color="auto"/>
        <w:left w:val="none" w:sz="0" w:space="0" w:color="auto"/>
        <w:bottom w:val="none" w:sz="0" w:space="0" w:color="auto"/>
        <w:right w:val="none" w:sz="0" w:space="0" w:color="auto"/>
      </w:divBdr>
    </w:div>
    <w:div w:id="1844130028">
      <w:bodyDiv w:val="1"/>
      <w:marLeft w:val="0"/>
      <w:marRight w:val="0"/>
      <w:marTop w:val="0"/>
      <w:marBottom w:val="0"/>
      <w:divBdr>
        <w:top w:val="none" w:sz="0" w:space="0" w:color="auto"/>
        <w:left w:val="none" w:sz="0" w:space="0" w:color="auto"/>
        <w:bottom w:val="none" w:sz="0" w:space="0" w:color="auto"/>
        <w:right w:val="none" w:sz="0" w:space="0" w:color="auto"/>
      </w:divBdr>
      <w:divsChild>
        <w:div w:id="1201095197">
          <w:marLeft w:val="0"/>
          <w:marRight w:val="0"/>
          <w:marTop w:val="0"/>
          <w:marBottom w:val="0"/>
          <w:divBdr>
            <w:top w:val="none" w:sz="0" w:space="0" w:color="auto"/>
            <w:left w:val="none" w:sz="0" w:space="0" w:color="auto"/>
            <w:bottom w:val="none" w:sz="0" w:space="0" w:color="auto"/>
            <w:right w:val="none" w:sz="0" w:space="0" w:color="auto"/>
          </w:divBdr>
        </w:div>
      </w:divsChild>
    </w:div>
    <w:div w:id="1969122793">
      <w:bodyDiv w:val="1"/>
      <w:marLeft w:val="0"/>
      <w:marRight w:val="0"/>
      <w:marTop w:val="0"/>
      <w:marBottom w:val="0"/>
      <w:divBdr>
        <w:top w:val="none" w:sz="0" w:space="0" w:color="auto"/>
        <w:left w:val="none" w:sz="0" w:space="0" w:color="auto"/>
        <w:bottom w:val="none" w:sz="0" w:space="0" w:color="auto"/>
        <w:right w:val="none" w:sz="0" w:space="0" w:color="auto"/>
      </w:divBdr>
    </w:div>
    <w:div w:id="2008748519">
      <w:bodyDiv w:val="1"/>
      <w:marLeft w:val="0"/>
      <w:marRight w:val="0"/>
      <w:marTop w:val="0"/>
      <w:marBottom w:val="0"/>
      <w:divBdr>
        <w:top w:val="none" w:sz="0" w:space="0" w:color="auto"/>
        <w:left w:val="none" w:sz="0" w:space="0" w:color="auto"/>
        <w:bottom w:val="none" w:sz="0" w:space="0" w:color="auto"/>
        <w:right w:val="none" w:sz="0" w:space="0" w:color="auto"/>
      </w:divBdr>
    </w:div>
    <w:div w:id="213347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39854ED-A9F0-4173-B920-FCC6F0DBB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864</Words>
  <Characters>4755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zyanya.avilesn@te.gob.mx</dc:creator>
  <cp:lastModifiedBy>Zyanya Guadalupe Aviles Navarro</cp:lastModifiedBy>
  <cp:revision>3</cp:revision>
  <cp:lastPrinted>2021-07-13T00:29:00Z</cp:lastPrinted>
  <dcterms:created xsi:type="dcterms:W3CDTF">2021-07-13T01:57:00Z</dcterms:created>
  <dcterms:modified xsi:type="dcterms:W3CDTF">2021-07-13T02:01:00Z</dcterms:modified>
</cp:coreProperties>
</file>