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1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tblGrid>
      <w:tr w:rsidR="00A8488E" w:rsidRPr="00684D58" w14:paraId="40EEAFF8" w14:textId="77777777" w:rsidTr="002771F7">
        <w:trPr>
          <w:trHeight w:val="5103"/>
          <w:jc w:val="right"/>
        </w:trPr>
        <w:tc>
          <w:tcPr>
            <w:tcW w:w="5120" w:type="dxa"/>
          </w:tcPr>
          <w:p w14:paraId="3A1DCE13" w14:textId="02940602" w:rsidR="00A8488E" w:rsidRPr="00684D58" w:rsidRDefault="00A7521D" w:rsidP="0017179F">
            <w:pPr>
              <w:tabs>
                <w:tab w:val="left" w:pos="708"/>
              </w:tabs>
              <w:spacing w:before="240" w:after="240" w:line="276" w:lineRule="auto"/>
              <w:rPr>
                <w:rFonts w:eastAsia="Times New Roman" w:cs="Arial"/>
                <w:b/>
                <w:szCs w:val="24"/>
                <w:lang w:val="es-ES_tradnl" w:eastAsia="es-MX"/>
              </w:rPr>
            </w:pPr>
            <w:r w:rsidRPr="00684D58">
              <w:rPr>
                <w:rFonts w:eastAsia="Times New Roman" w:cs="Arial"/>
                <w:b/>
                <w:szCs w:val="24"/>
                <w:lang w:val="es-ES_tradnl" w:eastAsia="es-MX"/>
              </w:rPr>
              <w:t>JUICIO PARA LA PROTECCIÓN DE LOS DERECHOS POLÍTICO-ELECTORALES DEL CIUDADANO</w:t>
            </w:r>
            <w:r w:rsidR="009E0112" w:rsidRPr="00684D58">
              <w:rPr>
                <w:rFonts w:eastAsia="Times New Roman" w:cs="Arial"/>
                <w:b/>
                <w:szCs w:val="24"/>
                <w:lang w:val="es-ES_tradnl" w:eastAsia="es-MX"/>
              </w:rPr>
              <w:t xml:space="preserve"> </w:t>
            </w:r>
          </w:p>
          <w:p w14:paraId="17A57290" w14:textId="3B45DF4B" w:rsidR="006A298D" w:rsidRPr="00684D58" w:rsidRDefault="006A298D" w:rsidP="006A298D">
            <w:pPr>
              <w:spacing w:before="240" w:after="240" w:line="240" w:lineRule="auto"/>
              <w:rPr>
                <w:rFonts w:eastAsia="Calibri"/>
                <w:szCs w:val="24"/>
                <w:lang w:val="es-ES_tradnl"/>
              </w:rPr>
            </w:pPr>
            <w:r w:rsidRPr="00684D58">
              <w:rPr>
                <w:rFonts w:eastAsia="Calibri"/>
                <w:b/>
                <w:szCs w:val="24"/>
                <w:lang w:val="es-ES_tradnl"/>
              </w:rPr>
              <w:t>EXPEDIENTE:</w:t>
            </w:r>
            <w:r w:rsidRPr="00684D58">
              <w:rPr>
                <w:rFonts w:eastAsia="Calibri"/>
                <w:szCs w:val="24"/>
                <w:lang w:val="es-ES_tradnl"/>
              </w:rPr>
              <w:t xml:space="preserve"> SM-JDC-</w:t>
            </w:r>
            <w:r w:rsidR="009E0112" w:rsidRPr="00684D58">
              <w:rPr>
                <w:rFonts w:eastAsia="Calibri"/>
                <w:szCs w:val="24"/>
                <w:lang w:val="es-ES_tradnl"/>
              </w:rPr>
              <w:t>90</w:t>
            </w:r>
            <w:r w:rsidR="006548AB" w:rsidRPr="00684D58">
              <w:rPr>
                <w:rFonts w:eastAsia="Calibri"/>
                <w:szCs w:val="24"/>
                <w:lang w:val="es-ES_tradnl"/>
              </w:rPr>
              <w:t>9</w:t>
            </w:r>
            <w:r w:rsidRPr="00684D58">
              <w:rPr>
                <w:rFonts w:eastAsia="Calibri"/>
                <w:szCs w:val="24"/>
                <w:lang w:val="es-ES_tradnl"/>
              </w:rPr>
              <w:t xml:space="preserve">/2021 </w:t>
            </w:r>
          </w:p>
          <w:p w14:paraId="4128C5DF" w14:textId="200A8AE7" w:rsidR="006A298D" w:rsidRPr="00684D58" w:rsidRDefault="006A298D" w:rsidP="006A298D">
            <w:pPr>
              <w:spacing w:before="240" w:after="240" w:line="240" w:lineRule="auto"/>
              <w:rPr>
                <w:rFonts w:eastAsia="Calibri"/>
                <w:szCs w:val="24"/>
                <w:lang w:val="es-ES_tradnl"/>
              </w:rPr>
            </w:pPr>
            <w:r w:rsidRPr="00684D58">
              <w:rPr>
                <w:rFonts w:eastAsia="Calibri"/>
                <w:b/>
                <w:szCs w:val="24"/>
                <w:lang w:val="es-ES_tradnl"/>
              </w:rPr>
              <w:t xml:space="preserve">ACTOR: </w:t>
            </w:r>
            <w:r w:rsidR="00A24DBB" w:rsidRPr="00684D58">
              <w:rPr>
                <w:rFonts w:eastAsia="Times New Roman" w:cs="Arial"/>
                <w:bCs/>
                <w:szCs w:val="23"/>
                <w:lang w:val="es-ES_tradnl" w:eastAsia="es-ES"/>
              </w:rPr>
              <w:t>ERNESTO ALEJANDRO PRIETO GALLARDO</w:t>
            </w:r>
          </w:p>
          <w:p w14:paraId="543BC165" w14:textId="3D65F4B2" w:rsidR="006A298D" w:rsidRPr="00684D58" w:rsidRDefault="006A298D" w:rsidP="006A298D">
            <w:pPr>
              <w:spacing w:before="240" w:after="240" w:line="240" w:lineRule="auto"/>
              <w:rPr>
                <w:rFonts w:eastAsia="Times New Roman" w:cs="Arial"/>
                <w:bCs/>
                <w:szCs w:val="24"/>
                <w:lang w:val="es-ES_tradnl" w:eastAsia="es-ES"/>
              </w:rPr>
            </w:pPr>
            <w:r w:rsidRPr="00684D58">
              <w:rPr>
                <w:rFonts w:eastAsia="Calibri"/>
                <w:b/>
                <w:szCs w:val="24"/>
                <w:lang w:val="es-ES_tradnl"/>
              </w:rPr>
              <w:t xml:space="preserve">RESPONSABLE: </w:t>
            </w:r>
            <w:r w:rsidRPr="00684D58">
              <w:rPr>
                <w:rFonts w:eastAsia="Times New Roman" w:cs="Arial"/>
                <w:bCs/>
                <w:szCs w:val="24"/>
                <w:lang w:val="es-ES_tradnl" w:eastAsia="es-ES"/>
              </w:rPr>
              <w:t>TRIBUNAL ESTATAL ELECTORAL DE GUANAJUATO</w:t>
            </w:r>
          </w:p>
          <w:p w14:paraId="1377212D" w14:textId="77777777" w:rsidR="006A298D" w:rsidRPr="00684D58" w:rsidRDefault="006A298D" w:rsidP="006A298D">
            <w:pPr>
              <w:spacing w:before="240" w:after="240" w:line="240" w:lineRule="auto"/>
              <w:rPr>
                <w:rFonts w:eastAsia="Calibri"/>
                <w:szCs w:val="24"/>
                <w:lang w:val="es-ES_tradnl"/>
              </w:rPr>
            </w:pPr>
            <w:r w:rsidRPr="00684D58">
              <w:rPr>
                <w:rFonts w:eastAsia="Calibri"/>
                <w:b/>
                <w:szCs w:val="24"/>
                <w:lang w:val="es-ES_tradnl"/>
              </w:rPr>
              <w:t>MAGISTRADO PONENTE:</w:t>
            </w:r>
            <w:r w:rsidRPr="00684D58">
              <w:rPr>
                <w:rFonts w:eastAsia="Calibri"/>
                <w:szCs w:val="24"/>
                <w:lang w:val="es-ES_tradnl"/>
              </w:rPr>
              <w:t xml:space="preserve"> YAIRSINIO DAVID GARCÍA ORTIZ</w:t>
            </w:r>
          </w:p>
          <w:p w14:paraId="18A65A9B" w14:textId="1DCAABDD" w:rsidR="00A8488E" w:rsidRPr="00684D58" w:rsidRDefault="006A298D" w:rsidP="006A298D">
            <w:pPr>
              <w:tabs>
                <w:tab w:val="left" w:pos="708"/>
              </w:tabs>
              <w:spacing w:before="240" w:after="240" w:line="276" w:lineRule="auto"/>
              <w:rPr>
                <w:rFonts w:eastAsia="Times New Roman" w:cs="Arial"/>
                <w:szCs w:val="24"/>
                <w:lang w:val="es-ES_tradnl" w:eastAsia="es-MX"/>
              </w:rPr>
            </w:pPr>
            <w:r w:rsidRPr="00684D58">
              <w:rPr>
                <w:rFonts w:eastAsia="Calibri"/>
                <w:b/>
                <w:szCs w:val="24"/>
                <w:lang w:val="es-ES_tradnl"/>
              </w:rPr>
              <w:t>SECRETARIO</w:t>
            </w:r>
            <w:r w:rsidRPr="00684D58">
              <w:rPr>
                <w:rFonts w:eastAsia="Calibri"/>
                <w:szCs w:val="24"/>
                <w:lang w:val="es-ES_tradnl"/>
              </w:rPr>
              <w:t xml:space="preserve">: </w:t>
            </w:r>
            <w:r w:rsidR="00702A2D" w:rsidRPr="00684D58">
              <w:rPr>
                <w:rFonts w:eastAsia="Calibri"/>
                <w:szCs w:val="24"/>
                <w:lang w:val="es-ES_tradnl"/>
              </w:rPr>
              <w:t>RICARDO ARTURO CASTILLO TREJO</w:t>
            </w:r>
          </w:p>
        </w:tc>
      </w:tr>
    </w:tbl>
    <w:p w14:paraId="1FE197C2" w14:textId="77777777" w:rsidR="00A7521D" w:rsidRPr="00684D58" w:rsidRDefault="00A7521D" w:rsidP="00A8488E">
      <w:pPr>
        <w:spacing w:after="0"/>
        <w:rPr>
          <w:rFonts w:cs="Arial"/>
          <w:szCs w:val="24"/>
          <w:lang w:val="es-ES_tradnl"/>
        </w:rPr>
      </w:pPr>
    </w:p>
    <w:p w14:paraId="2C87BF13" w14:textId="287107DA" w:rsidR="00A8488E" w:rsidRPr="00623A98" w:rsidRDefault="00A8488E" w:rsidP="00A8488E">
      <w:pPr>
        <w:spacing w:after="0"/>
        <w:rPr>
          <w:rFonts w:cs="Arial"/>
          <w:szCs w:val="24"/>
          <w:lang w:val="es-ES_tradnl"/>
        </w:rPr>
      </w:pPr>
      <w:r w:rsidRPr="00623A98">
        <w:rPr>
          <w:rFonts w:cs="Arial"/>
          <w:szCs w:val="24"/>
          <w:lang w:val="es-ES_tradnl"/>
        </w:rPr>
        <w:t xml:space="preserve">Monterrey, Nuevo León, a </w:t>
      </w:r>
      <w:r w:rsidR="00253E5D" w:rsidRPr="00623A98">
        <w:rPr>
          <w:rFonts w:cs="Arial"/>
          <w:szCs w:val="24"/>
          <w:lang w:val="es-ES_tradnl"/>
        </w:rPr>
        <w:t>diecinueve</w:t>
      </w:r>
      <w:r w:rsidR="00491663" w:rsidRPr="00623A98">
        <w:rPr>
          <w:rFonts w:cs="Arial"/>
          <w:szCs w:val="24"/>
          <w:lang w:val="es-ES_tradnl"/>
        </w:rPr>
        <w:t xml:space="preserve"> </w:t>
      </w:r>
      <w:r w:rsidRPr="00623A98">
        <w:rPr>
          <w:rFonts w:cs="Arial"/>
          <w:szCs w:val="24"/>
          <w:lang w:val="es-ES_tradnl"/>
        </w:rPr>
        <w:t>de</w:t>
      </w:r>
      <w:r w:rsidR="00702A2D" w:rsidRPr="00623A98">
        <w:rPr>
          <w:rFonts w:cs="Arial"/>
          <w:szCs w:val="24"/>
          <w:lang w:val="es-ES_tradnl"/>
        </w:rPr>
        <w:t xml:space="preserve"> septiembre</w:t>
      </w:r>
      <w:r w:rsidRPr="00623A98">
        <w:rPr>
          <w:rFonts w:cs="Arial"/>
          <w:szCs w:val="24"/>
          <w:lang w:val="es-ES_tradnl"/>
        </w:rPr>
        <w:t xml:space="preserve"> de dos mil veintiuno.</w:t>
      </w:r>
    </w:p>
    <w:p w14:paraId="68D49B8E" w14:textId="77777777" w:rsidR="00901CFE" w:rsidRPr="00623A98" w:rsidRDefault="00901CFE" w:rsidP="00A8488E">
      <w:pPr>
        <w:spacing w:after="0"/>
        <w:rPr>
          <w:rFonts w:cs="Arial"/>
          <w:szCs w:val="24"/>
          <w:lang w:val="es-ES_tradnl"/>
        </w:rPr>
      </w:pPr>
    </w:p>
    <w:p w14:paraId="6EBA0E52" w14:textId="7363ACF6" w:rsidR="00A8488E" w:rsidRPr="00623A98" w:rsidRDefault="00A8488E" w:rsidP="00901CFE">
      <w:pPr>
        <w:rPr>
          <w:lang w:val="es-ES_tradnl"/>
        </w:rPr>
      </w:pPr>
      <w:bookmarkStart w:id="0" w:name="_Hlk527546867"/>
      <w:r w:rsidRPr="00623A98">
        <w:rPr>
          <w:rFonts w:cs="Arial"/>
          <w:b/>
          <w:szCs w:val="24"/>
          <w:lang w:val="es-ES_tradnl"/>
        </w:rPr>
        <w:t>Sentencia definitiva</w:t>
      </w:r>
      <w:r w:rsidRPr="00623A98">
        <w:rPr>
          <w:rFonts w:cs="Arial"/>
          <w:szCs w:val="24"/>
          <w:lang w:val="es-ES_tradnl"/>
        </w:rPr>
        <w:t xml:space="preserve"> </w:t>
      </w:r>
      <w:bookmarkEnd w:id="0"/>
      <w:r w:rsidRPr="00623A98">
        <w:rPr>
          <w:rFonts w:cs="Arial"/>
          <w:szCs w:val="24"/>
          <w:lang w:val="es-ES_tradnl"/>
        </w:rPr>
        <w:t>que</w:t>
      </w:r>
      <w:r w:rsidR="00491663" w:rsidRPr="00623A98">
        <w:rPr>
          <w:rFonts w:cs="Arial"/>
          <w:szCs w:val="24"/>
          <w:lang w:val="es-ES_tradnl"/>
        </w:rPr>
        <w:t xml:space="preserve"> </w:t>
      </w:r>
      <w:r w:rsidR="003B3573" w:rsidRPr="00623A98">
        <w:rPr>
          <w:rFonts w:cs="Arial"/>
          <w:b/>
          <w:szCs w:val="24"/>
          <w:lang w:val="es-ES_tradnl"/>
        </w:rPr>
        <w:t>confirma</w:t>
      </w:r>
      <w:r w:rsidRPr="00623A98">
        <w:rPr>
          <w:rFonts w:cs="Arial"/>
          <w:b/>
          <w:szCs w:val="24"/>
          <w:lang w:val="es-ES_tradnl"/>
        </w:rPr>
        <w:t xml:space="preserve"> </w:t>
      </w:r>
      <w:r w:rsidRPr="00623A98">
        <w:rPr>
          <w:rFonts w:cs="Arial"/>
          <w:szCs w:val="24"/>
          <w:lang w:val="es-ES_tradnl"/>
        </w:rPr>
        <w:t xml:space="preserve">la resolución </w:t>
      </w:r>
      <w:r w:rsidR="003B3573" w:rsidRPr="00623A98">
        <w:rPr>
          <w:rFonts w:cs="Arial"/>
          <w:szCs w:val="24"/>
          <w:lang w:val="es-ES_tradnl"/>
        </w:rPr>
        <w:t>TEEG-JPDC-268/2021</w:t>
      </w:r>
      <w:r w:rsidR="003B3573" w:rsidRPr="00623A98">
        <w:rPr>
          <w:rFonts w:ascii="ArialNarrow" w:hAnsi="ArialNarrow" w:cs="ArialNarrow"/>
          <w:sz w:val="23"/>
          <w:szCs w:val="23"/>
          <w:lang w:val="es-ES_tradnl"/>
        </w:rPr>
        <w:t xml:space="preserve"> </w:t>
      </w:r>
      <w:r w:rsidRPr="00623A98">
        <w:rPr>
          <w:rFonts w:cs="Arial"/>
          <w:szCs w:val="24"/>
          <w:lang w:val="es-ES_tradnl"/>
        </w:rPr>
        <w:t xml:space="preserve">emitida por Tribunal </w:t>
      </w:r>
      <w:r w:rsidR="008E486E" w:rsidRPr="00623A98">
        <w:rPr>
          <w:rFonts w:cs="Arial"/>
          <w:szCs w:val="24"/>
          <w:lang w:val="es-ES_tradnl"/>
        </w:rPr>
        <w:t xml:space="preserve">Estatal </w:t>
      </w:r>
      <w:r w:rsidRPr="00623A98">
        <w:rPr>
          <w:rFonts w:cs="Arial"/>
          <w:szCs w:val="24"/>
          <w:lang w:val="es-ES_tradnl"/>
        </w:rPr>
        <w:t>Electoral de</w:t>
      </w:r>
      <w:r w:rsidR="008E486E" w:rsidRPr="00623A98">
        <w:rPr>
          <w:rFonts w:cs="Arial"/>
          <w:szCs w:val="24"/>
          <w:lang w:val="es-ES_tradnl"/>
        </w:rPr>
        <w:t xml:space="preserve"> Guanajuato</w:t>
      </w:r>
      <w:r w:rsidRPr="00623A98">
        <w:rPr>
          <w:rFonts w:cs="Arial"/>
          <w:szCs w:val="24"/>
          <w:lang w:val="es-ES_tradnl"/>
        </w:rPr>
        <w:t xml:space="preserve">, </w:t>
      </w:r>
      <w:r w:rsidRPr="00623A98">
        <w:rPr>
          <w:rFonts w:eastAsia="Times New Roman" w:cs="Arial"/>
          <w:bCs/>
          <w:szCs w:val="24"/>
          <w:lang w:val="es-ES_tradnl" w:eastAsia="es-ES"/>
        </w:rPr>
        <w:t xml:space="preserve">que </w:t>
      </w:r>
      <w:r w:rsidR="000E6CB6" w:rsidRPr="00623A98">
        <w:rPr>
          <w:rFonts w:eastAsia="Times New Roman" w:cs="Arial"/>
          <w:bCs/>
          <w:szCs w:val="24"/>
          <w:lang w:val="es-ES_tradnl" w:eastAsia="es-ES"/>
        </w:rPr>
        <w:t xml:space="preserve">a su vez </w:t>
      </w:r>
      <w:r w:rsidR="009E0112" w:rsidRPr="00623A98">
        <w:rPr>
          <w:rFonts w:eastAsia="Times New Roman" w:cs="Arial"/>
          <w:bCs/>
          <w:szCs w:val="24"/>
          <w:lang w:val="es-ES_tradnl" w:eastAsia="es-ES"/>
        </w:rPr>
        <w:t>confirm</w:t>
      </w:r>
      <w:r w:rsidR="003B3573" w:rsidRPr="00623A98">
        <w:rPr>
          <w:rFonts w:eastAsia="Times New Roman" w:cs="Arial"/>
          <w:bCs/>
          <w:szCs w:val="24"/>
          <w:lang w:val="es-ES_tradnl" w:eastAsia="es-ES"/>
        </w:rPr>
        <w:t>ó</w:t>
      </w:r>
      <w:r w:rsidR="009E0112" w:rsidRPr="00623A98">
        <w:rPr>
          <w:rFonts w:eastAsia="Times New Roman" w:cs="Arial"/>
          <w:bCs/>
          <w:szCs w:val="24"/>
          <w:lang w:val="es-ES_tradnl" w:eastAsia="es-ES"/>
        </w:rPr>
        <w:t xml:space="preserve"> el </w:t>
      </w:r>
      <w:r w:rsidR="003B3573" w:rsidRPr="00623A98">
        <w:rPr>
          <w:rFonts w:eastAsia="Times New Roman" w:cs="Arial"/>
          <w:bCs/>
          <w:szCs w:val="24"/>
          <w:lang w:val="es-ES_tradnl" w:eastAsia="es-ES"/>
        </w:rPr>
        <w:t>la resolución emitida por la Comisión Nacional de Honestidad y Justicia de M</w:t>
      </w:r>
      <w:r w:rsidR="00DF340E" w:rsidRPr="00623A98">
        <w:rPr>
          <w:rFonts w:eastAsia="Times New Roman" w:cs="Arial"/>
          <w:bCs/>
          <w:szCs w:val="24"/>
          <w:lang w:val="es-ES_tradnl" w:eastAsia="es-ES"/>
        </w:rPr>
        <w:t>ORENA</w:t>
      </w:r>
      <w:r w:rsidR="003B3573" w:rsidRPr="00623A98">
        <w:rPr>
          <w:rFonts w:eastAsia="Times New Roman" w:cs="Arial"/>
          <w:bCs/>
          <w:szCs w:val="24"/>
          <w:lang w:val="es-ES_tradnl" w:eastAsia="es-ES"/>
        </w:rPr>
        <w:t xml:space="preserve">, dentro </w:t>
      </w:r>
      <w:r w:rsidR="003B3573" w:rsidRPr="00623A98">
        <w:rPr>
          <w:rFonts w:eastAsia="Times New Roman" w:cs="Arial"/>
          <w:bCs/>
          <w:szCs w:val="24"/>
          <w:shd w:val="clear" w:color="auto" w:fill="FFFFFF" w:themeFill="background1"/>
          <w:lang w:val="es-ES_tradnl" w:eastAsia="es-ES"/>
        </w:rPr>
        <w:t xml:space="preserve">del expediente </w:t>
      </w:r>
      <w:r w:rsidR="003B3573" w:rsidRPr="00623A98">
        <w:rPr>
          <w:rFonts w:eastAsia="Times New Roman" w:cs="Arial"/>
          <w:szCs w:val="24"/>
          <w:shd w:val="clear" w:color="auto" w:fill="FFFFFF" w:themeFill="background1"/>
          <w:lang w:val="es-ES_tradnl" w:eastAsia="es-ES"/>
        </w:rPr>
        <w:t>CNHJ-GTO-1228/2021</w:t>
      </w:r>
      <w:r w:rsidR="00687776" w:rsidRPr="00623A98">
        <w:rPr>
          <w:rFonts w:eastAsia="Times New Roman" w:cs="Arial"/>
          <w:bCs/>
          <w:szCs w:val="24"/>
          <w:shd w:val="clear" w:color="auto" w:fill="FFFFFF" w:themeFill="background1"/>
          <w:lang w:val="es-ES_tradnl" w:eastAsia="es-ES"/>
        </w:rPr>
        <w:t>,</w:t>
      </w:r>
      <w:r w:rsidR="00D13D6D" w:rsidRPr="00623A98">
        <w:rPr>
          <w:rFonts w:eastAsia="Times New Roman" w:cs="Arial"/>
          <w:bCs/>
          <w:szCs w:val="24"/>
          <w:shd w:val="clear" w:color="auto" w:fill="FFFFFF" w:themeFill="background1"/>
          <w:lang w:val="es-ES_tradnl" w:eastAsia="es-ES"/>
        </w:rPr>
        <w:t xml:space="preserve"> </w:t>
      </w:r>
      <w:bookmarkStart w:id="1" w:name="_Hlk76730281"/>
      <w:r w:rsidR="003B3573" w:rsidRPr="00623A98">
        <w:rPr>
          <w:rFonts w:eastAsia="Times New Roman" w:cs="Arial"/>
          <w:bCs/>
          <w:szCs w:val="24"/>
          <w:shd w:val="clear" w:color="auto" w:fill="FFFFFF" w:themeFill="background1"/>
          <w:lang w:val="es-ES_tradnl" w:eastAsia="es-ES"/>
        </w:rPr>
        <w:t>la</w:t>
      </w:r>
      <w:r w:rsidR="009E0112" w:rsidRPr="00623A98">
        <w:rPr>
          <w:rFonts w:eastAsia="Times New Roman" w:cs="Arial"/>
          <w:bCs/>
          <w:szCs w:val="24"/>
          <w:shd w:val="clear" w:color="auto" w:fill="FFFFFF" w:themeFill="background1"/>
          <w:lang w:val="es-ES_tradnl" w:eastAsia="es-ES"/>
        </w:rPr>
        <w:t xml:space="preserve"> cual </w:t>
      </w:r>
      <w:bookmarkStart w:id="2" w:name="_Hlk78319977"/>
      <w:bookmarkEnd w:id="1"/>
      <w:r w:rsidR="00DF340E" w:rsidRPr="00623A98">
        <w:rPr>
          <w:rFonts w:eastAsia="Times New Roman" w:cs="Arial"/>
          <w:bCs/>
          <w:szCs w:val="24"/>
          <w:shd w:val="clear" w:color="auto" w:fill="FFFFFF" w:themeFill="background1"/>
          <w:lang w:val="es-ES_tradnl" w:eastAsia="es-ES"/>
        </w:rPr>
        <w:t>declar</w:t>
      </w:r>
      <w:r w:rsidR="00A27CB3" w:rsidRPr="00623A98">
        <w:rPr>
          <w:rFonts w:eastAsia="Times New Roman" w:cs="Arial"/>
          <w:bCs/>
          <w:szCs w:val="24"/>
          <w:shd w:val="clear" w:color="auto" w:fill="FFFFFF" w:themeFill="background1"/>
          <w:lang w:val="es-ES_tradnl" w:eastAsia="es-ES"/>
        </w:rPr>
        <w:t>ó</w:t>
      </w:r>
      <w:r w:rsidR="00DF340E" w:rsidRPr="00623A98">
        <w:rPr>
          <w:rFonts w:eastAsia="Times New Roman" w:cs="Arial"/>
          <w:bCs/>
          <w:szCs w:val="24"/>
          <w:shd w:val="clear" w:color="auto" w:fill="FFFFFF" w:themeFill="background1"/>
          <w:lang w:val="es-ES_tradnl" w:eastAsia="es-ES"/>
        </w:rPr>
        <w:t xml:space="preserve"> como infundados los agravios hechos valer por el actor, pues</w:t>
      </w:r>
      <w:r w:rsidR="006548AB" w:rsidRPr="00623A98">
        <w:rPr>
          <w:rFonts w:eastAsia="Times New Roman" w:cs="Arial"/>
          <w:bCs/>
          <w:szCs w:val="24"/>
          <w:shd w:val="clear" w:color="auto" w:fill="FFFFFF" w:themeFill="background1"/>
          <w:lang w:val="es-ES_tradnl" w:eastAsia="es-ES"/>
        </w:rPr>
        <w:t xml:space="preserve"> esta Sala Regional estima que,</w:t>
      </w:r>
      <w:r w:rsidR="00901CFE" w:rsidRPr="00623A98">
        <w:rPr>
          <w:rFonts w:eastAsia="Times New Roman" w:cs="Arial"/>
          <w:bCs/>
          <w:szCs w:val="24"/>
          <w:shd w:val="clear" w:color="auto" w:fill="FFFFFF" w:themeFill="background1"/>
          <w:lang w:val="es-ES_tradnl" w:eastAsia="es-ES"/>
        </w:rPr>
        <w:t xml:space="preserve"> contrario a lo expuesto por el promovente </w:t>
      </w:r>
      <w:r w:rsidR="00901CFE" w:rsidRPr="00623A98">
        <w:rPr>
          <w:lang w:val="es-ES_tradnl"/>
        </w:rPr>
        <w:t xml:space="preserve">resultó correcto que el </w:t>
      </w:r>
      <w:r w:rsidR="00901CFE" w:rsidRPr="00623A98">
        <w:rPr>
          <w:i/>
          <w:iCs/>
          <w:lang w:val="es-ES_tradnl"/>
        </w:rPr>
        <w:t>Tribunal Local</w:t>
      </w:r>
      <w:r w:rsidR="00901CFE" w:rsidRPr="00623A98">
        <w:rPr>
          <w:lang w:val="es-ES_tradnl"/>
        </w:rPr>
        <w:t xml:space="preserve"> calificara como inoperantes los agravios en los cuales reitera sus motivos de disenso y resultan ineficaces los restantes agravios hechos valer.</w:t>
      </w:r>
      <w:bookmarkEnd w:id="2"/>
    </w:p>
    <w:p w14:paraId="72C4587F" w14:textId="77777777" w:rsidR="00A8488E" w:rsidRPr="00623A98" w:rsidRDefault="00A8488E" w:rsidP="00A8488E">
      <w:pPr>
        <w:keepNext/>
        <w:keepLines/>
        <w:spacing w:before="240" w:after="240"/>
        <w:jc w:val="center"/>
        <w:outlineLvl w:val="0"/>
        <w:rPr>
          <w:rFonts w:eastAsia="Times New Roman" w:cs="Arial"/>
          <w:b/>
          <w:bCs/>
          <w:caps/>
          <w:szCs w:val="24"/>
          <w:lang w:val="es-ES_tradnl"/>
        </w:rPr>
      </w:pPr>
      <w:r w:rsidRPr="00623A98">
        <w:rPr>
          <w:rFonts w:eastAsia="Times New Roman" w:cs="Arial"/>
          <w:b/>
          <w:bCs/>
          <w:caps/>
          <w:szCs w:val="24"/>
          <w:lang w:val="es-ES_tradnl"/>
        </w:rPr>
        <w:t>ÍNDICE</w:t>
      </w:r>
    </w:p>
    <w:tbl>
      <w:tblPr>
        <w:tblStyle w:val="Tablaconcuadrcula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755"/>
      </w:tblGrid>
      <w:tr w:rsidR="006547EE" w:rsidRPr="00623A98" w14:paraId="29D5811F" w14:textId="77777777" w:rsidTr="00961654">
        <w:tc>
          <w:tcPr>
            <w:tcW w:w="7508" w:type="dxa"/>
            <w:hideMark/>
          </w:tcPr>
          <w:p w14:paraId="7183F1F3" w14:textId="6EF6F3D2" w:rsidR="00A8488E" w:rsidRPr="00623A98" w:rsidRDefault="00A8488E"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GLOSARIO</w:t>
            </w:r>
            <w:r w:rsidRPr="00623A98">
              <w:rPr>
                <w:rFonts w:eastAsia="Times New Roman" w:cs="Arial"/>
                <w:sz w:val="20"/>
                <w:lang w:val="es-ES_tradnl" w:eastAsia="es-ES"/>
              </w:rPr>
              <w:t>………………………………………………………………………...</w:t>
            </w:r>
          </w:p>
        </w:tc>
        <w:tc>
          <w:tcPr>
            <w:tcW w:w="755" w:type="dxa"/>
            <w:hideMark/>
          </w:tcPr>
          <w:p w14:paraId="6DE5F42E" w14:textId="77777777" w:rsidR="00A8488E" w:rsidRPr="00623A98" w:rsidRDefault="00A8488E" w:rsidP="00961654">
            <w:pPr>
              <w:spacing w:before="40" w:after="40" w:line="240" w:lineRule="auto"/>
              <w:ind w:left="-137"/>
              <w:jc w:val="center"/>
              <w:rPr>
                <w:rFonts w:eastAsia="Times New Roman" w:cs="Arial"/>
                <w:sz w:val="20"/>
                <w:lang w:val="es-ES_tradnl" w:eastAsia="es-ES"/>
              </w:rPr>
            </w:pPr>
            <w:r w:rsidRPr="00623A98">
              <w:rPr>
                <w:rFonts w:eastAsia="Times New Roman" w:cs="Arial"/>
                <w:sz w:val="20"/>
                <w:lang w:val="es-ES_tradnl" w:eastAsia="es-ES"/>
              </w:rPr>
              <w:t>1</w:t>
            </w:r>
          </w:p>
        </w:tc>
      </w:tr>
      <w:tr w:rsidR="006547EE" w:rsidRPr="00623A98" w14:paraId="62738D1F" w14:textId="77777777" w:rsidTr="00961654">
        <w:tc>
          <w:tcPr>
            <w:tcW w:w="7508" w:type="dxa"/>
            <w:hideMark/>
          </w:tcPr>
          <w:p w14:paraId="7EC75833" w14:textId="3C8AEDF1" w:rsidR="00A8488E" w:rsidRPr="00623A98" w:rsidRDefault="00A8488E" w:rsidP="0017179F">
            <w:pPr>
              <w:spacing w:before="40" w:after="40" w:line="240" w:lineRule="auto"/>
              <w:ind w:left="462"/>
              <w:rPr>
                <w:rFonts w:eastAsia="Times New Roman" w:cs="Arial"/>
                <w:b/>
                <w:bCs/>
                <w:sz w:val="20"/>
                <w:lang w:val="es-ES_tradnl" w:eastAsia="es-ES"/>
              </w:rPr>
            </w:pPr>
            <w:r w:rsidRPr="00623A98">
              <w:rPr>
                <w:rFonts w:eastAsia="Times New Roman" w:cs="Arial"/>
                <w:b/>
                <w:sz w:val="20"/>
                <w:lang w:val="es-ES_tradnl" w:eastAsia="es-ES"/>
              </w:rPr>
              <w:t>1. ANTECEDENTES</w:t>
            </w:r>
            <w:r w:rsidRPr="00623A98">
              <w:rPr>
                <w:rFonts w:eastAsia="Times New Roman" w:cs="Arial"/>
                <w:sz w:val="20"/>
                <w:lang w:val="es-ES_tradnl" w:eastAsia="es-ES"/>
              </w:rPr>
              <w:t>…………………………………………………………</w:t>
            </w:r>
          </w:p>
        </w:tc>
        <w:tc>
          <w:tcPr>
            <w:tcW w:w="755" w:type="dxa"/>
            <w:hideMark/>
          </w:tcPr>
          <w:p w14:paraId="408FA9D8" w14:textId="77777777" w:rsidR="00A8488E" w:rsidRPr="00623A98" w:rsidRDefault="00A8488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2</w:t>
            </w:r>
          </w:p>
        </w:tc>
      </w:tr>
      <w:tr w:rsidR="006547EE" w:rsidRPr="00623A98" w14:paraId="290E5A59" w14:textId="77777777" w:rsidTr="00961654">
        <w:trPr>
          <w:trHeight w:val="239"/>
        </w:trPr>
        <w:tc>
          <w:tcPr>
            <w:tcW w:w="7508" w:type="dxa"/>
            <w:hideMark/>
          </w:tcPr>
          <w:p w14:paraId="05F9CD4F" w14:textId="7D52F701" w:rsidR="00A8488E" w:rsidRPr="00623A98" w:rsidRDefault="00A8488E"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2. COMPETENCIA</w:t>
            </w:r>
            <w:r w:rsidRPr="00623A98">
              <w:rPr>
                <w:rFonts w:eastAsia="Times New Roman" w:cs="Arial"/>
                <w:sz w:val="20"/>
                <w:lang w:val="es-ES_tradnl" w:eastAsia="es-ES"/>
              </w:rPr>
              <w:t>……………………………………………………………</w:t>
            </w:r>
          </w:p>
        </w:tc>
        <w:tc>
          <w:tcPr>
            <w:tcW w:w="755" w:type="dxa"/>
          </w:tcPr>
          <w:p w14:paraId="5B460A84" w14:textId="7221D321" w:rsidR="00A8488E" w:rsidRPr="00623A98" w:rsidRDefault="00901CF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5</w:t>
            </w:r>
          </w:p>
        </w:tc>
      </w:tr>
      <w:tr w:rsidR="006547EE" w:rsidRPr="00623A98" w14:paraId="7929858F" w14:textId="77777777" w:rsidTr="00961654">
        <w:tc>
          <w:tcPr>
            <w:tcW w:w="7508" w:type="dxa"/>
            <w:hideMark/>
          </w:tcPr>
          <w:p w14:paraId="143D8E80" w14:textId="419859E8" w:rsidR="00A8488E" w:rsidRPr="00623A98" w:rsidRDefault="00CB1805"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3</w:t>
            </w:r>
            <w:r w:rsidR="00A8488E" w:rsidRPr="00623A98">
              <w:rPr>
                <w:rFonts w:eastAsia="Times New Roman" w:cs="Arial"/>
                <w:b/>
                <w:sz w:val="20"/>
                <w:lang w:val="es-ES_tradnl" w:eastAsia="es-ES"/>
              </w:rPr>
              <w:t>. PROCEDENCIA</w:t>
            </w:r>
            <w:r w:rsidR="00A8488E" w:rsidRPr="00623A98">
              <w:rPr>
                <w:rFonts w:eastAsia="Times New Roman" w:cs="Arial"/>
                <w:sz w:val="20"/>
                <w:lang w:val="es-ES_tradnl" w:eastAsia="es-ES"/>
              </w:rPr>
              <w:t>………</w:t>
            </w:r>
            <w:r w:rsidR="006A298D" w:rsidRPr="00623A98">
              <w:rPr>
                <w:rFonts w:eastAsia="Times New Roman" w:cs="Arial"/>
                <w:sz w:val="20"/>
                <w:lang w:val="es-ES_tradnl" w:eastAsia="es-ES"/>
              </w:rPr>
              <w:t>………………...</w:t>
            </w:r>
            <w:r w:rsidR="00A8488E" w:rsidRPr="00623A98">
              <w:rPr>
                <w:rFonts w:eastAsia="Times New Roman" w:cs="Arial"/>
                <w:sz w:val="20"/>
                <w:lang w:val="es-ES_tradnl" w:eastAsia="es-ES"/>
              </w:rPr>
              <w:t>………………………………</w:t>
            </w:r>
            <w:proofErr w:type="gramStart"/>
            <w:r w:rsidR="00A8488E" w:rsidRPr="00623A98">
              <w:rPr>
                <w:rFonts w:eastAsia="Times New Roman" w:cs="Arial"/>
                <w:sz w:val="20"/>
                <w:lang w:val="es-ES_tradnl" w:eastAsia="es-ES"/>
              </w:rPr>
              <w:t>……</w:t>
            </w:r>
            <w:r w:rsidR="00961654" w:rsidRPr="00623A98">
              <w:rPr>
                <w:rFonts w:eastAsia="Times New Roman" w:cs="Arial"/>
                <w:sz w:val="20"/>
                <w:lang w:val="es-ES_tradnl" w:eastAsia="es-ES"/>
              </w:rPr>
              <w:t>.</w:t>
            </w:r>
            <w:proofErr w:type="gramEnd"/>
            <w:r w:rsidR="00961654" w:rsidRPr="00623A98">
              <w:rPr>
                <w:rFonts w:eastAsia="Times New Roman" w:cs="Arial"/>
                <w:sz w:val="20"/>
                <w:lang w:val="es-ES_tradnl" w:eastAsia="es-ES"/>
              </w:rPr>
              <w:t>.</w:t>
            </w:r>
          </w:p>
        </w:tc>
        <w:tc>
          <w:tcPr>
            <w:tcW w:w="755" w:type="dxa"/>
          </w:tcPr>
          <w:p w14:paraId="189076C8" w14:textId="2BC53336" w:rsidR="00A8488E" w:rsidRPr="00623A98" w:rsidRDefault="00961654" w:rsidP="00961654">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5</w:t>
            </w:r>
          </w:p>
        </w:tc>
      </w:tr>
      <w:tr w:rsidR="006547EE" w:rsidRPr="00623A98" w14:paraId="50C141C4" w14:textId="77777777" w:rsidTr="00961654">
        <w:tc>
          <w:tcPr>
            <w:tcW w:w="7508" w:type="dxa"/>
            <w:hideMark/>
          </w:tcPr>
          <w:p w14:paraId="48F5B3E9" w14:textId="6BD77871" w:rsidR="00A8488E" w:rsidRPr="00623A98" w:rsidRDefault="00CB1805"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4</w:t>
            </w:r>
            <w:r w:rsidR="00A8488E" w:rsidRPr="00623A98">
              <w:rPr>
                <w:rFonts w:eastAsia="Times New Roman" w:cs="Arial"/>
                <w:b/>
                <w:sz w:val="20"/>
                <w:lang w:val="es-ES_tradnl" w:eastAsia="es-ES"/>
              </w:rPr>
              <w:t xml:space="preserve">. ESTUDIO DE FONDO </w:t>
            </w:r>
            <w:r w:rsidR="00A8488E" w:rsidRPr="00623A98">
              <w:rPr>
                <w:rFonts w:eastAsia="Times New Roman" w:cs="Arial"/>
                <w:sz w:val="20"/>
                <w:lang w:val="es-ES_tradnl" w:eastAsia="es-ES"/>
              </w:rPr>
              <w:t>………………………………………………………</w:t>
            </w:r>
          </w:p>
        </w:tc>
        <w:tc>
          <w:tcPr>
            <w:tcW w:w="755" w:type="dxa"/>
          </w:tcPr>
          <w:p w14:paraId="1503E051" w14:textId="6E58DCCF" w:rsidR="00A8488E" w:rsidRPr="00623A98" w:rsidRDefault="00901CF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5</w:t>
            </w:r>
          </w:p>
        </w:tc>
      </w:tr>
      <w:tr w:rsidR="006547EE" w:rsidRPr="00623A98" w14:paraId="4F763383" w14:textId="77777777" w:rsidTr="00961654">
        <w:tc>
          <w:tcPr>
            <w:tcW w:w="7508" w:type="dxa"/>
            <w:hideMark/>
          </w:tcPr>
          <w:p w14:paraId="2104DAD7" w14:textId="2E43F9A4" w:rsidR="00A8488E" w:rsidRPr="00623A98" w:rsidRDefault="00A8488E"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 xml:space="preserve">         </w:t>
            </w:r>
            <w:r w:rsidR="00CB1805" w:rsidRPr="00623A98">
              <w:rPr>
                <w:rFonts w:eastAsia="Times New Roman" w:cs="Arial"/>
                <w:b/>
                <w:sz w:val="20"/>
                <w:lang w:val="es-ES_tradnl" w:eastAsia="es-ES"/>
              </w:rPr>
              <w:t>4</w:t>
            </w:r>
            <w:r w:rsidRPr="00623A98">
              <w:rPr>
                <w:rFonts w:eastAsia="Times New Roman" w:cs="Arial"/>
                <w:b/>
                <w:sz w:val="20"/>
                <w:lang w:val="es-ES_tradnl" w:eastAsia="es-ES"/>
              </w:rPr>
              <w:t xml:space="preserve">.1. </w:t>
            </w:r>
            <w:r w:rsidRPr="00623A98">
              <w:rPr>
                <w:rFonts w:eastAsia="Times New Roman" w:cs="Arial"/>
                <w:sz w:val="20"/>
                <w:lang w:val="es-ES_tradnl" w:eastAsia="es-ES"/>
              </w:rPr>
              <w:t>Materia de la controversia …………………………………………</w:t>
            </w:r>
          </w:p>
        </w:tc>
        <w:tc>
          <w:tcPr>
            <w:tcW w:w="755" w:type="dxa"/>
          </w:tcPr>
          <w:p w14:paraId="524C2D64" w14:textId="3685FB5C" w:rsidR="00A8488E" w:rsidRPr="00623A98" w:rsidRDefault="00901CF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5</w:t>
            </w:r>
          </w:p>
        </w:tc>
      </w:tr>
      <w:tr w:rsidR="006547EE" w:rsidRPr="00623A98" w14:paraId="5C10EB33" w14:textId="77777777" w:rsidTr="00961654">
        <w:tc>
          <w:tcPr>
            <w:tcW w:w="7508" w:type="dxa"/>
            <w:hideMark/>
          </w:tcPr>
          <w:p w14:paraId="04A30ECC" w14:textId="4BEF38E2" w:rsidR="00A8488E" w:rsidRPr="00623A98" w:rsidRDefault="00A8488E"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 xml:space="preserve">         </w:t>
            </w:r>
            <w:r w:rsidR="00CB1805" w:rsidRPr="00623A98">
              <w:rPr>
                <w:rFonts w:eastAsia="Times New Roman" w:cs="Arial"/>
                <w:b/>
                <w:sz w:val="20"/>
                <w:lang w:val="es-ES_tradnl" w:eastAsia="es-ES"/>
              </w:rPr>
              <w:t>4</w:t>
            </w:r>
            <w:r w:rsidRPr="00623A98">
              <w:rPr>
                <w:rFonts w:eastAsia="Times New Roman" w:cs="Arial"/>
                <w:b/>
                <w:sz w:val="20"/>
                <w:lang w:val="es-ES_tradnl" w:eastAsia="es-ES"/>
              </w:rPr>
              <w:t xml:space="preserve">.2. </w:t>
            </w:r>
            <w:r w:rsidRPr="00623A98">
              <w:rPr>
                <w:rFonts w:eastAsia="Times New Roman" w:cs="Arial"/>
                <w:sz w:val="20"/>
                <w:lang w:val="es-ES_tradnl" w:eastAsia="es-ES"/>
              </w:rPr>
              <w:t>Decisión…………………</w:t>
            </w:r>
            <w:proofErr w:type="gramStart"/>
            <w:r w:rsidRPr="00623A98">
              <w:rPr>
                <w:rFonts w:eastAsia="Times New Roman" w:cs="Arial"/>
                <w:sz w:val="20"/>
                <w:lang w:val="es-ES_tradnl" w:eastAsia="es-ES"/>
              </w:rPr>
              <w:t>…….</w:t>
            </w:r>
            <w:proofErr w:type="gramEnd"/>
            <w:r w:rsidRPr="00623A98">
              <w:rPr>
                <w:rFonts w:eastAsia="Times New Roman" w:cs="Arial"/>
                <w:sz w:val="20"/>
                <w:lang w:val="es-ES_tradnl" w:eastAsia="es-ES"/>
              </w:rPr>
              <w:t>……………………………..............</w:t>
            </w:r>
          </w:p>
        </w:tc>
        <w:tc>
          <w:tcPr>
            <w:tcW w:w="755" w:type="dxa"/>
          </w:tcPr>
          <w:p w14:paraId="7E7B524A" w14:textId="63A45E33" w:rsidR="00A8488E" w:rsidRPr="00623A98" w:rsidRDefault="00901CF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7</w:t>
            </w:r>
          </w:p>
        </w:tc>
      </w:tr>
      <w:tr w:rsidR="006547EE" w:rsidRPr="00623A98" w14:paraId="7947F02E" w14:textId="77777777" w:rsidTr="00961654">
        <w:tc>
          <w:tcPr>
            <w:tcW w:w="7508" w:type="dxa"/>
            <w:hideMark/>
          </w:tcPr>
          <w:p w14:paraId="101BE95C" w14:textId="46804DE5" w:rsidR="00A8488E" w:rsidRPr="00623A98" w:rsidRDefault="00A8488E" w:rsidP="0017179F">
            <w:pPr>
              <w:spacing w:before="40" w:after="40" w:line="240" w:lineRule="auto"/>
              <w:ind w:left="462"/>
              <w:rPr>
                <w:rFonts w:eastAsia="Times New Roman" w:cs="Arial"/>
                <w:sz w:val="20"/>
                <w:lang w:val="es-ES_tradnl" w:eastAsia="es-ES"/>
              </w:rPr>
            </w:pPr>
            <w:r w:rsidRPr="00623A98">
              <w:rPr>
                <w:rFonts w:eastAsia="Times New Roman" w:cs="Arial"/>
                <w:b/>
                <w:sz w:val="20"/>
                <w:lang w:val="es-ES_tradnl" w:eastAsia="es-ES"/>
              </w:rPr>
              <w:t xml:space="preserve">         </w:t>
            </w:r>
            <w:r w:rsidR="00CB1805" w:rsidRPr="00623A98">
              <w:rPr>
                <w:rFonts w:eastAsia="Times New Roman" w:cs="Arial"/>
                <w:b/>
                <w:sz w:val="20"/>
                <w:lang w:val="es-ES_tradnl" w:eastAsia="es-ES"/>
              </w:rPr>
              <w:t>4</w:t>
            </w:r>
            <w:r w:rsidRPr="00623A98">
              <w:rPr>
                <w:rFonts w:eastAsia="Times New Roman" w:cs="Arial"/>
                <w:b/>
                <w:sz w:val="20"/>
                <w:lang w:val="es-ES_tradnl" w:eastAsia="es-ES"/>
              </w:rPr>
              <w:t xml:space="preserve">.3. </w:t>
            </w:r>
            <w:r w:rsidRPr="00623A98">
              <w:rPr>
                <w:rFonts w:eastAsia="Times New Roman" w:cs="Arial"/>
                <w:sz w:val="20"/>
                <w:lang w:val="es-ES_tradnl" w:eastAsia="es-ES"/>
              </w:rPr>
              <w:t>Justificación de la decisión……</w:t>
            </w:r>
            <w:proofErr w:type="gramStart"/>
            <w:r w:rsidRPr="00623A98">
              <w:rPr>
                <w:rFonts w:eastAsia="Times New Roman" w:cs="Arial"/>
                <w:sz w:val="20"/>
                <w:lang w:val="es-ES_tradnl" w:eastAsia="es-ES"/>
              </w:rPr>
              <w:t>...….</w:t>
            </w:r>
            <w:proofErr w:type="gramEnd"/>
            <w:r w:rsidRPr="00623A98">
              <w:rPr>
                <w:rFonts w:eastAsia="Times New Roman" w:cs="Arial"/>
                <w:sz w:val="20"/>
                <w:lang w:val="es-ES_tradnl" w:eastAsia="es-ES"/>
              </w:rPr>
              <w:t>.………………………………</w:t>
            </w:r>
          </w:p>
        </w:tc>
        <w:tc>
          <w:tcPr>
            <w:tcW w:w="755" w:type="dxa"/>
          </w:tcPr>
          <w:p w14:paraId="19D41C21" w14:textId="5293F50D" w:rsidR="00A8488E" w:rsidRPr="00623A98" w:rsidRDefault="00BF0C02"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7</w:t>
            </w:r>
          </w:p>
        </w:tc>
      </w:tr>
      <w:tr w:rsidR="006547EE" w:rsidRPr="00623A98" w14:paraId="5186BE0F" w14:textId="77777777" w:rsidTr="00961654">
        <w:tc>
          <w:tcPr>
            <w:tcW w:w="7508" w:type="dxa"/>
            <w:hideMark/>
          </w:tcPr>
          <w:p w14:paraId="57D61EE1" w14:textId="769B7E76" w:rsidR="00A8488E" w:rsidRPr="00623A98" w:rsidRDefault="00CB1805" w:rsidP="0017179F">
            <w:pPr>
              <w:spacing w:before="40" w:after="40" w:line="240" w:lineRule="auto"/>
              <w:ind w:left="462"/>
              <w:rPr>
                <w:rFonts w:eastAsia="Times New Roman" w:cs="Arial"/>
                <w:b/>
                <w:sz w:val="20"/>
                <w:lang w:val="es-ES_tradnl" w:eastAsia="es-ES"/>
              </w:rPr>
            </w:pPr>
            <w:r w:rsidRPr="00623A98">
              <w:rPr>
                <w:rFonts w:eastAsia="Times New Roman" w:cs="Arial"/>
                <w:b/>
                <w:sz w:val="20"/>
                <w:lang w:val="es-ES_tradnl" w:eastAsia="es-ES"/>
              </w:rPr>
              <w:t>5</w:t>
            </w:r>
            <w:r w:rsidR="00A8488E" w:rsidRPr="00623A98">
              <w:rPr>
                <w:rFonts w:eastAsia="Times New Roman" w:cs="Arial"/>
                <w:b/>
                <w:sz w:val="20"/>
                <w:lang w:val="es-ES_tradnl" w:eastAsia="es-ES"/>
              </w:rPr>
              <w:t xml:space="preserve">. RESOLUTIVO </w:t>
            </w:r>
            <w:r w:rsidR="00A8488E" w:rsidRPr="00623A98">
              <w:rPr>
                <w:rFonts w:eastAsia="Times New Roman" w:cs="Arial"/>
                <w:sz w:val="20"/>
                <w:lang w:val="es-ES_tradnl" w:eastAsia="es-ES"/>
              </w:rPr>
              <w:t>...………………………………………………………</w:t>
            </w:r>
            <w:r w:rsidR="003B3573" w:rsidRPr="00623A98">
              <w:rPr>
                <w:rFonts w:eastAsia="Times New Roman" w:cs="Arial"/>
                <w:sz w:val="20"/>
                <w:lang w:val="es-ES_tradnl" w:eastAsia="es-ES"/>
              </w:rPr>
              <w:t>...</w:t>
            </w:r>
            <w:r w:rsidR="00A8488E" w:rsidRPr="00623A98">
              <w:rPr>
                <w:rFonts w:eastAsia="Times New Roman" w:cs="Arial"/>
                <w:sz w:val="20"/>
                <w:lang w:val="es-ES_tradnl" w:eastAsia="es-ES"/>
              </w:rPr>
              <w:t>.....</w:t>
            </w:r>
          </w:p>
        </w:tc>
        <w:tc>
          <w:tcPr>
            <w:tcW w:w="755" w:type="dxa"/>
          </w:tcPr>
          <w:p w14:paraId="4C6B757B" w14:textId="6255A0BF" w:rsidR="00A8488E" w:rsidRPr="00623A98" w:rsidRDefault="00901CFE" w:rsidP="0017179F">
            <w:pPr>
              <w:spacing w:before="40" w:after="40" w:line="240" w:lineRule="auto"/>
              <w:jc w:val="center"/>
              <w:rPr>
                <w:rFonts w:eastAsia="Times New Roman" w:cs="Arial"/>
                <w:sz w:val="20"/>
                <w:lang w:val="es-ES_tradnl" w:eastAsia="es-ES"/>
              </w:rPr>
            </w:pPr>
            <w:r w:rsidRPr="00623A98">
              <w:rPr>
                <w:rFonts w:eastAsia="Times New Roman" w:cs="Arial"/>
                <w:sz w:val="20"/>
                <w:lang w:val="es-ES_tradnl" w:eastAsia="es-ES"/>
              </w:rPr>
              <w:t>10</w:t>
            </w:r>
          </w:p>
        </w:tc>
      </w:tr>
    </w:tbl>
    <w:p w14:paraId="4686C4A1" w14:textId="77777777" w:rsidR="00CF5FD6" w:rsidRPr="00623A98" w:rsidRDefault="00CF5FD6" w:rsidP="00961654">
      <w:pPr>
        <w:spacing w:before="240" w:after="240" w:line="240" w:lineRule="auto"/>
        <w:outlineLvl w:val="0"/>
        <w:rPr>
          <w:rFonts w:cs="Arial"/>
          <w:b/>
          <w:spacing w:val="26"/>
          <w:szCs w:val="24"/>
          <w:lang w:val="es-ES_tradnl"/>
        </w:rPr>
      </w:pPr>
      <w:bookmarkStart w:id="3" w:name="_Toc54863091"/>
    </w:p>
    <w:p w14:paraId="39361F24" w14:textId="28119B7D" w:rsidR="00A8488E" w:rsidRPr="00623A98" w:rsidRDefault="00A8488E" w:rsidP="00A8488E">
      <w:pPr>
        <w:spacing w:before="240" w:after="240" w:line="240" w:lineRule="auto"/>
        <w:jc w:val="center"/>
        <w:outlineLvl w:val="0"/>
        <w:rPr>
          <w:rFonts w:cs="Arial"/>
          <w:b/>
          <w:spacing w:val="26"/>
          <w:szCs w:val="24"/>
          <w:lang w:val="es-ES_tradnl"/>
        </w:rPr>
      </w:pPr>
      <w:r w:rsidRPr="00623A98">
        <w:rPr>
          <w:rFonts w:cs="Arial"/>
          <w:b/>
          <w:spacing w:val="26"/>
          <w:szCs w:val="24"/>
          <w:lang w:val="es-ES_tradnl"/>
        </w:rPr>
        <w:t>GLOSARIO</w:t>
      </w:r>
      <w:bookmarkEnd w:id="3"/>
    </w:p>
    <w:tbl>
      <w:tblPr>
        <w:tblW w:w="0" w:type="auto"/>
        <w:jc w:val="center"/>
        <w:tblLayout w:type="fixed"/>
        <w:tblLook w:val="0000" w:firstRow="0" w:lastRow="0" w:firstColumn="0" w:lastColumn="0" w:noHBand="0" w:noVBand="0"/>
      </w:tblPr>
      <w:tblGrid>
        <w:gridCol w:w="1761"/>
        <w:gridCol w:w="3626"/>
      </w:tblGrid>
      <w:tr w:rsidR="006547EE" w:rsidRPr="00623A98" w14:paraId="0D1BD13F" w14:textId="77777777" w:rsidTr="004D232D">
        <w:trPr>
          <w:trHeight w:val="352"/>
          <w:jc w:val="center"/>
        </w:trPr>
        <w:tc>
          <w:tcPr>
            <w:tcW w:w="1761" w:type="dxa"/>
          </w:tcPr>
          <w:p w14:paraId="6C556BD0" w14:textId="62AE90CF" w:rsidR="00A8488E" w:rsidRPr="00623A98" w:rsidRDefault="00A8488E" w:rsidP="0017179F">
            <w:pPr>
              <w:autoSpaceDE w:val="0"/>
              <w:autoSpaceDN w:val="0"/>
              <w:adjustRightInd w:val="0"/>
              <w:spacing w:after="0" w:line="240" w:lineRule="auto"/>
              <w:jc w:val="left"/>
              <w:rPr>
                <w:rFonts w:cs="Arial"/>
                <w:b/>
                <w:bCs/>
                <w:i/>
                <w:iCs/>
                <w:sz w:val="20"/>
                <w:lang w:val="es-ES_tradnl"/>
              </w:rPr>
            </w:pPr>
            <w:bookmarkStart w:id="4" w:name="_Toc54863092"/>
            <w:r w:rsidRPr="00623A98">
              <w:rPr>
                <w:rFonts w:cs="Arial"/>
                <w:b/>
                <w:bCs/>
                <w:i/>
                <w:iCs/>
                <w:sz w:val="20"/>
                <w:lang w:val="es-ES_tradnl"/>
              </w:rPr>
              <w:t>Consejo</w:t>
            </w:r>
            <w:r w:rsidR="00B6054E" w:rsidRPr="00623A98">
              <w:rPr>
                <w:rFonts w:cs="Arial"/>
                <w:b/>
                <w:bCs/>
                <w:i/>
                <w:iCs/>
                <w:sz w:val="20"/>
                <w:lang w:val="es-ES_tradnl"/>
              </w:rPr>
              <w:t xml:space="preserve"> General</w:t>
            </w:r>
            <w:r w:rsidRPr="00623A98">
              <w:rPr>
                <w:rFonts w:cs="Arial"/>
                <w:b/>
                <w:bCs/>
                <w:i/>
                <w:iCs/>
                <w:sz w:val="20"/>
                <w:lang w:val="es-ES_tradnl"/>
              </w:rPr>
              <w:t>:</w:t>
            </w:r>
          </w:p>
        </w:tc>
        <w:tc>
          <w:tcPr>
            <w:tcW w:w="3626" w:type="dxa"/>
          </w:tcPr>
          <w:p w14:paraId="2415EC32" w14:textId="309CCF7E" w:rsidR="00A8488E" w:rsidRPr="00623A98" w:rsidRDefault="00A8488E" w:rsidP="0017179F">
            <w:pPr>
              <w:pStyle w:val="Default"/>
              <w:jc w:val="both"/>
              <w:rPr>
                <w:color w:val="auto"/>
                <w:sz w:val="20"/>
                <w:szCs w:val="20"/>
                <w:lang w:val="es-ES_tradnl"/>
              </w:rPr>
            </w:pPr>
            <w:r w:rsidRPr="00623A98">
              <w:rPr>
                <w:color w:val="auto"/>
                <w:sz w:val="20"/>
                <w:szCs w:val="20"/>
                <w:lang w:val="es-ES_tradnl"/>
              </w:rPr>
              <w:t xml:space="preserve">Consejo </w:t>
            </w:r>
            <w:r w:rsidR="00B6054E" w:rsidRPr="00623A98">
              <w:rPr>
                <w:color w:val="auto"/>
                <w:sz w:val="20"/>
                <w:szCs w:val="20"/>
                <w:lang w:val="es-ES_tradnl"/>
              </w:rPr>
              <w:t>General</w:t>
            </w:r>
            <w:r w:rsidR="00EE30CB" w:rsidRPr="00623A98">
              <w:rPr>
                <w:color w:val="auto"/>
                <w:sz w:val="20"/>
                <w:szCs w:val="20"/>
                <w:lang w:val="es-ES_tradnl"/>
              </w:rPr>
              <w:t xml:space="preserve"> del Instituto Electoral del Estado de Guanajuato</w:t>
            </w:r>
          </w:p>
          <w:p w14:paraId="781307B6" w14:textId="77777777" w:rsidR="00EE30CB" w:rsidRPr="00623A98" w:rsidRDefault="00EE30CB" w:rsidP="0017179F">
            <w:pPr>
              <w:pStyle w:val="Default"/>
              <w:jc w:val="both"/>
              <w:rPr>
                <w:color w:val="auto"/>
                <w:sz w:val="20"/>
                <w:szCs w:val="20"/>
                <w:lang w:val="es-ES_tradnl"/>
              </w:rPr>
            </w:pPr>
          </w:p>
        </w:tc>
      </w:tr>
      <w:tr w:rsidR="00C215D3" w:rsidRPr="00623A98" w14:paraId="603F324B" w14:textId="77777777" w:rsidTr="004D232D">
        <w:trPr>
          <w:trHeight w:val="352"/>
          <w:jc w:val="center"/>
        </w:trPr>
        <w:tc>
          <w:tcPr>
            <w:tcW w:w="1761" w:type="dxa"/>
          </w:tcPr>
          <w:p w14:paraId="0727F38C" w14:textId="5E1F67FE" w:rsidR="00C215D3" w:rsidRPr="00623A98" w:rsidRDefault="00C215D3" w:rsidP="0017179F">
            <w:pPr>
              <w:autoSpaceDE w:val="0"/>
              <w:autoSpaceDN w:val="0"/>
              <w:adjustRightInd w:val="0"/>
              <w:spacing w:after="0" w:line="240" w:lineRule="auto"/>
              <w:jc w:val="left"/>
              <w:rPr>
                <w:rFonts w:cs="Arial"/>
                <w:b/>
                <w:bCs/>
                <w:i/>
                <w:iCs/>
                <w:sz w:val="20"/>
                <w:lang w:val="es-ES_tradnl"/>
              </w:rPr>
            </w:pPr>
            <w:r w:rsidRPr="00623A98">
              <w:rPr>
                <w:rFonts w:cs="Arial"/>
                <w:b/>
                <w:bCs/>
                <w:i/>
                <w:iCs/>
                <w:sz w:val="20"/>
                <w:lang w:val="es-ES_tradnl"/>
              </w:rPr>
              <w:lastRenderedPageBreak/>
              <w:t>CNE:</w:t>
            </w:r>
          </w:p>
        </w:tc>
        <w:tc>
          <w:tcPr>
            <w:tcW w:w="3626" w:type="dxa"/>
          </w:tcPr>
          <w:p w14:paraId="3C971A04" w14:textId="77777777" w:rsidR="00C215D3" w:rsidRPr="00623A98" w:rsidRDefault="00C215D3" w:rsidP="00E7598C">
            <w:pPr>
              <w:pStyle w:val="Default"/>
              <w:jc w:val="both"/>
              <w:rPr>
                <w:sz w:val="20"/>
                <w:lang w:val="es-ES_tradnl"/>
              </w:rPr>
            </w:pPr>
            <w:bookmarkStart w:id="5" w:name="_Hlk82207559"/>
            <w:r w:rsidRPr="00623A98">
              <w:rPr>
                <w:sz w:val="20"/>
                <w:lang w:val="es-ES_tradnl"/>
              </w:rPr>
              <w:t xml:space="preserve">Comisión Nacional de Elecciones </w:t>
            </w:r>
            <w:bookmarkEnd w:id="5"/>
            <w:r w:rsidRPr="00623A98">
              <w:rPr>
                <w:sz w:val="20"/>
                <w:lang w:val="es-ES_tradnl"/>
              </w:rPr>
              <w:t>de MORENA</w:t>
            </w:r>
          </w:p>
          <w:p w14:paraId="22B6F76F" w14:textId="79C2ADEB" w:rsidR="00C215D3" w:rsidRPr="00623A98" w:rsidRDefault="00C215D3" w:rsidP="00E7598C">
            <w:pPr>
              <w:pStyle w:val="Default"/>
              <w:jc w:val="both"/>
              <w:rPr>
                <w:sz w:val="20"/>
                <w:lang w:val="es-ES_tradnl"/>
              </w:rPr>
            </w:pPr>
          </w:p>
        </w:tc>
      </w:tr>
      <w:tr w:rsidR="00E7598C" w:rsidRPr="00623A98" w14:paraId="6F7E145C" w14:textId="77777777" w:rsidTr="004D232D">
        <w:trPr>
          <w:trHeight w:val="352"/>
          <w:jc w:val="center"/>
        </w:trPr>
        <w:tc>
          <w:tcPr>
            <w:tcW w:w="1761" w:type="dxa"/>
          </w:tcPr>
          <w:p w14:paraId="391DE13B" w14:textId="60271090" w:rsidR="00E7598C" w:rsidRPr="00623A98" w:rsidRDefault="00E7598C" w:rsidP="0017179F">
            <w:pPr>
              <w:autoSpaceDE w:val="0"/>
              <w:autoSpaceDN w:val="0"/>
              <w:adjustRightInd w:val="0"/>
              <w:spacing w:after="0" w:line="240" w:lineRule="auto"/>
              <w:jc w:val="left"/>
              <w:rPr>
                <w:rFonts w:cs="Arial"/>
                <w:b/>
                <w:bCs/>
                <w:i/>
                <w:iCs/>
                <w:sz w:val="20"/>
                <w:lang w:val="es-ES_tradnl"/>
              </w:rPr>
            </w:pPr>
            <w:r w:rsidRPr="00623A98">
              <w:rPr>
                <w:rFonts w:cs="Arial"/>
                <w:b/>
                <w:bCs/>
                <w:i/>
                <w:iCs/>
                <w:sz w:val="20"/>
                <w:lang w:val="es-ES_tradnl"/>
              </w:rPr>
              <w:t>C</w:t>
            </w:r>
            <w:r w:rsidR="004F2FF1" w:rsidRPr="00623A98">
              <w:rPr>
                <w:rFonts w:cs="Arial"/>
                <w:b/>
                <w:bCs/>
                <w:i/>
                <w:iCs/>
                <w:sz w:val="20"/>
                <w:lang w:val="es-ES_tradnl"/>
              </w:rPr>
              <w:t>NHJ</w:t>
            </w:r>
            <w:r w:rsidRPr="00623A98">
              <w:rPr>
                <w:rFonts w:cs="Arial"/>
                <w:b/>
                <w:bCs/>
                <w:i/>
                <w:iCs/>
                <w:sz w:val="20"/>
                <w:lang w:val="es-ES_tradnl"/>
              </w:rPr>
              <w:t>:</w:t>
            </w:r>
          </w:p>
        </w:tc>
        <w:tc>
          <w:tcPr>
            <w:tcW w:w="3626" w:type="dxa"/>
          </w:tcPr>
          <w:p w14:paraId="6102D182" w14:textId="26E89B43" w:rsidR="00E7598C" w:rsidRPr="00623A98" w:rsidRDefault="00E7598C" w:rsidP="00E7598C">
            <w:pPr>
              <w:pStyle w:val="Default"/>
              <w:jc w:val="both"/>
              <w:rPr>
                <w:color w:val="auto"/>
                <w:sz w:val="20"/>
                <w:szCs w:val="20"/>
                <w:lang w:val="es-ES_tradnl"/>
              </w:rPr>
            </w:pPr>
            <w:r w:rsidRPr="00623A98">
              <w:rPr>
                <w:sz w:val="20"/>
                <w:lang w:val="es-ES_tradnl"/>
              </w:rPr>
              <w:t xml:space="preserve">Comisión Nacional de Honestidad y Justicia de </w:t>
            </w:r>
            <w:r w:rsidRPr="00623A98">
              <w:rPr>
                <w:color w:val="auto"/>
                <w:sz w:val="20"/>
                <w:szCs w:val="20"/>
                <w:lang w:val="es-ES_tradnl"/>
              </w:rPr>
              <w:t>M</w:t>
            </w:r>
            <w:r w:rsidR="004F2FF1" w:rsidRPr="00623A98">
              <w:rPr>
                <w:color w:val="auto"/>
                <w:sz w:val="20"/>
                <w:szCs w:val="20"/>
                <w:lang w:val="es-ES_tradnl"/>
              </w:rPr>
              <w:t>ORENA</w:t>
            </w:r>
          </w:p>
          <w:p w14:paraId="4A56656E" w14:textId="6D61EE60" w:rsidR="00E7598C" w:rsidRPr="00623A98" w:rsidRDefault="00E7598C" w:rsidP="00E7598C">
            <w:pPr>
              <w:pStyle w:val="Default"/>
              <w:jc w:val="both"/>
              <w:rPr>
                <w:sz w:val="20"/>
                <w:lang w:val="es-ES_tradnl"/>
              </w:rPr>
            </w:pPr>
          </w:p>
        </w:tc>
      </w:tr>
      <w:tr w:rsidR="006547EE" w:rsidRPr="00623A98" w14:paraId="087FB96D" w14:textId="77777777" w:rsidTr="004D232D">
        <w:trPr>
          <w:trHeight w:val="352"/>
          <w:jc w:val="center"/>
        </w:trPr>
        <w:tc>
          <w:tcPr>
            <w:tcW w:w="1761" w:type="dxa"/>
          </w:tcPr>
          <w:p w14:paraId="7F3728BD" w14:textId="22CE09C2" w:rsidR="00C75941" w:rsidRPr="00623A98" w:rsidRDefault="00C75941" w:rsidP="0017179F">
            <w:pPr>
              <w:autoSpaceDE w:val="0"/>
              <w:autoSpaceDN w:val="0"/>
              <w:adjustRightInd w:val="0"/>
              <w:spacing w:after="0" w:line="240" w:lineRule="auto"/>
              <w:jc w:val="left"/>
              <w:rPr>
                <w:rFonts w:cs="Arial"/>
                <w:b/>
                <w:bCs/>
                <w:i/>
                <w:iCs/>
                <w:sz w:val="20"/>
                <w:lang w:val="es-ES_tradnl"/>
              </w:rPr>
            </w:pPr>
            <w:r w:rsidRPr="00623A98">
              <w:rPr>
                <w:rFonts w:cs="Arial"/>
                <w:b/>
                <w:bCs/>
                <w:i/>
                <w:iCs/>
                <w:sz w:val="20"/>
                <w:lang w:val="es-ES_tradnl"/>
              </w:rPr>
              <w:t>Ley Electoral</w:t>
            </w:r>
            <w:r w:rsidR="00EE30CB" w:rsidRPr="00623A98">
              <w:rPr>
                <w:rFonts w:cs="Arial"/>
                <w:b/>
                <w:bCs/>
                <w:i/>
                <w:iCs/>
                <w:sz w:val="20"/>
                <w:lang w:val="es-ES_tradnl"/>
              </w:rPr>
              <w:t xml:space="preserve"> </w:t>
            </w:r>
            <w:r w:rsidR="00032C55" w:rsidRPr="00623A98">
              <w:rPr>
                <w:rFonts w:cs="Arial"/>
                <w:b/>
                <w:bCs/>
                <w:i/>
                <w:iCs/>
                <w:sz w:val="20"/>
                <w:lang w:val="es-ES_tradnl"/>
              </w:rPr>
              <w:t>L</w:t>
            </w:r>
            <w:r w:rsidR="00EE30CB" w:rsidRPr="00623A98">
              <w:rPr>
                <w:rFonts w:cs="Arial"/>
                <w:b/>
                <w:bCs/>
                <w:i/>
                <w:iCs/>
                <w:sz w:val="20"/>
                <w:lang w:val="es-ES_tradnl"/>
              </w:rPr>
              <w:t>ocal</w:t>
            </w:r>
            <w:r w:rsidRPr="00623A98">
              <w:rPr>
                <w:rFonts w:cs="Arial"/>
                <w:b/>
                <w:bCs/>
                <w:i/>
                <w:iCs/>
                <w:sz w:val="20"/>
                <w:lang w:val="es-ES_tradnl"/>
              </w:rPr>
              <w:t>:</w:t>
            </w:r>
          </w:p>
        </w:tc>
        <w:tc>
          <w:tcPr>
            <w:tcW w:w="3626" w:type="dxa"/>
          </w:tcPr>
          <w:p w14:paraId="0222C61D" w14:textId="77777777" w:rsidR="00C75941" w:rsidRPr="00623A98" w:rsidRDefault="00C75941" w:rsidP="00C75941">
            <w:pPr>
              <w:pStyle w:val="Default"/>
              <w:tabs>
                <w:tab w:val="center" w:pos="2349"/>
              </w:tabs>
              <w:jc w:val="both"/>
              <w:rPr>
                <w:color w:val="auto"/>
                <w:sz w:val="20"/>
                <w:szCs w:val="20"/>
                <w:lang w:val="es-ES_tradnl"/>
              </w:rPr>
            </w:pPr>
            <w:r w:rsidRPr="00623A98">
              <w:rPr>
                <w:color w:val="auto"/>
                <w:sz w:val="20"/>
                <w:szCs w:val="20"/>
                <w:lang w:val="es-ES_tradnl"/>
              </w:rPr>
              <w:t xml:space="preserve">Ley </w:t>
            </w:r>
            <w:r w:rsidR="00EE30CB" w:rsidRPr="00623A98">
              <w:rPr>
                <w:color w:val="auto"/>
                <w:sz w:val="20"/>
                <w:szCs w:val="20"/>
                <w:lang w:val="es-ES_tradnl"/>
              </w:rPr>
              <w:t>de Instituciones y Procedimientos Electorales para el Estado de Guanajuato</w:t>
            </w:r>
          </w:p>
          <w:p w14:paraId="0B16E5EF" w14:textId="77777777" w:rsidR="00D348C8" w:rsidRPr="00623A98" w:rsidRDefault="00D348C8" w:rsidP="00C75941">
            <w:pPr>
              <w:pStyle w:val="Default"/>
              <w:tabs>
                <w:tab w:val="center" w:pos="2349"/>
              </w:tabs>
              <w:jc w:val="both"/>
              <w:rPr>
                <w:color w:val="auto"/>
                <w:sz w:val="20"/>
                <w:szCs w:val="20"/>
                <w:lang w:val="es-ES_tradnl"/>
              </w:rPr>
            </w:pPr>
          </w:p>
        </w:tc>
      </w:tr>
      <w:tr w:rsidR="006547EE" w:rsidRPr="00623A98" w14:paraId="36D45877" w14:textId="77777777" w:rsidTr="00032C55">
        <w:trPr>
          <w:trHeight w:val="678"/>
          <w:jc w:val="center"/>
        </w:trPr>
        <w:tc>
          <w:tcPr>
            <w:tcW w:w="1761" w:type="dxa"/>
          </w:tcPr>
          <w:p w14:paraId="26F94C87" w14:textId="77777777" w:rsidR="00A8488E" w:rsidRPr="00623A98" w:rsidRDefault="00A8488E" w:rsidP="0017179F">
            <w:pPr>
              <w:pStyle w:val="Default"/>
              <w:jc w:val="both"/>
              <w:rPr>
                <w:color w:val="auto"/>
                <w:sz w:val="20"/>
                <w:szCs w:val="20"/>
                <w:lang w:val="es-ES_tradnl"/>
              </w:rPr>
            </w:pPr>
            <w:r w:rsidRPr="00623A98">
              <w:rPr>
                <w:b/>
                <w:bCs/>
                <w:i/>
                <w:iCs/>
                <w:color w:val="auto"/>
                <w:sz w:val="20"/>
                <w:szCs w:val="20"/>
                <w:lang w:val="es-ES_tradnl"/>
              </w:rPr>
              <w:t>Ley de Medios:</w:t>
            </w:r>
          </w:p>
        </w:tc>
        <w:tc>
          <w:tcPr>
            <w:tcW w:w="3626" w:type="dxa"/>
          </w:tcPr>
          <w:p w14:paraId="44F99BA1" w14:textId="77777777" w:rsidR="00A8488E" w:rsidRPr="00623A98" w:rsidRDefault="00A8488E" w:rsidP="0017179F">
            <w:pPr>
              <w:autoSpaceDE w:val="0"/>
              <w:autoSpaceDN w:val="0"/>
              <w:adjustRightInd w:val="0"/>
              <w:spacing w:after="0" w:line="240" w:lineRule="auto"/>
              <w:rPr>
                <w:rFonts w:cs="Arial"/>
                <w:sz w:val="20"/>
                <w:lang w:val="es-ES_tradnl"/>
              </w:rPr>
            </w:pPr>
            <w:r w:rsidRPr="00623A98">
              <w:rPr>
                <w:rFonts w:cs="Arial"/>
                <w:sz w:val="20"/>
                <w:lang w:val="es-ES_tradnl"/>
              </w:rPr>
              <w:t>Ley General del Sistema de Medios de Impugnación en Materia Electoral</w:t>
            </w:r>
          </w:p>
        </w:tc>
      </w:tr>
      <w:tr w:rsidR="00C215D3" w:rsidRPr="00623A98" w14:paraId="3233F92E" w14:textId="77777777" w:rsidTr="00032C55">
        <w:trPr>
          <w:trHeight w:val="405"/>
          <w:jc w:val="center"/>
        </w:trPr>
        <w:tc>
          <w:tcPr>
            <w:tcW w:w="1761" w:type="dxa"/>
          </w:tcPr>
          <w:p w14:paraId="0A341B91" w14:textId="7398BC92" w:rsidR="00C215D3" w:rsidRPr="00623A98" w:rsidRDefault="00C215D3" w:rsidP="00032C55">
            <w:pPr>
              <w:pStyle w:val="Default"/>
              <w:spacing w:after="240"/>
              <w:jc w:val="both"/>
              <w:rPr>
                <w:b/>
                <w:bCs/>
                <w:i/>
                <w:iCs/>
                <w:color w:val="auto"/>
                <w:sz w:val="20"/>
                <w:szCs w:val="20"/>
                <w:lang w:val="es-ES_tradnl"/>
              </w:rPr>
            </w:pPr>
            <w:r w:rsidRPr="00623A98">
              <w:rPr>
                <w:b/>
                <w:bCs/>
                <w:i/>
                <w:iCs/>
                <w:color w:val="auto"/>
                <w:sz w:val="20"/>
                <w:szCs w:val="20"/>
                <w:lang w:val="es-ES_tradnl"/>
              </w:rPr>
              <w:t>Ley de Partidos:</w:t>
            </w:r>
          </w:p>
        </w:tc>
        <w:tc>
          <w:tcPr>
            <w:tcW w:w="3626" w:type="dxa"/>
          </w:tcPr>
          <w:p w14:paraId="0C12397C" w14:textId="40C86E21" w:rsidR="00C215D3" w:rsidRPr="00623A98" w:rsidRDefault="00C215D3" w:rsidP="00032C55">
            <w:pPr>
              <w:autoSpaceDE w:val="0"/>
              <w:autoSpaceDN w:val="0"/>
              <w:adjustRightInd w:val="0"/>
              <w:spacing w:after="240" w:line="240" w:lineRule="auto"/>
              <w:rPr>
                <w:rFonts w:cs="Arial"/>
                <w:sz w:val="20"/>
                <w:lang w:val="es-ES_tradnl"/>
              </w:rPr>
            </w:pPr>
            <w:r w:rsidRPr="00623A98">
              <w:rPr>
                <w:rFonts w:cs="Arial"/>
                <w:sz w:val="20"/>
                <w:lang w:val="es-ES_tradnl"/>
              </w:rPr>
              <w:t>Ley General de Partidos Políticos</w:t>
            </w:r>
          </w:p>
        </w:tc>
      </w:tr>
      <w:tr w:rsidR="00713CCD" w:rsidRPr="00623A98" w14:paraId="0D589D69" w14:textId="77777777" w:rsidTr="004D232D">
        <w:trPr>
          <w:trHeight w:val="526"/>
          <w:jc w:val="center"/>
        </w:trPr>
        <w:tc>
          <w:tcPr>
            <w:tcW w:w="1761" w:type="dxa"/>
          </w:tcPr>
          <w:p w14:paraId="32074AC2" w14:textId="66C1422E" w:rsidR="00713CCD" w:rsidRPr="00623A98" w:rsidRDefault="00713CCD" w:rsidP="00032C55">
            <w:pPr>
              <w:pStyle w:val="Default"/>
              <w:spacing w:after="240"/>
              <w:jc w:val="both"/>
              <w:rPr>
                <w:b/>
                <w:bCs/>
                <w:i/>
                <w:iCs/>
                <w:color w:val="auto"/>
                <w:sz w:val="20"/>
                <w:szCs w:val="20"/>
                <w:lang w:val="es-ES_tradnl"/>
              </w:rPr>
            </w:pPr>
            <w:r w:rsidRPr="00623A98">
              <w:rPr>
                <w:b/>
                <w:bCs/>
                <w:i/>
                <w:iCs/>
                <w:color w:val="auto"/>
                <w:sz w:val="20"/>
                <w:szCs w:val="20"/>
                <w:lang w:val="es-ES_tradnl"/>
              </w:rPr>
              <w:t>RP:</w:t>
            </w:r>
          </w:p>
        </w:tc>
        <w:tc>
          <w:tcPr>
            <w:tcW w:w="3626" w:type="dxa"/>
          </w:tcPr>
          <w:p w14:paraId="5CCBB12B" w14:textId="3E12C67A" w:rsidR="00713CCD" w:rsidRPr="00623A98" w:rsidRDefault="00713CCD" w:rsidP="00032C55">
            <w:pPr>
              <w:autoSpaceDE w:val="0"/>
              <w:autoSpaceDN w:val="0"/>
              <w:adjustRightInd w:val="0"/>
              <w:spacing w:after="240" w:line="240" w:lineRule="auto"/>
              <w:rPr>
                <w:rFonts w:cs="Arial"/>
                <w:sz w:val="20"/>
                <w:lang w:val="es-ES_tradnl"/>
              </w:rPr>
            </w:pPr>
            <w:r w:rsidRPr="00623A98">
              <w:rPr>
                <w:rFonts w:cs="Arial"/>
                <w:sz w:val="20"/>
                <w:lang w:val="es-ES_tradnl"/>
              </w:rPr>
              <w:t>Representación proporcional</w:t>
            </w:r>
          </w:p>
        </w:tc>
      </w:tr>
      <w:tr w:rsidR="006547EE" w:rsidRPr="00623A98" w14:paraId="3527E08A" w14:textId="77777777" w:rsidTr="004D232D">
        <w:trPr>
          <w:trHeight w:val="526"/>
          <w:jc w:val="center"/>
        </w:trPr>
        <w:tc>
          <w:tcPr>
            <w:tcW w:w="1761" w:type="dxa"/>
          </w:tcPr>
          <w:p w14:paraId="3AF2302B" w14:textId="77777777" w:rsidR="00EE30CB" w:rsidRPr="00623A98" w:rsidRDefault="00EE30CB" w:rsidP="00C75941">
            <w:pPr>
              <w:pStyle w:val="Default"/>
              <w:tabs>
                <w:tab w:val="left" w:pos="1725"/>
              </w:tabs>
              <w:jc w:val="both"/>
              <w:rPr>
                <w:b/>
                <w:bCs/>
                <w:i/>
                <w:iCs/>
                <w:color w:val="auto"/>
                <w:sz w:val="20"/>
                <w:szCs w:val="20"/>
                <w:lang w:val="es-ES_tradnl"/>
              </w:rPr>
            </w:pPr>
            <w:r w:rsidRPr="00623A98">
              <w:rPr>
                <w:b/>
                <w:bCs/>
                <w:i/>
                <w:iCs/>
                <w:color w:val="auto"/>
                <w:sz w:val="20"/>
                <w:szCs w:val="20"/>
                <w:lang w:val="es-ES_tradnl"/>
              </w:rPr>
              <w:t>Tribunal Local:</w:t>
            </w:r>
          </w:p>
        </w:tc>
        <w:tc>
          <w:tcPr>
            <w:tcW w:w="3626" w:type="dxa"/>
          </w:tcPr>
          <w:p w14:paraId="782EC426" w14:textId="77777777" w:rsidR="00EE30CB" w:rsidRPr="00623A98" w:rsidRDefault="00EE30CB" w:rsidP="0017179F">
            <w:pPr>
              <w:autoSpaceDE w:val="0"/>
              <w:autoSpaceDN w:val="0"/>
              <w:adjustRightInd w:val="0"/>
              <w:spacing w:after="0" w:line="240" w:lineRule="auto"/>
              <w:rPr>
                <w:rFonts w:cs="Arial"/>
                <w:sz w:val="20"/>
                <w:lang w:val="es-ES_tradnl"/>
              </w:rPr>
            </w:pPr>
            <w:r w:rsidRPr="00623A98">
              <w:rPr>
                <w:rFonts w:cs="Arial"/>
                <w:sz w:val="20"/>
                <w:lang w:val="es-ES_tradnl"/>
              </w:rPr>
              <w:t>Tribunal Estatal Electoral de Guanajuato</w:t>
            </w:r>
          </w:p>
        </w:tc>
      </w:tr>
    </w:tbl>
    <w:p w14:paraId="55DDD5FD" w14:textId="77777777" w:rsidR="00A8488E" w:rsidRPr="00623A98" w:rsidRDefault="00A8488E" w:rsidP="00A8488E">
      <w:pPr>
        <w:tabs>
          <w:tab w:val="left" w:pos="2646"/>
        </w:tabs>
        <w:spacing w:before="240" w:after="240"/>
        <w:outlineLvl w:val="0"/>
        <w:rPr>
          <w:rFonts w:eastAsia="Times New Roman" w:cs="Arial"/>
          <w:b/>
          <w:szCs w:val="24"/>
          <w:lang w:val="es-ES_tradnl" w:eastAsia="es-ES"/>
        </w:rPr>
      </w:pPr>
      <w:r w:rsidRPr="00623A98">
        <w:rPr>
          <w:rFonts w:eastAsia="Times New Roman" w:cs="Arial"/>
          <w:b/>
          <w:szCs w:val="24"/>
          <w:lang w:val="es-ES_tradnl" w:eastAsia="es-ES"/>
        </w:rPr>
        <w:t>1. ANTECEDENTES DEL CASO</w:t>
      </w:r>
      <w:bookmarkEnd w:id="4"/>
    </w:p>
    <w:p w14:paraId="3A672C2B" w14:textId="4B104889" w:rsidR="00A8488E" w:rsidRPr="00623A98" w:rsidRDefault="00A8488E" w:rsidP="00A8488E">
      <w:pPr>
        <w:spacing w:before="240" w:after="240"/>
        <w:rPr>
          <w:rFonts w:cs="Arial"/>
          <w:szCs w:val="24"/>
          <w:lang w:val="es-ES_tradnl"/>
        </w:rPr>
      </w:pPr>
      <w:bookmarkStart w:id="6" w:name="_Hlk530135389"/>
      <w:r w:rsidRPr="00623A98">
        <w:rPr>
          <w:rFonts w:cs="Arial"/>
          <w:szCs w:val="24"/>
          <w:lang w:val="es-ES_tradnl"/>
        </w:rPr>
        <w:t xml:space="preserve">Las fechas </w:t>
      </w:r>
      <w:r w:rsidR="006548AB" w:rsidRPr="00623A98">
        <w:rPr>
          <w:rFonts w:cs="Arial"/>
          <w:szCs w:val="24"/>
          <w:lang w:val="es-ES_tradnl"/>
        </w:rPr>
        <w:t xml:space="preserve">que se citan </w:t>
      </w:r>
      <w:r w:rsidRPr="00623A98">
        <w:rPr>
          <w:rFonts w:cs="Arial"/>
          <w:szCs w:val="24"/>
          <w:lang w:val="es-ES_tradnl"/>
        </w:rPr>
        <w:t>corresponden al año dos mil veintiuno, salvo distinta precisión.</w:t>
      </w:r>
    </w:p>
    <w:p w14:paraId="0060DF36" w14:textId="5717CA7F" w:rsidR="00F67522" w:rsidRPr="00623A98" w:rsidRDefault="00A8488E" w:rsidP="00A8488E">
      <w:pPr>
        <w:outlineLvl w:val="0"/>
        <w:rPr>
          <w:rFonts w:eastAsia="Times New Roman" w:cs="Arial"/>
          <w:szCs w:val="24"/>
          <w:lang w:val="es-ES_tradnl" w:eastAsia="es-MX"/>
        </w:rPr>
      </w:pPr>
      <w:r w:rsidRPr="00623A98">
        <w:rPr>
          <w:rFonts w:eastAsia="Times New Roman" w:cs="Arial"/>
          <w:b/>
          <w:szCs w:val="24"/>
          <w:lang w:val="es-ES_tradnl" w:eastAsia="es-MX"/>
        </w:rPr>
        <w:t>1.1</w:t>
      </w:r>
      <w:r w:rsidR="00017078" w:rsidRPr="00623A98">
        <w:rPr>
          <w:rFonts w:eastAsia="Times New Roman" w:cs="Arial"/>
          <w:b/>
          <w:szCs w:val="24"/>
          <w:lang w:val="es-ES_tradnl" w:eastAsia="es-MX"/>
        </w:rPr>
        <w:t>.</w:t>
      </w:r>
      <w:r w:rsidRPr="00623A98">
        <w:rPr>
          <w:rFonts w:eastAsia="Times New Roman" w:cs="Arial"/>
          <w:b/>
          <w:szCs w:val="24"/>
          <w:lang w:val="es-ES_tradnl" w:eastAsia="es-MX"/>
        </w:rPr>
        <w:t xml:space="preserve"> Inicio de proceso electoral local. </w:t>
      </w:r>
      <w:r w:rsidRPr="00623A98">
        <w:rPr>
          <w:rFonts w:eastAsia="Times New Roman" w:cs="Arial"/>
          <w:szCs w:val="24"/>
          <w:lang w:val="es-ES_tradnl" w:eastAsia="es-MX"/>
        </w:rPr>
        <w:t xml:space="preserve">El siete de </w:t>
      </w:r>
      <w:r w:rsidR="00EE30CB" w:rsidRPr="00623A98">
        <w:rPr>
          <w:rFonts w:eastAsia="Times New Roman" w:cs="Arial"/>
          <w:szCs w:val="24"/>
          <w:lang w:val="es-ES_tradnl" w:eastAsia="es-MX"/>
        </w:rPr>
        <w:t>septiembre</w:t>
      </w:r>
      <w:r w:rsidRPr="00623A98">
        <w:rPr>
          <w:rFonts w:eastAsia="Times New Roman" w:cs="Arial"/>
          <w:szCs w:val="24"/>
          <w:lang w:val="es-ES_tradnl" w:eastAsia="es-MX"/>
        </w:rPr>
        <w:t xml:space="preserve"> de dos mil veinte, </w:t>
      </w:r>
      <w:r w:rsidR="00EE30CB" w:rsidRPr="00623A98">
        <w:rPr>
          <w:rFonts w:eastAsia="Times New Roman" w:cs="Arial"/>
          <w:szCs w:val="24"/>
          <w:lang w:val="es-ES_tradnl" w:eastAsia="es-MX"/>
        </w:rPr>
        <w:t xml:space="preserve">se </w:t>
      </w:r>
      <w:r w:rsidRPr="00623A98">
        <w:rPr>
          <w:rFonts w:eastAsia="Times New Roman" w:cs="Arial"/>
          <w:szCs w:val="24"/>
          <w:lang w:val="es-ES_tradnl" w:eastAsia="es-MX"/>
        </w:rPr>
        <w:t xml:space="preserve">declaró el inicio del proceso electoral </w:t>
      </w:r>
      <w:r w:rsidR="00EE30CB" w:rsidRPr="00623A98">
        <w:rPr>
          <w:rFonts w:eastAsia="Times New Roman" w:cs="Arial"/>
          <w:szCs w:val="24"/>
          <w:lang w:val="es-ES_tradnl" w:eastAsia="es-MX"/>
        </w:rPr>
        <w:t xml:space="preserve">2020-2021, para la renovación de los cargos a diputaciones y ayuntamientos del </w:t>
      </w:r>
      <w:r w:rsidR="00835496" w:rsidRPr="00623A98">
        <w:rPr>
          <w:rFonts w:eastAsia="Times New Roman" w:cs="Arial"/>
          <w:szCs w:val="24"/>
          <w:lang w:val="es-ES_tradnl" w:eastAsia="es-MX"/>
        </w:rPr>
        <w:t>e</w:t>
      </w:r>
      <w:r w:rsidR="00EE30CB" w:rsidRPr="00623A98">
        <w:rPr>
          <w:rFonts w:eastAsia="Times New Roman" w:cs="Arial"/>
          <w:szCs w:val="24"/>
          <w:lang w:val="es-ES_tradnl" w:eastAsia="es-MX"/>
        </w:rPr>
        <w:t>stado de Guanajuato</w:t>
      </w:r>
      <w:r w:rsidRPr="00623A98">
        <w:rPr>
          <w:rFonts w:eastAsia="Times New Roman" w:cs="Arial"/>
          <w:szCs w:val="24"/>
          <w:lang w:val="es-ES_tradnl" w:eastAsia="es-MX"/>
        </w:rPr>
        <w:t>.</w:t>
      </w:r>
    </w:p>
    <w:p w14:paraId="5C921007" w14:textId="4CF6CF67" w:rsidR="00B6054E" w:rsidRPr="00623A98" w:rsidRDefault="0058766B" w:rsidP="005B23E2">
      <w:pPr>
        <w:outlineLvl w:val="0"/>
        <w:rPr>
          <w:rFonts w:eastAsia="Times New Roman" w:cs="Arial"/>
          <w:bCs/>
          <w:szCs w:val="24"/>
          <w:lang w:val="es-ES_tradnl" w:eastAsia="es-MX"/>
        </w:rPr>
      </w:pPr>
      <w:r w:rsidRPr="00623A98">
        <w:rPr>
          <w:rFonts w:eastAsia="Times New Roman" w:cs="Arial"/>
          <w:b/>
          <w:szCs w:val="24"/>
          <w:lang w:val="es-ES_tradnl" w:eastAsia="es-MX"/>
        </w:rPr>
        <w:t xml:space="preserve">1.2. </w:t>
      </w:r>
      <w:r w:rsidR="005B23E2" w:rsidRPr="00623A98">
        <w:rPr>
          <w:rFonts w:eastAsia="Times New Roman" w:cs="Arial"/>
          <w:b/>
          <w:bCs/>
          <w:szCs w:val="24"/>
          <w:lang w:val="es-ES_tradnl" w:eastAsia="es-MX"/>
        </w:rPr>
        <w:t>Convocatoria</w:t>
      </w:r>
      <w:r w:rsidR="005B23E2" w:rsidRPr="00623A98">
        <w:rPr>
          <w:rFonts w:eastAsia="Times New Roman" w:cs="Arial"/>
          <w:b/>
          <w:bCs/>
          <w:i/>
          <w:iCs/>
          <w:szCs w:val="24"/>
          <w:lang w:val="es-ES_tradnl" w:eastAsia="es-MX"/>
        </w:rPr>
        <w:t xml:space="preserve">. </w:t>
      </w:r>
      <w:r w:rsidR="005B23E2" w:rsidRPr="00623A98">
        <w:rPr>
          <w:rFonts w:eastAsia="Times New Roman" w:cs="Arial"/>
          <w:bCs/>
          <w:szCs w:val="24"/>
          <w:lang w:val="es-ES_tradnl" w:eastAsia="es-MX"/>
        </w:rPr>
        <w:t xml:space="preserve">El </w:t>
      </w:r>
      <w:r w:rsidR="00835496" w:rsidRPr="00623A98">
        <w:rPr>
          <w:rFonts w:eastAsia="Times New Roman" w:cs="Arial"/>
          <w:bCs/>
          <w:szCs w:val="24"/>
          <w:lang w:val="es-ES_tradnl" w:eastAsia="es-MX"/>
        </w:rPr>
        <w:t>treinta de enero</w:t>
      </w:r>
      <w:r w:rsidR="00032C55" w:rsidRPr="00623A98">
        <w:rPr>
          <w:rFonts w:eastAsia="Times New Roman" w:cs="Arial"/>
          <w:bCs/>
          <w:szCs w:val="24"/>
          <w:lang w:val="es-ES_tradnl" w:eastAsia="es-MX"/>
        </w:rPr>
        <w:t>,</w:t>
      </w:r>
      <w:r w:rsidR="00835496" w:rsidRPr="00623A98">
        <w:rPr>
          <w:rFonts w:eastAsia="Times New Roman" w:cs="Arial"/>
          <w:bCs/>
          <w:szCs w:val="24"/>
          <w:lang w:val="es-ES_tradnl" w:eastAsia="es-MX"/>
        </w:rPr>
        <w:t xml:space="preserve"> </w:t>
      </w:r>
      <w:r w:rsidR="00032C55" w:rsidRPr="00623A98">
        <w:rPr>
          <w:rFonts w:eastAsia="Times New Roman" w:cs="Arial"/>
          <w:bCs/>
          <w:szCs w:val="24"/>
          <w:lang w:val="es-ES_tradnl" w:eastAsia="es-MX"/>
        </w:rPr>
        <w:t xml:space="preserve">el </w:t>
      </w:r>
      <w:r w:rsidR="005B23E2" w:rsidRPr="00623A98">
        <w:rPr>
          <w:rFonts w:eastAsia="Times New Roman" w:cs="Arial"/>
          <w:bCs/>
          <w:szCs w:val="24"/>
          <w:lang w:val="es-ES_tradnl" w:eastAsia="es-MX"/>
        </w:rPr>
        <w:t xml:space="preserve">Comité Ejecutivo Nacional de Morena emitió la convocatoria </w:t>
      </w:r>
      <w:r w:rsidR="00835496" w:rsidRPr="00623A98">
        <w:rPr>
          <w:rFonts w:eastAsia="Times New Roman" w:cs="Arial"/>
          <w:bCs/>
          <w:szCs w:val="24"/>
          <w:lang w:val="es-ES_tradnl" w:eastAsia="es-MX"/>
        </w:rPr>
        <w:t>para el</w:t>
      </w:r>
      <w:r w:rsidR="005B23E2" w:rsidRPr="00623A98">
        <w:rPr>
          <w:rFonts w:eastAsia="Times New Roman" w:cs="Arial"/>
          <w:bCs/>
          <w:szCs w:val="24"/>
          <w:lang w:val="es-ES_tradnl" w:eastAsia="es-MX"/>
        </w:rPr>
        <w:t xml:space="preserve"> proceso interno de selección de candidatos para ayuntamientos y diputados locales por el principio de mayoría relativa y </w:t>
      </w:r>
      <w:r w:rsidR="00A27CB3" w:rsidRPr="00623A98">
        <w:rPr>
          <w:rFonts w:eastAsia="Times New Roman" w:cs="Arial"/>
          <w:bCs/>
          <w:i/>
          <w:iCs/>
          <w:szCs w:val="24"/>
          <w:lang w:val="es-ES_tradnl" w:eastAsia="es-MX"/>
        </w:rPr>
        <w:t>RP</w:t>
      </w:r>
      <w:r w:rsidR="005B23E2" w:rsidRPr="00623A98">
        <w:rPr>
          <w:rFonts w:eastAsia="Times New Roman" w:cs="Arial"/>
          <w:bCs/>
          <w:szCs w:val="24"/>
          <w:lang w:val="es-ES_tradnl" w:eastAsia="es-MX"/>
        </w:rPr>
        <w:t xml:space="preserve"> para el proceso electoral 2020-2021.</w:t>
      </w:r>
    </w:p>
    <w:p w14:paraId="1AFB17A9" w14:textId="445099C0" w:rsidR="005B23E2" w:rsidRPr="00623A98" w:rsidRDefault="00006170" w:rsidP="005B23E2">
      <w:pPr>
        <w:outlineLvl w:val="0"/>
        <w:rPr>
          <w:rFonts w:eastAsia="Times New Roman" w:cs="Arial"/>
          <w:b/>
          <w:szCs w:val="24"/>
          <w:lang w:val="es-ES_tradnl" w:eastAsia="es-MX"/>
        </w:rPr>
      </w:pPr>
      <w:r w:rsidRPr="00623A98">
        <w:rPr>
          <w:rFonts w:eastAsia="Times New Roman" w:cs="Arial"/>
          <w:b/>
          <w:szCs w:val="24"/>
          <w:lang w:val="es-ES_tradnl" w:eastAsia="es-MX"/>
        </w:rPr>
        <w:t xml:space="preserve">1.3. </w:t>
      </w:r>
      <w:r w:rsidR="005B23E2" w:rsidRPr="00623A98">
        <w:rPr>
          <w:rFonts w:eastAsia="Times New Roman" w:cs="Arial"/>
          <w:b/>
          <w:bCs/>
          <w:szCs w:val="24"/>
          <w:lang w:val="es-ES_tradnl" w:eastAsia="es-MX"/>
        </w:rPr>
        <w:t>Ajustes a la Convocatoria.</w:t>
      </w:r>
      <w:r w:rsidR="005B23E2" w:rsidRPr="00623A98">
        <w:rPr>
          <w:rFonts w:eastAsia="Times New Roman" w:cs="Arial"/>
          <w:b/>
          <w:bCs/>
          <w:i/>
          <w:iCs/>
          <w:szCs w:val="24"/>
          <w:lang w:val="es-ES_tradnl" w:eastAsia="es-MX"/>
        </w:rPr>
        <w:t xml:space="preserve"> </w:t>
      </w:r>
      <w:r w:rsidR="005B23E2" w:rsidRPr="00623A98">
        <w:rPr>
          <w:rFonts w:eastAsia="Times New Roman" w:cs="Arial"/>
          <w:szCs w:val="24"/>
          <w:lang w:val="es-ES_tradnl" w:eastAsia="es-MX"/>
        </w:rPr>
        <w:t>Posteriormente</w:t>
      </w:r>
      <w:r w:rsidR="005B23E2" w:rsidRPr="00623A98">
        <w:rPr>
          <w:rFonts w:eastAsia="Times New Roman" w:cs="Arial"/>
          <w:bCs/>
          <w:szCs w:val="24"/>
          <w:lang w:val="es-ES_tradnl" w:eastAsia="es-MX"/>
        </w:rPr>
        <w:t>, e</w:t>
      </w:r>
      <w:r w:rsidR="00835496" w:rsidRPr="00623A98">
        <w:rPr>
          <w:rFonts w:eastAsia="Times New Roman" w:cs="Arial"/>
          <w:bCs/>
          <w:szCs w:val="24"/>
          <w:lang w:val="es-ES_tradnl" w:eastAsia="es-MX"/>
        </w:rPr>
        <w:t>l</w:t>
      </w:r>
      <w:r w:rsidR="005B23E2" w:rsidRPr="00623A98">
        <w:rPr>
          <w:rFonts w:eastAsia="Times New Roman" w:cs="Arial"/>
          <w:bCs/>
          <w:szCs w:val="24"/>
          <w:lang w:val="es-ES_tradnl" w:eastAsia="es-MX"/>
        </w:rPr>
        <w:t xml:space="preserve"> quince de marzo, la </w:t>
      </w:r>
      <w:r w:rsidR="00C215D3" w:rsidRPr="00623A98">
        <w:rPr>
          <w:rFonts w:eastAsia="Times New Roman" w:cs="Arial"/>
          <w:bCs/>
          <w:i/>
          <w:iCs/>
          <w:szCs w:val="24"/>
          <w:lang w:val="es-ES_tradnl" w:eastAsia="es-MX"/>
        </w:rPr>
        <w:t>CNE</w:t>
      </w:r>
      <w:r w:rsidR="00C215D3" w:rsidRPr="00623A98">
        <w:rPr>
          <w:rFonts w:eastAsia="Times New Roman" w:cs="Arial"/>
          <w:bCs/>
          <w:szCs w:val="24"/>
          <w:lang w:val="es-ES_tradnl" w:eastAsia="es-MX"/>
        </w:rPr>
        <w:t xml:space="preserve"> </w:t>
      </w:r>
      <w:r w:rsidR="005B23E2" w:rsidRPr="00623A98">
        <w:rPr>
          <w:rFonts w:eastAsia="Times New Roman" w:cs="Arial"/>
          <w:bCs/>
          <w:szCs w:val="24"/>
          <w:lang w:val="es-ES_tradnl" w:eastAsia="es-MX"/>
        </w:rPr>
        <w:t xml:space="preserve">comunicó mediante estrados electrónicos, que se darían a conocer la relación de solicitudes aprobadas de las y los aspirantes a diputaciones locales por el principio de </w:t>
      </w:r>
      <w:r w:rsidR="00A27CB3" w:rsidRPr="00623A98">
        <w:rPr>
          <w:rFonts w:eastAsia="Times New Roman" w:cs="Arial"/>
          <w:bCs/>
          <w:i/>
          <w:iCs/>
          <w:szCs w:val="24"/>
          <w:lang w:val="es-ES_tradnl" w:eastAsia="es-MX"/>
        </w:rPr>
        <w:t>RP</w:t>
      </w:r>
      <w:r w:rsidR="005B23E2" w:rsidRPr="00623A98">
        <w:rPr>
          <w:rFonts w:eastAsia="Times New Roman" w:cs="Arial"/>
          <w:bCs/>
          <w:szCs w:val="24"/>
          <w:lang w:val="es-ES_tradnl" w:eastAsia="es-MX"/>
        </w:rPr>
        <w:t xml:space="preserve"> el diecisiete de abril.</w:t>
      </w:r>
    </w:p>
    <w:p w14:paraId="467243B6" w14:textId="550D452E" w:rsidR="00832801" w:rsidRPr="00623A98" w:rsidRDefault="005B23E2" w:rsidP="005B23E2">
      <w:pPr>
        <w:outlineLvl w:val="0"/>
        <w:rPr>
          <w:rFonts w:eastAsia="Times New Roman" w:cs="Arial"/>
          <w:szCs w:val="24"/>
          <w:lang w:val="es-ES_tradnl" w:eastAsia="es-MX"/>
        </w:rPr>
      </w:pPr>
      <w:r w:rsidRPr="00623A98">
        <w:rPr>
          <w:rFonts w:eastAsia="Times New Roman" w:cs="Arial"/>
          <w:b/>
          <w:szCs w:val="24"/>
          <w:lang w:val="es-ES_tradnl" w:eastAsia="es-MX"/>
        </w:rPr>
        <w:t xml:space="preserve">1.4. </w:t>
      </w:r>
      <w:r w:rsidRPr="00623A98">
        <w:rPr>
          <w:rFonts w:eastAsia="Times New Roman" w:cs="Arial"/>
          <w:b/>
          <w:bCs/>
          <w:szCs w:val="24"/>
          <w:lang w:val="es-ES_tradnl" w:eastAsia="es-MX"/>
        </w:rPr>
        <w:t xml:space="preserve">Insaculación. </w:t>
      </w:r>
      <w:r w:rsidR="00832801" w:rsidRPr="00623A98">
        <w:rPr>
          <w:rFonts w:eastAsia="Times New Roman" w:cs="Arial"/>
          <w:szCs w:val="24"/>
          <w:lang w:val="es-ES_tradnl" w:eastAsia="es-MX"/>
        </w:rPr>
        <w:t>E</w:t>
      </w:r>
      <w:r w:rsidRPr="00623A98">
        <w:rPr>
          <w:rFonts w:eastAsia="Times New Roman" w:cs="Arial"/>
          <w:szCs w:val="24"/>
          <w:lang w:val="es-ES_tradnl" w:eastAsia="es-MX"/>
        </w:rPr>
        <w:t xml:space="preserve">l </w:t>
      </w:r>
      <w:r w:rsidR="00832801" w:rsidRPr="00623A98">
        <w:rPr>
          <w:rFonts w:eastAsia="Times New Roman" w:cs="Arial"/>
          <w:szCs w:val="24"/>
          <w:lang w:val="es-ES_tradnl" w:eastAsia="es-MX"/>
        </w:rPr>
        <w:t>veintiocho</w:t>
      </w:r>
      <w:r w:rsidRPr="00623A98">
        <w:rPr>
          <w:rFonts w:eastAsia="Times New Roman" w:cs="Arial"/>
          <w:szCs w:val="24"/>
          <w:lang w:val="es-ES_tradnl" w:eastAsia="es-MX"/>
        </w:rPr>
        <w:t xml:space="preserve"> de marzo</w:t>
      </w:r>
      <w:r w:rsidR="00832801" w:rsidRPr="00623A98">
        <w:rPr>
          <w:rFonts w:eastAsia="Times New Roman" w:cs="Arial"/>
          <w:szCs w:val="24"/>
          <w:lang w:val="es-ES_tradnl" w:eastAsia="es-MX"/>
        </w:rPr>
        <w:t>,</w:t>
      </w:r>
      <w:r w:rsidRPr="00623A98">
        <w:rPr>
          <w:rFonts w:eastAsia="Times New Roman" w:cs="Arial"/>
          <w:szCs w:val="24"/>
          <w:lang w:val="es-ES_tradnl" w:eastAsia="es-MX"/>
        </w:rPr>
        <w:t xml:space="preserve"> se</w:t>
      </w:r>
      <w:r w:rsidR="00832801" w:rsidRPr="00623A98">
        <w:rPr>
          <w:rFonts w:eastAsia="Times New Roman" w:cs="Arial"/>
          <w:szCs w:val="24"/>
          <w:lang w:val="es-ES_tradnl" w:eastAsia="es-MX"/>
        </w:rPr>
        <w:t xml:space="preserve"> </w:t>
      </w:r>
      <w:r w:rsidRPr="00623A98">
        <w:rPr>
          <w:rFonts w:eastAsia="Times New Roman" w:cs="Arial"/>
          <w:szCs w:val="24"/>
          <w:lang w:val="es-ES_tradnl" w:eastAsia="es-MX"/>
        </w:rPr>
        <w:t>realizó el sorteo a fin de determinar con qué género iniciaría la lista de</w:t>
      </w:r>
      <w:r w:rsidR="00832801" w:rsidRPr="00623A98">
        <w:rPr>
          <w:rFonts w:eastAsia="Times New Roman" w:cs="Arial"/>
          <w:szCs w:val="24"/>
          <w:lang w:val="es-ES_tradnl" w:eastAsia="es-MX"/>
        </w:rPr>
        <w:t xml:space="preserve"> </w:t>
      </w:r>
      <w:r w:rsidRPr="00623A98">
        <w:rPr>
          <w:rFonts w:eastAsia="Times New Roman" w:cs="Arial"/>
          <w:szCs w:val="24"/>
          <w:lang w:val="es-ES_tradnl" w:eastAsia="es-MX"/>
        </w:rPr>
        <w:t xml:space="preserve">candidaturas a diputaciones por el principio de </w:t>
      </w:r>
      <w:r w:rsidR="00A27CB3" w:rsidRPr="00623A98">
        <w:rPr>
          <w:rFonts w:eastAsia="Times New Roman" w:cs="Arial"/>
          <w:i/>
          <w:iCs/>
          <w:szCs w:val="24"/>
          <w:lang w:val="es-ES_tradnl" w:eastAsia="es-MX"/>
        </w:rPr>
        <w:t>RP</w:t>
      </w:r>
      <w:r w:rsidRPr="00623A98">
        <w:rPr>
          <w:rFonts w:eastAsia="Times New Roman" w:cs="Arial"/>
          <w:szCs w:val="24"/>
          <w:lang w:val="es-ES_tradnl" w:eastAsia="es-MX"/>
        </w:rPr>
        <w:t xml:space="preserve"> para el </w:t>
      </w:r>
      <w:r w:rsidR="00832801" w:rsidRPr="00623A98">
        <w:rPr>
          <w:rFonts w:eastAsia="Times New Roman" w:cs="Arial"/>
          <w:szCs w:val="24"/>
          <w:lang w:val="es-ES_tradnl" w:eastAsia="es-MX"/>
        </w:rPr>
        <w:t>e</w:t>
      </w:r>
      <w:r w:rsidRPr="00623A98">
        <w:rPr>
          <w:rFonts w:eastAsia="Times New Roman" w:cs="Arial"/>
          <w:szCs w:val="24"/>
          <w:lang w:val="es-ES_tradnl" w:eastAsia="es-MX"/>
        </w:rPr>
        <w:t>stado de Guanajuato</w:t>
      </w:r>
      <w:r w:rsidR="00832801" w:rsidRPr="00623A98">
        <w:rPr>
          <w:rFonts w:eastAsia="Times New Roman" w:cs="Arial"/>
          <w:szCs w:val="24"/>
          <w:lang w:val="es-ES_tradnl" w:eastAsia="es-MX"/>
        </w:rPr>
        <w:t>.</w:t>
      </w:r>
    </w:p>
    <w:p w14:paraId="65870858" w14:textId="3718FF77" w:rsidR="00DF48B3" w:rsidRPr="00623A98" w:rsidRDefault="00DF48B3" w:rsidP="00DF48B3">
      <w:pPr>
        <w:outlineLvl w:val="0"/>
        <w:rPr>
          <w:rFonts w:eastAsia="Times New Roman" w:cs="Arial"/>
          <w:szCs w:val="24"/>
          <w:lang w:val="es-ES_tradnl" w:eastAsia="es-MX"/>
        </w:rPr>
      </w:pPr>
      <w:r w:rsidRPr="00623A98">
        <w:rPr>
          <w:rFonts w:eastAsia="Times New Roman" w:cs="Arial"/>
          <w:b/>
          <w:bCs/>
          <w:szCs w:val="24"/>
          <w:lang w:val="es-ES_tradnl" w:eastAsia="es-MX"/>
        </w:rPr>
        <w:t>1.5. Primer juicio ciudadano</w:t>
      </w:r>
      <w:r w:rsidR="00E2032D" w:rsidRPr="00623A98">
        <w:rPr>
          <w:rFonts w:eastAsia="Times New Roman" w:cs="Arial"/>
          <w:b/>
          <w:bCs/>
          <w:szCs w:val="24"/>
          <w:lang w:val="es-ES_tradnl" w:eastAsia="es-MX"/>
        </w:rPr>
        <w:t xml:space="preserve"> local</w:t>
      </w:r>
      <w:r w:rsidRPr="00623A98">
        <w:rPr>
          <w:rFonts w:eastAsia="Times New Roman" w:cs="Arial"/>
          <w:b/>
          <w:bCs/>
          <w:i/>
          <w:iCs/>
          <w:szCs w:val="24"/>
          <w:lang w:val="es-ES_tradnl" w:eastAsia="es-MX"/>
        </w:rPr>
        <w:t xml:space="preserve"> </w:t>
      </w:r>
      <w:r w:rsidRPr="00623A98">
        <w:rPr>
          <w:rFonts w:eastAsia="Times New Roman" w:cs="Arial"/>
          <w:b/>
          <w:bCs/>
          <w:szCs w:val="24"/>
          <w:lang w:val="es-ES_tradnl" w:eastAsia="es-MX"/>
        </w:rPr>
        <w:t xml:space="preserve">TEEG-JPDC-129/2021. </w:t>
      </w:r>
      <w:r w:rsidRPr="00623A98">
        <w:rPr>
          <w:rFonts w:eastAsia="Times New Roman" w:cs="Arial"/>
          <w:szCs w:val="24"/>
          <w:lang w:val="es-ES_tradnl" w:eastAsia="es-MX"/>
        </w:rPr>
        <w:t>Inconforme con</w:t>
      </w:r>
      <w:r w:rsidR="00A27CB3" w:rsidRPr="00623A98">
        <w:rPr>
          <w:rFonts w:eastAsia="Times New Roman" w:cs="Arial"/>
          <w:szCs w:val="24"/>
          <w:lang w:val="es-ES_tradnl" w:eastAsia="es-MX"/>
        </w:rPr>
        <w:t xml:space="preserve"> no haber sido</w:t>
      </w:r>
      <w:r w:rsidRPr="00623A98">
        <w:rPr>
          <w:rFonts w:eastAsia="Times New Roman" w:cs="Arial"/>
          <w:szCs w:val="24"/>
          <w:lang w:val="es-ES_tradnl" w:eastAsia="es-MX"/>
        </w:rPr>
        <w:t xml:space="preserve"> designado en la segunda posición de la lista de diputaciones por el principio de </w:t>
      </w:r>
      <w:r w:rsidR="00A27CB3" w:rsidRPr="00623A98">
        <w:rPr>
          <w:rFonts w:eastAsia="Times New Roman" w:cs="Arial"/>
          <w:i/>
          <w:iCs/>
          <w:szCs w:val="24"/>
          <w:lang w:val="es-ES_tradnl" w:eastAsia="es-MX"/>
        </w:rPr>
        <w:t>RP</w:t>
      </w:r>
      <w:r w:rsidRPr="00623A98">
        <w:rPr>
          <w:rFonts w:eastAsia="Times New Roman" w:cs="Arial"/>
          <w:szCs w:val="24"/>
          <w:lang w:val="es-ES_tradnl" w:eastAsia="es-MX"/>
        </w:rPr>
        <w:t xml:space="preserve">, el promovente interpuso </w:t>
      </w:r>
      <w:r w:rsidR="006548AB" w:rsidRPr="00623A98">
        <w:rPr>
          <w:rFonts w:eastAsia="Times New Roman" w:cs="Arial"/>
          <w:szCs w:val="24"/>
          <w:lang w:val="es-ES_tradnl" w:eastAsia="es-MX"/>
        </w:rPr>
        <w:t xml:space="preserve">el veintiuno de abril </w:t>
      </w:r>
      <w:r w:rsidRPr="00623A98">
        <w:rPr>
          <w:rFonts w:eastAsia="Times New Roman" w:cs="Arial"/>
          <w:szCs w:val="24"/>
          <w:lang w:val="es-ES_tradnl" w:eastAsia="es-MX"/>
        </w:rPr>
        <w:t xml:space="preserve">ante el </w:t>
      </w:r>
      <w:r w:rsidRPr="00623A98">
        <w:rPr>
          <w:rFonts w:eastAsia="Times New Roman" w:cs="Arial"/>
          <w:i/>
          <w:iCs/>
          <w:szCs w:val="24"/>
          <w:lang w:val="es-ES_tradnl" w:eastAsia="es-MX"/>
        </w:rPr>
        <w:t>Tribunal Local</w:t>
      </w:r>
      <w:r w:rsidR="00032C55" w:rsidRPr="00623A98">
        <w:rPr>
          <w:rFonts w:eastAsia="Times New Roman" w:cs="Arial"/>
          <w:i/>
          <w:iCs/>
          <w:szCs w:val="24"/>
          <w:lang w:val="es-ES_tradnl" w:eastAsia="es-MX"/>
        </w:rPr>
        <w:t>,</w:t>
      </w:r>
      <w:r w:rsidR="00E7598C" w:rsidRPr="00623A98">
        <w:rPr>
          <w:rFonts w:eastAsia="Times New Roman" w:cs="Arial"/>
          <w:szCs w:val="24"/>
          <w:lang w:val="es-ES_tradnl" w:eastAsia="es-MX"/>
        </w:rPr>
        <w:t xml:space="preserve"> juicio ciudadano</w:t>
      </w:r>
      <w:r w:rsidRPr="00623A98">
        <w:rPr>
          <w:rFonts w:eastAsia="Times New Roman" w:cs="Arial"/>
          <w:szCs w:val="24"/>
          <w:lang w:val="es-ES_tradnl" w:eastAsia="es-MX"/>
        </w:rPr>
        <w:t>.</w:t>
      </w:r>
    </w:p>
    <w:p w14:paraId="400B0B2C" w14:textId="3EDCDFE9" w:rsidR="00E86D5A" w:rsidRPr="00623A98" w:rsidRDefault="00E7598C" w:rsidP="00E7598C">
      <w:pPr>
        <w:autoSpaceDE w:val="0"/>
        <w:autoSpaceDN w:val="0"/>
        <w:adjustRightInd w:val="0"/>
        <w:spacing w:after="0"/>
        <w:rPr>
          <w:rFonts w:cs="Arial"/>
          <w:i/>
          <w:iCs/>
          <w:szCs w:val="24"/>
          <w:lang w:val="es-ES_tradnl"/>
        </w:rPr>
      </w:pPr>
      <w:r w:rsidRPr="00623A98">
        <w:rPr>
          <w:rFonts w:eastAsia="Times New Roman" w:cs="Arial"/>
          <w:b/>
          <w:bCs/>
          <w:szCs w:val="24"/>
          <w:lang w:val="es-ES_tradnl" w:eastAsia="es-MX"/>
        </w:rPr>
        <w:t xml:space="preserve">1.6. </w:t>
      </w:r>
      <w:r w:rsidRPr="00623A98">
        <w:rPr>
          <w:rFonts w:cs="Arial"/>
          <w:b/>
          <w:bCs/>
          <w:szCs w:val="24"/>
          <w:lang w:val="es-ES_tradnl"/>
        </w:rPr>
        <w:t>Reencauzamiento</w:t>
      </w:r>
      <w:r w:rsidR="00E2032D" w:rsidRPr="00623A98">
        <w:rPr>
          <w:rFonts w:cs="Arial"/>
          <w:b/>
          <w:bCs/>
          <w:szCs w:val="24"/>
          <w:lang w:val="es-ES_tradnl"/>
        </w:rPr>
        <w:t xml:space="preserve"> local</w:t>
      </w:r>
      <w:r w:rsidRPr="00623A98">
        <w:rPr>
          <w:rFonts w:cs="Arial"/>
          <w:b/>
          <w:bCs/>
          <w:szCs w:val="24"/>
          <w:lang w:val="es-ES_tradnl"/>
        </w:rPr>
        <w:t xml:space="preserve">. </w:t>
      </w:r>
      <w:r w:rsidRPr="00623A98">
        <w:rPr>
          <w:rFonts w:cs="Arial"/>
          <w:szCs w:val="24"/>
          <w:lang w:val="es-ES_tradnl"/>
        </w:rPr>
        <w:t xml:space="preserve">El veintisiete de abril, </w:t>
      </w:r>
      <w:r w:rsidR="000866BF" w:rsidRPr="00623A98">
        <w:rPr>
          <w:rFonts w:cs="Arial"/>
          <w:szCs w:val="24"/>
          <w:lang w:val="es-ES_tradnl"/>
        </w:rPr>
        <w:t xml:space="preserve">el </w:t>
      </w:r>
      <w:r w:rsidR="000866BF" w:rsidRPr="00623A98">
        <w:rPr>
          <w:rFonts w:cs="Arial"/>
          <w:i/>
          <w:iCs/>
          <w:szCs w:val="24"/>
          <w:lang w:val="es-ES_tradnl"/>
        </w:rPr>
        <w:t xml:space="preserve">Tribunal Local </w:t>
      </w:r>
      <w:r w:rsidR="00835496" w:rsidRPr="00623A98">
        <w:rPr>
          <w:rFonts w:cs="Arial"/>
          <w:szCs w:val="24"/>
          <w:lang w:val="es-ES_tradnl"/>
        </w:rPr>
        <w:t>determinó</w:t>
      </w:r>
      <w:r w:rsidRPr="00623A98">
        <w:rPr>
          <w:rFonts w:cs="Arial"/>
          <w:szCs w:val="24"/>
          <w:lang w:val="es-ES_tradnl"/>
        </w:rPr>
        <w:t xml:space="preserve"> </w:t>
      </w:r>
      <w:r w:rsidR="000866BF" w:rsidRPr="00623A98">
        <w:rPr>
          <w:rFonts w:cs="Arial"/>
          <w:szCs w:val="24"/>
          <w:lang w:val="es-ES_tradnl"/>
        </w:rPr>
        <w:t xml:space="preserve">mediante </w:t>
      </w:r>
      <w:r w:rsidRPr="00623A98">
        <w:rPr>
          <w:rFonts w:cs="Arial"/>
          <w:szCs w:val="24"/>
          <w:lang w:val="es-ES_tradnl"/>
        </w:rPr>
        <w:t xml:space="preserve">acuerdo plenario, su improcedencia al no cumplir con el </w:t>
      </w:r>
      <w:r w:rsidRPr="00623A98">
        <w:rPr>
          <w:rFonts w:cs="Arial"/>
          <w:szCs w:val="24"/>
          <w:lang w:val="es-ES_tradnl"/>
        </w:rPr>
        <w:lastRenderedPageBreak/>
        <w:t xml:space="preserve">principio de definitividad, pues la parte actora omitió agotar la instancia </w:t>
      </w:r>
      <w:proofErr w:type="spellStart"/>
      <w:r w:rsidRPr="00623A98">
        <w:rPr>
          <w:rFonts w:cs="Arial"/>
          <w:szCs w:val="24"/>
          <w:lang w:val="es-ES_tradnl"/>
        </w:rPr>
        <w:t>intrapartidaria</w:t>
      </w:r>
      <w:proofErr w:type="spellEnd"/>
      <w:r w:rsidRPr="00623A98">
        <w:rPr>
          <w:rFonts w:cs="Arial"/>
          <w:szCs w:val="24"/>
          <w:lang w:val="es-ES_tradnl"/>
        </w:rPr>
        <w:t>; por tanto, para garantizar el derecho de acceso a la justicia, se procedió a reencauzar la demanda a la</w:t>
      </w:r>
      <w:r w:rsidR="004F2FF1" w:rsidRPr="00623A98">
        <w:rPr>
          <w:rFonts w:cs="Arial"/>
          <w:i/>
          <w:iCs/>
          <w:szCs w:val="24"/>
          <w:lang w:val="es-ES_tradnl"/>
        </w:rPr>
        <w:t xml:space="preserve"> CNHJ</w:t>
      </w:r>
      <w:r w:rsidRPr="00623A98">
        <w:rPr>
          <w:rFonts w:cs="Arial"/>
          <w:i/>
          <w:iCs/>
          <w:szCs w:val="24"/>
          <w:lang w:val="es-ES_tradnl"/>
        </w:rPr>
        <w:t>.</w:t>
      </w:r>
    </w:p>
    <w:p w14:paraId="3A86CEC1" w14:textId="77777777" w:rsidR="006548AB" w:rsidRPr="00623A98" w:rsidRDefault="006548AB" w:rsidP="00E7598C">
      <w:pPr>
        <w:autoSpaceDE w:val="0"/>
        <w:autoSpaceDN w:val="0"/>
        <w:adjustRightInd w:val="0"/>
        <w:spacing w:after="0"/>
        <w:rPr>
          <w:rFonts w:cs="Arial"/>
          <w:i/>
          <w:iCs/>
          <w:szCs w:val="24"/>
          <w:lang w:val="es-ES_tradnl"/>
        </w:rPr>
      </w:pPr>
    </w:p>
    <w:p w14:paraId="31E86B44" w14:textId="4322CCA9" w:rsidR="00E7598C" w:rsidRPr="00623A98" w:rsidRDefault="00E86D5A" w:rsidP="00E2032D">
      <w:pPr>
        <w:autoSpaceDE w:val="0"/>
        <w:autoSpaceDN w:val="0"/>
        <w:adjustRightInd w:val="0"/>
        <w:rPr>
          <w:rFonts w:cs="Arial"/>
          <w:szCs w:val="24"/>
          <w:lang w:val="es-ES_tradnl"/>
        </w:rPr>
      </w:pPr>
      <w:r w:rsidRPr="00623A98">
        <w:rPr>
          <w:rFonts w:eastAsia="Times New Roman" w:cs="Arial"/>
          <w:b/>
          <w:bCs/>
          <w:szCs w:val="24"/>
          <w:lang w:val="es-ES_tradnl" w:eastAsia="es-MX"/>
        </w:rPr>
        <w:t>1.</w:t>
      </w:r>
      <w:r w:rsidR="000866BF" w:rsidRPr="00623A98">
        <w:rPr>
          <w:rFonts w:eastAsia="Times New Roman" w:cs="Arial"/>
          <w:b/>
          <w:bCs/>
          <w:szCs w:val="24"/>
          <w:lang w:val="es-ES_tradnl" w:eastAsia="es-MX"/>
        </w:rPr>
        <w:t>7</w:t>
      </w:r>
      <w:r w:rsidRPr="00623A98">
        <w:rPr>
          <w:rFonts w:eastAsia="Times New Roman" w:cs="Arial"/>
          <w:b/>
          <w:bCs/>
          <w:szCs w:val="24"/>
          <w:lang w:val="es-ES_tradnl" w:eastAsia="es-MX"/>
        </w:rPr>
        <w:t xml:space="preserve">. </w:t>
      </w:r>
      <w:r w:rsidRPr="00623A98">
        <w:rPr>
          <w:rFonts w:cs="Arial"/>
          <w:b/>
          <w:bCs/>
          <w:szCs w:val="24"/>
          <w:lang w:val="es-ES_tradnl"/>
        </w:rPr>
        <w:t xml:space="preserve">Primera resolución </w:t>
      </w:r>
      <w:proofErr w:type="spellStart"/>
      <w:r w:rsidRPr="00623A98">
        <w:rPr>
          <w:rFonts w:cs="Arial"/>
          <w:b/>
          <w:bCs/>
          <w:szCs w:val="24"/>
          <w:lang w:val="es-ES_tradnl"/>
        </w:rPr>
        <w:t>intrapartidaria</w:t>
      </w:r>
      <w:proofErr w:type="spellEnd"/>
      <w:r w:rsidRPr="00623A98">
        <w:rPr>
          <w:rFonts w:cs="Arial"/>
          <w:b/>
          <w:bCs/>
          <w:szCs w:val="24"/>
          <w:lang w:val="es-ES_tradnl"/>
        </w:rPr>
        <w:t xml:space="preserve"> CNHJGTO-1228/2021. </w:t>
      </w:r>
      <w:r w:rsidRPr="00623A98">
        <w:rPr>
          <w:rFonts w:cs="Arial"/>
          <w:szCs w:val="24"/>
          <w:lang w:val="es-ES_tradnl"/>
        </w:rPr>
        <w:t xml:space="preserve">El tres de mayo, la </w:t>
      </w:r>
      <w:r w:rsidRPr="00623A98">
        <w:rPr>
          <w:rFonts w:cs="Arial"/>
          <w:i/>
          <w:iCs/>
          <w:szCs w:val="24"/>
          <w:lang w:val="es-ES_tradnl"/>
        </w:rPr>
        <w:t>C</w:t>
      </w:r>
      <w:r w:rsidR="004F2FF1" w:rsidRPr="00623A98">
        <w:rPr>
          <w:rFonts w:cs="Arial"/>
          <w:i/>
          <w:iCs/>
          <w:szCs w:val="24"/>
          <w:lang w:val="es-ES_tradnl"/>
        </w:rPr>
        <w:t>NHJ</w:t>
      </w:r>
      <w:r w:rsidRPr="00623A98">
        <w:rPr>
          <w:rFonts w:cs="Arial"/>
          <w:i/>
          <w:iCs/>
          <w:szCs w:val="24"/>
          <w:lang w:val="es-ES_tradnl"/>
        </w:rPr>
        <w:t xml:space="preserve"> </w:t>
      </w:r>
      <w:r w:rsidRPr="00623A98">
        <w:rPr>
          <w:rFonts w:cs="Arial"/>
          <w:szCs w:val="24"/>
          <w:lang w:val="es-ES_tradnl"/>
        </w:rPr>
        <w:t xml:space="preserve">declaró infundados los agravios señalados por el actor, al considerar correcta la designación del candidato externo en la segunda posición de la lista de diputaciones por el principio de </w:t>
      </w:r>
      <w:r w:rsidR="00A27CB3" w:rsidRPr="00623A98">
        <w:rPr>
          <w:rFonts w:cs="Arial"/>
          <w:i/>
          <w:iCs/>
          <w:szCs w:val="24"/>
          <w:lang w:val="es-ES_tradnl"/>
        </w:rPr>
        <w:t>RP</w:t>
      </w:r>
      <w:r w:rsidRPr="00623A98">
        <w:rPr>
          <w:rFonts w:cs="Arial"/>
          <w:szCs w:val="24"/>
          <w:lang w:val="es-ES_tradnl"/>
        </w:rPr>
        <w:t xml:space="preserve"> propuesta por MORENA, bajo la consideración esencial de que la </w:t>
      </w:r>
      <w:r w:rsidR="00C215D3" w:rsidRPr="00623A98">
        <w:rPr>
          <w:rFonts w:cs="Arial"/>
          <w:i/>
          <w:iCs/>
          <w:szCs w:val="24"/>
          <w:lang w:val="es-ES_tradnl"/>
        </w:rPr>
        <w:t>CNE</w:t>
      </w:r>
      <w:r w:rsidR="00C215D3" w:rsidRPr="00623A98">
        <w:rPr>
          <w:rFonts w:cs="Arial"/>
          <w:szCs w:val="24"/>
          <w:lang w:val="es-ES_tradnl"/>
        </w:rPr>
        <w:t xml:space="preserve"> </w:t>
      </w:r>
      <w:r w:rsidRPr="00623A98">
        <w:rPr>
          <w:rFonts w:cs="Arial"/>
          <w:szCs w:val="24"/>
          <w:lang w:val="es-ES_tradnl"/>
        </w:rPr>
        <w:t xml:space="preserve">previamente estableció que los cuatro primeros lugares de esas diputaciones serían </w:t>
      </w:r>
      <w:proofErr w:type="gramStart"/>
      <w:r w:rsidRPr="00623A98">
        <w:rPr>
          <w:rFonts w:cs="Arial"/>
          <w:szCs w:val="24"/>
          <w:lang w:val="es-ES_tradnl"/>
        </w:rPr>
        <w:t>seleccionadas</w:t>
      </w:r>
      <w:proofErr w:type="gramEnd"/>
      <w:r w:rsidRPr="00623A98">
        <w:rPr>
          <w:rFonts w:cs="Arial"/>
          <w:szCs w:val="24"/>
          <w:lang w:val="es-ES_tradnl"/>
        </w:rPr>
        <w:t xml:space="preserve"> conforme a la valoración y calificación de perfiles internos y externos.</w:t>
      </w:r>
    </w:p>
    <w:p w14:paraId="2EFA1B6C" w14:textId="507E444A" w:rsidR="00DD6898" w:rsidRPr="00623A98" w:rsidRDefault="00DD6898" w:rsidP="00E2032D">
      <w:pPr>
        <w:autoSpaceDE w:val="0"/>
        <w:autoSpaceDN w:val="0"/>
        <w:adjustRightInd w:val="0"/>
        <w:rPr>
          <w:rFonts w:cs="Arial"/>
          <w:szCs w:val="24"/>
          <w:lang w:val="es-ES_tradnl"/>
        </w:rPr>
      </w:pPr>
      <w:r w:rsidRPr="00623A98">
        <w:rPr>
          <w:rFonts w:cs="Arial"/>
          <w:b/>
          <w:bCs/>
          <w:szCs w:val="24"/>
          <w:lang w:val="es-ES_tradnl"/>
        </w:rPr>
        <w:t>1.</w:t>
      </w:r>
      <w:r w:rsidR="000866BF" w:rsidRPr="00623A98">
        <w:rPr>
          <w:rFonts w:cs="Arial"/>
          <w:b/>
          <w:bCs/>
          <w:szCs w:val="24"/>
          <w:lang w:val="es-ES_tradnl"/>
        </w:rPr>
        <w:t>8</w:t>
      </w:r>
      <w:r w:rsidRPr="00623A98">
        <w:rPr>
          <w:rFonts w:cs="Arial"/>
          <w:b/>
          <w:bCs/>
          <w:szCs w:val="24"/>
          <w:lang w:val="es-ES_tradnl"/>
        </w:rPr>
        <w:t>. Segundo juicio ciudadano</w:t>
      </w:r>
      <w:r w:rsidR="00E2032D" w:rsidRPr="00623A98">
        <w:rPr>
          <w:rFonts w:cs="Arial"/>
          <w:b/>
          <w:bCs/>
          <w:szCs w:val="24"/>
          <w:lang w:val="es-ES_tradnl"/>
        </w:rPr>
        <w:t xml:space="preserve"> local</w:t>
      </w:r>
      <w:r w:rsidRPr="00623A98">
        <w:rPr>
          <w:rFonts w:cs="Arial"/>
          <w:b/>
          <w:bCs/>
          <w:i/>
          <w:iCs/>
          <w:szCs w:val="24"/>
          <w:lang w:val="es-ES_tradnl"/>
        </w:rPr>
        <w:t xml:space="preserve"> </w:t>
      </w:r>
      <w:r w:rsidRPr="00623A98">
        <w:rPr>
          <w:rFonts w:cs="Arial"/>
          <w:b/>
          <w:bCs/>
          <w:szCs w:val="24"/>
          <w:lang w:val="es-ES_tradnl"/>
        </w:rPr>
        <w:t xml:space="preserve">TEEG-JPDC-165/2021. </w:t>
      </w:r>
      <w:r w:rsidRPr="00623A98">
        <w:rPr>
          <w:rFonts w:cs="Arial"/>
          <w:szCs w:val="24"/>
          <w:lang w:val="es-ES_tradnl"/>
        </w:rPr>
        <w:t xml:space="preserve">Inconforme con la </w:t>
      </w:r>
      <w:r w:rsidR="006548AB" w:rsidRPr="00623A98">
        <w:rPr>
          <w:rFonts w:cs="Arial"/>
          <w:szCs w:val="24"/>
          <w:lang w:val="es-ES_tradnl"/>
        </w:rPr>
        <w:t xml:space="preserve">citada </w:t>
      </w:r>
      <w:r w:rsidRPr="00623A98">
        <w:rPr>
          <w:rFonts w:cs="Arial"/>
          <w:szCs w:val="24"/>
          <w:lang w:val="es-ES_tradnl"/>
        </w:rPr>
        <w:t>resolució</w:t>
      </w:r>
      <w:r w:rsidR="006548AB" w:rsidRPr="00623A98">
        <w:rPr>
          <w:rFonts w:cs="Arial"/>
          <w:szCs w:val="24"/>
          <w:lang w:val="es-ES_tradnl"/>
        </w:rPr>
        <w:t xml:space="preserve">n, </w:t>
      </w:r>
      <w:r w:rsidRPr="00623A98">
        <w:rPr>
          <w:rFonts w:cs="Arial"/>
          <w:szCs w:val="24"/>
          <w:lang w:val="es-ES_tradnl"/>
        </w:rPr>
        <w:t xml:space="preserve">el ocho de mayo </w:t>
      </w:r>
      <w:r w:rsidR="000866BF" w:rsidRPr="00623A98">
        <w:rPr>
          <w:rFonts w:cs="Arial"/>
          <w:szCs w:val="24"/>
          <w:lang w:val="es-ES_tradnl"/>
        </w:rPr>
        <w:t>el actor interpuso</w:t>
      </w:r>
      <w:r w:rsidRPr="00623A98">
        <w:rPr>
          <w:rFonts w:cs="Arial"/>
          <w:szCs w:val="24"/>
          <w:lang w:val="es-ES_tradnl"/>
        </w:rPr>
        <w:t xml:space="preserve"> juicio ciudadano, mismo que fue resuelto</w:t>
      </w:r>
      <w:r w:rsidR="006548AB" w:rsidRPr="00623A98">
        <w:rPr>
          <w:rFonts w:cs="Arial"/>
          <w:szCs w:val="24"/>
          <w:lang w:val="es-ES_tradnl"/>
        </w:rPr>
        <w:t xml:space="preserve"> por el </w:t>
      </w:r>
      <w:r w:rsidR="006548AB" w:rsidRPr="00623A98">
        <w:rPr>
          <w:rFonts w:cs="Arial"/>
          <w:i/>
          <w:iCs/>
          <w:szCs w:val="24"/>
          <w:lang w:val="es-ES_tradnl"/>
        </w:rPr>
        <w:t>Tribunal local</w:t>
      </w:r>
      <w:r w:rsidRPr="00623A98">
        <w:rPr>
          <w:rFonts w:cs="Arial"/>
          <w:szCs w:val="24"/>
          <w:lang w:val="es-ES_tradnl"/>
        </w:rPr>
        <w:t xml:space="preserve"> el cuatro de junio, en el cual se revocó la sentencia dictada por la </w:t>
      </w:r>
      <w:r w:rsidR="00B45079" w:rsidRPr="00623A98">
        <w:rPr>
          <w:rFonts w:cs="Arial"/>
          <w:i/>
          <w:iCs/>
          <w:szCs w:val="24"/>
          <w:lang w:val="es-ES_tradnl"/>
        </w:rPr>
        <w:t>CNHJ</w:t>
      </w:r>
      <w:r w:rsidR="00B45079" w:rsidRPr="00623A98">
        <w:rPr>
          <w:rFonts w:cs="Arial"/>
          <w:szCs w:val="24"/>
          <w:lang w:val="es-ES_tradnl"/>
        </w:rPr>
        <w:t xml:space="preserve"> </w:t>
      </w:r>
      <w:r w:rsidRPr="00623A98">
        <w:rPr>
          <w:rFonts w:cs="Arial"/>
          <w:szCs w:val="24"/>
          <w:lang w:val="es-ES_tradnl"/>
        </w:rPr>
        <w:t>y se le ordenó que emitiera una nueva determinación.</w:t>
      </w:r>
    </w:p>
    <w:p w14:paraId="6A8EC101" w14:textId="31A05D9D" w:rsidR="001508A4" w:rsidRPr="00623A98" w:rsidRDefault="001508A4" w:rsidP="001508A4">
      <w:pPr>
        <w:outlineLvl w:val="0"/>
        <w:rPr>
          <w:rFonts w:eastAsia="Times New Roman" w:cs="Arial"/>
          <w:b/>
          <w:bCs/>
          <w:szCs w:val="24"/>
          <w:lang w:val="es-ES_tradnl" w:eastAsia="es-MX"/>
        </w:rPr>
      </w:pPr>
      <w:r w:rsidRPr="00623A98">
        <w:rPr>
          <w:rFonts w:eastAsia="Times New Roman" w:cs="Arial"/>
          <w:b/>
          <w:szCs w:val="24"/>
          <w:lang w:val="es-ES_tradnl" w:eastAsia="es-MX"/>
        </w:rPr>
        <w:t>1.</w:t>
      </w:r>
      <w:r w:rsidR="000866BF" w:rsidRPr="00623A98">
        <w:rPr>
          <w:rFonts w:eastAsia="Times New Roman" w:cs="Arial"/>
          <w:b/>
          <w:szCs w:val="24"/>
          <w:lang w:val="es-ES_tradnl" w:eastAsia="es-MX"/>
        </w:rPr>
        <w:t>9</w:t>
      </w:r>
      <w:r w:rsidRPr="00623A98">
        <w:rPr>
          <w:rFonts w:eastAsia="Times New Roman" w:cs="Arial"/>
          <w:b/>
          <w:szCs w:val="24"/>
          <w:lang w:val="es-ES_tradnl" w:eastAsia="es-MX"/>
        </w:rPr>
        <w:t xml:space="preserve">. Jornada electoral. </w:t>
      </w:r>
      <w:r w:rsidRPr="00623A98">
        <w:rPr>
          <w:rFonts w:eastAsia="Times New Roman" w:cs="Arial"/>
          <w:bCs/>
          <w:szCs w:val="24"/>
          <w:lang w:val="es-ES_tradnl" w:eastAsia="es-MX"/>
        </w:rPr>
        <w:t xml:space="preserve">El seis de junio, se llevó a cabo la jornada electoral para la elección de diputaciones del </w:t>
      </w:r>
      <w:r w:rsidRPr="00623A98">
        <w:rPr>
          <w:rFonts w:eastAsia="Times New Roman" w:cs="Arial"/>
          <w:bCs/>
          <w:iCs/>
          <w:szCs w:val="24"/>
          <w:lang w:val="es-ES_tradnl" w:eastAsia="es-MX"/>
        </w:rPr>
        <w:t>Congreso Local</w:t>
      </w:r>
      <w:r w:rsidRPr="00623A98">
        <w:rPr>
          <w:lang w:val="es-ES_tradnl"/>
        </w:rPr>
        <w:t xml:space="preserve"> </w:t>
      </w:r>
      <w:r w:rsidRPr="00623A98">
        <w:rPr>
          <w:rFonts w:eastAsia="Times New Roman" w:cs="Arial"/>
          <w:bCs/>
          <w:iCs/>
          <w:szCs w:val="24"/>
          <w:lang w:val="es-ES_tradnl" w:eastAsia="es-MX"/>
        </w:rPr>
        <w:t xml:space="preserve">del estado de Guanajuato, </w:t>
      </w:r>
      <w:r w:rsidRPr="00623A98">
        <w:rPr>
          <w:rFonts w:eastAsia="Times New Roman" w:cs="Arial"/>
          <w:bCs/>
          <w:szCs w:val="24"/>
          <w:lang w:val="es-ES_tradnl" w:eastAsia="es-MX"/>
        </w:rPr>
        <w:t xml:space="preserve">por los principios de mayoría relativa y </w:t>
      </w:r>
      <w:r w:rsidR="00A27CB3" w:rsidRPr="00623A98">
        <w:rPr>
          <w:rFonts w:eastAsia="Times New Roman" w:cs="Arial"/>
          <w:bCs/>
          <w:i/>
          <w:iCs/>
          <w:szCs w:val="24"/>
          <w:lang w:val="es-ES_tradnl" w:eastAsia="es-MX"/>
        </w:rPr>
        <w:t>RP</w:t>
      </w:r>
      <w:r w:rsidRPr="00623A98">
        <w:rPr>
          <w:rFonts w:eastAsia="Times New Roman" w:cs="Arial"/>
          <w:bCs/>
          <w:szCs w:val="24"/>
          <w:lang w:val="es-ES_tradnl" w:eastAsia="es-MX"/>
        </w:rPr>
        <w:t>, así como ayuntamientos para el proceso electoral 2020-2021.</w:t>
      </w:r>
    </w:p>
    <w:p w14:paraId="2DF01815" w14:textId="77777777" w:rsidR="006548AB" w:rsidRPr="00623A98" w:rsidRDefault="00DD6898" w:rsidP="003B3573">
      <w:pPr>
        <w:autoSpaceDE w:val="0"/>
        <w:autoSpaceDN w:val="0"/>
        <w:adjustRightInd w:val="0"/>
        <w:spacing w:after="0"/>
        <w:rPr>
          <w:szCs w:val="24"/>
          <w:lang w:val="es-ES_tradnl"/>
        </w:rPr>
      </w:pPr>
      <w:r w:rsidRPr="00623A98">
        <w:rPr>
          <w:rFonts w:cs="Arial"/>
          <w:b/>
          <w:bCs/>
          <w:szCs w:val="24"/>
          <w:lang w:val="es-ES_tradnl"/>
        </w:rPr>
        <w:t>1.</w:t>
      </w:r>
      <w:r w:rsidR="000866BF" w:rsidRPr="00623A98">
        <w:rPr>
          <w:rFonts w:cs="Arial"/>
          <w:b/>
          <w:bCs/>
          <w:szCs w:val="24"/>
          <w:lang w:val="es-ES_tradnl"/>
        </w:rPr>
        <w:t>10</w:t>
      </w:r>
      <w:r w:rsidRPr="00623A98">
        <w:rPr>
          <w:rFonts w:cs="Arial"/>
          <w:b/>
          <w:bCs/>
          <w:szCs w:val="24"/>
          <w:lang w:val="es-ES_tradnl"/>
        </w:rPr>
        <w:t>.</w:t>
      </w:r>
      <w:r w:rsidRPr="00623A98">
        <w:rPr>
          <w:rFonts w:cs="Arial"/>
          <w:szCs w:val="24"/>
          <w:lang w:val="es-ES_tradnl"/>
        </w:rPr>
        <w:t xml:space="preserve"> </w:t>
      </w:r>
      <w:r w:rsidRPr="00623A98">
        <w:rPr>
          <w:rFonts w:cs="Arial"/>
          <w:b/>
          <w:bCs/>
          <w:szCs w:val="24"/>
          <w:lang w:val="es-ES_tradnl"/>
        </w:rPr>
        <w:t xml:space="preserve">Segunda resolución </w:t>
      </w:r>
      <w:proofErr w:type="spellStart"/>
      <w:r w:rsidR="00E2032D" w:rsidRPr="00623A98">
        <w:rPr>
          <w:rFonts w:cs="Arial"/>
          <w:b/>
          <w:bCs/>
          <w:szCs w:val="24"/>
          <w:lang w:val="es-ES_tradnl"/>
        </w:rPr>
        <w:t>intrapartidaria</w:t>
      </w:r>
      <w:proofErr w:type="spellEnd"/>
      <w:r w:rsidR="00E2032D" w:rsidRPr="00623A98">
        <w:rPr>
          <w:rFonts w:cs="Arial"/>
          <w:b/>
          <w:bCs/>
          <w:szCs w:val="24"/>
          <w:lang w:val="es-ES_tradnl"/>
        </w:rPr>
        <w:t xml:space="preserve"> </w:t>
      </w:r>
      <w:r w:rsidRPr="00623A98">
        <w:rPr>
          <w:rFonts w:cs="Arial"/>
          <w:b/>
          <w:bCs/>
          <w:szCs w:val="24"/>
          <w:lang w:val="es-ES_tradnl"/>
        </w:rPr>
        <w:t xml:space="preserve">CNHJ-GTO-1228/2021. </w:t>
      </w:r>
      <w:r w:rsidRPr="00623A98">
        <w:rPr>
          <w:szCs w:val="24"/>
          <w:lang w:val="es-ES_tradnl"/>
        </w:rPr>
        <w:t xml:space="preserve">El siete de junio, la </w:t>
      </w:r>
      <w:r w:rsidR="00B45079" w:rsidRPr="00623A98">
        <w:rPr>
          <w:rFonts w:cs="Arial"/>
          <w:i/>
          <w:iCs/>
          <w:szCs w:val="24"/>
          <w:lang w:val="es-ES_tradnl"/>
        </w:rPr>
        <w:t>CNHJ</w:t>
      </w:r>
      <w:r w:rsidRPr="00623A98">
        <w:rPr>
          <w:szCs w:val="24"/>
          <w:lang w:val="es-ES_tradnl"/>
        </w:rPr>
        <w:t xml:space="preserve"> sobreseyó el medio de impugnación por considerar que los actos se habían consumado de manera irreparable.</w:t>
      </w:r>
    </w:p>
    <w:p w14:paraId="0834A89A" w14:textId="77777777" w:rsidR="006548AB" w:rsidRPr="00623A98" w:rsidRDefault="006548AB" w:rsidP="003B3573">
      <w:pPr>
        <w:autoSpaceDE w:val="0"/>
        <w:autoSpaceDN w:val="0"/>
        <w:adjustRightInd w:val="0"/>
        <w:spacing w:after="0"/>
        <w:rPr>
          <w:szCs w:val="24"/>
          <w:lang w:val="es-ES_tradnl"/>
        </w:rPr>
      </w:pPr>
    </w:p>
    <w:p w14:paraId="662ACA87" w14:textId="66B9DF0A" w:rsidR="003B3573" w:rsidRPr="00623A98" w:rsidRDefault="00DD6898" w:rsidP="003B3573">
      <w:pPr>
        <w:autoSpaceDE w:val="0"/>
        <w:autoSpaceDN w:val="0"/>
        <w:adjustRightInd w:val="0"/>
        <w:spacing w:after="0"/>
        <w:rPr>
          <w:szCs w:val="24"/>
          <w:lang w:val="es-ES_tradnl"/>
        </w:rPr>
      </w:pPr>
      <w:r w:rsidRPr="00623A98">
        <w:rPr>
          <w:b/>
          <w:bCs/>
          <w:szCs w:val="24"/>
          <w:lang w:val="es-ES_tradnl"/>
        </w:rPr>
        <w:t>1.</w:t>
      </w:r>
      <w:r w:rsidR="001508A4" w:rsidRPr="00623A98">
        <w:rPr>
          <w:b/>
          <w:bCs/>
          <w:szCs w:val="24"/>
          <w:lang w:val="es-ES_tradnl"/>
        </w:rPr>
        <w:t>1</w:t>
      </w:r>
      <w:r w:rsidR="000866BF" w:rsidRPr="00623A98">
        <w:rPr>
          <w:b/>
          <w:bCs/>
          <w:szCs w:val="24"/>
          <w:lang w:val="es-ES_tradnl"/>
        </w:rPr>
        <w:t>1</w:t>
      </w:r>
      <w:r w:rsidRPr="00623A98">
        <w:rPr>
          <w:b/>
          <w:bCs/>
          <w:szCs w:val="24"/>
          <w:lang w:val="es-ES_tradnl"/>
        </w:rPr>
        <w:t>. Tercer juicio ciudadano</w:t>
      </w:r>
      <w:r w:rsidR="00E2032D" w:rsidRPr="00623A98">
        <w:rPr>
          <w:b/>
          <w:bCs/>
          <w:szCs w:val="24"/>
          <w:lang w:val="es-ES_tradnl"/>
        </w:rPr>
        <w:t xml:space="preserve"> local</w:t>
      </w:r>
      <w:r w:rsidRPr="00623A98">
        <w:rPr>
          <w:b/>
          <w:bCs/>
          <w:szCs w:val="24"/>
          <w:lang w:val="es-ES_tradnl"/>
        </w:rPr>
        <w:t xml:space="preserve"> </w:t>
      </w:r>
      <w:r w:rsidRPr="00623A98">
        <w:rPr>
          <w:b/>
          <w:bCs/>
          <w:lang w:val="es-ES_tradnl"/>
        </w:rPr>
        <w:t>TEEG-JPDC-214/2021.</w:t>
      </w:r>
      <w:r w:rsidRPr="00623A98">
        <w:rPr>
          <w:szCs w:val="24"/>
          <w:lang w:val="es-ES_tradnl"/>
        </w:rPr>
        <w:t xml:space="preserve"> </w:t>
      </w:r>
      <w:r w:rsidR="008D7994" w:rsidRPr="00623A98">
        <w:rPr>
          <w:szCs w:val="24"/>
          <w:lang w:val="es-ES_tradnl"/>
        </w:rPr>
        <w:t>En desacuerdo con la citada</w:t>
      </w:r>
      <w:r w:rsidRPr="00623A98">
        <w:rPr>
          <w:lang w:val="es-ES_tradnl"/>
        </w:rPr>
        <w:t xml:space="preserve"> determinación, </w:t>
      </w:r>
      <w:r w:rsidR="001508A4" w:rsidRPr="00623A98">
        <w:rPr>
          <w:lang w:val="es-ES_tradnl"/>
        </w:rPr>
        <w:t xml:space="preserve">el doce de junio </w:t>
      </w:r>
      <w:r w:rsidRPr="00623A98">
        <w:rPr>
          <w:lang w:val="es-ES_tradnl"/>
        </w:rPr>
        <w:t xml:space="preserve">el actor presentó un medio de defensa ante el </w:t>
      </w:r>
      <w:r w:rsidRPr="00623A98">
        <w:rPr>
          <w:i/>
          <w:iCs/>
          <w:lang w:val="es-ES_tradnl"/>
        </w:rPr>
        <w:t>Tribunal Local</w:t>
      </w:r>
      <w:r w:rsidR="00E2032D" w:rsidRPr="00623A98">
        <w:rPr>
          <w:i/>
          <w:iCs/>
          <w:lang w:val="es-ES_tradnl"/>
        </w:rPr>
        <w:t xml:space="preserve">; </w:t>
      </w:r>
      <w:r w:rsidR="001508A4" w:rsidRPr="00623A98">
        <w:rPr>
          <w:lang w:val="es-ES_tradnl"/>
        </w:rPr>
        <w:t xml:space="preserve">el cual fue </w:t>
      </w:r>
      <w:r w:rsidR="00E2032D" w:rsidRPr="00623A98">
        <w:rPr>
          <w:lang w:val="es-ES_tradnl"/>
        </w:rPr>
        <w:t>r</w:t>
      </w:r>
      <w:r w:rsidRPr="00623A98">
        <w:rPr>
          <w:lang w:val="es-ES_tradnl"/>
        </w:rPr>
        <w:t>es</w:t>
      </w:r>
      <w:r w:rsidR="001508A4" w:rsidRPr="00623A98">
        <w:rPr>
          <w:lang w:val="es-ES_tradnl"/>
        </w:rPr>
        <w:t>uelto</w:t>
      </w:r>
      <w:r w:rsidR="00E2032D" w:rsidRPr="00623A98">
        <w:rPr>
          <w:lang w:val="es-ES_tradnl"/>
        </w:rPr>
        <w:t xml:space="preserve"> </w:t>
      </w:r>
      <w:r w:rsidRPr="00623A98">
        <w:rPr>
          <w:lang w:val="es-ES_tradnl"/>
        </w:rPr>
        <w:t xml:space="preserve">el dieciocho </w:t>
      </w:r>
      <w:r w:rsidR="008D7994" w:rsidRPr="00623A98">
        <w:rPr>
          <w:lang w:val="es-ES_tradnl"/>
        </w:rPr>
        <w:t>siguiente</w:t>
      </w:r>
      <w:r w:rsidRPr="00623A98">
        <w:rPr>
          <w:lang w:val="es-ES_tradnl"/>
        </w:rPr>
        <w:t xml:space="preserve">, </w:t>
      </w:r>
      <w:r w:rsidR="001508A4" w:rsidRPr="00623A98">
        <w:rPr>
          <w:lang w:val="es-ES_tradnl"/>
        </w:rPr>
        <w:t>declarándolo</w:t>
      </w:r>
      <w:r w:rsidR="00E2032D" w:rsidRPr="00623A98">
        <w:rPr>
          <w:lang w:val="es-ES_tradnl"/>
        </w:rPr>
        <w:t xml:space="preserve"> </w:t>
      </w:r>
      <w:r w:rsidRPr="00623A98">
        <w:rPr>
          <w:lang w:val="es-ES_tradnl"/>
        </w:rPr>
        <w:t xml:space="preserve">improcedente, bajo la consideración de que su pretensión se había consumado de manera irreparable, pues la jornada electoral en la que pretendía participar en el segundo lugar de la lista de </w:t>
      </w:r>
      <w:r w:rsidR="00A27CB3" w:rsidRPr="00623A98">
        <w:rPr>
          <w:i/>
          <w:iCs/>
          <w:lang w:val="es-ES_tradnl"/>
        </w:rPr>
        <w:t xml:space="preserve">RP </w:t>
      </w:r>
      <w:r w:rsidRPr="00623A98">
        <w:rPr>
          <w:lang w:val="es-ES_tradnl"/>
        </w:rPr>
        <w:t>ya</w:t>
      </w:r>
      <w:r w:rsidR="00E2032D" w:rsidRPr="00623A98">
        <w:rPr>
          <w:lang w:val="es-ES_tradnl"/>
        </w:rPr>
        <w:t xml:space="preserve"> se había llevado a cabo.</w:t>
      </w:r>
    </w:p>
    <w:p w14:paraId="210C5BBA" w14:textId="77777777" w:rsidR="003B3573" w:rsidRPr="00623A98" w:rsidRDefault="003B3573" w:rsidP="003B3573">
      <w:pPr>
        <w:autoSpaceDE w:val="0"/>
        <w:autoSpaceDN w:val="0"/>
        <w:adjustRightInd w:val="0"/>
        <w:spacing w:after="0"/>
        <w:rPr>
          <w:lang w:val="es-ES_tradnl"/>
        </w:rPr>
      </w:pPr>
    </w:p>
    <w:p w14:paraId="60E88836" w14:textId="1E079FC9" w:rsidR="001508A4" w:rsidRPr="00623A98" w:rsidRDefault="001508A4" w:rsidP="000866BF">
      <w:pPr>
        <w:autoSpaceDE w:val="0"/>
        <w:autoSpaceDN w:val="0"/>
        <w:adjustRightInd w:val="0"/>
        <w:spacing w:after="0"/>
        <w:rPr>
          <w:lang w:val="es-ES_tradnl"/>
        </w:rPr>
      </w:pPr>
      <w:r w:rsidRPr="00623A98">
        <w:rPr>
          <w:b/>
          <w:bCs/>
          <w:lang w:val="es-ES_tradnl"/>
        </w:rPr>
        <w:t>1.12. Primer juicio ciudadano</w:t>
      </w:r>
      <w:r w:rsidRPr="00623A98">
        <w:rPr>
          <w:b/>
          <w:bCs/>
          <w:i/>
          <w:iCs/>
          <w:lang w:val="es-ES_tradnl"/>
        </w:rPr>
        <w:t xml:space="preserve"> </w:t>
      </w:r>
      <w:r w:rsidRPr="00623A98">
        <w:rPr>
          <w:b/>
          <w:bCs/>
          <w:lang w:val="es-ES_tradnl"/>
        </w:rPr>
        <w:t xml:space="preserve">federal SM-JDC-633/2021. </w:t>
      </w:r>
      <w:r w:rsidRPr="00623A98">
        <w:rPr>
          <w:lang w:val="es-ES_tradnl"/>
        </w:rPr>
        <w:t xml:space="preserve">En contra de la </w:t>
      </w:r>
      <w:r w:rsidR="008D7994" w:rsidRPr="00623A98">
        <w:rPr>
          <w:lang w:val="es-ES_tradnl"/>
        </w:rPr>
        <w:t>referida resolución</w:t>
      </w:r>
      <w:r w:rsidRPr="00623A98">
        <w:rPr>
          <w:lang w:val="es-ES_tradnl"/>
        </w:rPr>
        <w:t xml:space="preserve">, el actor interpuso </w:t>
      </w:r>
      <w:r w:rsidR="004F70CB" w:rsidRPr="00623A98">
        <w:rPr>
          <w:lang w:val="es-ES_tradnl"/>
        </w:rPr>
        <w:t>el veintidós de junio,</w:t>
      </w:r>
      <w:r w:rsidRPr="00623A98">
        <w:rPr>
          <w:i/>
          <w:iCs/>
          <w:lang w:val="es-ES_tradnl"/>
        </w:rPr>
        <w:t xml:space="preserve"> </w:t>
      </w:r>
      <w:r w:rsidRPr="00623A98">
        <w:rPr>
          <w:lang w:val="es-ES_tradnl"/>
        </w:rPr>
        <w:t xml:space="preserve"> </w:t>
      </w:r>
      <w:r w:rsidR="004F70CB" w:rsidRPr="00623A98">
        <w:rPr>
          <w:lang w:val="es-ES_tradnl"/>
        </w:rPr>
        <w:t xml:space="preserve">juicio ciudadano el cual fue resuelto por esta Sala Regional </w:t>
      </w:r>
      <w:r w:rsidR="008D7994" w:rsidRPr="00623A98">
        <w:rPr>
          <w:lang w:val="es-ES_tradnl"/>
        </w:rPr>
        <w:t>mediante sentencia d</w:t>
      </w:r>
      <w:r w:rsidR="004F70CB" w:rsidRPr="00623A98">
        <w:rPr>
          <w:lang w:val="es-ES_tradnl"/>
        </w:rPr>
        <w:t>el nueve</w:t>
      </w:r>
      <w:r w:rsidRPr="00623A98">
        <w:rPr>
          <w:lang w:val="es-ES_tradnl"/>
        </w:rPr>
        <w:t xml:space="preserve"> de julio </w:t>
      </w:r>
      <w:r w:rsidR="004F70CB" w:rsidRPr="00623A98">
        <w:rPr>
          <w:lang w:val="es-ES_tradnl"/>
        </w:rPr>
        <w:t xml:space="preserve">en el cual </w:t>
      </w:r>
      <w:r w:rsidR="008D7994" w:rsidRPr="00623A98">
        <w:rPr>
          <w:lang w:val="es-ES_tradnl"/>
        </w:rPr>
        <w:t xml:space="preserve">se </w:t>
      </w:r>
      <w:r w:rsidRPr="00623A98">
        <w:rPr>
          <w:lang w:val="es-ES_tradnl"/>
        </w:rPr>
        <w:t>revoc</w:t>
      </w:r>
      <w:r w:rsidR="004F70CB" w:rsidRPr="00623A98">
        <w:rPr>
          <w:lang w:val="es-ES_tradnl"/>
        </w:rPr>
        <w:t>ó</w:t>
      </w:r>
      <w:r w:rsidRPr="00623A98">
        <w:rPr>
          <w:lang w:val="es-ES_tradnl"/>
        </w:rPr>
        <w:t xml:space="preserve"> la resolución dictada en el expediente TEEG-JPDC-</w:t>
      </w:r>
      <w:r w:rsidRPr="00623A98">
        <w:rPr>
          <w:lang w:val="es-ES_tradnl"/>
        </w:rPr>
        <w:lastRenderedPageBreak/>
        <w:t>214/2021, bajo la consideración</w:t>
      </w:r>
      <w:r w:rsidR="008D7994" w:rsidRPr="00623A98">
        <w:rPr>
          <w:lang w:val="es-ES_tradnl"/>
        </w:rPr>
        <w:t xml:space="preserve"> de</w:t>
      </w:r>
      <w:r w:rsidR="004F70CB" w:rsidRPr="00623A98">
        <w:rPr>
          <w:lang w:val="es-ES_tradnl"/>
        </w:rPr>
        <w:t xml:space="preserve"> </w:t>
      </w:r>
      <w:r w:rsidRPr="00623A98">
        <w:rPr>
          <w:lang w:val="es-ES_tradnl"/>
        </w:rPr>
        <w:t>que el criterio adoptado por la Sala Superior</w:t>
      </w:r>
      <w:r w:rsidR="004F70CB" w:rsidRPr="00623A98">
        <w:rPr>
          <w:lang w:val="es-ES_tradnl"/>
        </w:rPr>
        <w:t xml:space="preserve"> del Tribunal Electoral del Poder Judicial de la Federación</w:t>
      </w:r>
      <w:r w:rsidRPr="00623A98">
        <w:rPr>
          <w:i/>
          <w:iCs/>
          <w:lang w:val="es-ES_tradnl"/>
        </w:rPr>
        <w:t xml:space="preserve"> </w:t>
      </w:r>
      <w:r w:rsidRPr="00623A98">
        <w:rPr>
          <w:lang w:val="es-ES_tradnl"/>
        </w:rPr>
        <w:t xml:space="preserve">en el expediente SUP-REC-798/2021, señala que las impugnaciones contra candidaturas a diputaciones locales de </w:t>
      </w:r>
      <w:r w:rsidR="00A27CB3" w:rsidRPr="00623A98">
        <w:rPr>
          <w:i/>
          <w:iCs/>
          <w:lang w:val="es-ES_tradnl"/>
        </w:rPr>
        <w:t>RP</w:t>
      </w:r>
      <w:r w:rsidRPr="00623A98">
        <w:rPr>
          <w:lang w:val="es-ES_tradnl"/>
        </w:rPr>
        <w:t xml:space="preserve"> no son irreparables por el hecho de haberse celebrado la jornada electoral, bajo la lógica de que dichas controversias, necesariamente se resuelven antes de que se instale el Congreso </w:t>
      </w:r>
      <w:r w:rsidR="00B0068D" w:rsidRPr="00623A98">
        <w:rPr>
          <w:lang w:val="es-ES_tradnl"/>
        </w:rPr>
        <w:t xml:space="preserve">Local </w:t>
      </w:r>
      <w:r w:rsidRPr="00623A98">
        <w:rPr>
          <w:lang w:val="es-ES_tradnl"/>
        </w:rPr>
        <w:t>del estado de Guanajuato.</w:t>
      </w:r>
      <w:r w:rsidR="00B0068D" w:rsidRPr="00623A98">
        <w:rPr>
          <w:lang w:val="es-ES_tradnl"/>
        </w:rPr>
        <w:t xml:space="preserve"> </w:t>
      </w:r>
      <w:r w:rsidRPr="00623A98">
        <w:rPr>
          <w:lang w:val="es-ES_tradnl"/>
        </w:rPr>
        <w:t>Asimismo, se vinculó a</w:t>
      </w:r>
      <w:r w:rsidR="004F70CB" w:rsidRPr="00623A98">
        <w:rPr>
          <w:lang w:val="es-ES_tradnl"/>
        </w:rPr>
        <w:t>l</w:t>
      </w:r>
      <w:r w:rsidRPr="00623A98">
        <w:rPr>
          <w:lang w:val="es-ES_tradnl"/>
        </w:rPr>
        <w:t xml:space="preserve"> </w:t>
      </w:r>
      <w:r w:rsidR="004F70CB" w:rsidRPr="00623A98">
        <w:rPr>
          <w:i/>
          <w:iCs/>
          <w:lang w:val="es-ES_tradnl"/>
        </w:rPr>
        <w:t>Tribunal Local</w:t>
      </w:r>
      <w:r w:rsidR="004F70CB" w:rsidRPr="00623A98">
        <w:rPr>
          <w:lang w:val="es-ES_tradnl"/>
        </w:rPr>
        <w:t xml:space="preserve"> </w:t>
      </w:r>
      <w:r w:rsidRPr="00623A98">
        <w:rPr>
          <w:lang w:val="es-ES_tradnl"/>
        </w:rPr>
        <w:t>para que, de no existir alguna otra causa de improcedencia, resolviera lo que en derecho correspondiera.</w:t>
      </w:r>
    </w:p>
    <w:p w14:paraId="540E7796" w14:textId="77777777" w:rsidR="000866BF" w:rsidRPr="00623A98" w:rsidRDefault="000866BF" w:rsidP="000866BF">
      <w:pPr>
        <w:autoSpaceDE w:val="0"/>
        <w:autoSpaceDN w:val="0"/>
        <w:adjustRightInd w:val="0"/>
        <w:spacing w:after="0"/>
        <w:rPr>
          <w:lang w:val="es-ES_tradnl"/>
        </w:rPr>
      </w:pPr>
    </w:p>
    <w:p w14:paraId="584BA48C" w14:textId="7923E474" w:rsidR="000866BF" w:rsidRPr="00623A98" w:rsidRDefault="004F70CB" w:rsidP="000866BF">
      <w:pPr>
        <w:autoSpaceDE w:val="0"/>
        <w:autoSpaceDN w:val="0"/>
        <w:adjustRightInd w:val="0"/>
        <w:spacing w:after="0"/>
        <w:rPr>
          <w:rFonts w:cs="Arial"/>
          <w:i/>
          <w:iCs/>
          <w:szCs w:val="24"/>
          <w:lang w:val="es-ES_tradnl"/>
        </w:rPr>
      </w:pPr>
      <w:r w:rsidRPr="00623A98">
        <w:rPr>
          <w:b/>
          <w:bCs/>
          <w:szCs w:val="24"/>
          <w:lang w:val="es-ES_tradnl"/>
        </w:rPr>
        <w:t>1.13.</w:t>
      </w:r>
      <w:r w:rsidR="002D5491" w:rsidRPr="00623A98">
        <w:rPr>
          <w:b/>
          <w:bCs/>
          <w:szCs w:val="24"/>
          <w:lang w:val="es-ES_tradnl"/>
        </w:rPr>
        <w:t xml:space="preserve"> R</w:t>
      </w:r>
      <w:r w:rsidR="002D5491" w:rsidRPr="00623A98">
        <w:rPr>
          <w:rFonts w:cs="Arial"/>
          <w:b/>
          <w:bCs/>
          <w:szCs w:val="24"/>
          <w:lang w:val="es-ES_tradnl"/>
        </w:rPr>
        <w:t xml:space="preserve">esolución </w:t>
      </w:r>
      <w:r w:rsidR="007253DC" w:rsidRPr="00623A98">
        <w:rPr>
          <w:rFonts w:cs="Arial"/>
          <w:b/>
          <w:bCs/>
          <w:szCs w:val="24"/>
          <w:lang w:val="es-ES_tradnl"/>
        </w:rPr>
        <w:t xml:space="preserve">en Cumplimiento </w:t>
      </w:r>
      <w:r w:rsidRPr="00623A98">
        <w:rPr>
          <w:rFonts w:cs="Arial"/>
          <w:b/>
          <w:bCs/>
          <w:szCs w:val="24"/>
          <w:lang w:val="es-ES_tradnl"/>
        </w:rPr>
        <w:t>TEEG</w:t>
      </w:r>
      <w:r w:rsidR="00A27CB3" w:rsidRPr="00623A98">
        <w:rPr>
          <w:rFonts w:cs="Arial"/>
          <w:b/>
          <w:bCs/>
          <w:szCs w:val="24"/>
          <w:lang w:val="es-ES_tradnl"/>
        </w:rPr>
        <w:t>-</w:t>
      </w:r>
      <w:r w:rsidRPr="00623A98">
        <w:rPr>
          <w:rFonts w:cs="Arial"/>
          <w:b/>
          <w:bCs/>
          <w:szCs w:val="24"/>
          <w:lang w:val="es-ES_tradnl"/>
        </w:rPr>
        <w:t xml:space="preserve">JPDC-214/2021. </w:t>
      </w:r>
      <w:r w:rsidR="000866BF" w:rsidRPr="00623A98">
        <w:rPr>
          <w:rFonts w:cs="Arial"/>
          <w:szCs w:val="24"/>
          <w:lang w:val="es-ES_tradnl"/>
        </w:rPr>
        <w:t>E</w:t>
      </w:r>
      <w:r w:rsidR="008D7994" w:rsidRPr="00623A98">
        <w:rPr>
          <w:rFonts w:cs="Arial"/>
          <w:szCs w:val="24"/>
          <w:lang w:val="es-ES_tradnl"/>
        </w:rPr>
        <w:t>l</w:t>
      </w:r>
      <w:r w:rsidR="000866BF" w:rsidRPr="00623A98">
        <w:rPr>
          <w:rFonts w:cs="Arial"/>
          <w:szCs w:val="24"/>
          <w:lang w:val="es-ES_tradnl"/>
        </w:rPr>
        <w:t xml:space="preserve"> diecinueve de julio, e</w:t>
      </w:r>
      <w:r w:rsidRPr="00623A98">
        <w:rPr>
          <w:rFonts w:cs="Arial"/>
          <w:szCs w:val="24"/>
          <w:lang w:val="es-ES_tradnl"/>
        </w:rPr>
        <w:t xml:space="preserve">n cumplimiento a lo </w:t>
      </w:r>
      <w:r w:rsidR="000866BF" w:rsidRPr="00623A98">
        <w:rPr>
          <w:rFonts w:cs="Arial"/>
          <w:szCs w:val="24"/>
          <w:lang w:val="es-ES_tradnl"/>
        </w:rPr>
        <w:t>ordenado</w:t>
      </w:r>
      <w:r w:rsidRPr="00623A98">
        <w:rPr>
          <w:rFonts w:cs="Arial"/>
          <w:szCs w:val="24"/>
          <w:lang w:val="es-ES_tradnl"/>
        </w:rPr>
        <w:t xml:space="preserve"> por</w:t>
      </w:r>
      <w:r w:rsidR="007253DC" w:rsidRPr="00623A98">
        <w:rPr>
          <w:rFonts w:cs="Arial"/>
          <w:szCs w:val="24"/>
          <w:lang w:val="es-ES_tradnl"/>
        </w:rPr>
        <w:t xml:space="preserve"> esta Sala Regional</w:t>
      </w:r>
      <w:r w:rsidRPr="00623A98">
        <w:rPr>
          <w:rFonts w:cs="Arial"/>
          <w:szCs w:val="24"/>
          <w:lang w:val="es-ES_tradnl"/>
        </w:rPr>
        <w:t>,</w:t>
      </w:r>
      <w:r w:rsidR="007253DC" w:rsidRPr="00623A98">
        <w:rPr>
          <w:rFonts w:cs="Arial"/>
          <w:szCs w:val="24"/>
          <w:lang w:val="es-ES_tradnl"/>
        </w:rPr>
        <w:t xml:space="preserve"> </w:t>
      </w:r>
      <w:r w:rsidRPr="00623A98">
        <w:rPr>
          <w:rFonts w:cs="Arial"/>
          <w:szCs w:val="24"/>
          <w:lang w:val="es-ES_tradnl"/>
        </w:rPr>
        <w:t>e</w:t>
      </w:r>
      <w:r w:rsidR="007253DC" w:rsidRPr="00623A98">
        <w:rPr>
          <w:rFonts w:cs="Arial"/>
          <w:szCs w:val="24"/>
          <w:lang w:val="es-ES_tradnl"/>
        </w:rPr>
        <w:t>l</w:t>
      </w:r>
      <w:r w:rsidRPr="00623A98">
        <w:rPr>
          <w:rFonts w:cs="Arial"/>
          <w:szCs w:val="24"/>
          <w:lang w:val="es-ES_tradnl"/>
        </w:rPr>
        <w:t xml:space="preserve"> </w:t>
      </w:r>
      <w:r w:rsidRPr="00623A98">
        <w:rPr>
          <w:rFonts w:cs="Arial"/>
          <w:i/>
          <w:iCs/>
          <w:szCs w:val="24"/>
          <w:lang w:val="es-ES_tradnl"/>
        </w:rPr>
        <w:t>Tribunal</w:t>
      </w:r>
      <w:r w:rsidR="007253DC" w:rsidRPr="00623A98">
        <w:rPr>
          <w:rFonts w:cs="Arial"/>
          <w:i/>
          <w:iCs/>
          <w:szCs w:val="24"/>
          <w:lang w:val="es-ES_tradnl"/>
        </w:rPr>
        <w:t xml:space="preserve"> Local</w:t>
      </w:r>
      <w:r w:rsidRPr="00623A98">
        <w:rPr>
          <w:rFonts w:cs="Arial"/>
          <w:i/>
          <w:iCs/>
          <w:szCs w:val="24"/>
          <w:lang w:val="es-ES_tradnl"/>
        </w:rPr>
        <w:t xml:space="preserve"> </w:t>
      </w:r>
      <w:r w:rsidRPr="00623A98">
        <w:rPr>
          <w:rFonts w:cs="Arial"/>
          <w:szCs w:val="24"/>
          <w:lang w:val="es-ES_tradnl"/>
        </w:rPr>
        <w:t>dictó nueva determinación en la cual revocó la</w:t>
      </w:r>
      <w:r w:rsidR="007253DC" w:rsidRPr="00623A98">
        <w:rPr>
          <w:rFonts w:cs="Arial"/>
          <w:szCs w:val="24"/>
          <w:lang w:val="es-ES_tradnl"/>
        </w:rPr>
        <w:t xml:space="preserve"> </w:t>
      </w:r>
      <w:r w:rsidRPr="00623A98">
        <w:rPr>
          <w:rFonts w:cs="Arial"/>
          <w:szCs w:val="24"/>
          <w:lang w:val="es-ES_tradnl"/>
        </w:rPr>
        <w:t>resolución</w:t>
      </w:r>
      <w:r w:rsidR="007253DC" w:rsidRPr="00623A98">
        <w:rPr>
          <w:rFonts w:cs="Arial"/>
          <w:szCs w:val="24"/>
          <w:lang w:val="es-ES_tradnl"/>
        </w:rPr>
        <w:t xml:space="preserve"> </w:t>
      </w:r>
      <w:r w:rsidRPr="00623A98">
        <w:rPr>
          <w:rFonts w:cs="Arial"/>
          <w:szCs w:val="24"/>
          <w:lang w:val="es-ES_tradnl"/>
        </w:rPr>
        <w:t xml:space="preserve">emitida por la </w:t>
      </w:r>
      <w:r w:rsidR="00B45079" w:rsidRPr="00623A98">
        <w:rPr>
          <w:rFonts w:cs="Arial"/>
          <w:i/>
          <w:iCs/>
          <w:szCs w:val="24"/>
          <w:lang w:val="es-ES_tradnl"/>
        </w:rPr>
        <w:t>CNHJ</w:t>
      </w:r>
      <w:r w:rsidR="00B45079" w:rsidRPr="00623A98">
        <w:rPr>
          <w:rFonts w:cs="Arial"/>
          <w:szCs w:val="24"/>
          <w:lang w:val="es-ES_tradnl"/>
        </w:rPr>
        <w:t xml:space="preserve"> </w:t>
      </w:r>
      <w:r w:rsidRPr="00623A98">
        <w:rPr>
          <w:rFonts w:cs="Arial"/>
          <w:szCs w:val="24"/>
          <w:lang w:val="es-ES_tradnl"/>
        </w:rPr>
        <w:t>para que estudiara el fondo del</w:t>
      </w:r>
      <w:r w:rsidR="007253DC" w:rsidRPr="00623A98">
        <w:rPr>
          <w:rFonts w:cs="Arial"/>
          <w:szCs w:val="24"/>
          <w:lang w:val="es-ES_tradnl"/>
        </w:rPr>
        <w:t xml:space="preserve"> </w:t>
      </w:r>
      <w:r w:rsidRPr="00623A98">
        <w:rPr>
          <w:rFonts w:cs="Arial"/>
          <w:szCs w:val="24"/>
          <w:lang w:val="es-ES_tradnl"/>
        </w:rPr>
        <w:t>asunto y determinara lo que en derecho</w:t>
      </w:r>
      <w:r w:rsidR="007253DC" w:rsidRPr="00623A98">
        <w:rPr>
          <w:rFonts w:cs="Arial"/>
          <w:szCs w:val="24"/>
          <w:lang w:val="es-ES_tradnl"/>
        </w:rPr>
        <w:t xml:space="preserve"> </w:t>
      </w:r>
      <w:r w:rsidRPr="00623A98">
        <w:rPr>
          <w:rFonts w:cs="Arial"/>
          <w:szCs w:val="24"/>
          <w:lang w:val="es-ES_tradnl"/>
        </w:rPr>
        <w:t>correspondiera</w:t>
      </w:r>
      <w:r w:rsidRPr="00623A98">
        <w:rPr>
          <w:rFonts w:cs="Arial"/>
          <w:i/>
          <w:iCs/>
          <w:szCs w:val="24"/>
          <w:lang w:val="es-ES_tradnl"/>
        </w:rPr>
        <w:t>.</w:t>
      </w:r>
    </w:p>
    <w:p w14:paraId="03A66999" w14:textId="77777777" w:rsidR="000866BF" w:rsidRPr="00623A98" w:rsidRDefault="000866BF" w:rsidP="000866BF">
      <w:pPr>
        <w:autoSpaceDE w:val="0"/>
        <w:autoSpaceDN w:val="0"/>
        <w:adjustRightInd w:val="0"/>
        <w:spacing w:after="0"/>
        <w:rPr>
          <w:rFonts w:eastAsia="Times New Roman" w:cs="Arial"/>
          <w:b/>
          <w:szCs w:val="24"/>
          <w:lang w:val="es-ES_tradnl" w:eastAsia="es-MX"/>
        </w:rPr>
      </w:pPr>
    </w:p>
    <w:p w14:paraId="428AFEE9" w14:textId="3658B043" w:rsidR="00DB5BA7" w:rsidRPr="00623A98" w:rsidRDefault="002D5491" w:rsidP="00DB5BA7">
      <w:pPr>
        <w:autoSpaceDE w:val="0"/>
        <w:autoSpaceDN w:val="0"/>
        <w:adjustRightInd w:val="0"/>
        <w:spacing w:after="0"/>
        <w:rPr>
          <w:rFonts w:eastAsia="Times New Roman" w:cs="Arial"/>
          <w:szCs w:val="24"/>
          <w:lang w:val="es-ES_tradnl" w:eastAsia="es-MX"/>
        </w:rPr>
      </w:pPr>
      <w:r w:rsidRPr="00623A98">
        <w:rPr>
          <w:rFonts w:eastAsia="Times New Roman" w:cs="Arial"/>
          <w:b/>
          <w:szCs w:val="24"/>
          <w:lang w:val="es-ES_tradnl" w:eastAsia="es-MX"/>
        </w:rPr>
        <w:t xml:space="preserve">1.14. Tercera resolución </w:t>
      </w:r>
      <w:proofErr w:type="spellStart"/>
      <w:r w:rsidRPr="00623A98">
        <w:rPr>
          <w:rFonts w:eastAsia="Times New Roman" w:cs="Arial"/>
          <w:b/>
          <w:szCs w:val="24"/>
          <w:lang w:val="es-ES_tradnl" w:eastAsia="es-MX"/>
        </w:rPr>
        <w:t>intrapartidista</w:t>
      </w:r>
      <w:proofErr w:type="spellEnd"/>
      <w:r w:rsidRPr="00623A98">
        <w:rPr>
          <w:rFonts w:eastAsia="Times New Roman" w:cs="Arial"/>
          <w:b/>
          <w:szCs w:val="24"/>
          <w:lang w:val="es-ES_tradnl" w:eastAsia="es-MX"/>
        </w:rPr>
        <w:t xml:space="preserve"> </w:t>
      </w:r>
      <w:r w:rsidRPr="00623A98">
        <w:rPr>
          <w:rFonts w:eastAsia="Times New Roman" w:cs="Arial"/>
          <w:b/>
          <w:bCs/>
          <w:szCs w:val="24"/>
          <w:lang w:val="es-ES_tradnl" w:eastAsia="es-MX"/>
        </w:rPr>
        <w:t xml:space="preserve">CNHJ-GTO-1228/2021. </w:t>
      </w:r>
      <w:r w:rsidRPr="00623A98">
        <w:rPr>
          <w:rFonts w:eastAsia="Times New Roman" w:cs="Arial"/>
          <w:szCs w:val="24"/>
          <w:lang w:val="es-ES_tradnl" w:eastAsia="es-MX"/>
        </w:rPr>
        <w:t xml:space="preserve">El </w:t>
      </w:r>
      <w:r w:rsidR="00534FB9" w:rsidRPr="00623A98">
        <w:rPr>
          <w:rFonts w:eastAsia="Times New Roman" w:cs="Arial"/>
          <w:szCs w:val="24"/>
          <w:lang w:val="es-ES_tradnl" w:eastAsia="es-MX"/>
        </w:rPr>
        <w:t>veintidós de</w:t>
      </w:r>
      <w:r w:rsidRPr="00623A98">
        <w:rPr>
          <w:rFonts w:eastAsia="Times New Roman" w:cs="Arial"/>
          <w:szCs w:val="24"/>
          <w:lang w:val="es-ES_tradnl" w:eastAsia="es-MX"/>
        </w:rPr>
        <w:t xml:space="preserve"> julio, la </w:t>
      </w:r>
      <w:r w:rsidR="00B45079" w:rsidRPr="00623A98">
        <w:rPr>
          <w:rFonts w:cs="Arial"/>
          <w:i/>
          <w:iCs/>
          <w:szCs w:val="24"/>
          <w:lang w:val="es-ES_tradnl"/>
        </w:rPr>
        <w:t>CNHJ</w:t>
      </w:r>
      <w:r w:rsidRPr="00623A98">
        <w:rPr>
          <w:rFonts w:eastAsia="Times New Roman" w:cs="Arial"/>
          <w:i/>
          <w:iCs/>
          <w:szCs w:val="24"/>
          <w:lang w:val="es-ES_tradnl" w:eastAsia="es-MX"/>
        </w:rPr>
        <w:t xml:space="preserve">, </w:t>
      </w:r>
      <w:r w:rsidRPr="00623A98">
        <w:rPr>
          <w:rFonts w:eastAsia="Times New Roman" w:cs="Arial"/>
          <w:szCs w:val="24"/>
          <w:lang w:val="es-ES_tradnl" w:eastAsia="es-MX"/>
        </w:rPr>
        <w:t xml:space="preserve">en cumplimiento a lo ordenado por el </w:t>
      </w:r>
      <w:r w:rsidRPr="00623A98">
        <w:rPr>
          <w:rFonts w:eastAsia="Times New Roman" w:cs="Arial"/>
          <w:i/>
          <w:iCs/>
          <w:szCs w:val="24"/>
          <w:lang w:val="es-ES_tradnl" w:eastAsia="es-MX"/>
        </w:rPr>
        <w:t xml:space="preserve">Tribunal Local, </w:t>
      </w:r>
      <w:r w:rsidRPr="00623A98">
        <w:rPr>
          <w:rFonts w:eastAsia="Times New Roman" w:cs="Arial"/>
          <w:szCs w:val="24"/>
          <w:lang w:val="es-ES_tradnl" w:eastAsia="es-MX"/>
        </w:rPr>
        <w:t xml:space="preserve">dictó </w:t>
      </w:r>
      <w:r w:rsidR="00534FB9" w:rsidRPr="00623A98">
        <w:rPr>
          <w:rFonts w:eastAsia="Times New Roman" w:cs="Arial"/>
          <w:szCs w:val="24"/>
          <w:lang w:val="es-ES_tradnl" w:eastAsia="es-MX"/>
        </w:rPr>
        <w:t xml:space="preserve">una </w:t>
      </w:r>
      <w:r w:rsidRPr="00623A98">
        <w:rPr>
          <w:rFonts w:eastAsia="Times New Roman" w:cs="Arial"/>
          <w:szCs w:val="24"/>
          <w:lang w:val="es-ES_tradnl" w:eastAsia="es-MX"/>
        </w:rPr>
        <w:t xml:space="preserve">nueva resolución </w:t>
      </w:r>
      <w:bookmarkStart w:id="7" w:name="_Hlk82208150"/>
      <w:r w:rsidRPr="00623A98">
        <w:rPr>
          <w:rFonts w:eastAsia="Times New Roman" w:cs="Arial"/>
          <w:szCs w:val="24"/>
          <w:lang w:val="es-ES_tradnl" w:eastAsia="es-MX"/>
        </w:rPr>
        <w:t xml:space="preserve">declarando como infundados los agravios hechos valer por el quejoso, pues consideró que la </w:t>
      </w:r>
      <w:r w:rsidR="009308BB" w:rsidRPr="00623A98">
        <w:rPr>
          <w:rFonts w:eastAsia="Times New Roman" w:cs="Arial"/>
          <w:i/>
          <w:iCs/>
          <w:szCs w:val="24"/>
          <w:lang w:val="es-ES_tradnl" w:eastAsia="es-MX"/>
        </w:rPr>
        <w:t>CNE</w:t>
      </w:r>
      <w:r w:rsidR="009308BB" w:rsidRPr="00623A98">
        <w:rPr>
          <w:rFonts w:eastAsia="Times New Roman" w:cs="Arial"/>
          <w:szCs w:val="24"/>
          <w:lang w:val="es-ES_tradnl" w:eastAsia="es-MX"/>
        </w:rPr>
        <w:t xml:space="preserve"> </w:t>
      </w:r>
      <w:r w:rsidRPr="00623A98">
        <w:rPr>
          <w:rFonts w:eastAsia="Times New Roman" w:cs="Arial"/>
          <w:szCs w:val="24"/>
          <w:lang w:val="es-ES_tradnl" w:eastAsia="es-MX"/>
        </w:rPr>
        <w:t>llevó a cabo el proceso de selección de las candidaturas reservadas en las primeras cuatro posiciones en los términos establecidos por MORENA</w:t>
      </w:r>
      <w:bookmarkEnd w:id="7"/>
      <w:r w:rsidRPr="00623A98">
        <w:rPr>
          <w:rFonts w:eastAsia="Times New Roman" w:cs="Arial"/>
          <w:szCs w:val="24"/>
          <w:lang w:val="es-ES_tradnl" w:eastAsia="es-MX"/>
        </w:rPr>
        <w:t>.</w:t>
      </w:r>
    </w:p>
    <w:p w14:paraId="6E9B46D9" w14:textId="77777777" w:rsidR="00DB5BA7" w:rsidRPr="00623A98" w:rsidRDefault="00DB5BA7" w:rsidP="00DB5BA7">
      <w:pPr>
        <w:autoSpaceDE w:val="0"/>
        <w:autoSpaceDN w:val="0"/>
        <w:adjustRightInd w:val="0"/>
        <w:spacing w:after="0"/>
        <w:rPr>
          <w:rFonts w:eastAsia="Times New Roman" w:cs="Arial"/>
          <w:szCs w:val="24"/>
          <w:lang w:val="es-ES_tradnl" w:eastAsia="es-MX"/>
        </w:rPr>
      </w:pPr>
    </w:p>
    <w:p w14:paraId="49E355DF" w14:textId="4FFFB6C3" w:rsidR="00DB5BA7" w:rsidRPr="00623A98" w:rsidRDefault="002D5491" w:rsidP="00DB5BA7">
      <w:pPr>
        <w:autoSpaceDE w:val="0"/>
        <w:autoSpaceDN w:val="0"/>
        <w:adjustRightInd w:val="0"/>
        <w:spacing w:after="0"/>
        <w:rPr>
          <w:rFonts w:cs="Arial"/>
          <w:szCs w:val="24"/>
          <w:lang w:val="es-ES_tradnl"/>
        </w:rPr>
      </w:pPr>
      <w:r w:rsidRPr="00623A98">
        <w:rPr>
          <w:rFonts w:eastAsia="Times New Roman" w:cs="Arial"/>
          <w:b/>
          <w:bCs/>
          <w:szCs w:val="24"/>
          <w:lang w:val="es-ES_tradnl" w:eastAsia="es-MX"/>
        </w:rPr>
        <w:t xml:space="preserve">1.15. </w:t>
      </w:r>
      <w:r w:rsidR="00534FB9" w:rsidRPr="00623A98">
        <w:rPr>
          <w:rFonts w:cs="Arial"/>
          <w:b/>
          <w:bCs/>
          <w:szCs w:val="24"/>
          <w:lang w:val="es-ES_tradnl"/>
        </w:rPr>
        <w:t>Cuarto</w:t>
      </w:r>
      <w:r w:rsidR="000F1916" w:rsidRPr="00623A98">
        <w:rPr>
          <w:rFonts w:cs="Arial"/>
          <w:b/>
          <w:bCs/>
          <w:szCs w:val="24"/>
          <w:lang w:val="es-ES_tradnl"/>
        </w:rPr>
        <w:t xml:space="preserve"> </w:t>
      </w:r>
      <w:r w:rsidR="00534FB9" w:rsidRPr="00623A98">
        <w:rPr>
          <w:rFonts w:cs="Arial"/>
          <w:b/>
          <w:bCs/>
          <w:szCs w:val="24"/>
          <w:lang w:val="es-ES_tradnl"/>
        </w:rPr>
        <w:t>j</w:t>
      </w:r>
      <w:r w:rsidRPr="00623A98">
        <w:rPr>
          <w:rFonts w:cs="Arial"/>
          <w:b/>
          <w:bCs/>
          <w:szCs w:val="24"/>
          <w:lang w:val="es-ES_tradnl"/>
        </w:rPr>
        <w:t>uicio ciudadano</w:t>
      </w:r>
      <w:r w:rsidR="000F1916" w:rsidRPr="00623A98">
        <w:rPr>
          <w:rFonts w:cs="Arial"/>
          <w:b/>
          <w:bCs/>
          <w:szCs w:val="24"/>
          <w:lang w:val="es-ES_tradnl"/>
        </w:rPr>
        <w:t xml:space="preserve"> local</w:t>
      </w:r>
      <w:r w:rsidRPr="00623A98">
        <w:rPr>
          <w:rFonts w:cs="Arial"/>
          <w:b/>
          <w:bCs/>
          <w:i/>
          <w:iCs/>
          <w:szCs w:val="24"/>
          <w:lang w:val="es-ES_tradnl"/>
        </w:rPr>
        <w:t xml:space="preserve"> </w:t>
      </w:r>
      <w:r w:rsidRPr="00623A98">
        <w:rPr>
          <w:rFonts w:cs="Arial"/>
          <w:b/>
          <w:bCs/>
          <w:szCs w:val="24"/>
          <w:lang w:val="es-ES_tradnl"/>
        </w:rPr>
        <w:t xml:space="preserve">TEEGJPDC-268/2021. </w:t>
      </w:r>
      <w:r w:rsidRPr="00623A98">
        <w:rPr>
          <w:rFonts w:cs="Arial"/>
          <w:szCs w:val="24"/>
          <w:lang w:val="es-ES_tradnl"/>
        </w:rPr>
        <w:t xml:space="preserve">Inconforme </w:t>
      </w:r>
      <w:r w:rsidR="00534FB9" w:rsidRPr="00623A98">
        <w:rPr>
          <w:rFonts w:cs="Arial"/>
          <w:szCs w:val="24"/>
          <w:lang w:val="es-ES_tradnl"/>
        </w:rPr>
        <w:t>con lo anterior, el veintiocho de julio</w:t>
      </w:r>
      <w:r w:rsidR="008D7994" w:rsidRPr="00623A98">
        <w:rPr>
          <w:rFonts w:cs="Arial"/>
          <w:szCs w:val="24"/>
          <w:lang w:val="es-ES_tradnl"/>
        </w:rPr>
        <w:t>,</w:t>
      </w:r>
      <w:r w:rsidR="00534FB9" w:rsidRPr="00623A98">
        <w:rPr>
          <w:rFonts w:cs="Arial"/>
          <w:szCs w:val="24"/>
          <w:lang w:val="es-ES_tradnl"/>
        </w:rPr>
        <w:t xml:space="preserve"> el promovente</w:t>
      </w:r>
      <w:r w:rsidRPr="00623A98">
        <w:rPr>
          <w:rFonts w:cs="Arial"/>
          <w:szCs w:val="24"/>
          <w:lang w:val="es-ES_tradnl"/>
        </w:rPr>
        <w:t xml:space="preserve"> interpuso</w:t>
      </w:r>
      <w:r w:rsidR="00534FB9" w:rsidRPr="00623A98">
        <w:rPr>
          <w:rFonts w:cs="Arial"/>
          <w:szCs w:val="24"/>
          <w:lang w:val="es-ES_tradnl"/>
        </w:rPr>
        <w:t xml:space="preserve"> </w:t>
      </w:r>
      <w:r w:rsidR="00B0068D" w:rsidRPr="00623A98">
        <w:rPr>
          <w:rFonts w:cs="Arial"/>
          <w:szCs w:val="24"/>
          <w:lang w:val="es-ES_tradnl"/>
        </w:rPr>
        <w:t xml:space="preserve">el </w:t>
      </w:r>
      <w:r w:rsidR="00534FB9" w:rsidRPr="00623A98">
        <w:rPr>
          <w:rFonts w:cs="Arial"/>
          <w:szCs w:val="24"/>
          <w:lang w:val="es-ES_tradnl"/>
        </w:rPr>
        <w:t>medio de impugnación</w:t>
      </w:r>
      <w:r w:rsidR="000F1916" w:rsidRPr="00623A98">
        <w:rPr>
          <w:rFonts w:cs="Arial"/>
          <w:szCs w:val="24"/>
          <w:lang w:val="es-ES_tradnl"/>
        </w:rPr>
        <w:t>.</w:t>
      </w:r>
      <w:r w:rsidR="00B0068D" w:rsidRPr="00623A98">
        <w:rPr>
          <w:rFonts w:cs="Arial"/>
          <w:szCs w:val="24"/>
          <w:lang w:val="es-ES_tradnl"/>
        </w:rPr>
        <w:t xml:space="preserve"> </w:t>
      </w:r>
      <w:r w:rsidR="00534FB9" w:rsidRPr="00623A98">
        <w:rPr>
          <w:rFonts w:cs="Arial"/>
          <w:szCs w:val="24"/>
          <w:lang w:val="es-ES_tradnl"/>
        </w:rPr>
        <w:t>E</w:t>
      </w:r>
      <w:r w:rsidR="008D7994" w:rsidRPr="00623A98">
        <w:rPr>
          <w:rFonts w:cs="Arial"/>
          <w:szCs w:val="24"/>
          <w:lang w:val="es-ES_tradnl"/>
        </w:rPr>
        <w:t xml:space="preserve">n el cual, el </w:t>
      </w:r>
      <w:r w:rsidR="00534FB9" w:rsidRPr="00623A98">
        <w:rPr>
          <w:rFonts w:cs="Arial"/>
          <w:szCs w:val="24"/>
          <w:lang w:val="es-ES_tradnl"/>
        </w:rPr>
        <w:t xml:space="preserve">pasado tres de septiembre, </w:t>
      </w:r>
      <w:r w:rsidR="000F1916" w:rsidRPr="00623A98">
        <w:rPr>
          <w:rFonts w:eastAsia="Calibri"/>
          <w:szCs w:val="22"/>
          <w:lang w:val="es-ES_tradnl"/>
        </w:rPr>
        <w:t xml:space="preserve">en lo que interesa, el </w:t>
      </w:r>
      <w:r w:rsidR="000F1916" w:rsidRPr="00623A98">
        <w:rPr>
          <w:rFonts w:eastAsia="Calibri"/>
          <w:i/>
          <w:iCs/>
          <w:szCs w:val="22"/>
          <w:lang w:val="es-ES_tradnl"/>
        </w:rPr>
        <w:t>Tribunal Local</w:t>
      </w:r>
      <w:r w:rsidR="000F1916" w:rsidRPr="00623A98">
        <w:rPr>
          <w:rFonts w:eastAsia="Calibri"/>
          <w:szCs w:val="22"/>
          <w:lang w:val="es-ES_tradnl"/>
        </w:rPr>
        <w:t>, medi</w:t>
      </w:r>
      <w:r w:rsidR="00B0068D" w:rsidRPr="00623A98">
        <w:rPr>
          <w:rFonts w:eastAsia="Calibri"/>
          <w:szCs w:val="22"/>
          <w:lang w:val="es-ES_tradnl"/>
        </w:rPr>
        <w:t>ante</w:t>
      </w:r>
      <w:r w:rsidR="000F1916" w:rsidRPr="00623A98">
        <w:rPr>
          <w:rFonts w:eastAsia="Calibri"/>
          <w:szCs w:val="22"/>
          <w:lang w:val="es-ES_tradnl"/>
        </w:rPr>
        <w:t xml:space="preserve"> fall</w:t>
      </w:r>
      <w:r w:rsidR="0048343B" w:rsidRPr="00623A98">
        <w:rPr>
          <w:rFonts w:eastAsia="Calibri"/>
          <w:szCs w:val="22"/>
          <w:lang w:val="es-ES_tradnl"/>
        </w:rPr>
        <w:t>o</w:t>
      </w:r>
      <w:r w:rsidR="000F1916" w:rsidRPr="00623A98">
        <w:rPr>
          <w:rFonts w:eastAsia="Calibri"/>
          <w:szCs w:val="22"/>
          <w:lang w:val="es-ES_tradnl"/>
        </w:rPr>
        <w:t xml:space="preserve"> confirmó la </w:t>
      </w:r>
      <w:r w:rsidR="0048343B" w:rsidRPr="00623A98">
        <w:rPr>
          <w:rFonts w:eastAsia="Calibri"/>
          <w:szCs w:val="22"/>
          <w:lang w:val="es-ES_tradnl"/>
        </w:rPr>
        <w:t>resolución</w:t>
      </w:r>
      <w:r w:rsidR="000F1916" w:rsidRPr="00623A98">
        <w:rPr>
          <w:rFonts w:eastAsia="Calibri"/>
          <w:szCs w:val="22"/>
          <w:lang w:val="es-ES_tradnl"/>
        </w:rPr>
        <w:t xml:space="preserve"> emitida por la </w:t>
      </w:r>
      <w:r w:rsidR="00B45079" w:rsidRPr="00623A98">
        <w:rPr>
          <w:rFonts w:cs="Arial"/>
          <w:i/>
          <w:iCs/>
          <w:szCs w:val="24"/>
          <w:lang w:val="es-ES_tradnl"/>
        </w:rPr>
        <w:t>CNHJ</w:t>
      </w:r>
      <w:r w:rsidR="00B45079" w:rsidRPr="00623A98">
        <w:rPr>
          <w:rFonts w:eastAsia="Calibri"/>
          <w:szCs w:val="22"/>
          <w:lang w:val="es-ES_tradnl"/>
        </w:rPr>
        <w:t xml:space="preserve"> </w:t>
      </w:r>
      <w:r w:rsidR="000F1916" w:rsidRPr="00623A98">
        <w:rPr>
          <w:rFonts w:eastAsia="Calibri"/>
          <w:szCs w:val="22"/>
          <w:lang w:val="es-ES_tradnl"/>
        </w:rPr>
        <w:t>de veintidós de julio, dentro del expediente CNHJ-GTO-1228/2021.</w:t>
      </w:r>
    </w:p>
    <w:p w14:paraId="41E7C437" w14:textId="77777777" w:rsidR="00DB5BA7" w:rsidRPr="00623A98" w:rsidRDefault="00DB5BA7" w:rsidP="00DB5BA7">
      <w:pPr>
        <w:autoSpaceDE w:val="0"/>
        <w:autoSpaceDN w:val="0"/>
        <w:adjustRightInd w:val="0"/>
        <w:spacing w:after="0"/>
        <w:rPr>
          <w:rFonts w:eastAsia="Calibri"/>
          <w:szCs w:val="22"/>
          <w:lang w:val="es-ES_tradnl"/>
        </w:rPr>
      </w:pPr>
    </w:p>
    <w:p w14:paraId="3095B500" w14:textId="1C088BD5" w:rsidR="003B3573" w:rsidRPr="00623A98" w:rsidRDefault="001743D8" w:rsidP="003B3573">
      <w:pPr>
        <w:tabs>
          <w:tab w:val="left" w:pos="851"/>
        </w:tabs>
        <w:autoSpaceDE w:val="0"/>
        <w:autoSpaceDN w:val="0"/>
        <w:adjustRightInd w:val="0"/>
        <w:rPr>
          <w:rFonts w:eastAsia="Times New Roman" w:cs="Arial"/>
          <w:bCs/>
          <w:szCs w:val="24"/>
          <w:lang w:val="es-ES_tradnl" w:eastAsia="es-MX"/>
        </w:rPr>
      </w:pPr>
      <w:r w:rsidRPr="00623A98">
        <w:rPr>
          <w:rFonts w:eastAsia="Times New Roman" w:cs="Arial"/>
          <w:b/>
          <w:bCs/>
          <w:szCs w:val="24"/>
          <w:lang w:val="es-ES_tradnl" w:eastAsia="es-MX"/>
        </w:rPr>
        <w:t>1.</w:t>
      </w:r>
      <w:r w:rsidR="00DB5BA7" w:rsidRPr="00623A98">
        <w:rPr>
          <w:rFonts w:eastAsia="Times New Roman" w:cs="Arial"/>
          <w:b/>
          <w:bCs/>
          <w:szCs w:val="24"/>
          <w:lang w:val="es-ES_tradnl" w:eastAsia="es-MX"/>
        </w:rPr>
        <w:t>1</w:t>
      </w:r>
      <w:r w:rsidR="003B3573" w:rsidRPr="00623A98">
        <w:rPr>
          <w:rFonts w:eastAsia="Times New Roman" w:cs="Arial"/>
          <w:b/>
          <w:bCs/>
          <w:szCs w:val="24"/>
          <w:lang w:val="es-ES_tradnl" w:eastAsia="es-MX"/>
        </w:rPr>
        <w:t>6</w:t>
      </w:r>
      <w:r w:rsidR="00017078" w:rsidRPr="00623A98">
        <w:rPr>
          <w:rFonts w:eastAsia="Times New Roman" w:cs="Arial"/>
          <w:b/>
          <w:bCs/>
          <w:szCs w:val="24"/>
          <w:lang w:val="es-ES_tradnl" w:eastAsia="es-MX"/>
        </w:rPr>
        <w:t>.</w:t>
      </w:r>
      <w:r w:rsidRPr="00623A98">
        <w:rPr>
          <w:rFonts w:eastAsia="Times New Roman" w:cs="Arial"/>
          <w:b/>
          <w:bCs/>
          <w:szCs w:val="24"/>
          <w:lang w:val="es-ES_tradnl" w:eastAsia="es-MX"/>
        </w:rPr>
        <w:t xml:space="preserve"> </w:t>
      </w:r>
      <w:r w:rsidR="00DB5BA7" w:rsidRPr="00623A98">
        <w:rPr>
          <w:rFonts w:eastAsia="Times New Roman" w:cs="Arial"/>
          <w:b/>
          <w:bCs/>
          <w:szCs w:val="24"/>
          <w:lang w:val="es-ES_tradnl" w:eastAsia="es-MX"/>
        </w:rPr>
        <w:t xml:space="preserve">Segundo </w:t>
      </w:r>
      <w:r w:rsidR="0048343B" w:rsidRPr="00623A98">
        <w:rPr>
          <w:rFonts w:eastAsia="Times New Roman" w:cs="Arial"/>
          <w:b/>
          <w:bCs/>
          <w:szCs w:val="24"/>
          <w:lang w:val="es-ES_tradnl" w:eastAsia="es-MX"/>
        </w:rPr>
        <w:t>j</w:t>
      </w:r>
      <w:r w:rsidRPr="00623A98">
        <w:rPr>
          <w:rFonts w:eastAsia="Times New Roman" w:cs="Arial"/>
          <w:b/>
          <w:bCs/>
          <w:szCs w:val="24"/>
          <w:lang w:val="es-ES_tradnl" w:eastAsia="es-MX"/>
        </w:rPr>
        <w:t>uicio federal.</w:t>
      </w:r>
      <w:r w:rsidRPr="00623A98">
        <w:rPr>
          <w:rFonts w:eastAsia="Times New Roman" w:cs="Arial"/>
          <w:szCs w:val="24"/>
          <w:lang w:val="es-ES_tradnl" w:eastAsia="es-MX"/>
        </w:rPr>
        <w:t xml:space="preserve"> Inconforme con dicha determinación, el </w:t>
      </w:r>
      <w:r w:rsidR="00A95212" w:rsidRPr="00623A98">
        <w:rPr>
          <w:rFonts w:eastAsia="Times New Roman" w:cs="Arial"/>
          <w:szCs w:val="24"/>
          <w:lang w:val="es-ES_tradnl" w:eastAsia="es-MX"/>
        </w:rPr>
        <w:t>s</w:t>
      </w:r>
      <w:r w:rsidR="00DB5BA7" w:rsidRPr="00623A98">
        <w:rPr>
          <w:rFonts w:eastAsia="Times New Roman" w:cs="Arial"/>
          <w:szCs w:val="24"/>
          <w:lang w:val="es-ES_tradnl" w:eastAsia="es-MX"/>
        </w:rPr>
        <w:t>iete</w:t>
      </w:r>
      <w:r w:rsidR="00A95212" w:rsidRPr="00623A98">
        <w:rPr>
          <w:rFonts w:eastAsia="Times New Roman" w:cs="Arial"/>
          <w:szCs w:val="24"/>
          <w:lang w:val="es-ES_tradnl" w:eastAsia="es-MX"/>
        </w:rPr>
        <w:t xml:space="preserve"> </w:t>
      </w:r>
      <w:r w:rsidR="006F59A4" w:rsidRPr="00623A98">
        <w:rPr>
          <w:rFonts w:eastAsia="Times New Roman" w:cs="Arial"/>
          <w:szCs w:val="24"/>
          <w:lang w:val="es-ES_tradnl" w:eastAsia="es-MX"/>
        </w:rPr>
        <w:t xml:space="preserve">de </w:t>
      </w:r>
      <w:r w:rsidR="00A95212" w:rsidRPr="00623A98">
        <w:rPr>
          <w:rFonts w:eastAsia="Times New Roman" w:cs="Arial"/>
          <w:szCs w:val="24"/>
          <w:lang w:val="es-ES_tradnl" w:eastAsia="es-MX"/>
        </w:rPr>
        <w:t>se</w:t>
      </w:r>
      <w:r w:rsidR="003F181B" w:rsidRPr="00623A98">
        <w:rPr>
          <w:rFonts w:eastAsia="Times New Roman" w:cs="Arial"/>
          <w:szCs w:val="24"/>
          <w:lang w:val="es-ES_tradnl" w:eastAsia="es-MX"/>
        </w:rPr>
        <w:t>ptiembre</w:t>
      </w:r>
      <w:r w:rsidR="00800914" w:rsidRPr="00623A98">
        <w:rPr>
          <w:rFonts w:eastAsia="Times New Roman" w:cs="Arial"/>
          <w:szCs w:val="24"/>
          <w:lang w:val="es-ES_tradnl" w:eastAsia="es-MX"/>
        </w:rPr>
        <w:t>,</w:t>
      </w:r>
      <w:r w:rsidR="00017078" w:rsidRPr="00623A98">
        <w:rPr>
          <w:rFonts w:eastAsia="Times New Roman" w:cs="Arial"/>
          <w:szCs w:val="24"/>
          <w:lang w:val="es-ES_tradnl" w:eastAsia="es-MX"/>
        </w:rPr>
        <w:t xml:space="preserve"> </w:t>
      </w:r>
      <w:r w:rsidR="00DB5BA7" w:rsidRPr="00623A98">
        <w:rPr>
          <w:rFonts w:eastAsia="Times New Roman" w:cs="Arial"/>
          <w:szCs w:val="24"/>
          <w:lang w:val="es-ES_tradnl" w:eastAsia="es-MX"/>
        </w:rPr>
        <w:t xml:space="preserve">el actor </w:t>
      </w:r>
      <w:r w:rsidR="00800914" w:rsidRPr="00623A98">
        <w:rPr>
          <w:rFonts w:eastAsia="Times New Roman" w:cs="Arial"/>
          <w:szCs w:val="24"/>
          <w:lang w:val="es-ES_tradnl" w:eastAsia="es-MX"/>
        </w:rPr>
        <w:t>promovi</w:t>
      </w:r>
      <w:r w:rsidR="00DB5BA7" w:rsidRPr="00623A98">
        <w:rPr>
          <w:rFonts w:eastAsia="Times New Roman" w:cs="Arial"/>
          <w:szCs w:val="24"/>
          <w:lang w:val="es-ES_tradnl" w:eastAsia="es-MX"/>
        </w:rPr>
        <w:t>ó</w:t>
      </w:r>
      <w:r w:rsidR="005F3FAA" w:rsidRPr="00623A98">
        <w:rPr>
          <w:rFonts w:eastAsia="Times New Roman" w:cs="Arial"/>
          <w:szCs w:val="24"/>
          <w:lang w:val="es-ES_tradnl" w:eastAsia="es-MX"/>
        </w:rPr>
        <w:t xml:space="preserve"> ante la autoridad responsable </w:t>
      </w:r>
      <w:r w:rsidR="00DB5BA7" w:rsidRPr="00623A98">
        <w:rPr>
          <w:rFonts w:eastAsia="Times New Roman" w:cs="Arial"/>
          <w:szCs w:val="24"/>
          <w:lang w:val="es-ES_tradnl" w:eastAsia="es-MX"/>
        </w:rPr>
        <w:t>el</w:t>
      </w:r>
      <w:r w:rsidR="006F59A4" w:rsidRPr="00623A98">
        <w:rPr>
          <w:rFonts w:eastAsia="Times New Roman" w:cs="Arial"/>
          <w:szCs w:val="24"/>
          <w:lang w:val="es-ES_tradnl" w:eastAsia="es-MX"/>
        </w:rPr>
        <w:t xml:space="preserve"> juicio</w:t>
      </w:r>
      <w:r w:rsidR="003F181B" w:rsidRPr="00623A98">
        <w:rPr>
          <w:rFonts w:eastAsia="Times New Roman" w:cs="Arial"/>
          <w:szCs w:val="24"/>
          <w:lang w:val="es-ES_tradnl" w:eastAsia="es-MX"/>
        </w:rPr>
        <w:t xml:space="preserve"> ciudadano que ahora nos ocupa</w:t>
      </w:r>
      <w:r w:rsidR="00341FDF" w:rsidRPr="00623A98">
        <w:rPr>
          <w:rFonts w:eastAsia="Times New Roman" w:cs="Arial"/>
          <w:szCs w:val="24"/>
          <w:lang w:val="es-ES_tradnl" w:eastAsia="es-MX"/>
        </w:rPr>
        <w:t>.</w:t>
      </w:r>
      <w:bookmarkStart w:id="8" w:name="_Toc54863093"/>
      <w:bookmarkStart w:id="9" w:name="_Hlk54362301"/>
      <w:bookmarkEnd w:id="6"/>
    </w:p>
    <w:p w14:paraId="0227D6A0" w14:textId="376C5B77" w:rsidR="00A8488E" w:rsidRPr="00623A98" w:rsidRDefault="00A8488E" w:rsidP="003B3573">
      <w:pPr>
        <w:spacing w:before="240"/>
        <w:rPr>
          <w:rFonts w:eastAsia="Times New Roman" w:cs="Arial"/>
          <w:b/>
          <w:szCs w:val="24"/>
          <w:lang w:val="es-ES_tradnl" w:eastAsia="es-MX"/>
        </w:rPr>
      </w:pPr>
      <w:r w:rsidRPr="00623A98">
        <w:rPr>
          <w:rFonts w:eastAsia="Times New Roman" w:cs="Arial"/>
          <w:b/>
          <w:szCs w:val="24"/>
          <w:lang w:val="es-ES_tradnl" w:eastAsia="es-MX"/>
        </w:rPr>
        <w:t>2. COMPETENCIA</w:t>
      </w:r>
      <w:bookmarkEnd w:id="8"/>
    </w:p>
    <w:p w14:paraId="4D616F7F" w14:textId="38ED0A17" w:rsidR="00A8488E" w:rsidRPr="00623A98" w:rsidRDefault="00A8488E" w:rsidP="006B532A">
      <w:pPr>
        <w:spacing w:before="240" w:after="240"/>
        <w:ind w:right="-35"/>
        <w:rPr>
          <w:rFonts w:eastAsia="Times New Roman" w:cs="Arial"/>
          <w:szCs w:val="24"/>
          <w:lang w:val="es-ES_tradnl" w:eastAsia="es-ES"/>
        </w:rPr>
      </w:pPr>
      <w:r w:rsidRPr="00623A98">
        <w:rPr>
          <w:rFonts w:eastAsia="Times New Roman" w:cs="Arial"/>
          <w:szCs w:val="24"/>
          <w:lang w:val="es-ES_tradnl" w:eastAsia="es-ES"/>
        </w:rPr>
        <w:t xml:space="preserve">Esta Sala Regional es competente para conocer y resolver </w:t>
      </w:r>
      <w:r w:rsidR="008D7994" w:rsidRPr="00623A98">
        <w:rPr>
          <w:rFonts w:eastAsia="Times New Roman" w:cs="Arial"/>
          <w:szCs w:val="24"/>
          <w:lang w:val="es-ES_tradnl" w:eastAsia="es-ES"/>
        </w:rPr>
        <w:t>e</w:t>
      </w:r>
      <w:r w:rsidR="00D46211" w:rsidRPr="00623A98">
        <w:rPr>
          <w:rFonts w:eastAsia="Times New Roman" w:cs="Arial"/>
          <w:szCs w:val="24"/>
          <w:lang w:val="es-ES_tradnl" w:eastAsia="es-ES"/>
        </w:rPr>
        <w:t>l</w:t>
      </w:r>
      <w:r w:rsidRPr="00623A98">
        <w:rPr>
          <w:rFonts w:eastAsia="Times New Roman" w:cs="Arial"/>
          <w:szCs w:val="24"/>
          <w:lang w:val="es-ES_tradnl" w:eastAsia="es-ES"/>
        </w:rPr>
        <w:t xml:space="preserve"> presente juicio, pues se controvierte una determinación del </w:t>
      </w:r>
      <w:r w:rsidR="006547EE" w:rsidRPr="00623A98">
        <w:rPr>
          <w:rFonts w:eastAsia="Times New Roman" w:cs="Arial"/>
          <w:i/>
          <w:szCs w:val="24"/>
          <w:lang w:val="es-ES_tradnl" w:eastAsia="es-ES"/>
        </w:rPr>
        <w:t xml:space="preserve">Tribunal </w:t>
      </w:r>
      <w:r w:rsidR="00A27CB3" w:rsidRPr="00623A98">
        <w:rPr>
          <w:rFonts w:eastAsia="Times New Roman" w:cs="Arial"/>
          <w:i/>
          <w:szCs w:val="24"/>
          <w:lang w:val="es-ES_tradnl" w:eastAsia="es-ES"/>
        </w:rPr>
        <w:t>L</w:t>
      </w:r>
      <w:r w:rsidR="008D7994" w:rsidRPr="00623A98">
        <w:rPr>
          <w:rFonts w:eastAsia="Times New Roman" w:cs="Arial"/>
          <w:i/>
          <w:szCs w:val="24"/>
          <w:lang w:val="es-ES_tradnl" w:eastAsia="es-ES"/>
        </w:rPr>
        <w:t>ocal</w:t>
      </w:r>
      <w:r w:rsidR="006547EE" w:rsidRPr="00623A98">
        <w:rPr>
          <w:rFonts w:eastAsia="Times New Roman" w:cs="Arial"/>
          <w:iCs/>
          <w:szCs w:val="24"/>
          <w:lang w:val="es-ES_tradnl" w:eastAsia="es-ES"/>
        </w:rPr>
        <w:t>,</w:t>
      </w:r>
      <w:r w:rsidR="006547EE" w:rsidRPr="00623A98">
        <w:rPr>
          <w:rFonts w:eastAsia="Times New Roman" w:cs="Arial"/>
          <w:i/>
          <w:iCs/>
          <w:szCs w:val="24"/>
          <w:lang w:val="es-ES_tradnl" w:eastAsia="es-ES"/>
        </w:rPr>
        <w:t xml:space="preserve"> </w:t>
      </w:r>
      <w:r w:rsidR="003F181B" w:rsidRPr="00623A98">
        <w:rPr>
          <w:rFonts w:eastAsia="Times New Roman" w:cs="Arial"/>
          <w:szCs w:val="24"/>
          <w:lang w:val="es-ES_tradnl" w:eastAsia="es-ES"/>
        </w:rPr>
        <w:t xml:space="preserve">relacionada con la asignación de las diputaciones por el principio de </w:t>
      </w:r>
      <w:r w:rsidR="00A27CB3" w:rsidRPr="00623A98">
        <w:rPr>
          <w:rFonts w:eastAsia="Times New Roman" w:cs="Arial"/>
          <w:i/>
          <w:iCs/>
          <w:szCs w:val="24"/>
          <w:lang w:val="es-ES_tradnl" w:eastAsia="es-ES"/>
        </w:rPr>
        <w:t>RP</w:t>
      </w:r>
      <w:r w:rsidR="003F181B" w:rsidRPr="00623A98">
        <w:rPr>
          <w:rFonts w:eastAsia="Times New Roman" w:cs="Arial"/>
          <w:szCs w:val="24"/>
          <w:lang w:val="es-ES_tradnl" w:eastAsia="es-ES"/>
        </w:rPr>
        <w:t xml:space="preserve"> para integrar el Congreso </w:t>
      </w:r>
      <w:r w:rsidR="003F181B" w:rsidRPr="00623A98">
        <w:rPr>
          <w:rFonts w:eastAsia="Times New Roman" w:cs="Arial"/>
          <w:szCs w:val="24"/>
          <w:lang w:val="es-ES_tradnl" w:eastAsia="es-ES"/>
        </w:rPr>
        <w:lastRenderedPageBreak/>
        <w:t xml:space="preserve">del </w:t>
      </w:r>
      <w:r w:rsidR="00B0068D" w:rsidRPr="00623A98">
        <w:rPr>
          <w:rFonts w:eastAsia="Times New Roman" w:cs="Arial"/>
          <w:szCs w:val="24"/>
          <w:lang w:val="es-ES_tradnl" w:eastAsia="es-ES"/>
        </w:rPr>
        <w:t>e</w:t>
      </w:r>
      <w:r w:rsidR="003F181B" w:rsidRPr="00623A98">
        <w:rPr>
          <w:rFonts w:eastAsia="Times New Roman" w:cs="Arial"/>
          <w:szCs w:val="24"/>
          <w:lang w:val="es-ES_tradnl" w:eastAsia="es-ES"/>
        </w:rPr>
        <w:t>stado de Guanajuato</w:t>
      </w:r>
      <w:r w:rsidRPr="00623A98">
        <w:rPr>
          <w:rFonts w:eastAsia="Times New Roman" w:cs="Arial"/>
          <w:szCs w:val="24"/>
          <w:lang w:val="es-ES_tradnl" w:eastAsia="es-ES"/>
        </w:rPr>
        <w:t xml:space="preserve">, entidad federativa </w:t>
      </w:r>
      <w:r w:rsidR="006B532A" w:rsidRPr="00623A98">
        <w:rPr>
          <w:rFonts w:eastAsia="Times New Roman" w:cs="Arial"/>
          <w:szCs w:val="24"/>
          <w:lang w:val="es-ES_tradnl" w:eastAsia="es-ES"/>
        </w:rPr>
        <w:t xml:space="preserve">que </w:t>
      </w:r>
      <w:r w:rsidRPr="00623A98">
        <w:rPr>
          <w:rFonts w:eastAsia="Times New Roman" w:cs="Arial"/>
          <w:szCs w:val="24"/>
          <w:lang w:val="es-ES_tradnl" w:eastAsia="es-ES"/>
        </w:rPr>
        <w:t xml:space="preserve">se ubica en la Segunda Circunscripción Electoral Plurinominal, en la cual se ejerce jurisdicción. </w:t>
      </w:r>
    </w:p>
    <w:p w14:paraId="2DFF3DE5" w14:textId="77777777" w:rsidR="00A8488E" w:rsidRPr="00623A98" w:rsidRDefault="00A8488E" w:rsidP="00A8488E">
      <w:pPr>
        <w:spacing w:before="240" w:after="240"/>
        <w:ind w:right="-35"/>
        <w:rPr>
          <w:rFonts w:eastAsia="Times New Roman" w:cs="Arial"/>
          <w:szCs w:val="24"/>
          <w:lang w:val="es-ES_tradnl" w:eastAsia="es-ES"/>
        </w:rPr>
      </w:pPr>
      <w:r w:rsidRPr="00623A98">
        <w:rPr>
          <w:rFonts w:eastAsia="Calibri" w:cs="Arial"/>
          <w:szCs w:val="24"/>
          <w:lang w:val="es-ES_tradnl" w:eastAsia="es-ES"/>
        </w:rPr>
        <w:t xml:space="preserve">Lo anterior con fundamento en lo dispuesto en los artículos </w:t>
      </w:r>
      <w:r w:rsidR="00A75F22" w:rsidRPr="00623A98">
        <w:rPr>
          <w:rFonts w:eastAsia="Times New Roman" w:cs="Arial"/>
          <w:szCs w:val="24"/>
          <w:lang w:val="es-ES_tradnl" w:eastAsia="es-ES"/>
        </w:rPr>
        <w:t>176</w:t>
      </w:r>
      <w:r w:rsidRPr="00623A98">
        <w:rPr>
          <w:rFonts w:eastAsia="Times New Roman" w:cs="Arial"/>
          <w:szCs w:val="24"/>
          <w:lang w:val="es-ES_tradnl" w:eastAsia="es-ES"/>
        </w:rPr>
        <w:t>, fracción I</w:t>
      </w:r>
      <w:r w:rsidR="00A75F22" w:rsidRPr="00623A98">
        <w:rPr>
          <w:rFonts w:eastAsia="Times New Roman" w:cs="Arial"/>
          <w:szCs w:val="24"/>
          <w:lang w:val="es-ES_tradnl" w:eastAsia="es-ES"/>
        </w:rPr>
        <w:t>V</w:t>
      </w:r>
      <w:r w:rsidRPr="00623A98">
        <w:rPr>
          <w:rFonts w:eastAsia="Times New Roman" w:cs="Arial"/>
          <w:szCs w:val="24"/>
          <w:lang w:val="es-ES_tradnl" w:eastAsia="es-ES"/>
        </w:rPr>
        <w:t xml:space="preserve">, inciso </w:t>
      </w:r>
      <w:r w:rsidR="00A75F22" w:rsidRPr="00623A98">
        <w:rPr>
          <w:rFonts w:eastAsia="Times New Roman" w:cs="Arial"/>
          <w:szCs w:val="24"/>
          <w:lang w:val="es-ES_tradnl" w:eastAsia="es-ES"/>
        </w:rPr>
        <w:t>b</w:t>
      </w:r>
      <w:r w:rsidRPr="00623A98">
        <w:rPr>
          <w:rFonts w:eastAsia="Times New Roman" w:cs="Arial"/>
          <w:szCs w:val="24"/>
          <w:lang w:val="es-ES_tradnl" w:eastAsia="es-ES"/>
        </w:rPr>
        <w:t xml:space="preserve">), de la Ley Orgánica del Poder Judicial de la Federación y 79, 80, párrafo 1, inciso f), y 83, párrafo 1, inciso b), de la </w:t>
      </w:r>
      <w:r w:rsidRPr="00623A98">
        <w:rPr>
          <w:rFonts w:eastAsia="Times New Roman" w:cs="Arial"/>
          <w:i/>
          <w:szCs w:val="24"/>
          <w:lang w:val="es-ES_tradnl" w:eastAsia="es-ES"/>
        </w:rPr>
        <w:t>Ley de Medios</w:t>
      </w:r>
      <w:r w:rsidRPr="00623A98">
        <w:rPr>
          <w:rFonts w:eastAsia="Times New Roman" w:cs="Arial"/>
          <w:szCs w:val="24"/>
          <w:lang w:val="es-ES_tradnl" w:eastAsia="es-ES"/>
        </w:rPr>
        <w:t>.</w:t>
      </w:r>
      <w:bookmarkStart w:id="10" w:name="_Toc54863095"/>
      <w:bookmarkEnd w:id="9"/>
    </w:p>
    <w:p w14:paraId="34730B72" w14:textId="2F990AB7" w:rsidR="006A298D" w:rsidRPr="00623A98" w:rsidRDefault="00CB1805" w:rsidP="006A298D">
      <w:pPr>
        <w:tabs>
          <w:tab w:val="left" w:pos="6336"/>
        </w:tabs>
        <w:spacing w:before="240" w:after="240"/>
        <w:ind w:right="-34"/>
        <w:outlineLvl w:val="0"/>
        <w:rPr>
          <w:rFonts w:eastAsia="Calibri" w:cs="Arial"/>
          <w:b/>
          <w:szCs w:val="24"/>
          <w:lang w:val="es-ES_tradnl" w:eastAsia="es-ES"/>
        </w:rPr>
      </w:pPr>
      <w:bookmarkStart w:id="11" w:name="_Toc54863096"/>
      <w:bookmarkEnd w:id="10"/>
      <w:r w:rsidRPr="00623A98">
        <w:rPr>
          <w:rFonts w:cs="Arial"/>
          <w:b/>
          <w:szCs w:val="24"/>
          <w:lang w:val="es-ES_tradnl"/>
        </w:rPr>
        <w:t>3</w:t>
      </w:r>
      <w:r w:rsidR="006A298D" w:rsidRPr="00623A98">
        <w:rPr>
          <w:rFonts w:cs="Arial"/>
          <w:b/>
          <w:szCs w:val="24"/>
          <w:lang w:val="es-ES_tradnl"/>
        </w:rPr>
        <w:t xml:space="preserve">. </w:t>
      </w:r>
      <w:r w:rsidR="006A298D" w:rsidRPr="00623A98">
        <w:rPr>
          <w:rFonts w:eastAsia="Times New Roman" w:cs="Arial"/>
          <w:b/>
          <w:bCs/>
          <w:caps/>
          <w:kern w:val="32"/>
          <w:szCs w:val="24"/>
          <w:lang w:val="es-ES_tradnl"/>
        </w:rPr>
        <w:t>PR</w:t>
      </w:r>
      <w:r w:rsidR="006A298D" w:rsidRPr="00623A98">
        <w:rPr>
          <w:rFonts w:eastAsia="Calibri" w:cs="Arial"/>
          <w:b/>
          <w:szCs w:val="24"/>
          <w:lang w:val="es-ES_tradnl" w:eastAsia="es-ES"/>
        </w:rPr>
        <w:t xml:space="preserve">OCEDENCIA </w:t>
      </w:r>
    </w:p>
    <w:p w14:paraId="6D41F91C" w14:textId="61CF6AE1" w:rsidR="00A5058A" w:rsidRPr="00623A98" w:rsidRDefault="004F2FF1" w:rsidP="006A298D">
      <w:pPr>
        <w:spacing w:before="240" w:after="240"/>
        <w:ind w:right="-35"/>
        <w:rPr>
          <w:rFonts w:eastAsia="Calibri" w:cs="Arial"/>
          <w:bCs/>
          <w:szCs w:val="24"/>
          <w:lang w:val="es-ES_tradnl"/>
        </w:rPr>
      </w:pPr>
      <w:bookmarkStart w:id="12" w:name="_ftnref6"/>
      <w:bookmarkEnd w:id="12"/>
      <w:r w:rsidRPr="00623A98">
        <w:rPr>
          <w:rFonts w:eastAsia="Calibri" w:cs="Arial"/>
          <w:szCs w:val="24"/>
          <w:lang w:val="es-ES_tradnl" w:eastAsia="es-ES"/>
        </w:rPr>
        <w:t>El</w:t>
      </w:r>
      <w:r w:rsidR="006A298D" w:rsidRPr="00623A98">
        <w:rPr>
          <w:rFonts w:eastAsia="Calibri" w:cs="Arial"/>
          <w:szCs w:val="24"/>
          <w:lang w:val="es-ES_tradnl" w:eastAsia="es-ES"/>
        </w:rPr>
        <w:t xml:space="preserve"> </w:t>
      </w:r>
      <w:r w:rsidR="006A298D" w:rsidRPr="00623A98">
        <w:rPr>
          <w:rFonts w:eastAsia="Calibri" w:cs="Arial"/>
          <w:bCs/>
          <w:szCs w:val="24"/>
          <w:lang w:val="es-ES_tradnl"/>
        </w:rPr>
        <w:t xml:space="preserve">juicio </w:t>
      </w:r>
      <w:r w:rsidRPr="00623A98">
        <w:rPr>
          <w:rFonts w:eastAsia="Calibri" w:cs="Arial"/>
          <w:bCs/>
          <w:szCs w:val="24"/>
          <w:lang w:val="es-ES_tradnl"/>
        </w:rPr>
        <w:t>es</w:t>
      </w:r>
      <w:r w:rsidR="006A298D" w:rsidRPr="00623A98">
        <w:rPr>
          <w:rFonts w:eastAsia="Calibri" w:cs="Arial"/>
          <w:bCs/>
          <w:szCs w:val="24"/>
          <w:lang w:val="es-ES_tradnl"/>
        </w:rPr>
        <w:t xml:space="preserve"> procedente al reunir los requisitos previstos en los artículos 8, 9, párrafo 1, 13, párrafo 1, inciso b), 79 y 80 párrafo I, inciso f), 83, párrafo I, inciso b),</w:t>
      </w:r>
      <w:r w:rsidR="00A5058A" w:rsidRPr="00623A98">
        <w:rPr>
          <w:rFonts w:eastAsia="Calibri" w:cs="Arial"/>
          <w:bCs/>
          <w:szCs w:val="24"/>
          <w:lang w:val="es-ES_tradnl"/>
        </w:rPr>
        <w:t xml:space="preserve"> 86 y 88</w:t>
      </w:r>
      <w:r w:rsidR="006A298D" w:rsidRPr="00623A98">
        <w:rPr>
          <w:rFonts w:eastAsia="Calibri" w:cs="Arial"/>
          <w:bCs/>
          <w:szCs w:val="24"/>
          <w:lang w:val="es-ES_tradnl"/>
        </w:rPr>
        <w:t xml:space="preserve"> de la </w:t>
      </w:r>
      <w:r w:rsidR="006A298D" w:rsidRPr="00623A98">
        <w:rPr>
          <w:rFonts w:eastAsia="Calibri" w:cs="Arial"/>
          <w:bCs/>
          <w:i/>
          <w:szCs w:val="24"/>
          <w:lang w:val="es-ES_tradnl"/>
        </w:rPr>
        <w:t>Ley de Medios</w:t>
      </w:r>
      <w:r w:rsidR="006A298D" w:rsidRPr="00623A98">
        <w:rPr>
          <w:rFonts w:eastAsia="Calibri" w:cs="Arial"/>
          <w:bCs/>
          <w:szCs w:val="24"/>
          <w:lang w:val="es-ES_tradnl"/>
        </w:rPr>
        <w:t xml:space="preserve">, conforme a lo razonado en </w:t>
      </w:r>
      <w:r w:rsidRPr="00623A98">
        <w:rPr>
          <w:rFonts w:eastAsia="Calibri" w:cs="Arial"/>
          <w:bCs/>
          <w:szCs w:val="24"/>
          <w:lang w:val="es-ES_tradnl"/>
        </w:rPr>
        <w:t>e</w:t>
      </w:r>
      <w:r w:rsidR="006A298D" w:rsidRPr="00623A98">
        <w:rPr>
          <w:rFonts w:eastAsia="Calibri" w:cs="Arial"/>
          <w:bCs/>
          <w:szCs w:val="24"/>
          <w:lang w:val="es-ES_tradnl"/>
        </w:rPr>
        <w:t>l respectivo auto de admisión.</w:t>
      </w:r>
      <w:r w:rsidR="006A298D" w:rsidRPr="00623A98">
        <w:rPr>
          <w:rStyle w:val="Refdenotaalpie"/>
          <w:rFonts w:eastAsia="Calibri" w:cs="Arial"/>
          <w:bCs/>
          <w:szCs w:val="24"/>
          <w:lang w:val="es-ES_tradnl"/>
        </w:rPr>
        <w:footnoteReference w:id="1"/>
      </w:r>
    </w:p>
    <w:p w14:paraId="2880FAEE" w14:textId="7DE5176F" w:rsidR="00A8488E" w:rsidRPr="00623A98" w:rsidRDefault="004F2FF1" w:rsidP="002F5F8B">
      <w:pPr>
        <w:tabs>
          <w:tab w:val="left" w:pos="5105"/>
        </w:tabs>
        <w:spacing w:before="240" w:after="240"/>
        <w:outlineLvl w:val="0"/>
        <w:rPr>
          <w:rFonts w:cs="Arial"/>
          <w:b/>
          <w:szCs w:val="24"/>
          <w:lang w:val="es-ES_tradnl"/>
        </w:rPr>
      </w:pPr>
      <w:r w:rsidRPr="00623A98">
        <w:rPr>
          <w:rFonts w:cs="Arial"/>
          <w:b/>
          <w:szCs w:val="24"/>
          <w:lang w:val="es-ES_tradnl"/>
        </w:rPr>
        <w:t>4</w:t>
      </w:r>
      <w:r w:rsidR="00A8488E" w:rsidRPr="00623A98">
        <w:rPr>
          <w:rFonts w:cs="Arial"/>
          <w:b/>
          <w:szCs w:val="24"/>
          <w:lang w:val="es-ES_tradnl"/>
        </w:rPr>
        <w:t>. ESTUDIO DE FONDO</w:t>
      </w:r>
      <w:bookmarkEnd w:id="11"/>
      <w:r w:rsidR="002F5F8B" w:rsidRPr="00623A98">
        <w:rPr>
          <w:rFonts w:cs="Arial"/>
          <w:b/>
          <w:szCs w:val="24"/>
          <w:lang w:val="es-ES_tradnl"/>
        </w:rPr>
        <w:tab/>
      </w:r>
    </w:p>
    <w:p w14:paraId="77275300" w14:textId="7849930B" w:rsidR="00A8488E" w:rsidRPr="00623A98" w:rsidRDefault="004F2FF1" w:rsidP="00A8488E">
      <w:pPr>
        <w:pStyle w:val="Ttulo2"/>
        <w:spacing w:before="240" w:after="240"/>
        <w:rPr>
          <w:rFonts w:cs="Arial"/>
          <w:szCs w:val="24"/>
          <w:lang w:val="es-ES_tradnl"/>
        </w:rPr>
      </w:pPr>
      <w:r w:rsidRPr="00623A98">
        <w:rPr>
          <w:rFonts w:cs="Arial"/>
          <w:szCs w:val="24"/>
          <w:lang w:val="es-ES_tradnl"/>
        </w:rPr>
        <w:t>4</w:t>
      </w:r>
      <w:r w:rsidR="00A8488E" w:rsidRPr="00623A98">
        <w:rPr>
          <w:rFonts w:cs="Arial"/>
          <w:szCs w:val="24"/>
          <w:lang w:val="es-ES_tradnl"/>
        </w:rPr>
        <w:t>.1. Materia de la Controversia</w:t>
      </w:r>
    </w:p>
    <w:p w14:paraId="69C4A9E2" w14:textId="77777777" w:rsidR="004F2FF1" w:rsidRPr="00623A98" w:rsidRDefault="004F2FF1" w:rsidP="004F2FF1">
      <w:pPr>
        <w:rPr>
          <w:b/>
          <w:bCs/>
          <w:lang w:val="es-ES_tradnl"/>
        </w:rPr>
      </w:pPr>
      <w:r w:rsidRPr="00623A98">
        <w:rPr>
          <w:b/>
          <w:bCs/>
          <w:lang w:val="es-ES_tradnl"/>
        </w:rPr>
        <w:t>Consideraciones de la sentencia impugnada</w:t>
      </w:r>
    </w:p>
    <w:p w14:paraId="38B637D7" w14:textId="77777777" w:rsidR="004F2FF1" w:rsidRPr="00623A98" w:rsidRDefault="004F2FF1" w:rsidP="004F2FF1">
      <w:pPr>
        <w:rPr>
          <w:lang w:val="es-ES_tradnl"/>
        </w:rPr>
      </w:pPr>
      <w:r w:rsidRPr="00623A98">
        <w:rPr>
          <w:lang w:val="es-ES_tradnl"/>
        </w:rPr>
        <w:t xml:space="preserve">El </w:t>
      </w:r>
      <w:r w:rsidRPr="00623A98">
        <w:rPr>
          <w:i/>
          <w:iCs/>
          <w:lang w:val="es-ES_tradnl"/>
        </w:rPr>
        <w:t>Tribunal Local</w:t>
      </w:r>
      <w:r w:rsidRPr="00623A98">
        <w:rPr>
          <w:lang w:val="es-ES_tradnl"/>
        </w:rPr>
        <w:t xml:space="preserve">, resolvió confirmar la resolución emitida por la </w:t>
      </w:r>
      <w:r w:rsidRPr="00623A98">
        <w:rPr>
          <w:i/>
          <w:iCs/>
          <w:lang w:val="es-ES_tradnl"/>
        </w:rPr>
        <w:t>CNHJ</w:t>
      </w:r>
      <w:r w:rsidRPr="00623A98">
        <w:rPr>
          <w:lang w:val="es-ES_tradnl"/>
        </w:rPr>
        <w:t xml:space="preserve"> de MORENA en el expediente CNHJ-GTO-1228/2021, con base en las siguientes razones:</w:t>
      </w:r>
    </w:p>
    <w:p w14:paraId="41890CCB" w14:textId="173E488A" w:rsidR="004F2FF1" w:rsidRPr="00623A98" w:rsidRDefault="004F2FF1" w:rsidP="004F2FF1">
      <w:pPr>
        <w:rPr>
          <w:lang w:val="es-ES_tradnl"/>
        </w:rPr>
      </w:pPr>
      <w:r w:rsidRPr="00623A98">
        <w:rPr>
          <w:lang w:val="es-ES_tradnl"/>
        </w:rPr>
        <w:t>En el apartado 4.6.1.</w:t>
      </w:r>
      <w:r w:rsidR="00B45079" w:rsidRPr="00623A98">
        <w:rPr>
          <w:lang w:val="es-ES_tradnl"/>
        </w:rPr>
        <w:t>,</w:t>
      </w:r>
      <w:r w:rsidRPr="00623A98">
        <w:rPr>
          <w:lang w:val="es-ES_tradnl"/>
        </w:rPr>
        <w:t xml:space="preserve"> de la sentencia, determinó calificar como inoperantes los agravios toda vez que consideró que el actor replicó los agravios que hizo valer en la instancia partidista, por lo cual, no resultaban suficientes para desvirtuar los argumentos de la autoridad </w:t>
      </w:r>
      <w:proofErr w:type="spellStart"/>
      <w:r w:rsidRPr="00623A98">
        <w:rPr>
          <w:lang w:val="es-ES_tradnl"/>
        </w:rPr>
        <w:t>intrapartidista</w:t>
      </w:r>
      <w:proofErr w:type="spellEnd"/>
      <w:r w:rsidRPr="00623A98">
        <w:rPr>
          <w:lang w:val="es-ES_tradnl"/>
        </w:rPr>
        <w:t>.</w:t>
      </w:r>
    </w:p>
    <w:p w14:paraId="41BCB1D8" w14:textId="77777777" w:rsidR="004F2FF1" w:rsidRPr="00623A98" w:rsidRDefault="004F2FF1" w:rsidP="004F2FF1">
      <w:pPr>
        <w:rPr>
          <w:lang w:val="es-ES_tradnl"/>
        </w:rPr>
      </w:pPr>
      <w:r w:rsidRPr="00623A98">
        <w:rPr>
          <w:lang w:val="es-ES_tradnl"/>
        </w:rPr>
        <w:t>En el apartado 4.6.2., los agravios se calificaron como inoperantes porque introdujo planteamientos novedosos que no se expusieron en la instancia partidista, por lo cual, no se puede hacer un pronunciamiento sobre tales disensos.</w:t>
      </w:r>
    </w:p>
    <w:p w14:paraId="7EFF8D19" w14:textId="77777777" w:rsidR="004F2FF1" w:rsidRPr="00623A98" w:rsidRDefault="004F2FF1" w:rsidP="004F2FF1">
      <w:pPr>
        <w:rPr>
          <w:lang w:val="es-ES_tradnl"/>
        </w:rPr>
      </w:pPr>
      <w:r w:rsidRPr="00623A98">
        <w:rPr>
          <w:lang w:val="es-ES_tradnl"/>
        </w:rPr>
        <w:t xml:space="preserve">En el apartado 4.6.3., concluyó que el agravio referente a que la </w:t>
      </w:r>
      <w:r w:rsidRPr="00623A98">
        <w:rPr>
          <w:i/>
          <w:iCs/>
          <w:lang w:val="es-ES_tradnl"/>
        </w:rPr>
        <w:t>CNHJ</w:t>
      </w:r>
      <w:r w:rsidRPr="00623A98">
        <w:rPr>
          <w:lang w:val="es-ES_tradnl"/>
        </w:rPr>
        <w:t xml:space="preserve"> calificó como ilícitas diversas pruebas documentales era inoperante, porque contrario a lo señalado por el recurrente, no se calificó de ilícito algún medio de convicción.</w:t>
      </w:r>
    </w:p>
    <w:p w14:paraId="2CD4EBEC" w14:textId="77777777" w:rsidR="004F2FF1" w:rsidRPr="00623A98" w:rsidRDefault="004F2FF1" w:rsidP="004F2FF1">
      <w:pPr>
        <w:rPr>
          <w:b/>
          <w:bCs/>
          <w:lang w:val="es-ES_tradnl"/>
        </w:rPr>
      </w:pPr>
      <w:r w:rsidRPr="00623A98">
        <w:rPr>
          <w:b/>
          <w:bCs/>
          <w:lang w:val="es-ES_tradnl"/>
        </w:rPr>
        <w:t>Agravios expuestos por el recurrente</w:t>
      </w:r>
    </w:p>
    <w:p w14:paraId="7F6B8FAD" w14:textId="77777777" w:rsidR="004F2FF1" w:rsidRPr="00623A98" w:rsidRDefault="004F2FF1" w:rsidP="004F2FF1">
      <w:pPr>
        <w:rPr>
          <w:lang w:val="es-ES_tradnl"/>
        </w:rPr>
      </w:pPr>
      <w:r w:rsidRPr="00623A98">
        <w:rPr>
          <w:lang w:val="es-ES_tradnl"/>
        </w:rPr>
        <w:lastRenderedPageBreak/>
        <w:t xml:space="preserve">Inconforme con la resolución del </w:t>
      </w:r>
      <w:r w:rsidRPr="00623A98">
        <w:rPr>
          <w:i/>
          <w:iCs/>
          <w:lang w:val="es-ES_tradnl"/>
        </w:rPr>
        <w:t>Tribunal Local</w:t>
      </w:r>
      <w:r w:rsidRPr="00623A98">
        <w:rPr>
          <w:lang w:val="es-ES_tradnl"/>
        </w:rPr>
        <w:t>, el actor expresa los siguientes agravios:</w:t>
      </w:r>
    </w:p>
    <w:p w14:paraId="5C73E2F9" w14:textId="77777777" w:rsidR="004F2FF1" w:rsidRPr="00623A98" w:rsidRDefault="004F2FF1" w:rsidP="004F2FF1">
      <w:pPr>
        <w:rPr>
          <w:lang w:val="es-ES_tradnl"/>
        </w:rPr>
      </w:pPr>
      <w:r w:rsidRPr="00623A98">
        <w:rPr>
          <w:lang w:val="es-ES_tradnl"/>
        </w:rPr>
        <w:t xml:space="preserve">En el agravio PRIMERO, señala que la sentencia se encuentra indebidamente fundada y motivada, además que en términos del artículo 23 de la </w:t>
      </w:r>
      <w:r w:rsidRPr="00623A98">
        <w:rPr>
          <w:i/>
          <w:iCs/>
          <w:lang w:val="es-ES_tradnl"/>
        </w:rPr>
        <w:t>Ley de Medios</w:t>
      </w:r>
      <w:r w:rsidRPr="00623A98">
        <w:rPr>
          <w:lang w:val="es-ES_tradnl"/>
        </w:rPr>
        <w:t xml:space="preserve">, así como la </w:t>
      </w:r>
      <w:r w:rsidRPr="00623A98">
        <w:rPr>
          <w:i/>
          <w:iCs/>
          <w:lang w:val="es-ES_tradnl"/>
        </w:rPr>
        <w:t>Ley Electoral Local</w:t>
      </w:r>
      <w:r w:rsidRPr="00623A98">
        <w:rPr>
          <w:lang w:val="es-ES_tradnl"/>
        </w:rPr>
        <w:t>, prevén que se deberá suplir la deficiencia de la queja.</w:t>
      </w:r>
    </w:p>
    <w:p w14:paraId="64D73F80" w14:textId="731407D9" w:rsidR="004F2FF1" w:rsidRPr="00623A98" w:rsidRDefault="004F2FF1" w:rsidP="004F2FF1">
      <w:pPr>
        <w:rPr>
          <w:lang w:val="es-ES_tradnl"/>
        </w:rPr>
      </w:pPr>
      <w:r w:rsidRPr="00623A98">
        <w:rPr>
          <w:lang w:val="es-ES_tradnl"/>
        </w:rPr>
        <w:t xml:space="preserve">Por lo anterior, considera que el </w:t>
      </w:r>
      <w:r w:rsidRPr="00623A98">
        <w:rPr>
          <w:i/>
          <w:iCs/>
          <w:lang w:val="es-ES_tradnl"/>
        </w:rPr>
        <w:t>Tribunal Local</w:t>
      </w:r>
      <w:r w:rsidRPr="00623A98">
        <w:rPr>
          <w:lang w:val="es-ES_tradnl"/>
        </w:rPr>
        <w:t xml:space="preserve"> violó en su perjuicio la </w:t>
      </w:r>
      <w:r w:rsidR="0048343B" w:rsidRPr="00623A98">
        <w:rPr>
          <w:lang w:val="es-ES_tradnl"/>
        </w:rPr>
        <w:t xml:space="preserve">dicha </w:t>
      </w:r>
      <w:r w:rsidRPr="00623A98">
        <w:rPr>
          <w:lang w:val="es-ES_tradnl"/>
        </w:rPr>
        <w:t>obligación, porque de haber realizado dicho análisis se hubiera dado cuenta que no incorporó algún elemento novedoso, sino que de forma constante lo ha hecho valer.</w:t>
      </w:r>
    </w:p>
    <w:p w14:paraId="30ABF18F" w14:textId="199E9691" w:rsidR="004F2FF1" w:rsidRPr="00623A98" w:rsidRDefault="004F2FF1" w:rsidP="004F2FF1">
      <w:pPr>
        <w:rPr>
          <w:lang w:val="es-ES_tradnl"/>
        </w:rPr>
      </w:pPr>
      <w:r w:rsidRPr="00623A98">
        <w:rPr>
          <w:lang w:val="es-ES_tradnl"/>
        </w:rPr>
        <w:t>Señala que, en el antecedente NOVENO, narró que la</w:t>
      </w:r>
      <w:r w:rsidR="009308BB" w:rsidRPr="00623A98">
        <w:rPr>
          <w:lang w:val="es-ES_tradnl"/>
        </w:rPr>
        <w:t xml:space="preserve"> </w:t>
      </w:r>
      <w:r w:rsidR="009308BB" w:rsidRPr="00623A98">
        <w:rPr>
          <w:i/>
          <w:iCs/>
          <w:lang w:val="es-ES_tradnl"/>
        </w:rPr>
        <w:t>CNE</w:t>
      </w:r>
      <w:r w:rsidRPr="00623A98">
        <w:rPr>
          <w:lang w:val="es-ES_tradnl"/>
        </w:rPr>
        <w:t>, realiz</w:t>
      </w:r>
      <w:r w:rsidR="0048343B" w:rsidRPr="00623A98">
        <w:rPr>
          <w:lang w:val="es-ES_tradnl"/>
        </w:rPr>
        <w:t>ó</w:t>
      </w:r>
      <w:r w:rsidRPr="00623A98">
        <w:rPr>
          <w:lang w:val="es-ES_tradnl"/>
        </w:rPr>
        <w:t xml:space="preserve"> el proceso de insaculación sin dar a conocer hora y lugar para definir a los cuatro primeros lugares de la lista de diputaciones de </w:t>
      </w:r>
      <w:r w:rsidR="00A27CB3" w:rsidRPr="00623A98">
        <w:rPr>
          <w:i/>
          <w:iCs/>
          <w:lang w:val="es-ES_tradnl"/>
        </w:rPr>
        <w:t>RP</w:t>
      </w:r>
      <w:r w:rsidRPr="00623A98">
        <w:rPr>
          <w:lang w:val="es-ES_tradnl"/>
        </w:rPr>
        <w:t>, siendo que de esta mención se puede desprender la existencia del agravio por lo cual al estar expresado debió ser analizado y valorado.</w:t>
      </w:r>
    </w:p>
    <w:p w14:paraId="4F5ECF8B" w14:textId="77777777" w:rsidR="004F2FF1" w:rsidRPr="00623A98" w:rsidRDefault="004F2FF1" w:rsidP="004F2FF1">
      <w:pPr>
        <w:rPr>
          <w:lang w:val="es-ES_tradnl"/>
        </w:rPr>
      </w:pPr>
      <w:r w:rsidRPr="00623A98">
        <w:rPr>
          <w:lang w:val="es-ES_tradnl"/>
        </w:rPr>
        <w:t xml:space="preserve">Señala que el </w:t>
      </w:r>
      <w:r w:rsidRPr="00623A98">
        <w:rPr>
          <w:i/>
          <w:iCs/>
          <w:lang w:val="es-ES_tradnl"/>
        </w:rPr>
        <w:t>Tribunal Local</w:t>
      </w:r>
      <w:r w:rsidRPr="00623A98">
        <w:rPr>
          <w:lang w:val="es-ES_tradnl"/>
        </w:rPr>
        <w:t>, deja de ver que existen elementos suficientes para tener por configurado un agravio en cuanto al impedimento para participar en el proceso de insaculación.</w:t>
      </w:r>
    </w:p>
    <w:p w14:paraId="034CE41D" w14:textId="77777777" w:rsidR="004F2FF1" w:rsidRPr="00623A98" w:rsidRDefault="004F2FF1" w:rsidP="004F2FF1">
      <w:pPr>
        <w:rPr>
          <w:lang w:val="es-ES_tradnl"/>
        </w:rPr>
      </w:pPr>
      <w:r w:rsidRPr="00623A98">
        <w:rPr>
          <w:lang w:val="es-ES_tradnl"/>
        </w:rPr>
        <w:t>Asimismo, expresa que su hipótesis se refuerza con lo resuelto por el Tribunal Electoral de Coahuila al resolver el juicio TECZ/JDC-174/2021, que señala que el proceso de insaculación tiene que ser notificado a los participantes.</w:t>
      </w:r>
    </w:p>
    <w:p w14:paraId="37D7CD21" w14:textId="4E4A6AA4" w:rsidR="004F2FF1" w:rsidRPr="00623A98" w:rsidRDefault="004F2FF1" w:rsidP="004F2FF1">
      <w:pPr>
        <w:rPr>
          <w:lang w:val="es-ES_tradnl"/>
        </w:rPr>
      </w:pPr>
      <w:r w:rsidRPr="00623A98">
        <w:rPr>
          <w:lang w:val="es-ES_tradnl"/>
        </w:rPr>
        <w:t>En el agravio SEGUNDO, señala que la sentencia se encuentra indebidamente fundad</w:t>
      </w:r>
      <w:r w:rsidR="0048343B" w:rsidRPr="00623A98">
        <w:rPr>
          <w:lang w:val="es-ES_tradnl"/>
        </w:rPr>
        <w:t>a</w:t>
      </w:r>
      <w:r w:rsidRPr="00623A98">
        <w:rPr>
          <w:lang w:val="es-ES_tradnl"/>
        </w:rPr>
        <w:t xml:space="preserve"> y motivad</w:t>
      </w:r>
      <w:r w:rsidR="0048343B" w:rsidRPr="00623A98">
        <w:rPr>
          <w:lang w:val="es-ES_tradnl"/>
        </w:rPr>
        <w:t>a</w:t>
      </w:r>
      <w:r w:rsidRPr="00623A98">
        <w:rPr>
          <w:lang w:val="es-ES_tradnl"/>
        </w:rPr>
        <w:t xml:space="preserve">, pues, de manera errónea considera que no se atacan las consideraciones en que se sustenta la resolución de la </w:t>
      </w:r>
      <w:r w:rsidRPr="00623A98">
        <w:rPr>
          <w:i/>
          <w:iCs/>
          <w:lang w:val="es-ES_tradnl"/>
        </w:rPr>
        <w:t>CNHJ</w:t>
      </w:r>
      <w:r w:rsidRPr="00623A98">
        <w:rPr>
          <w:lang w:val="es-ES_tradnl"/>
        </w:rPr>
        <w:t>, consideración que es contradictoria e incongruente.</w:t>
      </w:r>
    </w:p>
    <w:p w14:paraId="6CE5455A" w14:textId="0575C355" w:rsidR="004F2FF1" w:rsidRPr="00623A98" w:rsidRDefault="004F2FF1" w:rsidP="004F2FF1">
      <w:pPr>
        <w:rPr>
          <w:lang w:val="es-ES_tradnl"/>
        </w:rPr>
      </w:pPr>
      <w:r w:rsidRPr="00623A98">
        <w:rPr>
          <w:lang w:val="es-ES_tradnl"/>
        </w:rPr>
        <w:t xml:space="preserve">Manifiesta que en el escrito de impugnación señaló que la </w:t>
      </w:r>
      <w:r w:rsidRPr="00623A98">
        <w:rPr>
          <w:i/>
          <w:iCs/>
          <w:lang w:val="es-ES_tradnl"/>
        </w:rPr>
        <w:t>CNHJ</w:t>
      </w:r>
      <w:r w:rsidRPr="00623A98">
        <w:rPr>
          <w:lang w:val="es-ES_tradnl"/>
        </w:rPr>
        <w:t>, no estudi</w:t>
      </w:r>
      <w:r w:rsidR="0048343B" w:rsidRPr="00623A98">
        <w:rPr>
          <w:lang w:val="es-ES_tradnl"/>
        </w:rPr>
        <w:t>ó</w:t>
      </w:r>
      <w:r w:rsidRPr="00623A98">
        <w:rPr>
          <w:lang w:val="es-ES_tradnl"/>
        </w:rPr>
        <w:t xml:space="preserve"> los agravios relacionados con la falta de notificación del di</w:t>
      </w:r>
      <w:r w:rsidR="00B45079" w:rsidRPr="00623A98">
        <w:rPr>
          <w:lang w:val="es-ES_tradnl"/>
        </w:rPr>
        <w:t>c</w:t>
      </w:r>
      <w:r w:rsidRPr="00623A98">
        <w:rPr>
          <w:lang w:val="es-ES_tradnl"/>
        </w:rPr>
        <w:t>tamen relacionado con las personas que habrían de ser designadas para continuar en el proceso de insaculación para los cargos de diputaciones.</w:t>
      </w:r>
    </w:p>
    <w:p w14:paraId="32A280C9" w14:textId="6E8840B5" w:rsidR="004F2FF1" w:rsidRPr="00623A98" w:rsidRDefault="004F2FF1" w:rsidP="004F2FF1">
      <w:pPr>
        <w:rPr>
          <w:lang w:val="es-ES_tradnl"/>
        </w:rPr>
      </w:pPr>
      <w:r w:rsidRPr="00623A98">
        <w:rPr>
          <w:lang w:val="es-ES_tradnl"/>
        </w:rPr>
        <w:t xml:space="preserve">Refiere </w:t>
      </w:r>
      <w:r w:rsidR="00B45079" w:rsidRPr="00623A98">
        <w:rPr>
          <w:lang w:val="es-ES_tradnl"/>
        </w:rPr>
        <w:t>que,</w:t>
      </w:r>
      <w:r w:rsidRPr="00623A98">
        <w:rPr>
          <w:lang w:val="es-ES_tradnl"/>
        </w:rPr>
        <w:t xml:space="preserve"> s</w:t>
      </w:r>
      <w:r w:rsidR="0048343B" w:rsidRPr="00623A98">
        <w:rPr>
          <w:lang w:val="es-ES_tradnl"/>
        </w:rPr>
        <w:t>í</w:t>
      </w:r>
      <w:r w:rsidRPr="00623A98">
        <w:rPr>
          <w:lang w:val="es-ES_tradnl"/>
        </w:rPr>
        <w:t xml:space="preserve"> existe una narrativa de controvertir lo que refirió la autoridad partidista, ya que la </w:t>
      </w:r>
      <w:r w:rsidRPr="00623A98">
        <w:rPr>
          <w:i/>
          <w:iCs/>
          <w:lang w:val="es-ES_tradnl"/>
        </w:rPr>
        <w:t>CNHJ</w:t>
      </w:r>
      <w:r w:rsidRPr="00623A98">
        <w:rPr>
          <w:lang w:val="es-ES_tradnl"/>
        </w:rPr>
        <w:t xml:space="preserve"> no justifica </w:t>
      </w:r>
      <w:r w:rsidR="008D7994" w:rsidRPr="00623A98">
        <w:rPr>
          <w:lang w:val="es-ES_tradnl"/>
        </w:rPr>
        <w:t>por qué</w:t>
      </w:r>
      <w:r w:rsidRPr="00623A98">
        <w:rPr>
          <w:lang w:val="es-ES_tradnl"/>
        </w:rPr>
        <w:t xml:space="preserve"> no existe la obligación de la </w:t>
      </w:r>
      <w:r w:rsidRPr="00623A98">
        <w:rPr>
          <w:i/>
          <w:iCs/>
          <w:lang w:val="es-ES_tradnl"/>
        </w:rPr>
        <w:t>CNE</w:t>
      </w:r>
      <w:r w:rsidRPr="00623A98">
        <w:rPr>
          <w:lang w:val="es-ES_tradnl"/>
        </w:rPr>
        <w:t xml:space="preserve"> de notificarle el dictamen, siendo </w:t>
      </w:r>
      <w:r w:rsidR="008D7994" w:rsidRPr="00623A98">
        <w:rPr>
          <w:lang w:val="es-ES_tradnl"/>
        </w:rPr>
        <w:t>que,</w:t>
      </w:r>
      <w:r w:rsidRPr="00623A98">
        <w:rPr>
          <w:lang w:val="es-ES_tradnl"/>
        </w:rPr>
        <w:t xml:space="preserve"> en un pr</w:t>
      </w:r>
      <w:r w:rsidR="00B45079" w:rsidRPr="00623A98">
        <w:rPr>
          <w:lang w:val="es-ES_tradnl"/>
        </w:rPr>
        <w:t>e</w:t>
      </w:r>
      <w:r w:rsidRPr="00623A98">
        <w:rPr>
          <w:lang w:val="es-ES_tradnl"/>
        </w:rPr>
        <w:t>cedente de la Sala Regional Ciudad de México, imponen la obligación a dicha autoridad de notificar.</w:t>
      </w:r>
    </w:p>
    <w:p w14:paraId="1F3378DC" w14:textId="77777777" w:rsidR="004F2FF1" w:rsidRPr="00623A98" w:rsidRDefault="004F2FF1" w:rsidP="004F2FF1">
      <w:pPr>
        <w:rPr>
          <w:lang w:val="es-ES_tradnl"/>
        </w:rPr>
      </w:pPr>
      <w:r w:rsidRPr="00623A98">
        <w:rPr>
          <w:lang w:val="es-ES_tradnl"/>
        </w:rPr>
        <w:lastRenderedPageBreak/>
        <w:t>Señala que su agravio se encaminó a demostrar que no se le otorgó una respuesta, lo cual, refuerza su hipótesis en el sentido de que no existe un dictamen acerca de la designación de candidaturas.</w:t>
      </w:r>
    </w:p>
    <w:p w14:paraId="14B06199" w14:textId="0FBADC6C" w:rsidR="004F2FF1" w:rsidRPr="00623A98" w:rsidRDefault="004F2FF1" w:rsidP="004F2FF1">
      <w:pPr>
        <w:rPr>
          <w:lang w:val="es-ES_tradnl"/>
        </w:rPr>
      </w:pPr>
      <w:r w:rsidRPr="00623A98">
        <w:rPr>
          <w:lang w:val="es-ES_tradnl"/>
        </w:rPr>
        <w:t xml:space="preserve">Argumenta que no se le </w:t>
      </w:r>
      <w:r w:rsidR="0048343B" w:rsidRPr="00623A98">
        <w:rPr>
          <w:lang w:val="es-ES_tradnl"/>
        </w:rPr>
        <w:t>concede</w:t>
      </w:r>
      <w:r w:rsidRPr="00623A98">
        <w:rPr>
          <w:lang w:val="es-ES_tradnl"/>
        </w:rPr>
        <w:t xml:space="preserve"> una </w:t>
      </w:r>
      <w:r w:rsidR="0048343B" w:rsidRPr="00623A98">
        <w:rPr>
          <w:lang w:val="es-ES_tradnl"/>
        </w:rPr>
        <w:t>contestación</w:t>
      </w:r>
      <w:r w:rsidRPr="00623A98">
        <w:rPr>
          <w:lang w:val="es-ES_tradnl"/>
        </w:rPr>
        <w:t xml:space="preserve"> en cuanto a la falta de dictamen, que existió una omisión por parte de la </w:t>
      </w:r>
      <w:r w:rsidRPr="00623A98">
        <w:rPr>
          <w:i/>
          <w:iCs/>
          <w:lang w:val="es-ES_tradnl"/>
        </w:rPr>
        <w:t>CNE</w:t>
      </w:r>
      <w:r w:rsidRPr="00623A98">
        <w:rPr>
          <w:lang w:val="es-ES_tradnl"/>
        </w:rPr>
        <w:t>, lo que no fue analizado por la responsable.</w:t>
      </w:r>
    </w:p>
    <w:p w14:paraId="4D9CDD9C" w14:textId="77777777" w:rsidR="004F2FF1" w:rsidRPr="00623A98" w:rsidRDefault="004F2FF1" w:rsidP="004F2FF1">
      <w:pPr>
        <w:rPr>
          <w:lang w:val="es-ES_tradnl"/>
        </w:rPr>
      </w:pPr>
      <w:r w:rsidRPr="00623A98">
        <w:rPr>
          <w:lang w:val="es-ES_tradnl"/>
        </w:rPr>
        <w:t xml:space="preserve">En su agravio TERCERO, expresa que la sentencia se encuentra indebidamente fundada y motivada, ya que deja de analizar que durante toda la cadena impugnativa ha señalado como inconformidad que no existe el referido dictamen, el cual fue requerido por el </w:t>
      </w:r>
      <w:r w:rsidRPr="00623A98">
        <w:rPr>
          <w:i/>
          <w:iCs/>
          <w:lang w:val="es-ES_tradnl"/>
        </w:rPr>
        <w:t>Tribunal Local</w:t>
      </w:r>
      <w:r w:rsidRPr="00623A98">
        <w:rPr>
          <w:lang w:val="es-ES_tradnl"/>
        </w:rPr>
        <w:t>, y que no le fue remitido.</w:t>
      </w:r>
    </w:p>
    <w:p w14:paraId="15EE77E6" w14:textId="77777777" w:rsidR="004F2FF1" w:rsidRPr="00623A98" w:rsidRDefault="004F2FF1" w:rsidP="004F2FF1">
      <w:pPr>
        <w:rPr>
          <w:lang w:val="es-ES_tradnl"/>
        </w:rPr>
      </w:pPr>
      <w:r w:rsidRPr="00623A98">
        <w:rPr>
          <w:lang w:val="es-ES_tradnl"/>
        </w:rPr>
        <w:t>Por lo anterior, considera que, ante la falta del referido documento, la sentencia es incompleta máxime que esa era su pretensión.</w:t>
      </w:r>
    </w:p>
    <w:p w14:paraId="787A7E4E" w14:textId="3D885BB1" w:rsidR="004F2FF1" w:rsidRPr="00623A98" w:rsidRDefault="00C215D3" w:rsidP="004F2FF1">
      <w:pPr>
        <w:rPr>
          <w:b/>
          <w:bCs/>
          <w:lang w:val="es-ES_tradnl"/>
        </w:rPr>
      </w:pPr>
      <w:r w:rsidRPr="00623A98">
        <w:rPr>
          <w:b/>
          <w:bCs/>
          <w:lang w:val="es-ES_tradnl"/>
        </w:rPr>
        <w:t xml:space="preserve">4.2. </w:t>
      </w:r>
      <w:r w:rsidR="004F2FF1" w:rsidRPr="00623A98">
        <w:rPr>
          <w:b/>
          <w:bCs/>
          <w:lang w:val="es-ES_tradnl"/>
        </w:rPr>
        <w:t xml:space="preserve">Decisión </w:t>
      </w:r>
    </w:p>
    <w:p w14:paraId="33325B82" w14:textId="31CE862B" w:rsidR="008D7994" w:rsidRPr="00623A98" w:rsidRDefault="008D7994" w:rsidP="004F2FF1">
      <w:pPr>
        <w:rPr>
          <w:lang w:val="es-ES_tradnl"/>
        </w:rPr>
      </w:pPr>
      <w:r w:rsidRPr="00623A98">
        <w:rPr>
          <w:lang w:val="es-ES_tradnl"/>
        </w:rPr>
        <w:t xml:space="preserve">Esta Sala Regional estima que debe confirmarse la determinación impugnada toda vez que, resultó correcto que el </w:t>
      </w:r>
      <w:r w:rsidRPr="00623A98">
        <w:rPr>
          <w:i/>
          <w:iCs/>
          <w:lang w:val="es-ES_tradnl"/>
        </w:rPr>
        <w:t>Tribunal Local</w:t>
      </w:r>
      <w:r w:rsidRPr="00623A98">
        <w:rPr>
          <w:lang w:val="es-ES_tradnl"/>
        </w:rPr>
        <w:t xml:space="preserve"> calificara como inoperantes los agravios relacionados con la supuesta falta de notificación del Dictamen</w:t>
      </w:r>
      <w:r w:rsidR="00B0068D" w:rsidRPr="00623A98">
        <w:rPr>
          <w:lang w:val="es-ES_tradnl"/>
        </w:rPr>
        <w:t>.</w:t>
      </w:r>
    </w:p>
    <w:p w14:paraId="245895E2" w14:textId="7CBDAD2A" w:rsidR="004F2FF1" w:rsidRPr="00623A98" w:rsidRDefault="00C215D3" w:rsidP="004F2FF1">
      <w:pPr>
        <w:rPr>
          <w:b/>
          <w:bCs/>
          <w:lang w:val="es-ES_tradnl"/>
        </w:rPr>
      </w:pPr>
      <w:r w:rsidRPr="00623A98">
        <w:rPr>
          <w:b/>
          <w:bCs/>
          <w:lang w:val="es-ES_tradnl"/>
        </w:rPr>
        <w:t xml:space="preserve">4.3. </w:t>
      </w:r>
      <w:r w:rsidR="004F2FF1" w:rsidRPr="00623A98">
        <w:rPr>
          <w:b/>
          <w:bCs/>
          <w:lang w:val="es-ES_tradnl"/>
        </w:rPr>
        <w:t>Justificación de la decisión</w:t>
      </w:r>
    </w:p>
    <w:p w14:paraId="006C3A92" w14:textId="2D6E4289" w:rsidR="004F2FF1" w:rsidRPr="00623A98" w:rsidRDefault="004F2FF1" w:rsidP="004F2FF1">
      <w:pPr>
        <w:rPr>
          <w:lang w:val="es-ES_tradnl"/>
        </w:rPr>
      </w:pPr>
      <w:r w:rsidRPr="00623A98">
        <w:rPr>
          <w:lang w:val="es-ES_tradnl"/>
        </w:rPr>
        <w:t>El derecho de acceso a la justicia en materia electoral, previsto en los artículos 17, 41, 99 y 116, fracción IV, i)</w:t>
      </w:r>
      <w:r w:rsidR="00785954" w:rsidRPr="00623A98">
        <w:rPr>
          <w:lang w:val="es-ES_tradnl"/>
        </w:rPr>
        <w:t xml:space="preserve"> de la </w:t>
      </w:r>
      <w:r w:rsidR="00785954" w:rsidRPr="00623A98">
        <w:rPr>
          <w:i/>
          <w:iCs/>
          <w:lang w:val="es-ES_tradnl"/>
        </w:rPr>
        <w:t>Constitución Federal</w:t>
      </w:r>
      <w:r w:rsidRPr="00623A98">
        <w:rPr>
          <w:lang w:val="es-ES_tradnl"/>
        </w:rPr>
        <w:t xml:space="preserve">, permite que los sujetos interesados puedan acceder a la revisión jurisdiccional de los actos emanados de las autoridades electorales, así como de los partidos políticos cuando actúan material y formalmente como autoridades frente a sus militantes, como es el caso de la justicia partidista el cual se encuentra regulado en los artículos 1 párrafo 1, inciso g), 23, párrafo 1, inciso i). 39, párrafo 1, inciso i), 43, párrafo 1, inciso e), 46, 47 y 48 de la </w:t>
      </w:r>
      <w:r w:rsidRPr="00623A98">
        <w:rPr>
          <w:i/>
          <w:iCs/>
          <w:lang w:val="es-ES_tradnl"/>
        </w:rPr>
        <w:t>Ley de Partidos</w:t>
      </w:r>
      <w:r w:rsidRPr="00623A98">
        <w:rPr>
          <w:lang w:val="es-ES_tradnl"/>
        </w:rPr>
        <w:t>, y que también integra la cadena del sistema de medios de impugnación.</w:t>
      </w:r>
    </w:p>
    <w:p w14:paraId="530F9894" w14:textId="77777777" w:rsidR="004F2FF1" w:rsidRPr="00623A98" w:rsidRDefault="004F2FF1" w:rsidP="004F2FF1">
      <w:pPr>
        <w:rPr>
          <w:lang w:val="es-ES_tradnl"/>
        </w:rPr>
      </w:pPr>
      <w:r w:rsidRPr="00623A98">
        <w:rPr>
          <w:lang w:val="es-ES_tradnl"/>
        </w:rPr>
        <w:t xml:space="preserve">Ahora bien, para el caso de que exista algún acto que cause perjuicio la persona interesada podrá acudir ante los órganos de justicia partidista para buscar la reparación de los derechos vulnerados, y en caso de que dicha afectación no se considere reparada podrá acudir a los mecanismos jurisdiccionales de índole local o federal, para buscar su reparación, pero, al iniciar la cadena impugnativa atendiendo al principio de litis cerrada, esta no </w:t>
      </w:r>
      <w:r w:rsidRPr="00623A98">
        <w:rPr>
          <w:lang w:val="es-ES_tradnl"/>
        </w:rPr>
        <w:lastRenderedPageBreak/>
        <w:t>podrá ser variada por lo cual, no se podrán incorporar elementos novedosos, es decir, diversos a los originalmente expuestos.</w:t>
      </w:r>
    </w:p>
    <w:p w14:paraId="185D3FAF" w14:textId="03306610" w:rsidR="004F2FF1" w:rsidRPr="00623A98" w:rsidRDefault="004F2FF1" w:rsidP="004F2FF1">
      <w:pPr>
        <w:rPr>
          <w:lang w:val="es-ES_tradnl"/>
        </w:rPr>
      </w:pPr>
      <w:r w:rsidRPr="00623A98">
        <w:rPr>
          <w:lang w:val="es-ES_tradnl"/>
        </w:rPr>
        <w:t>En el presente caso, al realizar una revisión del escrito a través del cual se dio inici</w:t>
      </w:r>
      <w:r w:rsidR="00785954" w:rsidRPr="00623A98">
        <w:rPr>
          <w:lang w:val="es-ES_tradnl"/>
        </w:rPr>
        <w:t>ó</w:t>
      </w:r>
      <w:r w:rsidRPr="00623A98">
        <w:rPr>
          <w:lang w:val="es-ES_tradnl"/>
        </w:rPr>
        <w:t xml:space="preserve"> al mecanismo de impugnación partidista en el expediente CNHJ-GTO-1228/2021, y el cual obra a fojas 64 a 77 del </w:t>
      </w:r>
      <w:r w:rsidR="00785954" w:rsidRPr="00623A98">
        <w:rPr>
          <w:lang w:val="es-ES_tradnl"/>
        </w:rPr>
        <w:t>c</w:t>
      </w:r>
      <w:r w:rsidRPr="00623A98">
        <w:rPr>
          <w:lang w:val="es-ES_tradnl"/>
        </w:rPr>
        <w:t xml:space="preserve">uaderno accesorio </w:t>
      </w:r>
      <w:r w:rsidR="00785954" w:rsidRPr="00623A98">
        <w:rPr>
          <w:lang w:val="es-ES_tradnl"/>
        </w:rPr>
        <w:t>ú</w:t>
      </w:r>
      <w:r w:rsidRPr="00623A98">
        <w:rPr>
          <w:lang w:val="es-ES_tradnl"/>
        </w:rPr>
        <w:t xml:space="preserve">nico, se puede advertir que el hoy actor no hizo valer algún agravio relacionado con la falta de notificación del dictamen de selección de candidaturas, sino que su queja se relacionó con la presunta designación de perfiles ajenos al partido cuando deberían reservarse a protagonistas del cambio verdadero, siendo este agravio el que tuvo que ser objeto de respuesta por parte de </w:t>
      </w:r>
      <w:r w:rsidRPr="00623A98">
        <w:rPr>
          <w:i/>
          <w:iCs/>
          <w:lang w:val="es-ES_tradnl"/>
        </w:rPr>
        <w:t>CNHJ</w:t>
      </w:r>
      <w:r w:rsidRPr="00623A98">
        <w:rPr>
          <w:lang w:val="es-ES_tradnl"/>
        </w:rPr>
        <w:t>.</w:t>
      </w:r>
    </w:p>
    <w:p w14:paraId="4C60DA51" w14:textId="77777777" w:rsidR="004F2FF1" w:rsidRPr="00623A98" w:rsidRDefault="004F2FF1" w:rsidP="004F2FF1">
      <w:pPr>
        <w:rPr>
          <w:lang w:val="es-ES_tradnl"/>
        </w:rPr>
      </w:pPr>
      <w:r w:rsidRPr="00623A98">
        <w:rPr>
          <w:lang w:val="es-ES_tradnl"/>
        </w:rPr>
        <w:t xml:space="preserve">En la demanda local, se puede advertir que introdujo dicha temática, la cual resulto novedosa respecto a la originalmente planteada, de ahí que sea correcta la apreciación por parte de </w:t>
      </w:r>
      <w:r w:rsidRPr="00623A98">
        <w:rPr>
          <w:i/>
          <w:iCs/>
          <w:lang w:val="es-ES_tradnl"/>
        </w:rPr>
        <w:t>Tribunal Local</w:t>
      </w:r>
      <w:r w:rsidRPr="00623A98">
        <w:rPr>
          <w:lang w:val="es-ES_tradnl"/>
        </w:rPr>
        <w:t xml:space="preserve"> en el sentido de que el agravio no podría ser objeto de análisis.</w:t>
      </w:r>
    </w:p>
    <w:p w14:paraId="3AA422AD" w14:textId="77777777" w:rsidR="004F2FF1" w:rsidRPr="00623A98" w:rsidRDefault="004F2FF1" w:rsidP="004F2FF1">
      <w:pPr>
        <w:rPr>
          <w:lang w:val="es-ES_tradnl"/>
        </w:rPr>
      </w:pPr>
      <w:r w:rsidRPr="00623A98">
        <w:rPr>
          <w:lang w:val="es-ES_tradnl"/>
        </w:rPr>
        <w:t xml:space="preserve">Cabe mencionar, que no le asiste la razón al actor cuando señala que no se suplió la deficiencia de la queja en los términos previstos en el artículo 388 de la </w:t>
      </w:r>
      <w:r w:rsidRPr="00623A98">
        <w:rPr>
          <w:i/>
          <w:iCs/>
          <w:lang w:val="es-ES_tradnl"/>
        </w:rPr>
        <w:t>Ley Electoral Local</w:t>
      </w:r>
      <w:r w:rsidRPr="00623A98">
        <w:rPr>
          <w:lang w:val="es-ES_tradnl"/>
        </w:rPr>
        <w:t>, porque en su apartado de hechos señaló que no se le notificó, lo que era suficiente para tener por construido un agravio en su beneficio.</w:t>
      </w:r>
    </w:p>
    <w:p w14:paraId="45D32B1A" w14:textId="77777777" w:rsidR="004F2FF1" w:rsidRPr="00623A98" w:rsidRDefault="004F2FF1" w:rsidP="004F2FF1">
      <w:pPr>
        <w:rPr>
          <w:lang w:val="es-ES_tradnl"/>
        </w:rPr>
      </w:pPr>
      <w:r w:rsidRPr="00623A98">
        <w:rPr>
          <w:lang w:val="es-ES_tradnl"/>
        </w:rPr>
        <w:t xml:space="preserve">Esto es así, pues, la suplencia de la queja prevista en la legislación electoral local no es absoluta y sólo procederá cuando existan bases suficientes para identificar una relación estrecha e indisoluble entre un hecho y un agravio, lo que no ocurre en la especie, pues, la pretensión del actor es que el </w:t>
      </w:r>
      <w:r w:rsidRPr="00623A98">
        <w:rPr>
          <w:i/>
          <w:iCs/>
          <w:lang w:val="es-ES_tradnl"/>
        </w:rPr>
        <w:t xml:space="preserve">Tribunal Local </w:t>
      </w:r>
      <w:r w:rsidRPr="00623A98">
        <w:rPr>
          <w:lang w:val="es-ES_tradnl"/>
        </w:rPr>
        <w:t>realizara una suplencia total de la queja y llevara a cabo una revisión oficiosa del procedimiento, cuando, en todo caso, le correspondía al actor como parte en la secuela procesal expresar los motivos de disenso.</w:t>
      </w:r>
    </w:p>
    <w:p w14:paraId="51295FA2" w14:textId="77777777" w:rsidR="004F2FF1" w:rsidRPr="00623A98" w:rsidRDefault="004F2FF1" w:rsidP="004F2FF1">
      <w:pPr>
        <w:rPr>
          <w:b/>
          <w:bCs/>
          <w:lang w:val="es-ES_tradnl"/>
        </w:rPr>
      </w:pPr>
      <w:r w:rsidRPr="00623A98">
        <w:rPr>
          <w:b/>
          <w:bCs/>
          <w:lang w:val="es-ES_tradnl"/>
        </w:rPr>
        <w:t xml:space="preserve">Resultó correcto que el </w:t>
      </w:r>
      <w:r w:rsidRPr="00623A98">
        <w:rPr>
          <w:b/>
          <w:bCs/>
          <w:i/>
          <w:iCs/>
          <w:lang w:val="es-ES_tradnl"/>
        </w:rPr>
        <w:t>Tribunal Local</w:t>
      </w:r>
      <w:r w:rsidRPr="00623A98">
        <w:rPr>
          <w:b/>
          <w:bCs/>
          <w:lang w:val="es-ES_tradnl"/>
        </w:rPr>
        <w:t xml:space="preserve"> calificara como inoperantes los agravios en los cuales reitera sus motivos de disenso</w:t>
      </w:r>
    </w:p>
    <w:p w14:paraId="3B46A5DD" w14:textId="77777777" w:rsidR="004F2FF1" w:rsidRPr="00623A98" w:rsidRDefault="004F2FF1" w:rsidP="004F2FF1">
      <w:pPr>
        <w:rPr>
          <w:lang w:val="es-ES_tradnl"/>
        </w:rPr>
      </w:pPr>
      <w:r w:rsidRPr="00623A98">
        <w:rPr>
          <w:lang w:val="es-ES_tradnl"/>
        </w:rPr>
        <w:t xml:space="preserve">El recurrente señala que, al reiterar los agravios, su intención era demostrar que no se analizaron por parte de la </w:t>
      </w:r>
      <w:r w:rsidRPr="00623A98">
        <w:rPr>
          <w:i/>
          <w:iCs/>
          <w:lang w:val="es-ES_tradnl"/>
        </w:rPr>
        <w:t>CNHJ</w:t>
      </w:r>
      <w:r w:rsidRPr="00623A98">
        <w:rPr>
          <w:lang w:val="es-ES_tradnl"/>
        </w:rPr>
        <w:t xml:space="preserve"> sus inconformidades, por lo que al no advertirse esto, la sentencia está indebidamente fundada y motivada.</w:t>
      </w:r>
    </w:p>
    <w:p w14:paraId="2055EB39" w14:textId="77777777" w:rsidR="004F2FF1" w:rsidRPr="00623A98" w:rsidRDefault="004F2FF1" w:rsidP="004F2FF1">
      <w:pPr>
        <w:rPr>
          <w:lang w:val="es-ES_tradnl"/>
        </w:rPr>
      </w:pPr>
      <w:r w:rsidRPr="00623A98">
        <w:rPr>
          <w:lang w:val="es-ES_tradnl"/>
        </w:rPr>
        <w:t>No le asiste la razón.</w:t>
      </w:r>
    </w:p>
    <w:p w14:paraId="1B2DBEAE" w14:textId="69C281F2" w:rsidR="004F2FF1" w:rsidRPr="00623A98" w:rsidRDefault="004F2FF1" w:rsidP="004F2FF1">
      <w:pPr>
        <w:rPr>
          <w:lang w:val="es-ES_tradnl"/>
        </w:rPr>
      </w:pPr>
      <w:r w:rsidRPr="00623A98">
        <w:rPr>
          <w:lang w:val="es-ES_tradnl"/>
        </w:rPr>
        <w:t xml:space="preserve">La sentencia </w:t>
      </w:r>
      <w:r w:rsidR="008D7994" w:rsidRPr="00623A98">
        <w:rPr>
          <w:lang w:val="es-ES_tradnl"/>
        </w:rPr>
        <w:t>está</w:t>
      </w:r>
      <w:r w:rsidRPr="00623A98">
        <w:rPr>
          <w:lang w:val="es-ES_tradnl"/>
        </w:rPr>
        <w:t xml:space="preserve"> debidamente fundada y motivada, toda vez que en términos de lo dispuesto en el artículo 382, fracción VI, de la </w:t>
      </w:r>
      <w:r w:rsidRPr="00623A98">
        <w:rPr>
          <w:i/>
          <w:iCs/>
          <w:lang w:val="es-ES_tradnl"/>
        </w:rPr>
        <w:t>Ley Electoral Local</w:t>
      </w:r>
      <w:r w:rsidRPr="00623A98">
        <w:rPr>
          <w:lang w:val="es-ES_tradnl"/>
        </w:rPr>
        <w:t xml:space="preserve">, los </w:t>
      </w:r>
      <w:r w:rsidRPr="00623A98">
        <w:rPr>
          <w:lang w:val="es-ES_tradnl"/>
        </w:rPr>
        <w:lastRenderedPageBreak/>
        <w:t>accionantes tiene la carga de expresar los agravios que se les causen con el acto controvertido.</w:t>
      </w:r>
    </w:p>
    <w:p w14:paraId="44F8CBF0" w14:textId="77777777" w:rsidR="004F2FF1" w:rsidRPr="00623A98" w:rsidRDefault="004F2FF1" w:rsidP="004F2FF1">
      <w:pPr>
        <w:rPr>
          <w:lang w:val="es-ES_tradnl"/>
        </w:rPr>
      </w:pPr>
      <w:r w:rsidRPr="00623A98">
        <w:rPr>
          <w:lang w:val="es-ES_tradnl"/>
        </w:rPr>
        <w:t>Sin embargo, dicha obligación no se puede estimar colmada si únicamente se reiteran los agravios expuestos de forma primigenia, pues, el acto jurídico que se encaminaron a atacar fue sustituido con motivo de la decisión de la autoridad resolutora.</w:t>
      </w:r>
    </w:p>
    <w:p w14:paraId="17B48EE8" w14:textId="77777777" w:rsidR="004F2FF1" w:rsidRPr="00623A98" w:rsidRDefault="004F2FF1" w:rsidP="004F2FF1">
      <w:pPr>
        <w:rPr>
          <w:lang w:val="es-ES_tradnl"/>
        </w:rPr>
      </w:pPr>
      <w:r w:rsidRPr="00623A98">
        <w:rPr>
          <w:lang w:val="es-ES_tradnl"/>
        </w:rPr>
        <w:t xml:space="preserve">Por lo anterior, sí en un principio los actos que se reclamaban eran imputables a la </w:t>
      </w:r>
      <w:r w:rsidRPr="00623A98">
        <w:rPr>
          <w:i/>
          <w:iCs/>
          <w:lang w:val="es-ES_tradnl"/>
        </w:rPr>
        <w:t>CNE</w:t>
      </w:r>
      <w:r w:rsidRPr="00623A98">
        <w:rPr>
          <w:lang w:val="es-ES_tradnl"/>
        </w:rPr>
        <w:t xml:space="preserve">, al haber sido objeto de impugnación en la instancia partidista estos son sustituidos por la resolución que emita la </w:t>
      </w:r>
      <w:r w:rsidRPr="00623A98">
        <w:rPr>
          <w:i/>
          <w:iCs/>
          <w:lang w:val="es-ES_tradnl"/>
        </w:rPr>
        <w:t>CNHJ</w:t>
      </w:r>
      <w:r w:rsidRPr="00623A98">
        <w:rPr>
          <w:lang w:val="es-ES_tradnl"/>
        </w:rPr>
        <w:t>, por lo cual, son estos los que deben ser objeto de cuestionamiento.</w:t>
      </w:r>
    </w:p>
    <w:p w14:paraId="04DB1029" w14:textId="71E0E283" w:rsidR="004F2FF1" w:rsidRPr="00623A98" w:rsidRDefault="004F2FF1" w:rsidP="004F2FF1">
      <w:pPr>
        <w:rPr>
          <w:lang w:val="es-ES_tradnl"/>
        </w:rPr>
      </w:pPr>
      <w:r w:rsidRPr="00623A98">
        <w:rPr>
          <w:lang w:val="es-ES_tradnl"/>
        </w:rPr>
        <w:t xml:space="preserve">Ahora, entre otras afectaciones que se le pudieron causar al actor </w:t>
      </w:r>
      <w:r w:rsidR="00901CFE" w:rsidRPr="00623A98">
        <w:rPr>
          <w:lang w:val="es-ES_tradnl"/>
        </w:rPr>
        <w:t>está</w:t>
      </w:r>
      <w:r w:rsidRPr="00623A98">
        <w:rPr>
          <w:lang w:val="es-ES_tradnl"/>
        </w:rPr>
        <w:t xml:space="preserve"> la de haber sido destinatario de una resolución carente de exhaustividad y congruencia, y en tal virtud, la queja correspondiente se debió enfocar a evidenciar tal circunstancia, pero, si su actuación se limitó a reiterar sus agravios es claro que su pretensión, que en todo caso sería la de obtener respuesta a sus agravios no podría ser alcanzada, sin que tampoco le fuera exigible al </w:t>
      </w:r>
      <w:r w:rsidRPr="00623A98">
        <w:rPr>
          <w:i/>
          <w:iCs/>
          <w:lang w:val="es-ES_tradnl"/>
        </w:rPr>
        <w:t>Tribunal Local</w:t>
      </w:r>
      <w:r w:rsidRPr="00623A98">
        <w:rPr>
          <w:lang w:val="es-ES_tradnl"/>
        </w:rPr>
        <w:t xml:space="preserve"> realizar una suplencia total de la queja.</w:t>
      </w:r>
    </w:p>
    <w:p w14:paraId="63079902" w14:textId="77777777" w:rsidR="004F2FF1" w:rsidRPr="00623A98" w:rsidRDefault="004F2FF1" w:rsidP="004F2FF1">
      <w:pPr>
        <w:rPr>
          <w:lang w:val="es-ES_tradnl"/>
        </w:rPr>
      </w:pPr>
      <w:r w:rsidRPr="00623A98">
        <w:rPr>
          <w:b/>
          <w:bCs/>
          <w:lang w:val="es-ES_tradnl"/>
        </w:rPr>
        <w:t>El agravio TERCERO (III) es ineficaz, porque no combate las consideraciones contenidas en la sentencia</w:t>
      </w:r>
    </w:p>
    <w:p w14:paraId="3585D0B2" w14:textId="77777777" w:rsidR="004F2FF1" w:rsidRPr="00623A98" w:rsidRDefault="004F2FF1" w:rsidP="004F2FF1">
      <w:pPr>
        <w:rPr>
          <w:lang w:val="es-ES_tradnl"/>
        </w:rPr>
      </w:pPr>
      <w:r w:rsidRPr="00623A98">
        <w:rPr>
          <w:lang w:val="es-ES_tradnl"/>
        </w:rPr>
        <w:t>Finalmente, se señala que el agravio tercero es ineficaz, porque no se encamina a controvertir las razones en que se sustenta la sentencia, sino que reitera que no le fue proporcionado el dictamen, y que este tampoco fue aportado a juicio, por lo que la sentencia es incompleta.</w:t>
      </w:r>
    </w:p>
    <w:p w14:paraId="69A416E0" w14:textId="3F9861B7" w:rsidR="004F2FF1" w:rsidRPr="00623A98" w:rsidRDefault="004F2FF1" w:rsidP="004F2FF1">
      <w:pPr>
        <w:rPr>
          <w:lang w:val="es-ES_tradnl"/>
        </w:rPr>
      </w:pPr>
      <w:r w:rsidRPr="00623A98">
        <w:rPr>
          <w:lang w:val="es-ES_tradnl"/>
        </w:rPr>
        <w:t xml:space="preserve">Dichos disensos son ineficaces, pues, con independencia de que el dictamen hubiera sido aportado a juicio, lo cierto es que el objeto de análisis era la sentencia dictada por la </w:t>
      </w:r>
      <w:r w:rsidRPr="00623A98">
        <w:rPr>
          <w:i/>
          <w:iCs/>
          <w:lang w:val="es-ES_tradnl"/>
        </w:rPr>
        <w:t>CNHJ</w:t>
      </w:r>
      <w:r w:rsidRPr="00623A98">
        <w:rPr>
          <w:lang w:val="es-ES_tradnl"/>
        </w:rPr>
        <w:t xml:space="preserve"> al resolver el expediente CNHJ-GTO-1228/2021, en el cual se calificó como infundada la queja presentada por el hoy actor, y en la cual, su pretensión era la de que se le reconociera un mejor derecho para ser postulado como candidato a diputado por el principio de </w:t>
      </w:r>
      <w:r w:rsidR="00A27CB3" w:rsidRPr="00623A98">
        <w:rPr>
          <w:i/>
          <w:iCs/>
          <w:lang w:val="es-ES_tradnl"/>
        </w:rPr>
        <w:t>RP</w:t>
      </w:r>
      <w:r w:rsidRPr="00623A98">
        <w:rPr>
          <w:lang w:val="es-ES_tradnl"/>
        </w:rPr>
        <w:t xml:space="preserve"> en un mejor lugar de la lista de preferencia del partido político MORENA.</w:t>
      </w:r>
    </w:p>
    <w:p w14:paraId="05394FD2" w14:textId="042434C8" w:rsidR="001754A8" w:rsidRPr="00623A98" w:rsidRDefault="004F2FF1" w:rsidP="00CF4AA3">
      <w:pPr>
        <w:rPr>
          <w:lang w:val="es-ES_tradnl"/>
        </w:rPr>
      </w:pPr>
      <w:r w:rsidRPr="00623A98">
        <w:rPr>
          <w:lang w:val="es-ES_tradnl"/>
        </w:rPr>
        <w:t xml:space="preserve">Luego entonces, si dicho disenso no se encamina a combatir la calificación que el </w:t>
      </w:r>
      <w:r w:rsidRPr="00623A98">
        <w:rPr>
          <w:i/>
          <w:iCs/>
          <w:lang w:val="es-ES_tradnl"/>
        </w:rPr>
        <w:t>Tribunal Local</w:t>
      </w:r>
      <w:r w:rsidRPr="00623A98">
        <w:rPr>
          <w:lang w:val="es-ES_tradnl"/>
        </w:rPr>
        <w:t xml:space="preserve"> </w:t>
      </w:r>
      <w:r w:rsidR="00901CFE" w:rsidRPr="00623A98">
        <w:rPr>
          <w:lang w:val="es-ES_tradnl"/>
        </w:rPr>
        <w:t>le</w:t>
      </w:r>
      <w:r w:rsidRPr="00623A98">
        <w:rPr>
          <w:lang w:val="es-ES_tradnl"/>
        </w:rPr>
        <w:t xml:space="preserve"> otorgó a su agravio, est</w:t>
      </w:r>
      <w:r w:rsidR="00785954" w:rsidRPr="00623A98">
        <w:rPr>
          <w:lang w:val="es-ES_tradnl"/>
        </w:rPr>
        <w:t>e</w:t>
      </w:r>
      <w:r w:rsidRPr="00623A98">
        <w:rPr>
          <w:lang w:val="es-ES_tradnl"/>
        </w:rPr>
        <w:t xml:space="preserve">, como se mencionó </w:t>
      </w:r>
      <w:r w:rsidR="00785954" w:rsidRPr="00623A98">
        <w:rPr>
          <w:lang w:val="es-ES_tradnl"/>
        </w:rPr>
        <w:t>es</w:t>
      </w:r>
      <w:r w:rsidRPr="00623A98">
        <w:rPr>
          <w:lang w:val="es-ES_tradnl"/>
        </w:rPr>
        <w:t xml:space="preserve"> </w:t>
      </w:r>
      <w:r w:rsidR="00785954" w:rsidRPr="00623A98">
        <w:rPr>
          <w:lang w:val="es-ES_tradnl"/>
        </w:rPr>
        <w:t>ineficaz</w:t>
      </w:r>
      <w:r w:rsidRPr="00623A98">
        <w:rPr>
          <w:lang w:val="es-ES_tradnl"/>
        </w:rPr>
        <w:t>.</w:t>
      </w:r>
    </w:p>
    <w:p w14:paraId="30B0716F" w14:textId="22B9BA6D" w:rsidR="009963AE" w:rsidRPr="00623A98" w:rsidRDefault="00CF4AA3" w:rsidP="004F2FF1">
      <w:pPr>
        <w:rPr>
          <w:lang w:val="es-ES_tradnl"/>
        </w:rPr>
      </w:pPr>
      <w:r w:rsidRPr="00623A98">
        <w:rPr>
          <w:lang w:val="es-ES_tradnl"/>
        </w:rPr>
        <w:lastRenderedPageBreak/>
        <w:t xml:space="preserve">Finalmente, es preciso señalar que, al haber sido asignado el actor como diputado de </w:t>
      </w:r>
      <w:r w:rsidR="00A27CB3" w:rsidRPr="00623A98">
        <w:rPr>
          <w:i/>
          <w:iCs/>
          <w:lang w:val="es-ES_tradnl"/>
        </w:rPr>
        <w:t>RP</w:t>
      </w:r>
      <w:r w:rsidRPr="00623A98">
        <w:rPr>
          <w:lang w:val="es-ES_tradnl"/>
        </w:rPr>
        <w:t xml:space="preserve"> por parte de MORENA, la </w:t>
      </w:r>
      <w:r w:rsidRPr="00623A98">
        <w:rPr>
          <w:rFonts w:eastAsia="Times New Roman" w:cs="Arial"/>
          <w:szCs w:val="24"/>
          <w:lang w:val="es-ES_tradnl" w:eastAsia="es-MX"/>
        </w:rPr>
        <w:t xml:space="preserve">posición que éste ocupe en la lista presentada por dicho instituto político, </w:t>
      </w:r>
      <w:r w:rsidRPr="00623A98">
        <w:rPr>
          <w:lang w:val="es-ES_tradnl"/>
        </w:rPr>
        <w:t xml:space="preserve">no genera en sí una afectación directa a sus derechos, pues </w:t>
      </w:r>
      <w:r w:rsidR="001754A8" w:rsidRPr="00623A98">
        <w:rPr>
          <w:lang w:val="es-ES_tradnl"/>
        </w:rPr>
        <w:t xml:space="preserve">la </w:t>
      </w:r>
      <w:r w:rsidRPr="00623A98">
        <w:rPr>
          <w:lang w:val="es-ES_tradnl"/>
        </w:rPr>
        <w:t xml:space="preserve">pretensión </w:t>
      </w:r>
      <w:r w:rsidR="001754A8" w:rsidRPr="00623A98">
        <w:rPr>
          <w:lang w:val="es-ES_tradnl"/>
        </w:rPr>
        <w:t xml:space="preserve">de integrar el órgano legislativo </w:t>
      </w:r>
      <w:r w:rsidRPr="00623A98">
        <w:rPr>
          <w:lang w:val="es-ES_tradnl"/>
        </w:rPr>
        <w:t>ha sido lograda</w:t>
      </w:r>
      <w:r w:rsidR="001754A8" w:rsidRPr="00623A98">
        <w:rPr>
          <w:lang w:val="es-ES_tradnl"/>
        </w:rPr>
        <w:t>.</w:t>
      </w:r>
    </w:p>
    <w:p w14:paraId="399AF2C0" w14:textId="2265A67B" w:rsidR="004F2FF1" w:rsidRPr="00623A98" w:rsidRDefault="004F2FF1" w:rsidP="004F2FF1">
      <w:pPr>
        <w:rPr>
          <w:lang w:val="es-ES_tradnl"/>
        </w:rPr>
      </w:pPr>
      <w:r w:rsidRPr="00623A98">
        <w:rPr>
          <w:lang w:val="es-ES_tradnl"/>
        </w:rPr>
        <w:t xml:space="preserve">Por lo anteriormente expuesto, </w:t>
      </w:r>
      <w:r w:rsidR="00901CFE" w:rsidRPr="00623A98">
        <w:rPr>
          <w:lang w:val="es-ES_tradnl"/>
        </w:rPr>
        <w:t>e</w:t>
      </w:r>
      <w:r w:rsidRPr="00623A98">
        <w:rPr>
          <w:lang w:val="es-ES_tradnl"/>
        </w:rPr>
        <w:t>s</w:t>
      </w:r>
      <w:r w:rsidR="00901CFE" w:rsidRPr="00623A98">
        <w:rPr>
          <w:lang w:val="es-ES_tradnl"/>
        </w:rPr>
        <w:t xml:space="preserve"> que debe</w:t>
      </w:r>
      <w:r w:rsidRPr="00623A98">
        <w:rPr>
          <w:lang w:val="es-ES_tradnl"/>
        </w:rPr>
        <w:t xml:space="preserve"> confirma</w:t>
      </w:r>
      <w:r w:rsidR="00901CFE" w:rsidRPr="00623A98">
        <w:rPr>
          <w:lang w:val="es-ES_tradnl"/>
        </w:rPr>
        <w:t>rse</w:t>
      </w:r>
      <w:r w:rsidRPr="00623A98">
        <w:rPr>
          <w:lang w:val="es-ES_tradnl"/>
        </w:rPr>
        <w:t xml:space="preserve"> la sentencia impugnada.</w:t>
      </w:r>
    </w:p>
    <w:p w14:paraId="6896C457" w14:textId="1BDB18CE" w:rsidR="00A8488E" w:rsidRPr="00623A98" w:rsidRDefault="003B3573" w:rsidP="00A8488E">
      <w:pPr>
        <w:pStyle w:val="Ttulo1"/>
        <w:spacing w:after="240"/>
        <w:rPr>
          <w:rFonts w:cs="Arial"/>
          <w:szCs w:val="24"/>
          <w:lang w:val="es-ES_tradnl" w:eastAsia="es-MX"/>
        </w:rPr>
      </w:pPr>
      <w:r w:rsidRPr="00623A98">
        <w:rPr>
          <w:rFonts w:cs="Arial"/>
          <w:szCs w:val="24"/>
          <w:lang w:val="es-ES_tradnl" w:eastAsia="es-MX"/>
        </w:rPr>
        <w:t>5</w:t>
      </w:r>
      <w:r w:rsidR="00A8488E" w:rsidRPr="00623A98">
        <w:rPr>
          <w:rFonts w:cs="Arial"/>
          <w:szCs w:val="24"/>
          <w:lang w:val="es-ES_tradnl" w:eastAsia="es-MX"/>
        </w:rPr>
        <w:t>. RESOLUTIVO</w:t>
      </w:r>
    </w:p>
    <w:p w14:paraId="7684687A" w14:textId="0F3AA666" w:rsidR="00A8488E" w:rsidRPr="00623A98" w:rsidRDefault="003B3573" w:rsidP="003B3573">
      <w:pPr>
        <w:spacing w:before="240" w:after="240"/>
        <w:rPr>
          <w:rFonts w:cs="Arial"/>
          <w:szCs w:val="24"/>
          <w:lang w:val="es-ES_tradnl" w:eastAsia="es-ES"/>
        </w:rPr>
      </w:pPr>
      <w:r w:rsidRPr="00623A98">
        <w:rPr>
          <w:rFonts w:cs="Arial"/>
          <w:b/>
          <w:bCs/>
          <w:szCs w:val="24"/>
          <w:lang w:val="es-ES_tradnl" w:eastAsia="es-ES"/>
        </w:rPr>
        <w:t>ÚNICO.</w:t>
      </w:r>
      <w:r w:rsidRPr="00623A98">
        <w:rPr>
          <w:rFonts w:cs="Arial"/>
          <w:b/>
          <w:szCs w:val="24"/>
          <w:lang w:val="es-ES_tradnl" w:eastAsia="es-ES"/>
        </w:rPr>
        <w:t xml:space="preserve"> </w:t>
      </w:r>
      <w:r w:rsidRPr="00623A98">
        <w:rPr>
          <w:rFonts w:cs="Arial"/>
          <w:bCs/>
          <w:szCs w:val="24"/>
          <w:lang w:val="es-ES_tradnl" w:eastAsia="es-ES"/>
        </w:rPr>
        <w:t xml:space="preserve">Se confirma la sentencia </w:t>
      </w:r>
      <w:r w:rsidR="00901CFE" w:rsidRPr="00623A98">
        <w:rPr>
          <w:rFonts w:cs="Arial"/>
          <w:bCs/>
          <w:szCs w:val="24"/>
          <w:lang w:val="es-ES_tradnl" w:eastAsia="es-ES"/>
        </w:rPr>
        <w:t>impugnada.</w:t>
      </w:r>
    </w:p>
    <w:p w14:paraId="7F4DC90C" w14:textId="316EE72E" w:rsidR="00A8488E" w:rsidRPr="00684D58" w:rsidRDefault="00A8488E" w:rsidP="00A8488E">
      <w:pPr>
        <w:spacing w:before="240" w:after="240"/>
        <w:rPr>
          <w:rFonts w:cs="Arial"/>
          <w:szCs w:val="24"/>
          <w:lang w:val="es-ES_tradnl"/>
        </w:rPr>
      </w:pPr>
      <w:r w:rsidRPr="00623A98">
        <w:rPr>
          <w:rFonts w:cs="Arial"/>
          <w:szCs w:val="24"/>
          <w:lang w:val="es-ES_tradnl"/>
        </w:rPr>
        <w:t xml:space="preserve">En su oportunidad, archívese </w:t>
      </w:r>
      <w:r w:rsidR="003B3573" w:rsidRPr="00623A98">
        <w:rPr>
          <w:rFonts w:cs="Arial"/>
          <w:szCs w:val="24"/>
          <w:lang w:val="es-ES_tradnl"/>
        </w:rPr>
        <w:t>el</w:t>
      </w:r>
      <w:r w:rsidRPr="00623A98">
        <w:rPr>
          <w:rFonts w:cs="Arial"/>
          <w:szCs w:val="24"/>
          <w:lang w:val="es-ES_tradnl"/>
        </w:rPr>
        <w:t xml:space="preserve"> expediente como asunto concluido y, en su</w:t>
      </w:r>
      <w:r w:rsidRPr="00684D58">
        <w:rPr>
          <w:rFonts w:cs="Arial"/>
          <w:szCs w:val="24"/>
          <w:lang w:val="es-ES_tradnl"/>
        </w:rPr>
        <w:t xml:space="preserve"> caso, devuélvase la documentación remitida por la responsable.</w:t>
      </w:r>
    </w:p>
    <w:p w14:paraId="6626C3B3" w14:textId="77777777" w:rsidR="00A8488E" w:rsidRPr="00684D58" w:rsidRDefault="00A8488E" w:rsidP="00A8488E">
      <w:pPr>
        <w:shd w:val="clear" w:color="auto" w:fill="FFFFFF"/>
        <w:spacing w:before="240" w:after="240"/>
        <w:rPr>
          <w:rFonts w:cs="Arial"/>
          <w:szCs w:val="24"/>
          <w:lang w:val="es-ES_tradnl" w:eastAsia="es-MX"/>
        </w:rPr>
      </w:pPr>
      <w:r w:rsidRPr="00684D58">
        <w:rPr>
          <w:rFonts w:cs="Arial"/>
          <w:b/>
          <w:bCs/>
          <w:szCs w:val="24"/>
          <w:lang w:val="es-ES_tradnl" w:eastAsia="es-MX"/>
        </w:rPr>
        <w:t>NOTIFÍQUESE</w:t>
      </w:r>
    </w:p>
    <w:p w14:paraId="782E8B0E" w14:textId="5C3CE834" w:rsidR="00A8488E" w:rsidRPr="00684D58" w:rsidRDefault="00A8488E" w:rsidP="00A8488E">
      <w:pPr>
        <w:shd w:val="clear" w:color="auto" w:fill="FFFFFF"/>
        <w:spacing w:before="240" w:after="240"/>
        <w:rPr>
          <w:rFonts w:cs="Arial"/>
          <w:szCs w:val="24"/>
          <w:lang w:val="es-ES_tradnl" w:eastAsia="es-MX"/>
        </w:rPr>
      </w:pPr>
      <w:r w:rsidRPr="00684D58">
        <w:rPr>
          <w:rFonts w:cs="Arial"/>
          <w:szCs w:val="24"/>
          <w:lang w:val="es-ES_tradnl" w:eastAsia="es-MX"/>
        </w:rPr>
        <w:t xml:space="preserve">Así lo resolvieron por </w:t>
      </w:r>
      <w:r w:rsidR="00253E5D" w:rsidRPr="00684D58">
        <w:rPr>
          <w:rFonts w:cs="Arial"/>
          <w:b/>
          <w:szCs w:val="24"/>
          <w:lang w:val="es-ES_tradnl" w:eastAsia="es-MX"/>
        </w:rPr>
        <w:t>unanimidad</w:t>
      </w:r>
      <w:r w:rsidRPr="00684D58">
        <w:rPr>
          <w:rFonts w:cs="Arial"/>
          <w:szCs w:val="24"/>
          <w:lang w:val="es-ES_tradnl" w:eastAsia="es-MX"/>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2C99A0E8" w14:textId="54DD2F9B" w:rsidR="00A8488E" w:rsidRPr="00684D58" w:rsidRDefault="00A8488E" w:rsidP="00C0245E">
      <w:pPr>
        <w:spacing w:after="240"/>
        <w:rPr>
          <w:rFonts w:cs="Arial"/>
          <w:szCs w:val="24"/>
          <w:lang w:val="es-ES_tradnl"/>
        </w:rPr>
      </w:pPr>
      <w:r w:rsidRPr="00684D58">
        <w:rPr>
          <w:rFonts w:cs="Arial"/>
          <w:i/>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A8488E" w:rsidRPr="00684D58" w:rsidSect="00A7521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9295" w:code="119"/>
      <w:pgMar w:top="1418"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8DBD" w14:textId="77777777" w:rsidR="004A68AB" w:rsidRDefault="004A68AB" w:rsidP="00A8488E">
      <w:pPr>
        <w:spacing w:after="0" w:line="240" w:lineRule="auto"/>
      </w:pPr>
      <w:r>
        <w:separator/>
      </w:r>
    </w:p>
  </w:endnote>
  <w:endnote w:type="continuationSeparator" w:id="0">
    <w:p w14:paraId="7F59EE83" w14:textId="77777777" w:rsidR="004A68AB" w:rsidRDefault="004A68AB" w:rsidP="00A8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C0AF" w14:textId="77777777" w:rsidR="002F5805" w:rsidRDefault="002F58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10A3" w14:textId="77777777" w:rsidR="002F5805" w:rsidRDefault="002F58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F61" w14:textId="77777777" w:rsidR="002F5805" w:rsidRDefault="002F5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4593" w14:textId="77777777" w:rsidR="004A68AB" w:rsidRDefault="004A68AB" w:rsidP="00A8488E">
      <w:pPr>
        <w:spacing w:after="0" w:line="240" w:lineRule="auto"/>
      </w:pPr>
      <w:r>
        <w:separator/>
      </w:r>
    </w:p>
  </w:footnote>
  <w:footnote w:type="continuationSeparator" w:id="0">
    <w:p w14:paraId="3443ED5E" w14:textId="77777777" w:rsidR="004A68AB" w:rsidRDefault="004A68AB" w:rsidP="00A8488E">
      <w:pPr>
        <w:spacing w:after="0" w:line="240" w:lineRule="auto"/>
      </w:pPr>
      <w:r>
        <w:continuationSeparator/>
      </w:r>
    </w:p>
  </w:footnote>
  <w:footnote w:id="1">
    <w:p w14:paraId="3986DDEA" w14:textId="19CAB09A" w:rsidR="00DF340E" w:rsidRPr="00A4657B" w:rsidRDefault="00DF340E" w:rsidP="006A298D">
      <w:pPr>
        <w:pStyle w:val="Textonotapie"/>
        <w:rPr>
          <w:sz w:val="18"/>
          <w:szCs w:val="18"/>
        </w:rPr>
      </w:pPr>
      <w:r w:rsidRPr="00A4657B">
        <w:rPr>
          <w:rStyle w:val="Refdenotaalpie"/>
          <w:sz w:val="18"/>
          <w:szCs w:val="18"/>
        </w:rPr>
        <w:footnoteRef/>
      </w:r>
      <w:r w:rsidRPr="00A4657B">
        <w:rPr>
          <w:sz w:val="18"/>
          <w:szCs w:val="18"/>
        </w:rPr>
        <w:t xml:space="preserve"> </w:t>
      </w:r>
      <w:r>
        <w:rPr>
          <w:sz w:val="18"/>
          <w:szCs w:val="18"/>
        </w:rPr>
        <w:t>El cual se encuentra glosado al expediente principal</w:t>
      </w:r>
      <w:r w:rsidRPr="00A4657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Hlk517088559"/>
  <w:p w14:paraId="2EAF03B4" w14:textId="5C873824" w:rsidR="00DF340E" w:rsidRPr="00EE30CB" w:rsidRDefault="00DF340E" w:rsidP="0017179F">
    <w:pPr>
      <w:pStyle w:val="Encabezado"/>
      <w:rPr>
        <w:rFonts w:cs="Arial"/>
        <w:b/>
        <w:bCs/>
        <w:sz w:val="20"/>
        <w:szCs w:val="24"/>
      </w:rPr>
    </w:pPr>
    <w:r w:rsidRPr="00EE30CB">
      <w:rPr>
        <w:b/>
        <w:bCs/>
        <w:noProof/>
        <w:sz w:val="20"/>
        <w:szCs w:val="24"/>
        <w:lang w:val="es-ES" w:eastAsia="es-ES"/>
      </w:rPr>
      <mc:AlternateContent>
        <mc:Choice Requires="wps">
          <w:drawing>
            <wp:anchor distT="0" distB="0" distL="114300" distR="114300" simplePos="0" relativeHeight="251661312" behindDoc="0" locked="0" layoutInCell="0" allowOverlap="1" wp14:anchorId="2EC92E25" wp14:editId="76FC198E">
              <wp:simplePos x="0" y="0"/>
              <wp:positionH relativeFrom="page">
                <wp:posOffset>-106680</wp:posOffset>
              </wp:positionH>
              <wp:positionV relativeFrom="page">
                <wp:posOffset>5654040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E9B896" w14:textId="77777777" w:rsidR="00DF340E" w:rsidRPr="009F45DC" w:rsidRDefault="00DF340E">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2E25" id="Rectángulo 558" o:spid="_x0000_s1026" style="position:absolute;left:0;text-align:left;margin-left:-8.4pt;margin-top:445.2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" o:allowincell="f" stroked="f">
              <v:textbox>
                <w:txbxContent>
                  <w:p w14:paraId="71E9B896" w14:textId="77777777" w:rsidR="00DF340E" w:rsidRPr="009F45DC" w:rsidRDefault="00DF340E">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v:textbox>
              <w10:wrap anchorx="page" anchory="page"/>
            </v:rect>
          </w:pict>
        </mc:Fallback>
      </mc:AlternateContent>
    </w:r>
    <w:r w:rsidRPr="00EE30CB">
      <w:rPr>
        <w:rFonts w:cs="Arial"/>
        <w:b/>
        <w:bCs/>
        <w:sz w:val="20"/>
        <w:szCs w:val="24"/>
      </w:rPr>
      <w:t>SM-JDC-</w:t>
    </w:r>
    <w:bookmarkEnd w:id="13"/>
    <w:r>
      <w:rPr>
        <w:rFonts w:cs="Arial"/>
        <w:b/>
        <w:bCs/>
        <w:sz w:val="20"/>
        <w:szCs w:val="24"/>
      </w:rPr>
      <w:t>909</w:t>
    </w:r>
    <w:r w:rsidRPr="00EE30CB">
      <w:rPr>
        <w:rFonts w:cs="Arial"/>
        <w:b/>
        <w:bCs/>
        <w:sz w:val="20"/>
        <w:szCs w:val="24"/>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560A" w14:textId="4A819BDD" w:rsidR="00DF340E" w:rsidRPr="00EE30CB" w:rsidRDefault="00DF340E" w:rsidP="002920C6">
    <w:pPr>
      <w:pStyle w:val="Encabezado"/>
      <w:jc w:val="right"/>
      <w:rPr>
        <w:rFonts w:cs="Arial"/>
        <w:b/>
        <w:bCs/>
        <w:sz w:val="20"/>
        <w:szCs w:val="24"/>
      </w:rPr>
    </w:pPr>
    <w:r w:rsidRPr="00A93FB7">
      <w:rPr>
        <w:noProof/>
        <w:sz w:val="20"/>
        <w:szCs w:val="24"/>
        <w:lang w:val="es-ES" w:eastAsia="es-ES"/>
      </w:rPr>
      <w:drawing>
        <wp:anchor distT="0" distB="0" distL="114300" distR="114300" simplePos="0" relativeHeight="251659264" behindDoc="0" locked="0" layoutInCell="1" allowOverlap="1" wp14:anchorId="406D4DCE" wp14:editId="3C4E9CFF">
          <wp:simplePos x="0" y="0"/>
          <wp:positionH relativeFrom="column">
            <wp:posOffset>-1598295</wp:posOffset>
          </wp:positionH>
          <wp:positionV relativeFrom="paragraph">
            <wp:posOffset>-180340</wp:posOffset>
          </wp:positionV>
          <wp:extent cx="1378585" cy="11918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FB7">
      <w:rPr>
        <w:noProof/>
        <w:sz w:val="20"/>
        <w:szCs w:val="24"/>
        <w:lang w:val="es-ES" w:eastAsia="es-ES"/>
      </w:rPr>
      <mc:AlternateContent>
        <mc:Choice Requires="wps">
          <w:drawing>
            <wp:anchor distT="0" distB="0" distL="114300" distR="114300" simplePos="0" relativeHeight="251662336" behindDoc="0" locked="0" layoutInCell="0" allowOverlap="1" wp14:anchorId="2EE9AF37" wp14:editId="55F39CE2">
              <wp:simplePos x="0" y="0"/>
              <wp:positionH relativeFrom="page">
                <wp:posOffset>-20955</wp:posOffset>
              </wp:positionH>
              <wp:positionV relativeFrom="page">
                <wp:posOffset>5673090</wp:posOffset>
              </wp:positionV>
              <wp:extent cx="762000" cy="895350"/>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CFF70C2" w14:textId="77777777" w:rsidR="00DF340E" w:rsidRPr="009F45DC" w:rsidRDefault="00DF340E" w:rsidP="0017179F">
                          <w:pPr>
                            <w:jc w:val="center"/>
                            <w:rPr>
                              <w:rFonts w:ascii="Cambria" w:eastAsia="MS Gothic" w:hAnsi="Cambria"/>
                              <w:sz w:val="48"/>
                              <w:szCs w:val="48"/>
                            </w:rPr>
                          </w:pPr>
                          <w:r>
                            <w:rPr>
                              <w:rFonts w:ascii="Cambria" w:eastAsia="MS Gothic" w:hAnsi="Cambria"/>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AF37" id="Rectángulo 40" o:spid="_x0000_s1027"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A34vMiAgIAANgDAAAOAAAA&#10;AAAAAAAAAAAAAC4CAABkcnMvZTJvRG9jLnhtbFBLAQItABQABgAIAAAAIQAGXjts4AAAAAsBAAAP&#10;AAAAAAAAAAAAAAAAAFwEAABkcnMvZG93bnJldi54bWxQSwUGAAAAAAQABADzAAAAaQUAAAAA&#10;" o:allowincell="f" stroked="f">
              <v:textbox>
                <w:txbxContent>
                  <w:p w14:paraId="7CFF70C2" w14:textId="77777777" w:rsidR="00DF340E" w:rsidRPr="009F45DC" w:rsidRDefault="00DF340E" w:rsidP="0017179F">
                    <w:pPr>
                      <w:jc w:val="center"/>
                      <w:rPr>
                        <w:rFonts w:ascii="Cambria" w:eastAsia="MS Gothic" w:hAnsi="Cambria"/>
                        <w:sz w:val="48"/>
                        <w:szCs w:val="48"/>
                      </w:rPr>
                    </w:pPr>
                    <w:r>
                      <w:rPr>
                        <w:rFonts w:ascii="Cambria" w:eastAsia="MS Gothic" w:hAnsi="Cambria"/>
                        <w:sz w:val="48"/>
                        <w:szCs w:val="48"/>
                      </w:rPr>
                      <w:t>3</w:t>
                    </w:r>
                  </w:p>
                </w:txbxContent>
              </v:textbox>
              <w10:wrap anchorx="page" anchory="page"/>
            </v:rect>
          </w:pict>
        </mc:Fallback>
      </mc:AlternateContent>
    </w:r>
    <w:r w:rsidRPr="00EE30CB">
      <w:rPr>
        <w:b/>
        <w:bCs/>
        <w:noProof/>
        <w:sz w:val="20"/>
        <w:szCs w:val="24"/>
        <w:lang w:val="es-ES" w:eastAsia="es-ES"/>
      </w:rPr>
      <mc:AlternateContent>
        <mc:Choice Requires="wps">
          <w:drawing>
            <wp:anchor distT="0" distB="0" distL="114300" distR="114300" simplePos="0" relativeHeight="251664384" behindDoc="0" locked="0" layoutInCell="0" allowOverlap="1" wp14:anchorId="7DD66403" wp14:editId="24C7C618">
              <wp:simplePos x="0" y="0"/>
              <wp:positionH relativeFrom="page">
                <wp:posOffset>-106680</wp:posOffset>
              </wp:positionH>
              <wp:positionV relativeFrom="page">
                <wp:posOffset>5654040</wp:posOffset>
              </wp:positionV>
              <wp:extent cx="762000" cy="89535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8B93DC" w14:textId="77777777" w:rsidR="00DF340E" w:rsidRPr="009F45DC" w:rsidRDefault="00DF340E" w:rsidP="002920C6">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6403" id="Rectángulo 18" o:spid="_x0000_s1028" style="position:absolute;left:0;text-align:left;margin-left:-8.4pt;margin-top:445.2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" o:allowincell="f" stroked="f">
              <v:textbox>
                <w:txbxContent>
                  <w:p w14:paraId="008B93DC" w14:textId="77777777" w:rsidR="00DF340E" w:rsidRPr="009F45DC" w:rsidRDefault="00DF340E" w:rsidP="002920C6">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v:textbox>
              <w10:wrap anchorx="page" anchory="page"/>
            </v:rect>
          </w:pict>
        </mc:Fallback>
      </mc:AlternateContent>
    </w:r>
    <w:r w:rsidRPr="00EE30CB">
      <w:rPr>
        <w:rFonts w:cs="Arial"/>
        <w:b/>
        <w:bCs/>
        <w:sz w:val="20"/>
        <w:szCs w:val="24"/>
      </w:rPr>
      <w:t>SM-JDC-</w:t>
    </w:r>
    <w:r>
      <w:rPr>
        <w:rFonts w:cs="Arial"/>
        <w:b/>
        <w:bCs/>
        <w:sz w:val="20"/>
        <w:szCs w:val="24"/>
      </w:rPr>
      <w:t>909</w:t>
    </w:r>
    <w:r w:rsidRPr="00EE30CB">
      <w:rPr>
        <w:rFonts w:cs="Arial"/>
        <w:b/>
        <w:bCs/>
        <w:sz w:val="20"/>
        <w:szCs w:val="24"/>
      </w:rPr>
      <w:t>/2021</w:t>
    </w:r>
  </w:p>
  <w:p w14:paraId="6882B07F" w14:textId="77777777" w:rsidR="00DF340E" w:rsidRPr="00A93FB7" w:rsidRDefault="00DF340E" w:rsidP="0017179F">
    <w:pPr>
      <w:pStyle w:val="Encabezado"/>
      <w:jc w:val="right"/>
      <w:rPr>
        <w:noProof/>
        <w:sz w:val="20"/>
        <w:szCs w:val="24"/>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D73C" w14:textId="2FDD6C0F" w:rsidR="00DF340E" w:rsidRDefault="00DF340E">
    <w:pPr>
      <w:pStyle w:val="Encabezado"/>
    </w:pPr>
    <w:r>
      <w:rPr>
        <w:noProof/>
        <w:lang w:val="es-ES" w:eastAsia="es-ES"/>
      </w:rPr>
      <w:drawing>
        <wp:anchor distT="0" distB="0" distL="114300" distR="114300" simplePos="0" relativeHeight="251660288" behindDoc="0" locked="0" layoutInCell="1" allowOverlap="1" wp14:anchorId="1F075C10" wp14:editId="7863A761">
          <wp:simplePos x="0" y="0"/>
          <wp:positionH relativeFrom="column">
            <wp:posOffset>-1598295</wp:posOffset>
          </wp:positionH>
          <wp:positionV relativeFrom="paragraph">
            <wp:posOffset>-213360</wp:posOffset>
          </wp:positionV>
          <wp:extent cx="1378585" cy="119126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8.75pt;visibility:visible;mso-wrap-style:square" o:bullet="t">
        <v:imagedata r:id="rId1" o:title=""/>
      </v:shape>
    </w:pict>
  </w:numPicBullet>
  <w:abstractNum w:abstractNumId="0" w15:restartNumberingAfterBreak="0">
    <w:nsid w:val="03CB3F13"/>
    <w:multiLevelType w:val="hybridMultilevel"/>
    <w:tmpl w:val="DD408938"/>
    <w:lvl w:ilvl="0" w:tplc="2AB24CDA">
      <w:numFmt w:val="bullet"/>
      <w:lvlText w:val="•"/>
      <w:lvlJc w:val="left"/>
      <w:pPr>
        <w:ind w:left="72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D2E5C51"/>
    <w:multiLevelType w:val="hybridMultilevel"/>
    <w:tmpl w:val="ADAE69B6"/>
    <w:lvl w:ilvl="0" w:tplc="C7CA4310">
      <w:start w:val="1"/>
      <w:numFmt w:val="bullet"/>
      <w:lvlText w:val=""/>
      <w:lvlPicBulletId w:val="0"/>
      <w:lvlJc w:val="left"/>
      <w:pPr>
        <w:tabs>
          <w:tab w:val="num" w:pos="928"/>
        </w:tabs>
        <w:ind w:left="928" w:hanging="360"/>
      </w:pPr>
      <w:rPr>
        <w:rFonts w:ascii="Symbol" w:hAnsi="Symbol" w:hint="default"/>
      </w:rPr>
    </w:lvl>
    <w:lvl w:ilvl="1" w:tplc="3B86F3F0" w:tentative="1">
      <w:start w:val="1"/>
      <w:numFmt w:val="bullet"/>
      <w:lvlText w:val=""/>
      <w:lvlJc w:val="left"/>
      <w:pPr>
        <w:tabs>
          <w:tab w:val="num" w:pos="1648"/>
        </w:tabs>
        <w:ind w:left="1648" w:hanging="360"/>
      </w:pPr>
      <w:rPr>
        <w:rFonts w:ascii="Symbol" w:hAnsi="Symbol" w:hint="default"/>
      </w:rPr>
    </w:lvl>
    <w:lvl w:ilvl="2" w:tplc="C33C4690" w:tentative="1">
      <w:start w:val="1"/>
      <w:numFmt w:val="bullet"/>
      <w:lvlText w:val=""/>
      <w:lvlJc w:val="left"/>
      <w:pPr>
        <w:tabs>
          <w:tab w:val="num" w:pos="2368"/>
        </w:tabs>
        <w:ind w:left="2368" w:hanging="360"/>
      </w:pPr>
      <w:rPr>
        <w:rFonts w:ascii="Symbol" w:hAnsi="Symbol" w:hint="default"/>
      </w:rPr>
    </w:lvl>
    <w:lvl w:ilvl="3" w:tplc="824AAF3C" w:tentative="1">
      <w:start w:val="1"/>
      <w:numFmt w:val="bullet"/>
      <w:lvlText w:val=""/>
      <w:lvlJc w:val="left"/>
      <w:pPr>
        <w:tabs>
          <w:tab w:val="num" w:pos="3088"/>
        </w:tabs>
        <w:ind w:left="3088" w:hanging="360"/>
      </w:pPr>
      <w:rPr>
        <w:rFonts w:ascii="Symbol" w:hAnsi="Symbol" w:hint="default"/>
      </w:rPr>
    </w:lvl>
    <w:lvl w:ilvl="4" w:tplc="2C3683B4" w:tentative="1">
      <w:start w:val="1"/>
      <w:numFmt w:val="bullet"/>
      <w:lvlText w:val=""/>
      <w:lvlJc w:val="left"/>
      <w:pPr>
        <w:tabs>
          <w:tab w:val="num" w:pos="3808"/>
        </w:tabs>
        <w:ind w:left="3808" w:hanging="360"/>
      </w:pPr>
      <w:rPr>
        <w:rFonts w:ascii="Symbol" w:hAnsi="Symbol" w:hint="default"/>
      </w:rPr>
    </w:lvl>
    <w:lvl w:ilvl="5" w:tplc="116219AE" w:tentative="1">
      <w:start w:val="1"/>
      <w:numFmt w:val="bullet"/>
      <w:lvlText w:val=""/>
      <w:lvlJc w:val="left"/>
      <w:pPr>
        <w:tabs>
          <w:tab w:val="num" w:pos="4528"/>
        </w:tabs>
        <w:ind w:left="4528" w:hanging="360"/>
      </w:pPr>
      <w:rPr>
        <w:rFonts w:ascii="Symbol" w:hAnsi="Symbol" w:hint="default"/>
      </w:rPr>
    </w:lvl>
    <w:lvl w:ilvl="6" w:tplc="6CDE1476" w:tentative="1">
      <w:start w:val="1"/>
      <w:numFmt w:val="bullet"/>
      <w:lvlText w:val=""/>
      <w:lvlJc w:val="left"/>
      <w:pPr>
        <w:tabs>
          <w:tab w:val="num" w:pos="5248"/>
        </w:tabs>
        <w:ind w:left="5248" w:hanging="360"/>
      </w:pPr>
      <w:rPr>
        <w:rFonts w:ascii="Symbol" w:hAnsi="Symbol" w:hint="default"/>
      </w:rPr>
    </w:lvl>
    <w:lvl w:ilvl="7" w:tplc="6A360F7E" w:tentative="1">
      <w:start w:val="1"/>
      <w:numFmt w:val="bullet"/>
      <w:lvlText w:val=""/>
      <w:lvlJc w:val="left"/>
      <w:pPr>
        <w:tabs>
          <w:tab w:val="num" w:pos="5968"/>
        </w:tabs>
        <w:ind w:left="5968" w:hanging="360"/>
      </w:pPr>
      <w:rPr>
        <w:rFonts w:ascii="Symbol" w:hAnsi="Symbol" w:hint="default"/>
      </w:rPr>
    </w:lvl>
    <w:lvl w:ilvl="8" w:tplc="D8D62448" w:tentative="1">
      <w:start w:val="1"/>
      <w:numFmt w:val="bullet"/>
      <w:lvlText w:val=""/>
      <w:lvlJc w:val="left"/>
      <w:pPr>
        <w:tabs>
          <w:tab w:val="num" w:pos="6688"/>
        </w:tabs>
        <w:ind w:left="6688" w:hanging="360"/>
      </w:pPr>
      <w:rPr>
        <w:rFonts w:ascii="Symbol" w:hAnsi="Symbol" w:hint="default"/>
      </w:rPr>
    </w:lvl>
  </w:abstractNum>
  <w:abstractNum w:abstractNumId="2"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908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6843108C"/>
    <w:multiLevelType w:val="multilevel"/>
    <w:tmpl w:val="ED0437D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8D49EF"/>
    <w:multiLevelType w:val="multilevel"/>
    <w:tmpl w:val="3D369858"/>
    <w:lvl w:ilvl="0">
      <w:start w:val="5"/>
      <w:numFmt w:val="decimal"/>
      <w:lvlText w:val="%1."/>
      <w:lvlJc w:val="left"/>
      <w:pPr>
        <w:ind w:left="360" w:hanging="360"/>
      </w:pPr>
      <w:rPr>
        <w:rFonts w:hint="default"/>
      </w:rPr>
    </w:lvl>
    <w:lvl w:ilvl="1">
      <w:start w:val="1"/>
      <w:numFmt w:val="decimal"/>
      <w:pStyle w:val="Subttulo"/>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8E"/>
    <w:rsid w:val="00003231"/>
    <w:rsid w:val="00006170"/>
    <w:rsid w:val="00017078"/>
    <w:rsid w:val="00032C55"/>
    <w:rsid w:val="0004242F"/>
    <w:rsid w:val="00044108"/>
    <w:rsid w:val="00047A81"/>
    <w:rsid w:val="000524B1"/>
    <w:rsid w:val="00083101"/>
    <w:rsid w:val="000866BF"/>
    <w:rsid w:val="000B5A49"/>
    <w:rsid w:val="000C6098"/>
    <w:rsid w:val="000C61C6"/>
    <w:rsid w:val="000D0EC9"/>
    <w:rsid w:val="000E647A"/>
    <w:rsid w:val="000E6CB6"/>
    <w:rsid w:val="000F1916"/>
    <w:rsid w:val="0011501D"/>
    <w:rsid w:val="00123A35"/>
    <w:rsid w:val="00140E25"/>
    <w:rsid w:val="00141822"/>
    <w:rsid w:val="001508A4"/>
    <w:rsid w:val="001522A1"/>
    <w:rsid w:val="0015430B"/>
    <w:rsid w:val="0017179F"/>
    <w:rsid w:val="00172A9C"/>
    <w:rsid w:val="001743D8"/>
    <w:rsid w:val="001754A8"/>
    <w:rsid w:val="00182386"/>
    <w:rsid w:val="00194537"/>
    <w:rsid w:val="001A4E67"/>
    <w:rsid w:val="001B396B"/>
    <w:rsid w:val="001B7ED4"/>
    <w:rsid w:val="001C05FC"/>
    <w:rsid w:val="001E08E3"/>
    <w:rsid w:val="001E424E"/>
    <w:rsid w:val="001E49B0"/>
    <w:rsid w:val="001E7175"/>
    <w:rsid w:val="001F4D5C"/>
    <w:rsid w:val="001F54FF"/>
    <w:rsid w:val="001F560B"/>
    <w:rsid w:val="0021132B"/>
    <w:rsid w:val="0022140E"/>
    <w:rsid w:val="00227E7A"/>
    <w:rsid w:val="00253E5D"/>
    <w:rsid w:val="00254AC1"/>
    <w:rsid w:val="002771F7"/>
    <w:rsid w:val="002920C6"/>
    <w:rsid w:val="002A235C"/>
    <w:rsid w:val="002A3129"/>
    <w:rsid w:val="002B5628"/>
    <w:rsid w:val="002B62D3"/>
    <w:rsid w:val="002C18F5"/>
    <w:rsid w:val="002D1025"/>
    <w:rsid w:val="002D264D"/>
    <w:rsid w:val="002D5491"/>
    <w:rsid w:val="002F5805"/>
    <w:rsid w:val="002F5F8B"/>
    <w:rsid w:val="00303C03"/>
    <w:rsid w:val="003045D0"/>
    <w:rsid w:val="00307510"/>
    <w:rsid w:val="003106B0"/>
    <w:rsid w:val="00314B08"/>
    <w:rsid w:val="003231C2"/>
    <w:rsid w:val="003232D7"/>
    <w:rsid w:val="00330217"/>
    <w:rsid w:val="00341FDF"/>
    <w:rsid w:val="00345E40"/>
    <w:rsid w:val="00346838"/>
    <w:rsid w:val="0034727E"/>
    <w:rsid w:val="003501CC"/>
    <w:rsid w:val="0035507B"/>
    <w:rsid w:val="0035709B"/>
    <w:rsid w:val="00364E9C"/>
    <w:rsid w:val="00387E65"/>
    <w:rsid w:val="0039164C"/>
    <w:rsid w:val="00392E7A"/>
    <w:rsid w:val="003B3573"/>
    <w:rsid w:val="003D020B"/>
    <w:rsid w:val="003D08D5"/>
    <w:rsid w:val="003D3682"/>
    <w:rsid w:val="003E0349"/>
    <w:rsid w:val="003F181B"/>
    <w:rsid w:val="00400FC9"/>
    <w:rsid w:val="0040132B"/>
    <w:rsid w:val="00410C6D"/>
    <w:rsid w:val="00422C12"/>
    <w:rsid w:val="00440C50"/>
    <w:rsid w:val="00454F03"/>
    <w:rsid w:val="0048343B"/>
    <w:rsid w:val="00491663"/>
    <w:rsid w:val="004A1A4A"/>
    <w:rsid w:val="004A6445"/>
    <w:rsid w:val="004A68AB"/>
    <w:rsid w:val="004B2A7D"/>
    <w:rsid w:val="004B5FDF"/>
    <w:rsid w:val="004C42F7"/>
    <w:rsid w:val="004C76C8"/>
    <w:rsid w:val="004D232D"/>
    <w:rsid w:val="004D3B17"/>
    <w:rsid w:val="004E7344"/>
    <w:rsid w:val="004F10ED"/>
    <w:rsid w:val="004F2FF1"/>
    <w:rsid w:val="004F70CB"/>
    <w:rsid w:val="005058E4"/>
    <w:rsid w:val="00505CA3"/>
    <w:rsid w:val="00510C87"/>
    <w:rsid w:val="00534FB9"/>
    <w:rsid w:val="0054613C"/>
    <w:rsid w:val="00550014"/>
    <w:rsid w:val="00556433"/>
    <w:rsid w:val="00573A97"/>
    <w:rsid w:val="00576730"/>
    <w:rsid w:val="005812F6"/>
    <w:rsid w:val="005816FD"/>
    <w:rsid w:val="00584BBF"/>
    <w:rsid w:val="0058766B"/>
    <w:rsid w:val="005A1CB0"/>
    <w:rsid w:val="005A57DC"/>
    <w:rsid w:val="005B23E2"/>
    <w:rsid w:val="005C1CFF"/>
    <w:rsid w:val="005C4669"/>
    <w:rsid w:val="005D38A2"/>
    <w:rsid w:val="005E28E3"/>
    <w:rsid w:val="005F3FAA"/>
    <w:rsid w:val="00600824"/>
    <w:rsid w:val="00612639"/>
    <w:rsid w:val="006233E2"/>
    <w:rsid w:val="00623A98"/>
    <w:rsid w:val="00634E5E"/>
    <w:rsid w:val="00635843"/>
    <w:rsid w:val="006515F6"/>
    <w:rsid w:val="00651FD6"/>
    <w:rsid w:val="006547EE"/>
    <w:rsid w:val="006548AB"/>
    <w:rsid w:val="00657876"/>
    <w:rsid w:val="00674292"/>
    <w:rsid w:val="00675580"/>
    <w:rsid w:val="00683C34"/>
    <w:rsid w:val="00684D58"/>
    <w:rsid w:val="00687776"/>
    <w:rsid w:val="006A154F"/>
    <w:rsid w:val="006A1601"/>
    <w:rsid w:val="006A298D"/>
    <w:rsid w:val="006A4037"/>
    <w:rsid w:val="006B0C5C"/>
    <w:rsid w:val="006B532A"/>
    <w:rsid w:val="006D09B8"/>
    <w:rsid w:val="006D23CA"/>
    <w:rsid w:val="006F59A4"/>
    <w:rsid w:val="00702A2D"/>
    <w:rsid w:val="00713CCD"/>
    <w:rsid w:val="007166ED"/>
    <w:rsid w:val="007253DC"/>
    <w:rsid w:val="00740259"/>
    <w:rsid w:val="00746719"/>
    <w:rsid w:val="00760CFC"/>
    <w:rsid w:val="00765A53"/>
    <w:rsid w:val="007714FF"/>
    <w:rsid w:val="00776746"/>
    <w:rsid w:val="00784A82"/>
    <w:rsid w:val="00785954"/>
    <w:rsid w:val="007873FF"/>
    <w:rsid w:val="00797AA6"/>
    <w:rsid w:val="007A0D43"/>
    <w:rsid w:val="007A2150"/>
    <w:rsid w:val="007A7613"/>
    <w:rsid w:val="007C6733"/>
    <w:rsid w:val="007F1EBC"/>
    <w:rsid w:val="00800914"/>
    <w:rsid w:val="00804933"/>
    <w:rsid w:val="00806262"/>
    <w:rsid w:val="008116AC"/>
    <w:rsid w:val="0081247E"/>
    <w:rsid w:val="00813E17"/>
    <w:rsid w:val="00816AF8"/>
    <w:rsid w:val="008314EB"/>
    <w:rsid w:val="00832801"/>
    <w:rsid w:val="00833269"/>
    <w:rsid w:val="00833349"/>
    <w:rsid w:val="00835496"/>
    <w:rsid w:val="00845EFA"/>
    <w:rsid w:val="00860F2E"/>
    <w:rsid w:val="00873B77"/>
    <w:rsid w:val="0089566C"/>
    <w:rsid w:val="008A19C7"/>
    <w:rsid w:val="008B6D49"/>
    <w:rsid w:val="008C4343"/>
    <w:rsid w:val="008C5C5E"/>
    <w:rsid w:val="008D17D2"/>
    <w:rsid w:val="008D7994"/>
    <w:rsid w:val="008E3C35"/>
    <w:rsid w:val="008E486E"/>
    <w:rsid w:val="008F1C6E"/>
    <w:rsid w:val="008F29B4"/>
    <w:rsid w:val="008F596F"/>
    <w:rsid w:val="00901CFE"/>
    <w:rsid w:val="009037DA"/>
    <w:rsid w:val="00903C58"/>
    <w:rsid w:val="00924C61"/>
    <w:rsid w:val="00926DC4"/>
    <w:rsid w:val="009308BB"/>
    <w:rsid w:val="00932C2E"/>
    <w:rsid w:val="00934FD4"/>
    <w:rsid w:val="009400AF"/>
    <w:rsid w:val="009433B3"/>
    <w:rsid w:val="00943645"/>
    <w:rsid w:val="00945BE2"/>
    <w:rsid w:val="00960733"/>
    <w:rsid w:val="00961654"/>
    <w:rsid w:val="009744AD"/>
    <w:rsid w:val="00974CBD"/>
    <w:rsid w:val="009963AE"/>
    <w:rsid w:val="009B265B"/>
    <w:rsid w:val="009D449F"/>
    <w:rsid w:val="009D490B"/>
    <w:rsid w:val="009E0112"/>
    <w:rsid w:val="009E6ECE"/>
    <w:rsid w:val="00A15422"/>
    <w:rsid w:val="00A17F62"/>
    <w:rsid w:val="00A24DBB"/>
    <w:rsid w:val="00A277F8"/>
    <w:rsid w:val="00A27CB3"/>
    <w:rsid w:val="00A337B3"/>
    <w:rsid w:val="00A5058A"/>
    <w:rsid w:val="00A517ED"/>
    <w:rsid w:val="00A64B21"/>
    <w:rsid w:val="00A66FE8"/>
    <w:rsid w:val="00A718C1"/>
    <w:rsid w:val="00A7521D"/>
    <w:rsid w:val="00A75F22"/>
    <w:rsid w:val="00A8488E"/>
    <w:rsid w:val="00A95212"/>
    <w:rsid w:val="00AC7CE7"/>
    <w:rsid w:val="00AD0235"/>
    <w:rsid w:val="00AD7EF3"/>
    <w:rsid w:val="00AE5EA2"/>
    <w:rsid w:val="00B0068D"/>
    <w:rsid w:val="00B1262A"/>
    <w:rsid w:val="00B25D8A"/>
    <w:rsid w:val="00B30439"/>
    <w:rsid w:val="00B3278C"/>
    <w:rsid w:val="00B36988"/>
    <w:rsid w:val="00B45079"/>
    <w:rsid w:val="00B57CDB"/>
    <w:rsid w:val="00B6054E"/>
    <w:rsid w:val="00B67784"/>
    <w:rsid w:val="00B71201"/>
    <w:rsid w:val="00B72F06"/>
    <w:rsid w:val="00B82815"/>
    <w:rsid w:val="00BA47D3"/>
    <w:rsid w:val="00BB2738"/>
    <w:rsid w:val="00BC359A"/>
    <w:rsid w:val="00BC5B84"/>
    <w:rsid w:val="00BF0C02"/>
    <w:rsid w:val="00C014D5"/>
    <w:rsid w:val="00C0245E"/>
    <w:rsid w:val="00C1128F"/>
    <w:rsid w:val="00C215D3"/>
    <w:rsid w:val="00C23032"/>
    <w:rsid w:val="00C24819"/>
    <w:rsid w:val="00C37749"/>
    <w:rsid w:val="00C457DE"/>
    <w:rsid w:val="00C45814"/>
    <w:rsid w:val="00C63EDF"/>
    <w:rsid w:val="00C75941"/>
    <w:rsid w:val="00CA36D9"/>
    <w:rsid w:val="00CA75A6"/>
    <w:rsid w:val="00CB1805"/>
    <w:rsid w:val="00CB3050"/>
    <w:rsid w:val="00CD4CAA"/>
    <w:rsid w:val="00CD77BB"/>
    <w:rsid w:val="00CE1FC6"/>
    <w:rsid w:val="00CF4969"/>
    <w:rsid w:val="00CF4AA3"/>
    <w:rsid w:val="00CF5FD6"/>
    <w:rsid w:val="00CF6FAC"/>
    <w:rsid w:val="00D004B8"/>
    <w:rsid w:val="00D05A50"/>
    <w:rsid w:val="00D10B6C"/>
    <w:rsid w:val="00D13D6D"/>
    <w:rsid w:val="00D14211"/>
    <w:rsid w:val="00D2662C"/>
    <w:rsid w:val="00D348C8"/>
    <w:rsid w:val="00D46211"/>
    <w:rsid w:val="00D7692A"/>
    <w:rsid w:val="00D838F9"/>
    <w:rsid w:val="00D92277"/>
    <w:rsid w:val="00D94CE2"/>
    <w:rsid w:val="00DA0F56"/>
    <w:rsid w:val="00DB5BA7"/>
    <w:rsid w:val="00DC2B99"/>
    <w:rsid w:val="00DC33F0"/>
    <w:rsid w:val="00DD1780"/>
    <w:rsid w:val="00DD6898"/>
    <w:rsid w:val="00DF28E9"/>
    <w:rsid w:val="00DF340E"/>
    <w:rsid w:val="00DF48B3"/>
    <w:rsid w:val="00E05C2B"/>
    <w:rsid w:val="00E05F80"/>
    <w:rsid w:val="00E2032D"/>
    <w:rsid w:val="00E45435"/>
    <w:rsid w:val="00E462A7"/>
    <w:rsid w:val="00E47DB1"/>
    <w:rsid w:val="00E5578C"/>
    <w:rsid w:val="00E56960"/>
    <w:rsid w:val="00E639A8"/>
    <w:rsid w:val="00E6507C"/>
    <w:rsid w:val="00E67342"/>
    <w:rsid w:val="00E7598C"/>
    <w:rsid w:val="00E85B0C"/>
    <w:rsid w:val="00E86D5A"/>
    <w:rsid w:val="00E945E9"/>
    <w:rsid w:val="00EB4714"/>
    <w:rsid w:val="00EC08E0"/>
    <w:rsid w:val="00ED7011"/>
    <w:rsid w:val="00EE30CB"/>
    <w:rsid w:val="00EF2D39"/>
    <w:rsid w:val="00EF7B16"/>
    <w:rsid w:val="00F0014B"/>
    <w:rsid w:val="00F250BD"/>
    <w:rsid w:val="00F31DF8"/>
    <w:rsid w:val="00F52C4D"/>
    <w:rsid w:val="00F566A7"/>
    <w:rsid w:val="00F65398"/>
    <w:rsid w:val="00F67522"/>
    <w:rsid w:val="00F8252B"/>
    <w:rsid w:val="00F8255F"/>
    <w:rsid w:val="00F86ED3"/>
    <w:rsid w:val="00F9151F"/>
    <w:rsid w:val="00F95276"/>
    <w:rsid w:val="00FA604C"/>
    <w:rsid w:val="00FD2826"/>
    <w:rsid w:val="00FE04F1"/>
    <w:rsid w:val="00FE7F11"/>
    <w:rsid w:val="00FF286C"/>
    <w:rsid w:val="00FF7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F146"/>
  <w15:chartTrackingRefBased/>
  <w15:docId w15:val="{502133A3-A114-46E9-8D0F-8553197E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8E"/>
    <w:pPr>
      <w:spacing w:after="200" w:line="360" w:lineRule="auto"/>
      <w:jc w:val="both"/>
    </w:pPr>
    <w:rPr>
      <w:rFonts w:ascii="Arial" w:hAnsi="Arial" w:cs="Times New Roman"/>
      <w:sz w:val="24"/>
      <w:szCs w:val="20"/>
    </w:rPr>
  </w:style>
  <w:style w:type="paragraph" w:styleId="Ttulo1">
    <w:name w:val="heading 1"/>
    <w:basedOn w:val="Normal"/>
    <w:next w:val="Normal"/>
    <w:link w:val="Ttulo1Car"/>
    <w:uiPriority w:val="9"/>
    <w:qFormat/>
    <w:rsid w:val="00A8488E"/>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A8488E"/>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88E"/>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A8488E"/>
    <w:rPr>
      <w:rFonts w:ascii="Arial" w:eastAsiaTheme="majorEastAsia" w:hAnsi="Arial" w:cstheme="majorBidi"/>
      <w:b/>
      <w:sz w:val="24"/>
      <w:szCs w:val="26"/>
    </w:rPr>
  </w:style>
  <w:style w:type="paragraph" w:styleId="Encabezado">
    <w:name w:val="header"/>
    <w:basedOn w:val="Normal"/>
    <w:link w:val="EncabezadoCar"/>
    <w:uiPriority w:val="99"/>
    <w:rsid w:val="00A848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88E"/>
    <w:rPr>
      <w:rFonts w:ascii="Arial" w:hAnsi="Arial" w:cs="Times New Roman"/>
      <w:sz w:val="24"/>
      <w:szCs w:val="20"/>
    </w:rPr>
  </w:style>
  <w:style w:type="table" w:styleId="Tablaconcuadrcula">
    <w:name w:val="Table Grid"/>
    <w:basedOn w:val="Tablanormal"/>
    <w:uiPriority w:val="39"/>
    <w:rsid w:val="00A8488E"/>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A8488E"/>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A8488E"/>
    <w:rPr>
      <w:rFonts w:ascii="Arial" w:hAnsi="Arial" w:cs="Times New Roman"/>
      <w:sz w:val="24"/>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A8488E"/>
    <w:rPr>
      <w:vertAlign w:val="superscript"/>
    </w:rPr>
  </w:style>
  <w:style w:type="paragraph" w:styleId="Prrafodelista">
    <w:name w:val="List Paragraph"/>
    <w:aliases w:val="CNBV Parrafo1,Párrafo de lista1,Parrafo 1,Lista multicolor - Énfasis 11,Lista vistosa - Énfasis 11,Cuadrícula media 1 - Énfasis 21,Cita texto,List Paragraph-Thesis,Footnote,Lista vistosa - Énfasis 111,Listas,List Paragraph2"/>
    <w:basedOn w:val="Normal"/>
    <w:link w:val="PrrafodelistaCar"/>
    <w:uiPriority w:val="34"/>
    <w:qFormat/>
    <w:rsid w:val="00A8488E"/>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link w:val="Prrafodelista"/>
    <w:uiPriority w:val="34"/>
    <w:qFormat/>
    <w:locked/>
    <w:rsid w:val="00A8488E"/>
    <w:rPr>
      <w:rFonts w:ascii="Arial" w:hAnsi="Arial" w:cs="Times New Roman"/>
      <w:sz w:val="24"/>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8488E"/>
    <w:pPr>
      <w:spacing w:after="0" w:line="240" w:lineRule="auto"/>
    </w:pPr>
    <w:rPr>
      <w:rFonts w:asciiTheme="minorHAnsi" w:hAnsiTheme="minorHAnsi" w:cstheme="minorBidi"/>
      <w:sz w:val="22"/>
      <w:szCs w:val="22"/>
      <w:vertAlign w:val="superscript"/>
    </w:rPr>
  </w:style>
  <w:style w:type="paragraph" w:styleId="Textocomentario">
    <w:name w:val="annotation text"/>
    <w:basedOn w:val="Normal"/>
    <w:link w:val="TextocomentarioCar"/>
    <w:uiPriority w:val="99"/>
    <w:unhideWhenUsed/>
    <w:rsid w:val="00A8488E"/>
    <w:pPr>
      <w:spacing w:line="240" w:lineRule="auto"/>
    </w:pPr>
  </w:style>
  <w:style w:type="character" w:customStyle="1" w:styleId="TextocomentarioCar">
    <w:name w:val="Texto comentario Car"/>
    <w:basedOn w:val="Fuentedeprrafopredeter"/>
    <w:link w:val="Textocomentario"/>
    <w:uiPriority w:val="99"/>
    <w:rsid w:val="00A8488E"/>
    <w:rPr>
      <w:rFonts w:ascii="Arial" w:hAnsi="Arial" w:cs="Times New Roman"/>
      <w:sz w:val="24"/>
      <w:szCs w:val="20"/>
    </w:rPr>
  </w:style>
  <w:style w:type="paragraph" w:customStyle="1" w:styleId="Default">
    <w:name w:val="Default"/>
    <w:qFormat/>
    <w:rsid w:val="00A8488E"/>
    <w:pPr>
      <w:autoSpaceDE w:val="0"/>
      <w:autoSpaceDN w:val="0"/>
      <w:adjustRightInd w:val="0"/>
      <w:spacing w:after="0" w:line="240" w:lineRule="auto"/>
    </w:pPr>
    <w:rPr>
      <w:rFonts w:ascii="Arial" w:hAnsi="Arial" w:cs="Arial"/>
      <w:color w:val="000000"/>
      <w:sz w:val="24"/>
      <w:szCs w:val="24"/>
    </w:rPr>
  </w:style>
  <w:style w:type="table" w:customStyle="1" w:styleId="Tablaconcuadrcula41">
    <w:name w:val="Tabla con cuadrícula41"/>
    <w:basedOn w:val="Tablanormal"/>
    <w:uiPriority w:val="39"/>
    <w:rsid w:val="00A8488E"/>
    <w:pPr>
      <w:spacing w:after="0" w:line="240" w:lineRule="auto"/>
    </w:pPr>
    <w:rPr>
      <w:rFonts w:ascii="Calibri" w:eastAsia="Calibri" w:hAnsi="Calibri" w:cs="Times New Roman"/>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75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21D"/>
    <w:rPr>
      <w:rFonts w:ascii="Arial" w:hAnsi="Arial" w:cs="Times New Roman"/>
      <w:sz w:val="24"/>
      <w:szCs w:val="20"/>
    </w:rPr>
  </w:style>
  <w:style w:type="paragraph" w:styleId="Sinespaciado">
    <w:name w:val="No Spacing"/>
    <w:uiPriority w:val="1"/>
    <w:qFormat/>
    <w:rsid w:val="00960733"/>
    <w:pPr>
      <w:spacing w:after="0" w:line="240" w:lineRule="auto"/>
      <w:jc w:val="both"/>
    </w:pPr>
    <w:rPr>
      <w:rFonts w:ascii="Arial" w:hAnsi="Arial" w:cs="Times New Roman"/>
      <w:sz w:val="24"/>
      <w:szCs w:val="20"/>
    </w:rPr>
  </w:style>
  <w:style w:type="character" w:styleId="Hipervnculo">
    <w:name w:val="Hyperlink"/>
    <w:basedOn w:val="Fuentedeprrafopredeter"/>
    <w:uiPriority w:val="99"/>
    <w:unhideWhenUsed/>
    <w:rsid w:val="001B396B"/>
    <w:rPr>
      <w:color w:val="0000FF"/>
      <w:u w:val="single"/>
    </w:rPr>
  </w:style>
  <w:style w:type="paragraph" w:styleId="Subttulo">
    <w:name w:val="Subtitle"/>
    <w:basedOn w:val="Normal"/>
    <w:next w:val="Normal"/>
    <w:link w:val="SubttuloCar"/>
    <w:autoRedefine/>
    <w:uiPriority w:val="11"/>
    <w:qFormat/>
    <w:rsid w:val="002F5F8B"/>
    <w:pPr>
      <w:numPr>
        <w:ilvl w:val="1"/>
        <w:numId w:val="3"/>
      </w:numPr>
      <w:spacing w:line="240" w:lineRule="auto"/>
      <w:jc w:val="left"/>
    </w:pPr>
    <w:rPr>
      <w:rFonts w:eastAsiaTheme="minorEastAsia" w:cs="Arial"/>
      <w:b/>
      <w:spacing w:val="15"/>
      <w:lang w:val="es-ES_tradnl" w:eastAsia="es-ES_tradnl"/>
    </w:rPr>
  </w:style>
  <w:style w:type="character" w:customStyle="1" w:styleId="SubttuloCar">
    <w:name w:val="Subtítulo Car"/>
    <w:basedOn w:val="Fuentedeprrafopredeter"/>
    <w:link w:val="Subttulo"/>
    <w:uiPriority w:val="11"/>
    <w:rsid w:val="002F5F8B"/>
    <w:rPr>
      <w:rFonts w:ascii="Arial" w:eastAsiaTheme="minorEastAsia" w:hAnsi="Arial" w:cs="Arial"/>
      <w:b/>
      <w:spacing w:val="15"/>
      <w:sz w:val="24"/>
      <w:szCs w:val="20"/>
      <w:lang w:val="es-ES_tradnl" w:eastAsia="es-ES_tradnl"/>
    </w:rPr>
  </w:style>
  <w:style w:type="paragraph" w:styleId="Textodeglobo">
    <w:name w:val="Balloon Text"/>
    <w:basedOn w:val="Normal"/>
    <w:link w:val="TextodegloboCar"/>
    <w:uiPriority w:val="99"/>
    <w:semiHidden/>
    <w:unhideWhenUsed/>
    <w:rsid w:val="003501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1CC"/>
    <w:rPr>
      <w:rFonts w:ascii="Segoe UI" w:hAnsi="Segoe UI" w:cs="Segoe UI"/>
      <w:sz w:val="18"/>
      <w:szCs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F9151F"/>
    <w:pPr>
      <w:spacing w:before="100" w:beforeAutospacing="1" w:after="100" w:afterAutospacing="1" w:line="240" w:lineRule="auto"/>
      <w:jc w:val="left"/>
    </w:pPr>
    <w:rPr>
      <w:rFonts w:ascii="Times New Roman" w:eastAsia="Calibri" w:hAnsi="Times New Roman"/>
      <w:szCs w:val="24"/>
      <w:lang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15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5F3FAA"/>
    <w:rPr>
      <w:sz w:val="16"/>
      <w:szCs w:val="16"/>
    </w:rPr>
  </w:style>
  <w:style w:type="paragraph" w:styleId="Asuntodelcomentario">
    <w:name w:val="annotation subject"/>
    <w:basedOn w:val="Textocomentario"/>
    <w:next w:val="Textocomentario"/>
    <w:link w:val="AsuntodelcomentarioCar"/>
    <w:uiPriority w:val="99"/>
    <w:semiHidden/>
    <w:unhideWhenUsed/>
    <w:rsid w:val="005F3FAA"/>
    <w:rPr>
      <w:b/>
      <w:bCs/>
      <w:sz w:val="20"/>
    </w:rPr>
  </w:style>
  <w:style w:type="character" w:customStyle="1" w:styleId="AsuntodelcomentarioCar">
    <w:name w:val="Asunto del comentario Car"/>
    <w:basedOn w:val="TextocomentarioCar"/>
    <w:link w:val="Asuntodelcomentario"/>
    <w:uiPriority w:val="99"/>
    <w:semiHidden/>
    <w:rsid w:val="005F3FAA"/>
    <w:rPr>
      <w:rFonts w:ascii="Arial" w:hAnsi="Arial" w:cs="Times New Roman"/>
      <w:b/>
      <w:bCs/>
      <w:sz w:val="20"/>
      <w:szCs w:val="20"/>
    </w:rPr>
  </w:style>
  <w:style w:type="character" w:styleId="Hipervnculovisitado">
    <w:name w:val="FollowedHyperlink"/>
    <w:basedOn w:val="Fuentedeprrafopredeter"/>
    <w:uiPriority w:val="99"/>
    <w:semiHidden/>
    <w:unhideWhenUsed/>
    <w:rsid w:val="00E85B0C"/>
    <w:rPr>
      <w:color w:val="954F72" w:themeColor="followedHyperlink"/>
      <w:u w:val="single"/>
    </w:rPr>
  </w:style>
  <w:style w:type="character" w:styleId="Textoennegrita">
    <w:name w:val="Strong"/>
    <w:basedOn w:val="Fuentedeprrafopredeter"/>
    <w:uiPriority w:val="22"/>
    <w:qFormat/>
    <w:rsid w:val="00B1262A"/>
    <w:rPr>
      <w:b/>
      <w:bCs/>
    </w:rPr>
  </w:style>
  <w:style w:type="character" w:styleId="Mencinsinresolver">
    <w:name w:val="Unresolved Mention"/>
    <w:basedOn w:val="Fuentedeprrafopredeter"/>
    <w:uiPriority w:val="99"/>
    <w:semiHidden/>
    <w:unhideWhenUsed/>
    <w:rsid w:val="0089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032">
      <w:bodyDiv w:val="1"/>
      <w:marLeft w:val="0"/>
      <w:marRight w:val="0"/>
      <w:marTop w:val="0"/>
      <w:marBottom w:val="0"/>
      <w:divBdr>
        <w:top w:val="none" w:sz="0" w:space="0" w:color="auto"/>
        <w:left w:val="none" w:sz="0" w:space="0" w:color="auto"/>
        <w:bottom w:val="none" w:sz="0" w:space="0" w:color="auto"/>
        <w:right w:val="none" w:sz="0" w:space="0" w:color="auto"/>
      </w:divBdr>
    </w:div>
    <w:div w:id="971522233">
      <w:bodyDiv w:val="1"/>
      <w:marLeft w:val="0"/>
      <w:marRight w:val="0"/>
      <w:marTop w:val="0"/>
      <w:marBottom w:val="0"/>
      <w:divBdr>
        <w:top w:val="none" w:sz="0" w:space="0" w:color="auto"/>
        <w:left w:val="none" w:sz="0" w:space="0" w:color="auto"/>
        <w:bottom w:val="none" w:sz="0" w:space="0" w:color="auto"/>
        <w:right w:val="none" w:sz="0" w:space="0" w:color="auto"/>
      </w:divBdr>
    </w:div>
    <w:div w:id="1043167492">
      <w:bodyDiv w:val="1"/>
      <w:marLeft w:val="0"/>
      <w:marRight w:val="0"/>
      <w:marTop w:val="0"/>
      <w:marBottom w:val="0"/>
      <w:divBdr>
        <w:top w:val="none" w:sz="0" w:space="0" w:color="auto"/>
        <w:left w:val="none" w:sz="0" w:space="0" w:color="auto"/>
        <w:bottom w:val="none" w:sz="0" w:space="0" w:color="auto"/>
        <w:right w:val="none" w:sz="0" w:space="0" w:color="auto"/>
      </w:divBdr>
      <w:divsChild>
        <w:div w:id="1488745811">
          <w:marLeft w:val="0"/>
          <w:marRight w:val="0"/>
          <w:marTop w:val="0"/>
          <w:marBottom w:val="0"/>
          <w:divBdr>
            <w:top w:val="none" w:sz="0" w:space="0" w:color="auto"/>
            <w:left w:val="none" w:sz="0" w:space="0" w:color="auto"/>
            <w:bottom w:val="none" w:sz="0" w:space="0" w:color="auto"/>
            <w:right w:val="none" w:sz="0" w:space="0" w:color="auto"/>
          </w:divBdr>
        </w:div>
      </w:divsChild>
    </w:div>
    <w:div w:id="1186091205">
      <w:bodyDiv w:val="1"/>
      <w:marLeft w:val="0"/>
      <w:marRight w:val="0"/>
      <w:marTop w:val="0"/>
      <w:marBottom w:val="0"/>
      <w:divBdr>
        <w:top w:val="none" w:sz="0" w:space="0" w:color="auto"/>
        <w:left w:val="none" w:sz="0" w:space="0" w:color="auto"/>
        <w:bottom w:val="none" w:sz="0" w:space="0" w:color="auto"/>
        <w:right w:val="none" w:sz="0" w:space="0" w:color="auto"/>
      </w:divBdr>
      <w:divsChild>
        <w:div w:id="2122843340">
          <w:marLeft w:val="0"/>
          <w:marRight w:val="0"/>
          <w:marTop w:val="0"/>
          <w:marBottom w:val="0"/>
          <w:divBdr>
            <w:top w:val="none" w:sz="0" w:space="0" w:color="auto"/>
            <w:left w:val="none" w:sz="0" w:space="0" w:color="auto"/>
            <w:bottom w:val="none" w:sz="0" w:space="0" w:color="auto"/>
            <w:right w:val="none" w:sz="0" w:space="0" w:color="auto"/>
          </w:divBdr>
        </w:div>
        <w:div w:id="506209365">
          <w:marLeft w:val="0"/>
          <w:marRight w:val="0"/>
          <w:marTop w:val="0"/>
          <w:marBottom w:val="0"/>
          <w:divBdr>
            <w:top w:val="none" w:sz="0" w:space="0" w:color="auto"/>
            <w:left w:val="none" w:sz="0" w:space="0" w:color="auto"/>
            <w:bottom w:val="none" w:sz="0" w:space="0" w:color="auto"/>
            <w:right w:val="none" w:sz="0" w:space="0" w:color="auto"/>
          </w:divBdr>
        </w:div>
        <w:div w:id="1483160950">
          <w:marLeft w:val="0"/>
          <w:marRight w:val="0"/>
          <w:marTop w:val="0"/>
          <w:marBottom w:val="0"/>
          <w:divBdr>
            <w:top w:val="none" w:sz="0" w:space="0" w:color="auto"/>
            <w:left w:val="none" w:sz="0" w:space="0" w:color="auto"/>
            <w:bottom w:val="none" w:sz="0" w:space="0" w:color="auto"/>
            <w:right w:val="none" w:sz="0" w:space="0" w:color="auto"/>
          </w:divBdr>
        </w:div>
        <w:div w:id="1901818986">
          <w:marLeft w:val="0"/>
          <w:marRight w:val="0"/>
          <w:marTop w:val="0"/>
          <w:marBottom w:val="0"/>
          <w:divBdr>
            <w:top w:val="none" w:sz="0" w:space="0" w:color="auto"/>
            <w:left w:val="none" w:sz="0" w:space="0" w:color="auto"/>
            <w:bottom w:val="none" w:sz="0" w:space="0" w:color="auto"/>
            <w:right w:val="none" w:sz="0" w:space="0" w:color="auto"/>
          </w:divBdr>
        </w:div>
        <w:div w:id="983003616">
          <w:marLeft w:val="0"/>
          <w:marRight w:val="0"/>
          <w:marTop w:val="0"/>
          <w:marBottom w:val="0"/>
          <w:divBdr>
            <w:top w:val="none" w:sz="0" w:space="0" w:color="auto"/>
            <w:left w:val="none" w:sz="0" w:space="0" w:color="auto"/>
            <w:bottom w:val="none" w:sz="0" w:space="0" w:color="auto"/>
            <w:right w:val="none" w:sz="0" w:space="0" w:color="auto"/>
          </w:divBdr>
        </w:div>
        <w:div w:id="1489125849">
          <w:marLeft w:val="0"/>
          <w:marRight w:val="0"/>
          <w:marTop w:val="0"/>
          <w:marBottom w:val="0"/>
          <w:divBdr>
            <w:top w:val="none" w:sz="0" w:space="0" w:color="auto"/>
            <w:left w:val="none" w:sz="0" w:space="0" w:color="auto"/>
            <w:bottom w:val="none" w:sz="0" w:space="0" w:color="auto"/>
            <w:right w:val="none" w:sz="0" w:space="0" w:color="auto"/>
          </w:divBdr>
        </w:div>
      </w:divsChild>
    </w:div>
    <w:div w:id="1213006632">
      <w:bodyDiv w:val="1"/>
      <w:marLeft w:val="0"/>
      <w:marRight w:val="0"/>
      <w:marTop w:val="0"/>
      <w:marBottom w:val="0"/>
      <w:divBdr>
        <w:top w:val="none" w:sz="0" w:space="0" w:color="auto"/>
        <w:left w:val="none" w:sz="0" w:space="0" w:color="auto"/>
        <w:bottom w:val="none" w:sz="0" w:space="0" w:color="auto"/>
        <w:right w:val="none" w:sz="0" w:space="0" w:color="auto"/>
      </w:divBdr>
    </w:div>
    <w:div w:id="1294483625">
      <w:bodyDiv w:val="1"/>
      <w:marLeft w:val="0"/>
      <w:marRight w:val="0"/>
      <w:marTop w:val="0"/>
      <w:marBottom w:val="0"/>
      <w:divBdr>
        <w:top w:val="none" w:sz="0" w:space="0" w:color="auto"/>
        <w:left w:val="none" w:sz="0" w:space="0" w:color="auto"/>
        <w:bottom w:val="none" w:sz="0" w:space="0" w:color="auto"/>
        <w:right w:val="none" w:sz="0" w:space="0" w:color="auto"/>
      </w:divBdr>
    </w:div>
    <w:div w:id="1403139759">
      <w:bodyDiv w:val="1"/>
      <w:marLeft w:val="0"/>
      <w:marRight w:val="0"/>
      <w:marTop w:val="0"/>
      <w:marBottom w:val="0"/>
      <w:divBdr>
        <w:top w:val="none" w:sz="0" w:space="0" w:color="auto"/>
        <w:left w:val="none" w:sz="0" w:space="0" w:color="auto"/>
        <w:bottom w:val="none" w:sz="0" w:space="0" w:color="auto"/>
        <w:right w:val="none" w:sz="0" w:space="0" w:color="auto"/>
      </w:divBdr>
    </w:div>
    <w:div w:id="1438524946">
      <w:bodyDiv w:val="1"/>
      <w:marLeft w:val="0"/>
      <w:marRight w:val="0"/>
      <w:marTop w:val="0"/>
      <w:marBottom w:val="0"/>
      <w:divBdr>
        <w:top w:val="none" w:sz="0" w:space="0" w:color="auto"/>
        <w:left w:val="none" w:sz="0" w:space="0" w:color="auto"/>
        <w:bottom w:val="none" w:sz="0" w:space="0" w:color="auto"/>
        <w:right w:val="none" w:sz="0" w:space="0" w:color="auto"/>
      </w:divBdr>
      <w:divsChild>
        <w:div w:id="51930754">
          <w:marLeft w:val="0"/>
          <w:marRight w:val="0"/>
          <w:marTop w:val="0"/>
          <w:marBottom w:val="0"/>
          <w:divBdr>
            <w:top w:val="none" w:sz="0" w:space="0" w:color="auto"/>
            <w:left w:val="none" w:sz="0" w:space="0" w:color="auto"/>
            <w:bottom w:val="none" w:sz="0" w:space="0" w:color="auto"/>
            <w:right w:val="none" w:sz="0" w:space="0" w:color="auto"/>
          </w:divBdr>
        </w:div>
        <w:div w:id="642780071">
          <w:marLeft w:val="0"/>
          <w:marRight w:val="0"/>
          <w:marTop w:val="0"/>
          <w:marBottom w:val="0"/>
          <w:divBdr>
            <w:top w:val="none" w:sz="0" w:space="0" w:color="auto"/>
            <w:left w:val="none" w:sz="0" w:space="0" w:color="auto"/>
            <w:bottom w:val="none" w:sz="0" w:space="0" w:color="auto"/>
            <w:right w:val="none" w:sz="0" w:space="0" w:color="auto"/>
          </w:divBdr>
        </w:div>
        <w:div w:id="2146311716">
          <w:marLeft w:val="0"/>
          <w:marRight w:val="0"/>
          <w:marTop w:val="0"/>
          <w:marBottom w:val="0"/>
          <w:divBdr>
            <w:top w:val="none" w:sz="0" w:space="0" w:color="auto"/>
            <w:left w:val="none" w:sz="0" w:space="0" w:color="auto"/>
            <w:bottom w:val="none" w:sz="0" w:space="0" w:color="auto"/>
            <w:right w:val="none" w:sz="0" w:space="0" w:color="auto"/>
          </w:divBdr>
        </w:div>
        <w:div w:id="1362513716">
          <w:marLeft w:val="0"/>
          <w:marRight w:val="0"/>
          <w:marTop w:val="0"/>
          <w:marBottom w:val="0"/>
          <w:divBdr>
            <w:top w:val="none" w:sz="0" w:space="0" w:color="auto"/>
            <w:left w:val="none" w:sz="0" w:space="0" w:color="auto"/>
            <w:bottom w:val="none" w:sz="0" w:space="0" w:color="auto"/>
            <w:right w:val="none" w:sz="0" w:space="0" w:color="auto"/>
          </w:divBdr>
        </w:div>
        <w:div w:id="533730510">
          <w:marLeft w:val="0"/>
          <w:marRight w:val="0"/>
          <w:marTop w:val="0"/>
          <w:marBottom w:val="0"/>
          <w:divBdr>
            <w:top w:val="none" w:sz="0" w:space="0" w:color="auto"/>
            <w:left w:val="none" w:sz="0" w:space="0" w:color="auto"/>
            <w:bottom w:val="none" w:sz="0" w:space="0" w:color="auto"/>
            <w:right w:val="none" w:sz="0" w:space="0" w:color="auto"/>
          </w:divBdr>
        </w:div>
        <w:div w:id="931165788">
          <w:marLeft w:val="0"/>
          <w:marRight w:val="0"/>
          <w:marTop w:val="0"/>
          <w:marBottom w:val="0"/>
          <w:divBdr>
            <w:top w:val="none" w:sz="0" w:space="0" w:color="auto"/>
            <w:left w:val="none" w:sz="0" w:space="0" w:color="auto"/>
            <w:bottom w:val="none" w:sz="0" w:space="0" w:color="auto"/>
            <w:right w:val="none" w:sz="0" w:space="0" w:color="auto"/>
          </w:divBdr>
        </w:div>
        <w:div w:id="1677803056">
          <w:marLeft w:val="0"/>
          <w:marRight w:val="0"/>
          <w:marTop w:val="0"/>
          <w:marBottom w:val="0"/>
          <w:divBdr>
            <w:top w:val="none" w:sz="0" w:space="0" w:color="auto"/>
            <w:left w:val="none" w:sz="0" w:space="0" w:color="auto"/>
            <w:bottom w:val="none" w:sz="0" w:space="0" w:color="auto"/>
            <w:right w:val="none" w:sz="0" w:space="0" w:color="auto"/>
          </w:divBdr>
        </w:div>
      </w:divsChild>
    </w:div>
    <w:div w:id="1601916384">
      <w:bodyDiv w:val="1"/>
      <w:marLeft w:val="0"/>
      <w:marRight w:val="0"/>
      <w:marTop w:val="0"/>
      <w:marBottom w:val="0"/>
      <w:divBdr>
        <w:top w:val="none" w:sz="0" w:space="0" w:color="auto"/>
        <w:left w:val="none" w:sz="0" w:space="0" w:color="auto"/>
        <w:bottom w:val="none" w:sz="0" w:space="0" w:color="auto"/>
        <w:right w:val="none" w:sz="0" w:space="0" w:color="auto"/>
      </w:divBdr>
      <w:divsChild>
        <w:div w:id="1516453824">
          <w:marLeft w:val="0"/>
          <w:marRight w:val="0"/>
          <w:marTop w:val="0"/>
          <w:marBottom w:val="0"/>
          <w:divBdr>
            <w:top w:val="none" w:sz="0" w:space="0" w:color="auto"/>
            <w:left w:val="none" w:sz="0" w:space="0" w:color="auto"/>
            <w:bottom w:val="none" w:sz="0" w:space="0" w:color="auto"/>
            <w:right w:val="none" w:sz="0" w:space="0" w:color="auto"/>
          </w:divBdr>
        </w:div>
      </w:divsChild>
    </w:div>
    <w:div w:id="1858537434">
      <w:bodyDiv w:val="1"/>
      <w:marLeft w:val="0"/>
      <w:marRight w:val="0"/>
      <w:marTop w:val="0"/>
      <w:marBottom w:val="0"/>
      <w:divBdr>
        <w:top w:val="none" w:sz="0" w:space="0" w:color="auto"/>
        <w:left w:val="none" w:sz="0" w:space="0" w:color="auto"/>
        <w:bottom w:val="none" w:sz="0" w:space="0" w:color="auto"/>
        <w:right w:val="none" w:sz="0" w:space="0" w:color="auto"/>
      </w:divBdr>
    </w:div>
    <w:div w:id="1871533138">
      <w:bodyDiv w:val="1"/>
      <w:marLeft w:val="0"/>
      <w:marRight w:val="0"/>
      <w:marTop w:val="0"/>
      <w:marBottom w:val="0"/>
      <w:divBdr>
        <w:top w:val="none" w:sz="0" w:space="0" w:color="auto"/>
        <w:left w:val="none" w:sz="0" w:space="0" w:color="auto"/>
        <w:bottom w:val="none" w:sz="0" w:space="0" w:color="auto"/>
        <w:right w:val="none" w:sz="0" w:space="0" w:color="auto"/>
      </w:divBdr>
    </w:div>
    <w:div w:id="20619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A467-3C06-495A-9833-2233DD00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3074</Words>
  <Characters>16913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Marisol Ávila Cervantes</dc:creator>
  <cp:keywords/>
  <dc:description/>
  <cp:lastModifiedBy>Nubia Selene Puga Zapata</cp:lastModifiedBy>
  <cp:revision>2</cp:revision>
  <cp:lastPrinted>2021-09-20T05:03:00Z</cp:lastPrinted>
  <dcterms:created xsi:type="dcterms:W3CDTF">2021-09-20T05:07:00Z</dcterms:created>
  <dcterms:modified xsi:type="dcterms:W3CDTF">2021-09-20T05:07:00Z</dcterms:modified>
</cp:coreProperties>
</file>