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110" w:rsidRPr="000E26B1" w:rsidRDefault="00880110" w:rsidP="00880110">
      <w:pPr>
        <w:spacing w:after="120"/>
        <w:ind w:left="3969"/>
        <w:rPr>
          <w:rFonts w:cs="Arial"/>
          <w:b/>
          <w:sz w:val="22"/>
          <w:szCs w:val="22"/>
        </w:rPr>
      </w:pPr>
      <w:r w:rsidRPr="00187DC3">
        <w:rPr>
          <w:rFonts w:cs="Arial"/>
          <w:b/>
          <w:sz w:val="22"/>
          <w:szCs w:val="22"/>
        </w:rPr>
        <w:t>JUICIO REVISIÓN CONSTITUCIONAL ELECTORAL Y PARA LA PROTECCIÓN DE LOS DERECHOS POLÍTICO-ELECTORALES DEL CIUDADANO</w:t>
      </w:r>
    </w:p>
    <w:p w:rsidR="00880110" w:rsidRPr="000E26B1" w:rsidRDefault="00880110" w:rsidP="00880110">
      <w:pPr>
        <w:spacing w:after="120"/>
        <w:ind w:left="3969"/>
        <w:rPr>
          <w:rFonts w:cs="Arial"/>
          <w:bCs/>
          <w:sz w:val="22"/>
          <w:szCs w:val="22"/>
        </w:rPr>
      </w:pPr>
      <w:r w:rsidRPr="000E26B1">
        <w:rPr>
          <w:rFonts w:cs="Arial"/>
          <w:b/>
          <w:sz w:val="22"/>
          <w:szCs w:val="22"/>
        </w:rPr>
        <w:t xml:space="preserve">EXPEDIENTE: </w:t>
      </w:r>
      <w:r w:rsidRPr="000E26B1">
        <w:rPr>
          <w:rFonts w:cs="Arial"/>
          <w:bCs/>
          <w:sz w:val="22"/>
          <w:szCs w:val="22"/>
        </w:rPr>
        <w:t>SM-JRC-216/2021 Y ACUMULADOS</w:t>
      </w:r>
    </w:p>
    <w:p w:rsidR="00880110" w:rsidRPr="000E26B1" w:rsidRDefault="00880110" w:rsidP="00880110">
      <w:pPr>
        <w:spacing w:after="120"/>
        <w:ind w:left="3969"/>
        <w:rPr>
          <w:rFonts w:cs="Arial"/>
          <w:b/>
          <w:sz w:val="22"/>
          <w:szCs w:val="22"/>
        </w:rPr>
      </w:pPr>
      <w:r w:rsidRPr="000E26B1">
        <w:rPr>
          <w:rFonts w:cs="Arial"/>
          <w:b/>
          <w:bCs/>
          <w:sz w:val="22"/>
          <w:szCs w:val="22"/>
        </w:rPr>
        <w:t xml:space="preserve">IMPUGNANTES: </w:t>
      </w:r>
      <w:r w:rsidRPr="000E26B1">
        <w:rPr>
          <w:rFonts w:cs="Arial"/>
          <w:sz w:val="22"/>
          <w:szCs w:val="22"/>
        </w:rPr>
        <w:t>PARTIDO ACCIÓN NACIONAL Y OTROS</w:t>
      </w:r>
      <w:bookmarkStart w:id="0" w:name="_Hlk70522307"/>
    </w:p>
    <w:bookmarkEnd w:id="0"/>
    <w:p w:rsidR="00880110" w:rsidRDefault="00880110" w:rsidP="00880110">
      <w:pPr>
        <w:spacing w:after="120"/>
        <w:ind w:left="3969"/>
        <w:rPr>
          <w:rFonts w:cs="Arial"/>
          <w:bCs/>
          <w:sz w:val="22"/>
          <w:szCs w:val="22"/>
        </w:rPr>
      </w:pPr>
      <w:r w:rsidRPr="000E26B1">
        <w:rPr>
          <w:rFonts w:cs="Arial"/>
          <w:b/>
          <w:sz w:val="22"/>
          <w:szCs w:val="22"/>
        </w:rPr>
        <w:t xml:space="preserve">RESPONSABLE:  </w:t>
      </w:r>
      <w:r w:rsidRPr="000E26B1">
        <w:rPr>
          <w:rFonts w:cs="Arial"/>
          <w:bCs/>
          <w:sz w:val="22"/>
          <w:szCs w:val="22"/>
        </w:rPr>
        <w:t>TRIBUNAL ESTATAL ELECTORAL DE GUANAJUATO</w:t>
      </w:r>
    </w:p>
    <w:p w:rsidR="00880110" w:rsidRPr="005B33F8" w:rsidRDefault="00880110" w:rsidP="00880110">
      <w:pPr>
        <w:spacing w:after="120"/>
        <w:ind w:left="3969"/>
        <w:rPr>
          <w:rFonts w:cs="Arial"/>
          <w:bCs/>
          <w:sz w:val="22"/>
          <w:szCs w:val="22"/>
        </w:rPr>
      </w:pPr>
      <w:r>
        <w:rPr>
          <w:rFonts w:cs="Arial"/>
          <w:b/>
          <w:sz w:val="22"/>
          <w:szCs w:val="22"/>
        </w:rPr>
        <w:t>TERCERO INTERESADO:</w:t>
      </w:r>
      <w:r>
        <w:rPr>
          <w:rFonts w:cs="Arial"/>
          <w:bCs/>
          <w:sz w:val="22"/>
          <w:szCs w:val="22"/>
        </w:rPr>
        <w:t xml:space="preserve">  PARTIDO VERDE ECOLOGISTA DE MÉXICO</w:t>
      </w:r>
    </w:p>
    <w:p w:rsidR="00880110" w:rsidRPr="005B33F8" w:rsidRDefault="00880110" w:rsidP="00880110">
      <w:pPr>
        <w:spacing w:after="120"/>
        <w:ind w:left="3969"/>
        <w:rPr>
          <w:rFonts w:cs="Arial"/>
          <w:sz w:val="22"/>
          <w:szCs w:val="22"/>
        </w:rPr>
      </w:pPr>
      <w:r w:rsidRPr="005B33F8">
        <w:rPr>
          <w:rFonts w:cs="Arial"/>
          <w:b/>
          <w:sz w:val="22"/>
          <w:szCs w:val="22"/>
        </w:rPr>
        <w:t xml:space="preserve">MAGISTRADO PONENTE: </w:t>
      </w:r>
      <w:r w:rsidRPr="005B33F8">
        <w:rPr>
          <w:rFonts w:cs="Arial"/>
          <w:sz w:val="22"/>
          <w:szCs w:val="22"/>
        </w:rPr>
        <w:t>ERNESTO CAMACHO OCHOA</w:t>
      </w:r>
    </w:p>
    <w:p w:rsidR="00473FE1" w:rsidRPr="00981B49" w:rsidRDefault="00880110" w:rsidP="00473FE1">
      <w:pPr>
        <w:spacing w:after="120"/>
        <w:ind w:left="3969"/>
        <w:rPr>
          <w:rFonts w:cs="Arial"/>
          <w:sz w:val="22"/>
          <w:szCs w:val="22"/>
        </w:rPr>
      </w:pPr>
      <w:r w:rsidRPr="74C7579E">
        <w:rPr>
          <w:rFonts w:cs="Arial"/>
          <w:b/>
          <w:bCs/>
          <w:sz w:val="22"/>
          <w:szCs w:val="22"/>
        </w:rPr>
        <w:t>SECRETARIADO:</w:t>
      </w:r>
      <w:r w:rsidRPr="74C7579E">
        <w:rPr>
          <w:rFonts w:cs="Arial"/>
          <w:sz w:val="22"/>
          <w:szCs w:val="22"/>
        </w:rPr>
        <w:t xml:space="preserve"> </w:t>
      </w:r>
      <w:r w:rsidR="00473FE1">
        <w:rPr>
          <w:rFonts w:cs="Arial"/>
          <w:sz w:val="22"/>
          <w:szCs w:val="22"/>
        </w:rPr>
        <w:t>RUBÉN ARTURO MARROQUÍN MITRE Y RAFAEL GERARDO RAMOS CÓRDOVA</w:t>
      </w:r>
    </w:p>
    <w:p w:rsidR="00880110" w:rsidRDefault="00880110" w:rsidP="00880110">
      <w:pPr>
        <w:rPr>
          <w:rFonts w:cs="Arial"/>
          <w:sz w:val="24"/>
          <w:szCs w:val="24"/>
        </w:rPr>
      </w:pPr>
    </w:p>
    <w:p w:rsidR="00880110" w:rsidRDefault="00880110" w:rsidP="00880110">
      <w:pPr>
        <w:spacing w:line="360" w:lineRule="auto"/>
        <w:rPr>
          <w:rFonts w:cs="Arial"/>
          <w:sz w:val="24"/>
          <w:szCs w:val="24"/>
        </w:rPr>
      </w:pPr>
      <w:r w:rsidRPr="008F1FAC">
        <w:rPr>
          <w:rFonts w:cs="Arial"/>
          <w:sz w:val="24"/>
          <w:szCs w:val="24"/>
        </w:rPr>
        <w:t xml:space="preserve">Monterrey, Nuevo León, a </w:t>
      </w:r>
      <w:r w:rsidR="00D11674">
        <w:rPr>
          <w:rFonts w:cs="Arial"/>
          <w:sz w:val="24"/>
          <w:szCs w:val="24"/>
        </w:rPr>
        <w:t>06</w:t>
      </w:r>
      <w:r>
        <w:rPr>
          <w:rFonts w:cs="Arial"/>
          <w:sz w:val="24"/>
          <w:szCs w:val="24"/>
        </w:rPr>
        <w:t xml:space="preserve"> de</w:t>
      </w:r>
      <w:r w:rsidRPr="008F1FAC">
        <w:rPr>
          <w:rFonts w:cs="Arial"/>
          <w:sz w:val="24"/>
          <w:szCs w:val="24"/>
        </w:rPr>
        <w:t xml:space="preserve"> </w:t>
      </w:r>
      <w:r>
        <w:rPr>
          <w:rFonts w:cs="Arial"/>
          <w:sz w:val="24"/>
          <w:szCs w:val="24"/>
        </w:rPr>
        <w:t xml:space="preserve">septiembre </w:t>
      </w:r>
      <w:r w:rsidRPr="008F1FAC">
        <w:rPr>
          <w:rFonts w:cs="Arial"/>
          <w:sz w:val="24"/>
          <w:szCs w:val="24"/>
        </w:rPr>
        <w:t>de 2021.</w:t>
      </w:r>
    </w:p>
    <w:p w:rsidR="00880110" w:rsidRPr="008F1FAC" w:rsidRDefault="00880110" w:rsidP="00880110">
      <w:pPr>
        <w:rPr>
          <w:rFonts w:cs="Arial"/>
          <w:sz w:val="24"/>
          <w:szCs w:val="24"/>
        </w:rPr>
      </w:pPr>
    </w:p>
    <w:p w:rsidR="00880110" w:rsidRPr="00CD73E6" w:rsidRDefault="00880110" w:rsidP="00880110">
      <w:pPr>
        <w:spacing w:line="360" w:lineRule="auto"/>
        <w:rPr>
          <w:rFonts w:cs="Arial"/>
          <w:b/>
          <w:sz w:val="24"/>
          <w:szCs w:val="24"/>
          <w:lang w:val="es-ES"/>
        </w:rPr>
      </w:pPr>
      <w:r w:rsidRPr="4E210D7F">
        <w:rPr>
          <w:rFonts w:cs="Arial"/>
          <w:b/>
          <w:bCs/>
          <w:sz w:val="24"/>
          <w:szCs w:val="24"/>
        </w:rPr>
        <w:t xml:space="preserve">Sentencia </w:t>
      </w:r>
      <w:r w:rsidRPr="4E210D7F">
        <w:rPr>
          <w:rFonts w:cs="Arial"/>
          <w:sz w:val="24"/>
          <w:szCs w:val="24"/>
        </w:rPr>
        <w:t xml:space="preserve">de la Sala Monterrey que </w:t>
      </w:r>
      <w:r>
        <w:rPr>
          <w:rFonts w:cs="Arial"/>
          <w:b/>
          <w:bCs/>
          <w:sz w:val="24"/>
          <w:szCs w:val="24"/>
        </w:rPr>
        <w:t xml:space="preserve">modifica </w:t>
      </w:r>
      <w:r w:rsidRPr="4E210D7F">
        <w:rPr>
          <w:rFonts w:cs="Arial"/>
          <w:sz w:val="24"/>
          <w:szCs w:val="24"/>
          <w:lang w:val="es-ES"/>
        </w:rPr>
        <w:t>la sentencia d</w:t>
      </w:r>
      <w:r w:rsidRPr="00C2422A">
        <w:rPr>
          <w:rFonts w:cs="Arial"/>
          <w:sz w:val="24"/>
          <w:szCs w:val="24"/>
          <w:lang w:val="es-ES"/>
        </w:rPr>
        <w:t xml:space="preserve">el Tribunal Local </w:t>
      </w:r>
      <w:r>
        <w:rPr>
          <w:rFonts w:cs="Arial"/>
          <w:sz w:val="24"/>
          <w:szCs w:val="24"/>
          <w:lang w:val="es-ES"/>
        </w:rPr>
        <w:t xml:space="preserve">que </w:t>
      </w:r>
      <w:r w:rsidRPr="00C2422A">
        <w:rPr>
          <w:rFonts w:cs="Arial"/>
          <w:sz w:val="24"/>
          <w:szCs w:val="24"/>
          <w:lang w:val="es-ES"/>
        </w:rPr>
        <w:t>confirmó la validez de la elección para renovar el ayuntamiento de San Felipe, Guanajuato</w:t>
      </w:r>
      <w:r>
        <w:rPr>
          <w:rFonts w:cs="Arial"/>
          <w:sz w:val="24"/>
          <w:szCs w:val="24"/>
          <w:lang w:val="es-ES"/>
        </w:rPr>
        <w:t>,</w:t>
      </w:r>
      <w:r w:rsidRPr="00C2422A">
        <w:rPr>
          <w:rFonts w:cs="Arial"/>
          <w:sz w:val="24"/>
          <w:szCs w:val="24"/>
          <w:lang w:val="es-ES"/>
        </w:rPr>
        <w:t xml:space="preserve"> así como la entrega de la constancia de mayoría a la planilla postulada por el PVEM, al considerar que</w:t>
      </w:r>
      <w:r>
        <w:rPr>
          <w:rFonts w:cs="Arial"/>
          <w:sz w:val="24"/>
          <w:szCs w:val="24"/>
          <w:lang w:val="es-ES"/>
        </w:rPr>
        <w:t>,</w:t>
      </w:r>
      <w:r w:rsidRPr="00C2422A">
        <w:rPr>
          <w:rFonts w:cs="Arial"/>
          <w:sz w:val="24"/>
          <w:szCs w:val="24"/>
          <w:lang w:val="es-ES"/>
        </w:rPr>
        <w:t xml:space="preserve"> en </w:t>
      </w:r>
      <w:r>
        <w:rPr>
          <w:rFonts w:cs="Arial"/>
          <w:sz w:val="24"/>
          <w:szCs w:val="24"/>
          <w:lang w:val="es-ES"/>
        </w:rPr>
        <w:t xml:space="preserve">lo </w:t>
      </w:r>
      <w:r w:rsidRPr="00C2422A">
        <w:rPr>
          <w:rFonts w:cs="Arial"/>
          <w:sz w:val="24"/>
          <w:szCs w:val="24"/>
          <w:lang w:val="es-ES"/>
        </w:rPr>
        <w:t xml:space="preserve">que </w:t>
      </w:r>
      <w:r>
        <w:rPr>
          <w:rFonts w:cs="Arial"/>
          <w:sz w:val="24"/>
          <w:szCs w:val="24"/>
          <w:lang w:val="es-ES"/>
        </w:rPr>
        <w:t xml:space="preserve">interesa ante esta instancia federal, que </w:t>
      </w:r>
      <w:r w:rsidRPr="00C2422A">
        <w:rPr>
          <w:rFonts w:cs="Arial"/>
          <w:sz w:val="24"/>
          <w:szCs w:val="24"/>
          <w:lang w:val="es-ES"/>
        </w:rPr>
        <w:t xml:space="preserve">no se </w:t>
      </w:r>
      <w:r w:rsidRPr="001F7C80">
        <w:rPr>
          <w:rFonts w:cs="Arial"/>
          <w:sz w:val="24"/>
          <w:szCs w:val="24"/>
          <w:lang w:val="es-ES"/>
        </w:rPr>
        <w:t>acreditaron violaciones a los principios de equidad, igualdad e imparcialidad porque respecto de las infracciones de promoción personalizada, violencia política por razón de género</w:t>
      </w:r>
      <w:r>
        <w:rPr>
          <w:rFonts w:cs="Arial"/>
          <w:sz w:val="24"/>
          <w:szCs w:val="24"/>
          <w:lang w:val="es-ES"/>
        </w:rPr>
        <w:t>,</w:t>
      </w:r>
      <w:r w:rsidRPr="001F7C80">
        <w:rPr>
          <w:rFonts w:cs="Arial"/>
          <w:sz w:val="24"/>
          <w:szCs w:val="24"/>
          <w:lang w:val="es-ES"/>
        </w:rPr>
        <w:t xml:space="preserve"> entra otras, porque se declararon inexistentes los hechos denunciados y no se probó la existencia de</w:t>
      </w:r>
      <w:r w:rsidRPr="00C2422A">
        <w:rPr>
          <w:rFonts w:cs="Arial"/>
          <w:sz w:val="24"/>
          <w:szCs w:val="24"/>
          <w:lang w:val="es-ES"/>
        </w:rPr>
        <w:t xml:space="preserve"> violaciones al principio de imparcialidad por parte del Comité Municipal, y por otro lado</w:t>
      </w:r>
      <w:r w:rsidRPr="004B64B9">
        <w:rPr>
          <w:rFonts w:cs="Arial"/>
          <w:sz w:val="24"/>
          <w:szCs w:val="24"/>
        </w:rPr>
        <w:t xml:space="preserve">; </w:t>
      </w:r>
      <w:r w:rsidRPr="004B64B9">
        <w:rPr>
          <w:rFonts w:cs="Arial"/>
          <w:b/>
          <w:bCs/>
          <w:sz w:val="24"/>
          <w:szCs w:val="24"/>
        </w:rPr>
        <w:t xml:space="preserve">porque esta Sala considera </w:t>
      </w:r>
      <w:r w:rsidRPr="004B64B9">
        <w:rPr>
          <w:rFonts w:cs="Arial"/>
          <w:sz w:val="24"/>
          <w:szCs w:val="24"/>
        </w:rPr>
        <w:t>que,</w:t>
      </w:r>
      <w:r>
        <w:rPr>
          <w:rFonts w:cs="Arial"/>
          <w:sz w:val="24"/>
          <w:szCs w:val="24"/>
        </w:rPr>
        <w:t xml:space="preserve"> </w:t>
      </w:r>
      <w:r w:rsidRPr="000E26B1">
        <w:rPr>
          <w:rFonts w:cs="Arial"/>
          <w:sz w:val="24"/>
          <w:szCs w:val="24"/>
        </w:rPr>
        <w:t>el</w:t>
      </w:r>
      <w:r w:rsidRPr="000E26B1">
        <w:rPr>
          <w:rFonts w:cs="Arial"/>
          <w:b/>
          <w:bCs/>
          <w:sz w:val="24"/>
          <w:szCs w:val="24"/>
        </w:rPr>
        <w:t xml:space="preserve"> </w:t>
      </w:r>
      <w:r w:rsidRPr="000E26B1">
        <w:rPr>
          <w:rFonts w:cs="Arial"/>
          <w:sz w:val="24"/>
          <w:szCs w:val="24"/>
        </w:rPr>
        <w:t xml:space="preserve">Tribunal Local tenía el deber de pronunciarse sobre </w:t>
      </w:r>
      <w:r w:rsidRPr="000E26B1">
        <w:rPr>
          <w:sz w:val="24"/>
          <w:szCs w:val="24"/>
        </w:rPr>
        <w:t xml:space="preserve">las pruebas </w:t>
      </w:r>
      <w:r w:rsidRPr="000E26B1">
        <w:rPr>
          <w:rFonts w:cs="Arial"/>
          <w:sz w:val="24"/>
          <w:szCs w:val="24"/>
        </w:rPr>
        <w:t>aportadas en el juicio a fin de garantizar el estudio integral de los elementos debidamente ofrecidos</w:t>
      </w:r>
      <w:r w:rsidRPr="004B64B9">
        <w:rPr>
          <w:rFonts w:cs="Arial"/>
          <w:sz w:val="24"/>
          <w:szCs w:val="24"/>
        </w:rPr>
        <w:t xml:space="preserve">, </w:t>
      </w:r>
      <w:r>
        <w:rPr>
          <w:rFonts w:cs="Arial"/>
          <w:sz w:val="24"/>
          <w:szCs w:val="24"/>
        </w:rPr>
        <w:t>y el presidente del Comité Directivo no tiene facultades de representación para actuar a nombre del PRI.</w:t>
      </w:r>
    </w:p>
    <w:p w:rsidR="00880110" w:rsidRPr="000142E0" w:rsidRDefault="00880110" w:rsidP="00880110">
      <w:pPr>
        <w:spacing w:line="360" w:lineRule="auto"/>
        <w:contextualSpacing/>
        <w:rPr>
          <w:rFonts w:eastAsia="Calibri" w:cs="Arial"/>
          <w:szCs w:val="16"/>
        </w:rPr>
      </w:pPr>
    </w:p>
    <w:sdt>
      <w:sdtPr>
        <w:rPr>
          <w:rFonts w:ascii="Arial" w:eastAsiaTheme="minorHAnsi" w:hAnsi="Arial" w:cs="Arial"/>
          <w:color w:val="auto"/>
          <w:sz w:val="18"/>
          <w:szCs w:val="18"/>
          <w:lang w:val="es-ES" w:eastAsia="en-US"/>
        </w:rPr>
        <w:id w:val="-787043094"/>
        <w:docPartObj>
          <w:docPartGallery w:val="Table of Contents"/>
          <w:docPartUnique/>
        </w:docPartObj>
      </w:sdtPr>
      <w:sdtEndPr>
        <w:rPr>
          <w:bCs/>
        </w:rPr>
      </w:sdtEndPr>
      <w:sdtContent>
        <w:p w:rsidR="00880110" w:rsidRPr="00AF45AE" w:rsidRDefault="00880110" w:rsidP="00880110">
          <w:pPr>
            <w:pStyle w:val="TtuloTDC"/>
            <w:spacing w:before="0" w:line="240" w:lineRule="auto"/>
            <w:jc w:val="center"/>
            <w:rPr>
              <w:rFonts w:ascii="Arial" w:hAnsi="Arial" w:cs="Arial"/>
              <w:bCs/>
              <w:color w:val="auto"/>
              <w:sz w:val="18"/>
              <w:szCs w:val="18"/>
            </w:rPr>
          </w:pPr>
          <w:r w:rsidRPr="00AF45AE">
            <w:rPr>
              <w:rFonts w:ascii="Arial" w:hAnsi="Arial" w:cs="Arial"/>
              <w:bCs/>
              <w:color w:val="auto"/>
              <w:sz w:val="18"/>
              <w:szCs w:val="18"/>
              <w:lang w:val="es-ES"/>
            </w:rPr>
            <w:t>Índice</w:t>
          </w:r>
        </w:p>
        <w:p w:rsidR="00880110" w:rsidRPr="009D42C0" w:rsidRDefault="00880110" w:rsidP="00880110">
          <w:pPr>
            <w:pStyle w:val="TDC1"/>
            <w:spacing w:after="0"/>
            <w:rPr>
              <w:rFonts w:asciiTheme="minorHAnsi" w:eastAsiaTheme="minorEastAsia" w:hAnsiTheme="minorHAnsi" w:cstheme="minorBidi"/>
              <w:b w:val="0"/>
              <w:bCs w:val="0"/>
              <w:sz w:val="22"/>
              <w:szCs w:val="22"/>
              <w:lang w:val="es-MX" w:eastAsia="es-MX"/>
            </w:rPr>
          </w:pPr>
          <w:r w:rsidRPr="00D12417">
            <w:rPr>
              <w:b w:val="0"/>
              <w:bCs w:val="0"/>
              <w:szCs w:val="18"/>
            </w:rPr>
            <w:fldChar w:fldCharType="begin"/>
          </w:r>
          <w:r w:rsidRPr="00D12417">
            <w:rPr>
              <w:b w:val="0"/>
              <w:bCs w:val="0"/>
              <w:szCs w:val="18"/>
            </w:rPr>
            <w:instrText xml:space="preserve"> TOC \o "1-3" \h \z \u </w:instrText>
          </w:r>
          <w:r w:rsidRPr="00D12417">
            <w:rPr>
              <w:b w:val="0"/>
              <w:bCs w:val="0"/>
              <w:szCs w:val="18"/>
            </w:rPr>
            <w:fldChar w:fldCharType="separate"/>
          </w:r>
          <w:hyperlink w:anchor="_Toc80910960" w:history="1">
            <w:r w:rsidRPr="009D42C0">
              <w:rPr>
                <w:rStyle w:val="Hipervnculo"/>
                <w:rFonts w:eastAsia="Calibri"/>
                <w:b w:val="0"/>
              </w:rPr>
              <w:t>Glosario</w:t>
            </w:r>
            <w:r w:rsidRPr="009D42C0">
              <w:rPr>
                <w:b w:val="0"/>
                <w:webHidden/>
              </w:rPr>
              <w:tab/>
            </w:r>
            <w:r w:rsidRPr="009D42C0">
              <w:rPr>
                <w:b w:val="0"/>
                <w:webHidden/>
              </w:rPr>
              <w:fldChar w:fldCharType="begin"/>
            </w:r>
            <w:r w:rsidRPr="009D42C0">
              <w:rPr>
                <w:b w:val="0"/>
                <w:webHidden/>
              </w:rPr>
              <w:instrText xml:space="preserve"> PAGEREF _Toc80910960 \h </w:instrText>
            </w:r>
            <w:r w:rsidRPr="009D42C0">
              <w:rPr>
                <w:b w:val="0"/>
                <w:webHidden/>
              </w:rPr>
            </w:r>
            <w:r w:rsidRPr="009D42C0">
              <w:rPr>
                <w:b w:val="0"/>
                <w:webHidden/>
              </w:rPr>
              <w:fldChar w:fldCharType="separate"/>
            </w:r>
            <w:r>
              <w:rPr>
                <w:b w:val="0"/>
                <w:webHidden/>
              </w:rPr>
              <w:t>2</w:t>
            </w:r>
            <w:r w:rsidRPr="009D42C0">
              <w:rPr>
                <w:b w:val="0"/>
                <w:webHidden/>
              </w:rPr>
              <w:fldChar w:fldCharType="end"/>
            </w:r>
          </w:hyperlink>
        </w:p>
        <w:p w:rsidR="00880110" w:rsidRPr="009D42C0" w:rsidRDefault="0088144F" w:rsidP="00880110">
          <w:pPr>
            <w:pStyle w:val="TDC1"/>
            <w:spacing w:after="0"/>
            <w:rPr>
              <w:rFonts w:asciiTheme="minorHAnsi" w:eastAsiaTheme="minorEastAsia" w:hAnsiTheme="minorHAnsi" w:cstheme="minorBidi"/>
              <w:b w:val="0"/>
              <w:bCs w:val="0"/>
              <w:sz w:val="22"/>
              <w:szCs w:val="22"/>
              <w:lang w:val="es-MX" w:eastAsia="es-MX"/>
            </w:rPr>
          </w:pPr>
          <w:hyperlink w:anchor="_Toc80910961" w:history="1">
            <w:r w:rsidR="00880110" w:rsidRPr="009D42C0">
              <w:rPr>
                <w:rStyle w:val="Hipervnculo"/>
                <w:b w:val="0"/>
              </w:rPr>
              <w:t xml:space="preserve">Competencia </w:t>
            </w:r>
            <w:r w:rsidR="00880110">
              <w:rPr>
                <w:rStyle w:val="Hipervnculo"/>
                <w:b w:val="0"/>
              </w:rPr>
              <w:t xml:space="preserve">acumulación </w:t>
            </w:r>
            <w:r w:rsidR="00880110" w:rsidRPr="009D42C0">
              <w:rPr>
                <w:rStyle w:val="Hipervnculo"/>
                <w:b w:val="0"/>
              </w:rPr>
              <w:t>y procedencia</w:t>
            </w:r>
            <w:r w:rsidR="00880110" w:rsidRPr="009D42C0">
              <w:rPr>
                <w:b w:val="0"/>
                <w:webHidden/>
              </w:rPr>
              <w:tab/>
            </w:r>
            <w:r w:rsidR="00880110" w:rsidRPr="009D42C0">
              <w:rPr>
                <w:b w:val="0"/>
                <w:webHidden/>
              </w:rPr>
              <w:fldChar w:fldCharType="begin"/>
            </w:r>
            <w:r w:rsidR="00880110" w:rsidRPr="009D42C0">
              <w:rPr>
                <w:b w:val="0"/>
                <w:webHidden/>
              </w:rPr>
              <w:instrText xml:space="preserve"> PAGEREF _Toc80910961 \h </w:instrText>
            </w:r>
            <w:r w:rsidR="00880110" w:rsidRPr="009D42C0">
              <w:rPr>
                <w:b w:val="0"/>
                <w:webHidden/>
              </w:rPr>
            </w:r>
            <w:r w:rsidR="00880110" w:rsidRPr="009D42C0">
              <w:rPr>
                <w:b w:val="0"/>
                <w:webHidden/>
              </w:rPr>
              <w:fldChar w:fldCharType="separate"/>
            </w:r>
            <w:r w:rsidR="00880110">
              <w:rPr>
                <w:b w:val="0"/>
                <w:webHidden/>
              </w:rPr>
              <w:t>2</w:t>
            </w:r>
            <w:r w:rsidR="00880110" w:rsidRPr="009D42C0">
              <w:rPr>
                <w:b w:val="0"/>
                <w:webHidden/>
              </w:rPr>
              <w:fldChar w:fldCharType="end"/>
            </w:r>
          </w:hyperlink>
        </w:p>
        <w:p w:rsidR="00880110" w:rsidRPr="009D42C0" w:rsidRDefault="0088144F" w:rsidP="00880110">
          <w:pPr>
            <w:pStyle w:val="TDC1"/>
            <w:spacing w:after="0"/>
            <w:rPr>
              <w:rFonts w:asciiTheme="minorHAnsi" w:eastAsiaTheme="minorEastAsia" w:hAnsiTheme="minorHAnsi" w:cstheme="minorBidi"/>
              <w:b w:val="0"/>
              <w:bCs w:val="0"/>
              <w:sz w:val="22"/>
              <w:szCs w:val="22"/>
              <w:lang w:val="es-MX" w:eastAsia="es-MX"/>
            </w:rPr>
          </w:pPr>
          <w:hyperlink w:anchor="_Toc80910962" w:history="1">
            <w:r w:rsidR="00880110" w:rsidRPr="009D42C0">
              <w:rPr>
                <w:rStyle w:val="Hipervnculo"/>
                <w:b w:val="0"/>
              </w:rPr>
              <w:t>Antecedentes</w:t>
            </w:r>
            <w:r w:rsidR="00880110" w:rsidRPr="009D42C0">
              <w:rPr>
                <w:b w:val="0"/>
                <w:webHidden/>
              </w:rPr>
              <w:tab/>
            </w:r>
            <w:r w:rsidR="00880110" w:rsidRPr="009D42C0">
              <w:rPr>
                <w:b w:val="0"/>
                <w:webHidden/>
              </w:rPr>
              <w:fldChar w:fldCharType="begin"/>
            </w:r>
            <w:r w:rsidR="00880110" w:rsidRPr="009D42C0">
              <w:rPr>
                <w:b w:val="0"/>
                <w:webHidden/>
              </w:rPr>
              <w:instrText xml:space="preserve"> PAGEREF _Toc80910962 \h </w:instrText>
            </w:r>
            <w:r w:rsidR="00880110" w:rsidRPr="009D42C0">
              <w:rPr>
                <w:b w:val="0"/>
                <w:webHidden/>
              </w:rPr>
            </w:r>
            <w:r w:rsidR="00880110" w:rsidRPr="009D42C0">
              <w:rPr>
                <w:b w:val="0"/>
                <w:webHidden/>
              </w:rPr>
              <w:fldChar w:fldCharType="separate"/>
            </w:r>
            <w:r w:rsidR="00880110">
              <w:rPr>
                <w:b w:val="0"/>
                <w:webHidden/>
              </w:rPr>
              <w:t>2</w:t>
            </w:r>
            <w:r w:rsidR="00880110" w:rsidRPr="009D42C0">
              <w:rPr>
                <w:b w:val="0"/>
                <w:webHidden/>
              </w:rPr>
              <w:fldChar w:fldCharType="end"/>
            </w:r>
          </w:hyperlink>
        </w:p>
        <w:p w:rsidR="00880110" w:rsidRPr="009D42C0" w:rsidRDefault="0088144F" w:rsidP="00880110">
          <w:pPr>
            <w:pStyle w:val="TDC1"/>
            <w:spacing w:after="0"/>
            <w:rPr>
              <w:rFonts w:asciiTheme="minorHAnsi" w:eastAsiaTheme="minorEastAsia" w:hAnsiTheme="minorHAnsi" w:cstheme="minorBidi"/>
              <w:b w:val="0"/>
              <w:bCs w:val="0"/>
              <w:sz w:val="22"/>
              <w:szCs w:val="22"/>
              <w:lang w:val="es-MX" w:eastAsia="es-MX"/>
            </w:rPr>
          </w:pPr>
          <w:hyperlink w:anchor="_Toc80910963" w:history="1">
            <w:r w:rsidR="00880110" w:rsidRPr="009D42C0">
              <w:rPr>
                <w:rStyle w:val="Hipervnculo"/>
                <w:b w:val="0"/>
              </w:rPr>
              <w:t>Estudio de fondo</w:t>
            </w:r>
            <w:r w:rsidR="00880110" w:rsidRPr="009D42C0">
              <w:rPr>
                <w:b w:val="0"/>
                <w:webHidden/>
              </w:rPr>
              <w:tab/>
            </w:r>
            <w:r w:rsidR="00880110" w:rsidRPr="009D42C0">
              <w:rPr>
                <w:b w:val="0"/>
                <w:webHidden/>
              </w:rPr>
              <w:fldChar w:fldCharType="begin"/>
            </w:r>
            <w:r w:rsidR="00880110" w:rsidRPr="009D42C0">
              <w:rPr>
                <w:b w:val="0"/>
                <w:webHidden/>
              </w:rPr>
              <w:instrText xml:space="preserve"> PAGEREF _Toc80910963 \h </w:instrText>
            </w:r>
            <w:r w:rsidR="00880110" w:rsidRPr="009D42C0">
              <w:rPr>
                <w:b w:val="0"/>
                <w:webHidden/>
              </w:rPr>
            </w:r>
            <w:r w:rsidR="00880110" w:rsidRPr="009D42C0">
              <w:rPr>
                <w:b w:val="0"/>
                <w:webHidden/>
              </w:rPr>
              <w:fldChar w:fldCharType="separate"/>
            </w:r>
            <w:r w:rsidR="00880110">
              <w:rPr>
                <w:b w:val="0"/>
                <w:webHidden/>
              </w:rPr>
              <w:t>4</w:t>
            </w:r>
            <w:r w:rsidR="00880110" w:rsidRPr="009D42C0">
              <w:rPr>
                <w:b w:val="0"/>
                <w:webHidden/>
              </w:rPr>
              <w:fldChar w:fldCharType="end"/>
            </w:r>
          </w:hyperlink>
        </w:p>
        <w:p w:rsidR="00880110" w:rsidRPr="009D42C0" w:rsidRDefault="0088144F" w:rsidP="00880110">
          <w:pPr>
            <w:pStyle w:val="TDC2"/>
            <w:rPr>
              <w:rFonts w:asciiTheme="minorHAnsi" w:eastAsiaTheme="minorEastAsia" w:hAnsiTheme="minorHAnsi" w:cstheme="minorBidi"/>
              <w:b w:val="0"/>
              <w:bCs w:val="0"/>
              <w:sz w:val="22"/>
              <w:szCs w:val="22"/>
              <w:u w:val="none"/>
              <w:lang w:val="es-MX" w:eastAsia="es-MX"/>
            </w:rPr>
          </w:pPr>
          <w:hyperlink w:anchor="_Toc80910964" w:history="1">
            <w:r w:rsidR="00880110" w:rsidRPr="009D42C0">
              <w:rPr>
                <w:rStyle w:val="Hipervnculo"/>
                <w:b w:val="0"/>
                <w:u w:val="none"/>
              </w:rPr>
              <w:t>Apartado preliminar. Materia de la controversia</w:t>
            </w:r>
            <w:r w:rsidR="00880110" w:rsidRPr="009D42C0">
              <w:rPr>
                <w:b w:val="0"/>
                <w:webHidden/>
                <w:u w:val="none"/>
              </w:rPr>
              <w:tab/>
            </w:r>
            <w:r w:rsidR="00880110" w:rsidRPr="009D42C0">
              <w:rPr>
                <w:b w:val="0"/>
                <w:webHidden/>
                <w:u w:val="none"/>
              </w:rPr>
              <w:fldChar w:fldCharType="begin"/>
            </w:r>
            <w:r w:rsidR="00880110" w:rsidRPr="009D42C0">
              <w:rPr>
                <w:b w:val="0"/>
                <w:webHidden/>
                <w:u w:val="none"/>
              </w:rPr>
              <w:instrText xml:space="preserve"> PAGEREF _Toc80910964 \h </w:instrText>
            </w:r>
            <w:r w:rsidR="00880110" w:rsidRPr="009D42C0">
              <w:rPr>
                <w:b w:val="0"/>
                <w:webHidden/>
                <w:u w:val="none"/>
              </w:rPr>
            </w:r>
            <w:r w:rsidR="00880110" w:rsidRPr="009D42C0">
              <w:rPr>
                <w:b w:val="0"/>
                <w:webHidden/>
                <w:u w:val="none"/>
              </w:rPr>
              <w:fldChar w:fldCharType="separate"/>
            </w:r>
            <w:r w:rsidR="00880110">
              <w:rPr>
                <w:b w:val="0"/>
                <w:webHidden/>
                <w:u w:val="none"/>
              </w:rPr>
              <w:t>4</w:t>
            </w:r>
            <w:r w:rsidR="00880110" w:rsidRPr="009D42C0">
              <w:rPr>
                <w:b w:val="0"/>
                <w:webHidden/>
                <w:u w:val="none"/>
              </w:rPr>
              <w:fldChar w:fldCharType="end"/>
            </w:r>
          </w:hyperlink>
        </w:p>
        <w:p w:rsidR="00880110" w:rsidRPr="009D42C0" w:rsidRDefault="0088144F" w:rsidP="00880110">
          <w:pPr>
            <w:pStyle w:val="TDC2"/>
            <w:rPr>
              <w:rFonts w:asciiTheme="minorHAnsi" w:eastAsiaTheme="minorEastAsia" w:hAnsiTheme="minorHAnsi" w:cstheme="minorBidi"/>
              <w:b w:val="0"/>
              <w:bCs w:val="0"/>
              <w:sz w:val="22"/>
              <w:szCs w:val="22"/>
              <w:u w:val="none"/>
              <w:lang w:val="es-MX" w:eastAsia="es-MX"/>
            </w:rPr>
          </w:pPr>
          <w:hyperlink w:anchor="_Toc80910965" w:history="1">
            <w:r w:rsidR="00880110" w:rsidRPr="009D42C0">
              <w:rPr>
                <w:rStyle w:val="Hipervnculo"/>
                <w:b w:val="0"/>
                <w:u w:val="none"/>
              </w:rPr>
              <w:t>Apartado I. Decisión general</w:t>
            </w:r>
            <w:r w:rsidR="00880110" w:rsidRPr="009D42C0">
              <w:rPr>
                <w:b w:val="0"/>
                <w:webHidden/>
                <w:u w:val="none"/>
              </w:rPr>
              <w:tab/>
            </w:r>
            <w:r w:rsidR="00880110" w:rsidRPr="009D42C0">
              <w:rPr>
                <w:b w:val="0"/>
                <w:webHidden/>
                <w:u w:val="none"/>
              </w:rPr>
              <w:fldChar w:fldCharType="begin"/>
            </w:r>
            <w:r w:rsidR="00880110" w:rsidRPr="009D42C0">
              <w:rPr>
                <w:b w:val="0"/>
                <w:webHidden/>
                <w:u w:val="none"/>
              </w:rPr>
              <w:instrText xml:space="preserve"> PAGEREF _Toc80910965 \h </w:instrText>
            </w:r>
            <w:r w:rsidR="00880110" w:rsidRPr="009D42C0">
              <w:rPr>
                <w:b w:val="0"/>
                <w:webHidden/>
                <w:u w:val="none"/>
              </w:rPr>
            </w:r>
            <w:r w:rsidR="00880110" w:rsidRPr="009D42C0">
              <w:rPr>
                <w:b w:val="0"/>
                <w:webHidden/>
                <w:u w:val="none"/>
              </w:rPr>
              <w:fldChar w:fldCharType="separate"/>
            </w:r>
            <w:r w:rsidR="00880110">
              <w:rPr>
                <w:b w:val="0"/>
                <w:webHidden/>
                <w:u w:val="none"/>
              </w:rPr>
              <w:t>6</w:t>
            </w:r>
            <w:r w:rsidR="00880110" w:rsidRPr="009D42C0">
              <w:rPr>
                <w:b w:val="0"/>
                <w:webHidden/>
                <w:u w:val="none"/>
              </w:rPr>
              <w:fldChar w:fldCharType="end"/>
            </w:r>
          </w:hyperlink>
        </w:p>
        <w:p w:rsidR="00880110" w:rsidRPr="009D42C0" w:rsidRDefault="0088144F" w:rsidP="00880110">
          <w:pPr>
            <w:pStyle w:val="TDC2"/>
            <w:rPr>
              <w:rFonts w:asciiTheme="minorHAnsi" w:eastAsiaTheme="minorEastAsia" w:hAnsiTheme="minorHAnsi" w:cstheme="minorBidi"/>
              <w:b w:val="0"/>
              <w:bCs w:val="0"/>
              <w:sz w:val="22"/>
              <w:szCs w:val="22"/>
              <w:u w:val="none"/>
              <w:lang w:val="es-MX" w:eastAsia="es-MX"/>
            </w:rPr>
          </w:pPr>
          <w:hyperlink w:anchor="_Toc80910966" w:history="1">
            <w:r w:rsidR="00880110" w:rsidRPr="009D42C0">
              <w:rPr>
                <w:rStyle w:val="Hipervnculo"/>
                <w:b w:val="0"/>
                <w:u w:val="none"/>
              </w:rPr>
              <w:t>Apartado II. Desarrollo y justificación de la decisión</w:t>
            </w:r>
            <w:r w:rsidR="00880110" w:rsidRPr="009D42C0">
              <w:rPr>
                <w:b w:val="0"/>
                <w:webHidden/>
                <w:u w:val="none"/>
              </w:rPr>
              <w:tab/>
            </w:r>
            <w:r w:rsidR="00880110" w:rsidRPr="009D42C0">
              <w:rPr>
                <w:b w:val="0"/>
                <w:webHidden/>
                <w:u w:val="none"/>
              </w:rPr>
              <w:fldChar w:fldCharType="begin"/>
            </w:r>
            <w:r w:rsidR="00880110" w:rsidRPr="009D42C0">
              <w:rPr>
                <w:b w:val="0"/>
                <w:webHidden/>
                <w:u w:val="none"/>
              </w:rPr>
              <w:instrText xml:space="preserve"> PAGEREF _Toc80910966 \h </w:instrText>
            </w:r>
            <w:r w:rsidR="00880110" w:rsidRPr="009D42C0">
              <w:rPr>
                <w:b w:val="0"/>
                <w:webHidden/>
                <w:u w:val="none"/>
              </w:rPr>
            </w:r>
            <w:r w:rsidR="00880110" w:rsidRPr="009D42C0">
              <w:rPr>
                <w:b w:val="0"/>
                <w:webHidden/>
                <w:u w:val="none"/>
              </w:rPr>
              <w:fldChar w:fldCharType="separate"/>
            </w:r>
            <w:r w:rsidR="00880110">
              <w:rPr>
                <w:b w:val="0"/>
                <w:webHidden/>
                <w:u w:val="none"/>
              </w:rPr>
              <w:t>7</w:t>
            </w:r>
            <w:r w:rsidR="00880110" w:rsidRPr="009D42C0">
              <w:rPr>
                <w:b w:val="0"/>
                <w:webHidden/>
                <w:u w:val="none"/>
              </w:rPr>
              <w:fldChar w:fldCharType="end"/>
            </w:r>
          </w:hyperlink>
        </w:p>
        <w:p w:rsidR="00880110" w:rsidRPr="009D42C0" w:rsidRDefault="0088144F" w:rsidP="00880110">
          <w:pPr>
            <w:pStyle w:val="TDC1"/>
            <w:spacing w:after="0"/>
            <w:rPr>
              <w:rFonts w:asciiTheme="minorHAnsi" w:eastAsiaTheme="minorEastAsia" w:hAnsiTheme="minorHAnsi" w:cstheme="minorBidi"/>
              <w:b w:val="0"/>
              <w:bCs w:val="0"/>
              <w:sz w:val="22"/>
              <w:szCs w:val="22"/>
              <w:lang w:val="es-MX" w:eastAsia="es-MX"/>
            </w:rPr>
          </w:pPr>
          <w:hyperlink w:anchor="_Toc80910967" w:history="1">
            <w:r w:rsidR="00880110" w:rsidRPr="009D42C0">
              <w:rPr>
                <w:rStyle w:val="Hipervnculo"/>
                <w:rFonts w:eastAsia="Calibri"/>
                <w:b w:val="0"/>
              </w:rPr>
              <w:t xml:space="preserve">Tema </w:t>
            </w:r>
            <w:r w:rsidR="00880110" w:rsidRPr="009D42C0">
              <w:rPr>
                <w:rStyle w:val="Hipervnculo"/>
                <w:rFonts w:eastAsia="Calibri"/>
                <w:b w:val="0"/>
                <w:iCs/>
              </w:rPr>
              <w:t>1.</w:t>
            </w:r>
            <w:r w:rsidR="00880110" w:rsidRPr="009D42C0">
              <w:rPr>
                <w:rStyle w:val="Hipervnculo"/>
                <w:rFonts w:eastAsia="Calibri"/>
                <w:b w:val="0"/>
              </w:rPr>
              <w:t xml:space="preserve"> El Presidente del Comité Directivo sí carece de legitimación para actuar en representación del partido ante el Tribunal Local</w:t>
            </w:r>
            <w:r w:rsidR="00880110" w:rsidRPr="009D42C0">
              <w:rPr>
                <w:b w:val="0"/>
                <w:webHidden/>
              </w:rPr>
              <w:tab/>
            </w:r>
            <w:r w:rsidR="00880110" w:rsidRPr="009D42C0">
              <w:rPr>
                <w:b w:val="0"/>
                <w:webHidden/>
              </w:rPr>
              <w:fldChar w:fldCharType="begin"/>
            </w:r>
            <w:r w:rsidR="00880110" w:rsidRPr="009D42C0">
              <w:rPr>
                <w:b w:val="0"/>
                <w:webHidden/>
              </w:rPr>
              <w:instrText xml:space="preserve"> PAGEREF _Toc80910967 \h </w:instrText>
            </w:r>
            <w:r w:rsidR="00880110" w:rsidRPr="009D42C0">
              <w:rPr>
                <w:b w:val="0"/>
                <w:webHidden/>
              </w:rPr>
            </w:r>
            <w:r w:rsidR="00880110" w:rsidRPr="009D42C0">
              <w:rPr>
                <w:b w:val="0"/>
                <w:webHidden/>
              </w:rPr>
              <w:fldChar w:fldCharType="separate"/>
            </w:r>
            <w:r w:rsidR="00880110">
              <w:rPr>
                <w:b w:val="0"/>
                <w:webHidden/>
              </w:rPr>
              <w:t>7</w:t>
            </w:r>
            <w:r w:rsidR="00880110" w:rsidRPr="009D42C0">
              <w:rPr>
                <w:b w:val="0"/>
                <w:webHidden/>
              </w:rPr>
              <w:fldChar w:fldCharType="end"/>
            </w:r>
          </w:hyperlink>
        </w:p>
        <w:p w:rsidR="00880110" w:rsidRPr="009D42C0" w:rsidRDefault="0088144F" w:rsidP="00880110">
          <w:pPr>
            <w:pStyle w:val="TDC1"/>
            <w:spacing w:after="0"/>
            <w:rPr>
              <w:rFonts w:asciiTheme="minorHAnsi" w:eastAsiaTheme="minorEastAsia" w:hAnsiTheme="minorHAnsi" w:cstheme="minorBidi"/>
              <w:b w:val="0"/>
              <w:bCs w:val="0"/>
              <w:sz w:val="22"/>
              <w:szCs w:val="22"/>
              <w:lang w:val="es-MX" w:eastAsia="es-MX"/>
            </w:rPr>
          </w:pPr>
          <w:hyperlink w:anchor="_Toc80910972" w:history="1">
            <w:r w:rsidR="00880110" w:rsidRPr="009D42C0">
              <w:rPr>
                <w:rStyle w:val="Hipervnculo"/>
                <w:rFonts w:eastAsia="Calibri"/>
                <w:b w:val="0"/>
                <w:iCs/>
              </w:rPr>
              <w:t>Tema 2</w:t>
            </w:r>
            <w:r w:rsidR="00880110" w:rsidRPr="009D42C0">
              <w:rPr>
                <w:rStyle w:val="Hipervnculo"/>
                <w:rFonts w:eastAsia="Calibri"/>
                <w:b w:val="0"/>
                <w:i/>
              </w:rPr>
              <w:t>.</w:t>
            </w:r>
            <w:r w:rsidR="00880110" w:rsidRPr="009D42C0">
              <w:rPr>
                <w:rStyle w:val="Hipervnculo"/>
                <w:rFonts w:eastAsia="Calibri"/>
                <w:b w:val="0"/>
              </w:rPr>
              <w:t xml:space="preserve"> El Tribunal Local debió analizar las pruebas supervenientes o en todo caso requerir los procedimientos sancionadores relacionados con la elección controvertida</w:t>
            </w:r>
            <w:r w:rsidR="00880110" w:rsidRPr="009D42C0">
              <w:rPr>
                <w:b w:val="0"/>
                <w:webHidden/>
              </w:rPr>
              <w:tab/>
            </w:r>
            <w:r w:rsidR="00880110" w:rsidRPr="009D42C0">
              <w:rPr>
                <w:b w:val="0"/>
                <w:webHidden/>
              </w:rPr>
              <w:fldChar w:fldCharType="begin"/>
            </w:r>
            <w:r w:rsidR="00880110" w:rsidRPr="009D42C0">
              <w:rPr>
                <w:b w:val="0"/>
                <w:webHidden/>
              </w:rPr>
              <w:instrText xml:space="preserve"> PAGEREF _Toc80910972 \h </w:instrText>
            </w:r>
            <w:r w:rsidR="00880110" w:rsidRPr="009D42C0">
              <w:rPr>
                <w:b w:val="0"/>
                <w:webHidden/>
              </w:rPr>
            </w:r>
            <w:r w:rsidR="00880110" w:rsidRPr="009D42C0">
              <w:rPr>
                <w:b w:val="0"/>
                <w:webHidden/>
              </w:rPr>
              <w:fldChar w:fldCharType="separate"/>
            </w:r>
            <w:r w:rsidR="00880110">
              <w:rPr>
                <w:b w:val="0"/>
                <w:webHidden/>
              </w:rPr>
              <w:t>10</w:t>
            </w:r>
            <w:r w:rsidR="00880110" w:rsidRPr="009D42C0">
              <w:rPr>
                <w:b w:val="0"/>
                <w:webHidden/>
              </w:rPr>
              <w:fldChar w:fldCharType="end"/>
            </w:r>
          </w:hyperlink>
        </w:p>
        <w:p w:rsidR="00880110" w:rsidRPr="009D42C0" w:rsidRDefault="0088144F" w:rsidP="00880110">
          <w:pPr>
            <w:pStyle w:val="TDC2"/>
            <w:rPr>
              <w:rFonts w:asciiTheme="minorHAnsi" w:eastAsiaTheme="minorEastAsia" w:hAnsiTheme="minorHAnsi" w:cstheme="minorBidi"/>
              <w:b w:val="0"/>
              <w:bCs w:val="0"/>
              <w:sz w:val="22"/>
              <w:szCs w:val="22"/>
              <w:u w:val="none"/>
              <w:lang w:val="es-MX" w:eastAsia="es-MX"/>
            </w:rPr>
          </w:pPr>
          <w:hyperlink w:anchor="_Toc80910978" w:history="1">
            <w:r w:rsidR="00880110" w:rsidRPr="009D42C0">
              <w:rPr>
                <w:rStyle w:val="Hipervnculo"/>
                <w:b w:val="0"/>
                <w:u w:val="none"/>
              </w:rPr>
              <w:t>Apartado III. Efectos</w:t>
            </w:r>
            <w:r w:rsidR="00880110" w:rsidRPr="009D42C0">
              <w:rPr>
                <w:b w:val="0"/>
                <w:webHidden/>
                <w:u w:val="none"/>
              </w:rPr>
              <w:tab/>
            </w:r>
            <w:r w:rsidR="00880110" w:rsidRPr="009D42C0">
              <w:rPr>
                <w:b w:val="0"/>
                <w:webHidden/>
                <w:u w:val="none"/>
              </w:rPr>
              <w:fldChar w:fldCharType="begin"/>
            </w:r>
            <w:r w:rsidR="00880110" w:rsidRPr="009D42C0">
              <w:rPr>
                <w:b w:val="0"/>
                <w:webHidden/>
                <w:u w:val="none"/>
              </w:rPr>
              <w:instrText xml:space="preserve"> PAGEREF _Toc80910978 \h </w:instrText>
            </w:r>
            <w:r w:rsidR="00880110" w:rsidRPr="009D42C0">
              <w:rPr>
                <w:b w:val="0"/>
                <w:webHidden/>
                <w:u w:val="none"/>
              </w:rPr>
            </w:r>
            <w:r w:rsidR="00880110" w:rsidRPr="009D42C0">
              <w:rPr>
                <w:b w:val="0"/>
                <w:webHidden/>
                <w:u w:val="none"/>
              </w:rPr>
              <w:fldChar w:fldCharType="separate"/>
            </w:r>
            <w:r w:rsidR="00880110">
              <w:rPr>
                <w:b w:val="0"/>
                <w:webHidden/>
                <w:u w:val="none"/>
              </w:rPr>
              <w:t>21</w:t>
            </w:r>
            <w:r w:rsidR="00880110" w:rsidRPr="009D42C0">
              <w:rPr>
                <w:b w:val="0"/>
                <w:webHidden/>
                <w:u w:val="none"/>
              </w:rPr>
              <w:fldChar w:fldCharType="end"/>
            </w:r>
          </w:hyperlink>
        </w:p>
        <w:p w:rsidR="00880110" w:rsidRDefault="0088144F" w:rsidP="00880110">
          <w:pPr>
            <w:pStyle w:val="TDC1"/>
            <w:spacing w:after="0"/>
            <w:rPr>
              <w:rFonts w:asciiTheme="minorHAnsi" w:eastAsiaTheme="minorEastAsia" w:hAnsiTheme="minorHAnsi" w:cstheme="minorBidi"/>
              <w:b w:val="0"/>
              <w:bCs w:val="0"/>
              <w:sz w:val="22"/>
              <w:szCs w:val="22"/>
              <w:lang w:val="es-MX" w:eastAsia="es-MX"/>
            </w:rPr>
          </w:pPr>
          <w:hyperlink w:anchor="_Toc80910979" w:history="1">
            <w:r w:rsidR="00880110" w:rsidRPr="009D42C0">
              <w:rPr>
                <w:rStyle w:val="Hipervnculo"/>
                <w:b w:val="0"/>
              </w:rPr>
              <w:t>Resuelve</w:t>
            </w:r>
            <w:r w:rsidR="00880110" w:rsidRPr="009D42C0">
              <w:rPr>
                <w:b w:val="0"/>
                <w:webHidden/>
              </w:rPr>
              <w:tab/>
            </w:r>
            <w:r w:rsidR="00880110" w:rsidRPr="009D42C0">
              <w:rPr>
                <w:b w:val="0"/>
                <w:webHidden/>
              </w:rPr>
              <w:fldChar w:fldCharType="begin"/>
            </w:r>
            <w:r w:rsidR="00880110" w:rsidRPr="009D42C0">
              <w:rPr>
                <w:b w:val="0"/>
                <w:webHidden/>
              </w:rPr>
              <w:instrText xml:space="preserve"> PAGEREF _Toc80910979 \h </w:instrText>
            </w:r>
            <w:r w:rsidR="00880110" w:rsidRPr="009D42C0">
              <w:rPr>
                <w:b w:val="0"/>
                <w:webHidden/>
              </w:rPr>
            </w:r>
            <w:r w:rsidR="00880110" w:rsidRPr="009D42C0">
              <w:rPr>
                <w:b w:val="0"/>
                <w:webHidden/>
              </w:rPr>
              <w:fldChar w:fldCharType="separate"/>
            </w:r>
            <w:r w:rsidR="00880110">
              <w:rPr>
                <w:b w:val="0"/>
                <w:webHidden/>
              </w:rPr>
              <w:t>21</w:t>
            </w:r>
            <w:r w:rsidR="00880110" w:rsidRPr="009D42C0">
              <w:rPr>
                <w:b w:val="0"/>
                <w:webHidden/>
              </w:rPr>
              <w:fldChar w:fldCharType="end"/>
            </w:r>
          </w:hyperlink>
        </w:p>
        <w:p w:rsidR="00880110" w:rsidRPr="00545E0F" w:rsidRDefault="00880110" w:rsidP="00880110">
          <w:pPr>
            <w:rPr>
              <w:rFonts w:cs="Arial"/>
              <w:sz w:val="18"/>
              <w:szCs w:val="18"/>
            </w:rPr>
          </w:pPr>
          <w:r w:rsidRPr="00D12417">
            <w:rPr>
              <w:rFonts w:eastAsia="Times New Roman" w:cs="Arial"/>
              <w:bCs/>
              <w:noProof/>
              <w:sz w:val="18"/>
              <w:szCs w:val="18"/>
              <w:lang w:val="es-ES" w:eastAsia="es-ES"/>
            </w:rPr>
            <w:fldChar w:fldCharType="end"/>
          </w:r>
        </w:p>
      </w:sdtContent>
    </w:sdt>
    <w:p w:rsidR="00880110" w:rsidRPr="00982F83" w:rsidRDefault="00880110" w:rsidP="00880110">
      <w:pPr>
        <w:pStyle w:val="Ttulo1"/>
        <w:spacing w:before="0"/>
        <w:jc w:val="center"/>
        <w:rPr>
          <w:rFonts w:ascii="Arial" w:hAnsi="Arial" w:cs="Arial"/>
          <w:b/>
          <w:color w:val="auto"/>
          <w:sz w:val="18"/>
          <w:szCs w:val="18"/>
        </w:rPr>
      </w:pPr>
      <w:bookmarkStart w:id="1" w:name="_Toc75010203"/>
      <w:bookmarkStart w:id="2" w:name="_Toc75092246"/>
      <w:bookmarkStart w:id="3" w:name="_Toc75905155"/>
      <w:bookmarkStart w:id="4" w:name="_Toc79163475"/>
      <w:bookmarkStart w:id="5" w:name="_Toc79172137"/>
      <w:bookmarkStart w:id="6" w:name="_Toc79172782"/>
      <w:bookmarkStart w:id="7" w:name="_Toc79173046"/>
      <w:bookmarkStart w:id="8" w:name="_Toc79173700"/>
      <w:bookmarkStart w:id="9" w:name="_Toc79176072"/>
      <w:bookmarkStart w:id="10" w:name="_Toc79175942"/>
      <w:bookmarkStart w:id="11" w:name="_Toc79183182"/>
      <w:bookmarkStart w:id="12" w:name="_Toc79183557"/>
      <w:bookmarkStart w:id="13" w:name="_Toc79183648"/>
      <w:bookmarkStart w:id="14" w:name="_Toc79184168"/>
      <w:bookmarkStart w:id="15" w:name="_Toc79184105"/>
      <w:bookmarkStart w:id="16" w:name="_Toc80872663"/>
      <w:bookmarkStart w:id="17" w:name="_Toc80910960"/>
      <w:r w:rsidRPr="00982F83">
        <w:rPr>
          <w:rFonts w:ascii="Arial" w:hAnsi="Arial" w:cs="Arial"/>
          <w:b/>
          <w:color w:val="auto"/>
          <w:sz w:val="18"/>
          <w:szCs w:val="18"/>
        </w:rPr>
        <w:lastRenderedPageBreak/>
        <w:t>Glosario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813"/>
      </w:tblGrid>
      <w:tr w:rsidR="00880110" w:rsidRPr="00D326E2" w:rsidTr="000D125E">
        <w:tc>
          <w:tcPr>
            <w:tcW w:w="2694" w:type="dxa"/>
          </w:tcPr>
          <w:p w:rsidR="00880110" w:rsidRPr="00D326E2" w:rsidRDefault="00880110" w:rsidP="000D125E">
            <w:pPr>
              <w:rPr>
                <w:rFonts w:cs="Arial"/>
                <w:b/>
                <w:iCs/>
                <w:sz w:val="18"/>
                <w:szCs w:val="18"/>
              </w:rPr>
            </w:pPr>
            <w:r w:rsidRPr="00D326E2">
              <w:rPr>
                <w:rFonts w:cs="Arial"/>
                <w:b/>
                <w:iCs/>
                <w:sz w:val="18"/>
                <w:szCs w:val="18"/>
              </w:rPr>
              <w:t>Comité Directivo:</w:t>
            </w:r>
          </w:p>
        </w:tc>
        <w:tc>
          <w:tcPr>
            <w:tcW w:w="5813" w:type="dxa"/>
          </w:tcPr>
          <w:p w:rsidR="00880110" w:rsidRPr="00D326E2" w:rsidRDefault="00880110" w:rsidP="000D125E">
            <w:pPr>
              <w:rPr>
                <w:rFonts w:cs="Arial"/>
                <w:iCs/>
                <w:sz w:val="18"/>
                <w:szCs w:val="18"/>
              </w:rPr>
            </w:pPr>
            <w:r w:rsidRPr="00D326E2">
              <w:rPr>
                <w:rFonts w:cs="Arial"/>
                <w:iCs/>
                <w:sz w:val="18"/>
                <w:szCs w:val="18"/>
              </w:rPr>
              <w:t>Comité Directivo Municipal del Partido Revolucionario Institucional en San Felipe, Guanajuato.</w:t>
            </w:r>
          </w:p>
        </w:tc>
      </w:tr>
      <w:tr w:rsidR="00880110" w:rsidRPr="00D326E2" w:rsidTr="000D125E">
        <w:tc>
          <w:tcPr>
            <w:tcW w:w="2694" w:type="dxa"/>
          </w:tcPr>
          <w:p w:rsidR="00880110" w:rsidRPr="00D326E2" w:rsidRDefault="00880110" w:rsidP="000D125E">
            <w:pPr>
              <w:rPr>
                <w:rFonts w:cs="Arial"/>
                <w:b/>
                <w:iCs/>
                <w:sz w:val="18"/>
                <w:szCs w:val="18"/>
              </w:rPr>
            </w:pPr>
            <w:r w:rsidRPr="00D326E2">
              <w:rPr>
                <w:rFonts w:cs="Arial"/>
                <w:b/>
                <w:iCs/>
                <w:sz w:val="18"/>
                <w:szCs w:val="18"/>
              </w:rPr>
              <w:t>Constitución General:</w:t>
            </w:r>
          </w:p>
        </w:tc>
        <w:tc>
          <w:tcPr>
            <w:tcW w:w="5813" w:type="dxa"/>
          </w:tcPr>
          <w:p w:rsidR="00880110" w:rsidRPr="00D326E2" w:rsidRDefault="00880110" w:rsidP="000D125E">
            <w:pPr>
              <w:rPr>
                <w:rFonts w:cs="Arial"/>
                <w:iCs/>
                <w:sz w:val="18"/>
                <w:szCs w:val="18"/>
              </w:rPr>
            </w:pPr>
            <w:r w:rsidRPr="00D326E2">
              <w:rPr>
                <w:rFonts w:cs="Arial"/>
                <w:iCs/>
                <w:sz w:val="18"/>
                <w:szCs w:val="18"/>
              </w:rPr>
              <w:t>Constitución Política de los Estados Unidos Mexicanos.</w:t>
            </w:r>
          </w:p>
        </w:tc>
      </w:tr>
      <w:tr w:rsidR="00880110" w:rsidRPr="00D326E2" w:rsidTr="000D125E">
        <w:tc>
          <w:tcPr>
            <w:tcW w:w="2694" w:type="dxa"/>
          </w:tcPr>
          <w:p w:rsidR="00880110" w:rsidRPr="00D326E2" w:rsidRDefault="00880110" w:rsidP="000D125E">
            <w:pPr>
              <w:rPr>
                <w:rFonts w:cs="Arial"/>
                <w:b/>
                <w:iCs/>
                <w:sz w:val="18"/>
                <w:szCs w:val="18"/>
              </w:rPr>
            </w:pPr>
            <w:r w:rsidRPr="00D326E2">
              <w:rPr>
                <w:rFonts w:cs="Arial"/>
                <w:b/>
                <w:iCs/>
                <w:sz w:val="18"/>
                <w:szCs w:val="18"/>
              </w:rPr>
              <w:t>Estatuto:</w:t>
            </w:r>
          </w:p>
        </w:tc>
        <w:tc>
          <w:tcPr>
            <w:tcW w:w="5813" w:type="dxa"/>
          </w:tcPr>
          <w:p w:rsidR="00880110" w:rsidRPr="00D326E2" w:rsidRDefault="00880110" w:rsidP="000D125E">
            <w:pPr>
              <w:rPr>
                <w:rFonts w:cs="Arial"/>
                <w:iCs/>
                <w:sz w:val="18"/>
                <w:szCs w:val="18"/>
              </w:rPr>
            </w:pPr>
            <w:r w:rsidRPr="00D326E2">
              <w:rPr>
                <w:rFonts w:cs="Arial"/>
                <w:iCs/>
                <w:sz w:val="18"/>
                <w:szCs w:val="18"/>
              </w:rPr>
              <w:t>Estatutos del Partido Revolucionario Institucional.</w:t>
            </w:r>
          </w:p>
        </w:tc>
      </w:tr>
      <w:tr w:rsidR="00880110" w:rsidRPr="00D326E2" w:rsidTr="000D125E">
        <w:tc>
          <w:tcPr>
            <w:tcW w:w="2694" w:type="dxa"/>
          </w:tcPr>
          <w:p w:rsidR="00880110" w:rsidRPr="00D326E2" w:rsidRDefault="00880110" w:rsidP="000D125E">
            <w:pPr>
              <w:rPr>
                <w:rFonts w:cs="Arial"/>
                <w:b/>
                <w:iCs/>
                <w:sz w:val="18"/>
                <w:szCs w:val="18"/>
              </w:rPr>
            </w:pPr>
            <w:r w:rsidRPr="00D326E2">
              <w:rPr>
                <w:rFonts w:cs="Arial"/>
                <w:b/>
                <w:bCs/>
                <w:iCs/>
                <w:sz w:val="18"/>
                <w:szCs w:val="18"/>
              </w:rPr>
              <w:t>Ley de Medios de Impugnación:</w:t>
            </w:r>
          </w:p>
        </w:tc>
        <w:tc>
          <w:tcPr>
            <w:tcW w:w="5813" w:type="dxa"/>
          </w:tcPr>
          <w:p w:rsidR="00880110" w:rsidRPr="00D326E2" w:rsidRDefault="00880110" w:rsidP="000D125E">
            <w:pPr>
              <w:rPr>
                <w:rFonts w:cs="Arial"/>
                <w:iCs/>
                <w:sz w:val="18"/>
                <w:szCs w:val="18"/>
              </w:rPr>
            </w:pPr>
            <w:r w:rsidRPr="00D326E2">
              <w:rPr>
                <w:rFonts w:cs="Arial"/>
                <w:iCs/>
                <w:sz w:val="18"/>
                <w:szCs w:val="18"/>
              </w:rPr>
              <w:t>Ley General del Sistema de Medios de Impugnación en Materia Electoral.</w:t>
            </w:r>
          </w:p>
        </w:tc>
      </w:tr>
      <w:tr w:rsidR="00880110" w:rsidRPr="00D326E2" w:rsidTr="000D125E">
        <w:tc>
          <w:tcPr>
            <w:tcW w:w="2694" w:type="dxa"/>
          </w:tcPr>
          <w:p w:rsidR="00880110" w:rsidRPr="00D326E2" w:rsidRDefault="00880110" w:rsidP="000D125E">
            <w:pPr>
              <w:rPr>
                <w:rFonts w:cs="Arial"/>
                <w:b/>
                <w:bCs/>
                <w:iCs/>
                <w:sz w:val="18"/>
                <w:szCs w:val="18"/>
              </w:rPr>
            </w:pPr>
            <w:r w:rsidRPr="00D326E2">
              <w:rPr>
                <w:rFonts w:cs="Arial"/>
                <w:b/>
                <w:bCs/>
                <w:iCs/>
                <w:sz w:val="18"/>
                <w:szCs w:val="18"/>
              </w:rPr>
              <w:t xml:space="preserve">Ley Electoral Local: </w:t>
            </w:r>
          </w:p>
        </w:tc>
        <w:tc>
          <w:tcPr>
            <w:tcW w:w="5813" w:type="dxa"/>
          </w:tcPr>
          <w:p w:rsidR="00880110" w:rsidRPr="00D326E2" w:rsidRDefault="00880110" w:rsidP="000D125E">
            <w:pPr>
              <w:rPr>
                <w:rFonts w:cs="Arial"/>
                <w:iCs/>
                <w:sz w:val="18"/>
                <w:szCs w:val="18"/>
              </w:rPr>
            </w:pPr>
            <w:r w:rsidRPr="00D326E2">
              <w:rPr>
                <w:rFonts w:cs="Arial"/>
                <w:iCs/>
                <w:sz w:val="18"/>
                <w:szCs w:val="18"/>
              </w:rPr>
              <w:t xml:space="preserve">Ley Electoral del Estado de </w:t>
            </w:r>
            <w:r>
              <w:rPr>
                <w:rFonts w:cs="Arial"/>
                <w:iCs/>
                <w:sz w:val="18"/>
                <w:szCs w:val="18"/>
              </w:rPr>
              <w:t>Guanajuato</w:t>
            </w:r>
            <w:r w:rsidRPr="00D326E2">
              <w:rPr>
                <w:rFonts w:cs="Arial"/>
                <w:iCs/>
                <w:sz w:val="18"/>
                <w:szCs w:val="18"/>
              </w:rPr>
              <w:t>.</w:t>
            </w:r>
          </w:p>
        </w:tc>
      </w:tr>
      <w:tr w:rsidR="00880110" w:rsidRPr="00D326E2" w:rsidTr="000D125E">
        <w:tc>
          <w:tcPr>
            <w:tcW w:w="2694" w:type="dxa"/>
          </w:tcPr>
          <w:p w:rsidR="00880110" w:rsidRPr="00D326E2" w:rsidRDefault="00880110" w:rsidP="000D125E">
            <w:pPr>
              <w:rPr>
                <w:rFonts w:cs="Arial"/>
                <w:b/>
                <w:bCs/>
                <w:iCs/>
                <w:sz w:val="18"/>
                <w:szCs w:val="18"/>
              </w:rPr>
            </w:pPr>
            <w:r w:rsidRPr="00D326E2">
              <w:rPr>
                <w:rFonts w:cs="Arial"/>
                <w:b/>
                <w:bCs/>
                <w:iCs/>
                <w:sz w:val="18"/>
                <w:szCs w:val="18"/>
              </w:rPr>
              <w:t>PAN:</w:t>
            </w:r>
          </w:p>
        </w:tc>
        <w:tc>
          <w:tcPr>
            <w:tcW w:w="5813" w:type="dxa"/>
          </w:tcPr>
          <w:p w:rsidR="00880110" w:rsidRPr="00D326E2" w:rsidRDefault="00880110" w:rsidP="000D125E">
            <w:pPr>
              <w:rPr>
                <w:rFonts w:cs="Arial"/>
                <w:iCs/>
                <w:sz w:val="18"/>
                <w:szCs w:val="18"/>
              </w:rPr>
            </w:pPr>
            <w:r w:rsidRPr="00D326E2">
              <w:rPr>
                <w:rFonts w:cs="Arial"/>
                <w:iCs/>
                <w:sz w:val="18"/>
                <w:szCs w:val="18"/>
              </w:rPr>
              <w:t>Partido Acción Nacional.</w:t>
            </w:r>
          </w:p>
        </w:tc>
      </w:tr>
      <w:tr w:rsidR="00880110" w:rsidRPr="00D326E2" w:rsidTr="000D125E">
        <w:trPr>
          <w:trHeight w:val="249"/>
        </w:trPr>
        <w:tc>
          <w:tcPr>
            <w:tcW w:w="2694" w:type="dxa"/>
          </w:tcPr>
          <w:p w:rsidR="00880110" w:rsidRPr="00D326E2" w:rsidRDefault="00880110" w:rsidP="000D125E">
            <w:pPr>
              <w:rPr>
                <w:rFonts w:cs="Arial"/>
                <w:b/>
                <w:bCs/>
                <w:iCs/>
                <w:sz w:val="18"/>
                <w:szCs w:val="18"/>
              </w:rPr>
            </w:pPr>
            <w:r w:rsidRPr="00D326E2">
              <w:rPr>
                <w:rFonts w:cs="Arial"/>
                <w:b/>
                <w:bCs/>
                <w:iCs/>
                <w:sz w:val="18"/>
                <w:szCs w:val="18"/>
              </w:rPr>
              <w:t xml:space="preserve">Tribunal de </w:t>
            </w:r>
            <w:r>
              <w:rPr>
                <w:rFonts w:cs="Arial"/>
                <w:b/>
                <w:bCs/>
                <w:iCs/>
                <w:sz w:val="18"/>
                <w:szCs w:val="18"/>
              </w:rPr>
              <w:t>Guanajuato</w:t>
            </w:r>
            <w:r w:rsidRPr="00D326E2">
              <w:rPr>
                <w:rFonts w:cs="Arial"/>
                <w:b/>
                <w:bCs/>
                <w:iCs/>
                <w:sz w:val="18"/>
                <w:szCs w:val="18"/>
              </w:rPr>
              <w:t>/ Local:</w:t>
            </w:r>
          </w:p>
        </w:tc>
        <w:tc>
          <w:tcPr>
            <w:tcW w:w="5813" w:type="dxa"/>
          </w:tcPr>
          <w:p w:rsidR="00880110" w:rsidRPr="00D326E2" w:rsidRDefault="00880110" w:rsidP="000D125E">
            <w:pPr>
              <w:rPr>
                <w:rFonts w:cs="Arial"/>
                <w:iCs/>
                <w:sz w:val="18"/>
                <w:szCs w:val="18"/>
              </w:rPr>
            </w:pPr>
            <w:r w:rsidRPr="00D326E2">
              <w:rPr>
                <w:rFonts w:cs="Arial"/>
                <w:iCs/>
                <w:sz w:val="18"/>
                <w:szCs w:val="18"/>
              </w:rPr>
              <w:t xml:space="preserve">Tribunal Electoral del Estado de </w:t>
            </w:r>
            <w:r>
              <w:rPr>
                <w:rFonts w:cs="Arial"/>
                <w:iCs/>
                <w:sz w:val="18"/>
                <w:szCs w:val="18"/>
              </w:rPr>
              <w:t>Guanajuato</w:t>
            </w:r>
            <w:r w:rsidRPr="00D326E2">
              <w:rPr>
                <w:rFonts w:cs="Arial"/>
                <w:iCs/>
                <w:sz w:val="18"/>
                <w:szCs w:val="18"/>
              </w:rPr>
              <w:t>.</w:t>
            </w:r>
          </w:p>
        </w:tc>
      </w:tr>
    </w:tbl>
    <w:p w:rsidR="00880110" w:rsidRDefault="00880110" w:rsidP="00880110"/>
    <w:p w:rsidR="00880110" w:rsidRPr="00121089" w:rsidRDefault="00880110" w:rsidP="00880110">
      <w:pPr>
        <w:pStyle w:val="Ttulo1"/>
        <w:spacing w:before="0"/>
        <w:jc w:val="center"/>
        <w:rPr>
          <w:rFonts w:ascii="Arial" w:eastAsia="Times New Roman" w:hAnsi="Arial" w:cs="Arial"/>
          <w:b/>
          <w:color w:val="auto"/>
          <w:sz w:val="24"/>
          <w:szCs w:val="24"/>
        </w:rPr>
      </w:pPr>
      <w:bookmarkStart w:id="18" w:name="_Toc79163476"/>
      <w:bookmarkStart w:id="19" w:name="_Toc79172138"/>
      <w:bookmarkStart w:id="20" w:name="_Toc79172783"/>
      <w:bookmarkStart w:id="21" w:name="_Toc79173047"/>
      <w:bookmarkStart w:id="22" w:name="_Toc79173701"/>
      <w:bookmarkStart w:id="23" w:name="_Toc79176073"/>
      <w:bookmarkStart w:id="24" w:name="_Toc79175943"/>
      <w:bookmarkStart w:id="25" w:name="_Toc79183183"/>
      <w:bookmarkStart w:id="26" w:name="_Toc79183558"/>
      <w:bookmarkStart w:id="27" w:name="_Toc79183649"/>
      <w:bookmarkStart w:id="28" w:name="_Toc79184169"/>
      <w:bookmarkStart w:id="29" w:name="_Toc79184106"/>
      <w:bookmarkStart w:id="30" w:name="_Toc80872664"/>
      <w:bookmarkStart w:id="31" w:name="_Toc80910961"/>
      <w:bookmarkStart w:id="32" w:name="_Hlk519419028"/>
      <w:bookmarkStart w:id="33" w:name="_Hlk73965827"/>
      <w:r w:rsidRPr="00121089">
        <w:rPr>
          <w:rFonts w:ascii="Arial" w:eastAsia="Times New Roman" w:hAnsi="Arial" w:cs="Arial"/>
          <w:b/>
          <w:color w:val="auto"/>
          <w:sz w:val="24"/>
          <w:szCs w:val="24"/>
        </w:rPr>
        <w:t>Competencia</w:t>
      </w:r>
      <w:r>
        <w:rPr>
          <w:rFonts w:ascii="Arial" w:eastAsia="Times New Roman" w:hAnsi="Arial" w:cs="Arial"/>
          <w:b/>
          <w:color w:val="auto"/>
          <w:sz w:val="24"/>
          <w:szCs w:val="24"/>
        </w:rPr>
        <w:t xml:space="preserve"> y procedencia</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80110" w:rsidRPr="00911B84" w:rsidRDefault="00880110" w:rsidP="00880110">
      <w:pPr>
        <w:jc w:val="center"/>
        <w:rPr>
          <w:rFonts w:cs="Arial"/>
          <w:b/>
          <w:bCs/>
          <w:sz w:val="24"/>
          <w:szCs w:val="24"/>
          <w:lang w:eastAsia="es-MX"/>
        </w:rPr>
      </w:pPr>
    </w:p>
    <w:p w:rsidR="00880110" w:rsidRPr="002879F7" w:rsidRDefault="00880110" w:rsidP="00880110">
      <w:pPr>
        <w:spacing w:line="360" w:lineRule="auto"/>
        <w:rPr>
          <w:rFonts w:cs="Arial"/>
          <w:sz w:val="24"/>
          <w:szCs w:val="24"/>
        </w:rPr>
      </w:pPr>
      <w:bookmarkStart w:id="34" w:name="_Hlk77844505"/>
      <w:r w:rsidRPr="002879F7">
        <w:rPr>
          <w:rFonts w:cs="Arial"/>
          <w:b/>
          <w:sz w:val="24"/>
          <w:szCs w:val="24"/>
          <w:lang w:eastAsia="es-MX"/>
        </w:rPr>
        <w:t>1. Competencia.</w:t>
      </w:r>
      <w:r w:rsidRPr="002879F7">
        <w:rPr>
          <w:rFonts w:cs="Arial"/>
          <w:sz w:val="24"/>
          <w:szCs w:val="24"/>
          <w:lang w:eastAsia="es-MX"/>
        </w:rPr>
        <w:t xml:space="preserve"> </w:t>
      </w:r>
      <w:bookmarkEnd w:id="32"/>
      <w:bookmarkEnd w:id="34"/>
      <w:r w:rsidRPr="002879F7">
        <w:rPr>
          <w:sz w:val="24"/>
          <w:szCs w:val="24"/>
        </w:rPr>
        <w:t>Esta Sala Monterrey es competente para conocer los presentes juicios promovidos contra una sentencia del Tribunal Local, relacionada con la elección de la presidencia del Ayuntamiento de</w:t>
      </w:r>
      <w:r>
        <w:rPr>
          <w:sz w:val="24"/>
          <w:szCs w:val="24"/>
        </w:rPr>
        <w:t xml:space="preserve"> San Felipe, Guanajuato</w:t>
      </w:r>
      <w:r w:rsidRPr="002879F7">
        <w:rPr>
          <w:sz w:val="24"/>
          <w:szCs w:val="24"/>
        </w:rPr>
        <w:t>, entidad federativa que se ubica dentro de la Segunda Circunscripción Electoral Plurinominal en la que esta Sala ejerce jurisdicción</w:t>
      </w:r>
      <w:r w:rsidRPr="002879F7">
        <w:rPr>
          <w:rStyle w:val="Refdenotaalpie"/>
          <w:sz w:val="24"/>
          <w:szCs w:val="24"/>
        </w:rPr>
        <w:footnoteReference w:id="1"/>
      </w:r>
      <w:r w:rsidRPr="002879F7">
        <w:rPr>
          <w:sz w:val="24"/>
          <w:szCs w:val="24"/>
        </w:rPr>
        <w:t>.</w:t>
      </w:r>
    </w:p>
    <w:p w:rsidR="00880110" w:rsidRDefault="00880110" w:rsidP="00880110">
      <w:pPr>
        <w:pStyle w:val="Prrafodelista"/>
        <w:rPr>
          <w:rFonts w:cs="Arial"/>
          <w:sz w:val="24"/>
          <w:szCs w:val="24"/>
        </w:rPr>
      </w:pPr>
      <w:bookmarkStart w:id="35" w:name="_Hlk77844515"/>
    </w:p>
    <w:p w:rsidR="00880110" w:rsidRPr="0085581F" w:rsidRDefault="00880110" w:rsidP="00880110">
      <w:pPr>
        <w:spacing w:line="360" w:lineRule="auto"/>
        <w:rPr>
          <w:sz w:val="24"/>
          <w:szCs w:val="24"/>
        </w:rPr>
      </w:pPr>
      <w:r w:rsidRPr="002879F7">
        <w:rPr>
          <w:rFonts w:cs="Arial"/>
          <w:b/>
          <w:sz w:val="24"/>
          <w:szCs w:val="24"/>
          <w:lang w:eastAsia="es-MX"/>
        </w:rPr>
        <w:t>2.</w:t>
      </w:r>
      <w:r>
        <w:rPr>
          <w:rFonts w:cs="Arial"/>
          <w:b/>
          <w:sz w:val="24"/>
          <w:szCs w:val="24"/>
          <w:lang w:eastAsia="es-MX"/>
        </w:rPr>
        <w:t xml:space="preserve"> </w:t>
      </w:r>
      <w:r w:rsidRPr="002879F7">
        <w:rPr>
          <w:b/>
          <w:bCs/>
          <w:sz w:val="24"/>
          <w:szCs w:val="24"/>
        </w:rPr>
        <w:t>A</w:t>
      </w:r>
      <w:r w:rsidRPr="0085581F">
        <w:rPr>
          <w:b/>
          <w:bCs/>
          <w:sz w:val="24"/>
          <w:szCs w:val="24"/>
        </w:rPr>
        <w:t xml:space="preserve">cumulación. </w:t>
      </w:r>
      <w:r w:rsidRPr="0085581F">
        <w:rPr>
          <w:sz w:val="24"/>
          <w:szCs w:val="24"/>
        </w:rPr>
        <w:t xml:space="preserve">Del estudio de las demandas se advierte que </w:t>
      </w:r>
      <w:r w:rsidRPr="0085581F">
        <w:rPr>
          <w:color w:val="000000"/>
          <w:sz w:val="24"/>
          <w:szCs w:val="24"/>
        </w:rPr>
        <w:t xml:space="preserve">existe identidad en la autoridad señalada como responsable, por ello, se considera procedente la acumulación del </w:t>
      </w:r>
      <w:bookmarkStart w:id="36" w:name="_Hlk5866339"/>
      <w:r w:rsidRPr="0085581F">
        <w:rPr>
          <w:color w:val="000000"/>
          <w:sz w:val="24"/>
          <w:szCs w:val="24"/>
        </w:rPr>
        <w:t xml:space="preserve">juicio </w:t>
      </w:r>
      <w:bookmarkStart w:id="37" w:name="_Hlk75948720"/>
      <w:r w:rsidRPr="0085581F">
        <w:rPr>
          <w:sz w:val="24"/>
          <w:szCs w:val="24"/>
        </w:rPr>
        <w:t xml:space="preserve">SM-JDC-856/2021, SM-JDC-845, y SM-JRC-217 </w:t>
      </w:r>
      <w:bookmarkEnd w:id="36"/>
      <w:r w:rsidRPr="0085581F">
        <w:rPr>
          <w:sz w:val="24"/>
          <w:szCs w:val="24"/>
        </w:rPr>
        <w:t>al diverso SM-JRC-216/2021</w:t>
      </w:r>
      <w:bookmarkEnd w:id="37"/>
      <w:r w:rsidRPr="0085581F">
        <w:rPr>
          <w:sz w:val="24"/>
          <w:szCs w:val="24"/>
        </w:rPr>
        <w:t>, y agregar copia certificada de los puntos resolutivos de esta sentencia a los expedientes acumulados</w:t>
      </w:r>
      <w:r w:rsidRPr="0085581F">
        <w:rPr>
          <w:rStyle w:val="Refdenotaalpie"/>
          <w:sz w:val="24"/>
          <w:szCs w:val="24"/>
        </w:rPr>
        <w:footnoteReference w:id="2"/>
      </w:r>
      <w:r w:rsidRPr="0085581F">
        <w:rPr>
          <w:sz w:val="24"/>
          <w:szCs w:val="24"/>
        </w:rPr>
        <w:t>.</w:t>
      </w:r>
    </w:p>
    <w:p w:rsidR="00880110" w:rsidRPr="0085581F" w:rsidRDefault="00880110" w:rsidP="00880110">
      <w:pPr>
        <w:spacing w:line="360" w:lineRule="auto"/>
        <w:rPr>
          <w:rFonts w:cs="Arial"/>
          <w:b/>
          <w:sz w:val="24"/>
          <w:szCs w:val="24"/>
          <w:lang w:eastAsia="es-MX"/>
        </w:rPr>
      </w:pPr>
    </w:p>
    <w:p w:rsidR="00880110" w:rsidRDefault="00880110" w:rsidP="00880110">
      <w:pPr>
        <w:spacing w:line="360" w:lineRule="auto"/>
        <w:rPr>
          <w:rFonts w:cs="Arial"/>
          <w:bCs/>
          <w:sz w:val="24"/>
          <w:szCs w:val="24"/>
        </w:rPr>
      </w:pPr>
      <w:r w:rsidRPr="0085581F">
        <w:rPr>
          <w:rFonts w:cs="Arial"/>
          <w:b/>
          <w:sz w:val="24"/>
          <w:szCs w:val="24"/>
          <w:lang w:eastAsia="es-MX"/>
        </w:rPr>
        <w:t xml:space="preserve">Requisitos Procesales. </w:t>
      </w:r>
      <w:r w:rsidRPr="0085581F">
        <w:rPr>
          <w:rFonts w:cs="Arial"/>
          <w:sz w:val="24"/>
          <w:szCs w:val="24"/>
        </w:rPr>
        <w:t>Esta Sala Monterrey los tiene satisfechos, en los términos del acuerdo de admisión</w:t>
      </w:r>
      <w:r w:rsidRPr="0085581F">
        <w:rPr>
          <w:rFonts w:cs="Arial"/>
          <w:bCs/>
          <w:sz w:val="24"/>
          <w:szCs w:val="24"/>
        </w:rPr>
        <w:t>.</w:t>
      </w:r>
    </w:p>
    <w:p w:rsidR="00880110" w:rsidRDefault="00880110" w:rsidP="00880110">
      <w:pPr>
        <w:rPr>
          <w:rFonts w:cs="Arial"/>
          <w:sz w:val="24"/>
          <w:szCs w:val="24"/>
        </w:rPr>
      </w:pPr>
    </w:p>
    <w:p w:rsidR="00880110" w:rsidRDefault="00880110" w:rsidP="00880110">
      <w:pPr>
        <w:pStyle w:val="Ttulo1"/>
        <w:spacing w:before="0"/>
        <w:jc w:val="center"/>
        <w:rPr>
          <w:rFonts w:ascii="Arial" w:eastAsia="Times New Roman" w:hAnsi="Arial" w:cs="Arial"/>
          <w:b/>
          <w:color w:val="auto"/>
          <w:sz w:val="24"/>
          <w:szCs w:val="24"/>
        </w:rPr>
      </w:pPr>
      <w:bookmarkStart w:id="38" w:name="_Toc73050547"/>
      <w:bookmarkStart w:id="39" w:name="_Toc73375897"/>
      <w:bookmarkStart w:id="40" w:name="_Toc75092248"/>
      <w:bookmarkStart w:id="41" w:name="_Toc75905157"/>
      <w:bookmarkStart w:id="42" w:name="_Toc79163477"/>
      <w:bookmarkStart w:id="43" w:name="_Toc79172139"/>
      <w:bookmarkStart w:id="44" w:name="_Toc79172784"/>
      <w:bookmarkStart w:id="45" w:name="_Toc79173048"/>
      <w:bookmarkStart w:id="46" w:name="_Toc79173702"/>
      <w:bookmarkStart w:id="47" w:name="_Toc79176074"/>
      <w:bookmarkStart w:id="48" w:name="_Toc79175944"/>
      <w:bookmarkStart w:id="49" w:name="_Toc79183184"/>
      <w:bookmarkStart w:id="50" w:name="_Toc79183559"/>
      <w:bookmarkStart w:id="51" w:name="_Toc79183650"/>
      <w:bookmarkStart w:id="52" w:name="_Toc79184170"/>
      <w:bookmarkStart w:id="53" w:name="_Toc79184107"/>
      <w:bookmarkStart w:id="54" w:name="_Toc80872665"/>
      <w:bookmarkStart w:id="55" w:name="_Toc80910962"/>
      <w:bookmarkEnd w:id="33"/>
      <w:bookmarkEnd w:id="35"/>
      <w:r w:rsidRPr="008F1FAC">
        <w:rPr>
          <w:rFonts w:ascii="Arial" w:eastAsia="Times New Roman" w:hAnsi="Arial" w:cs="Arial"/>
          <w:b/>
          <w:color w:val="auto"/>
          <w:sz w:val="24"/>
          <w:szCs w:val="24"/>
        </w:rPr>
        <w:t>Antecedentes</w:t>
      </w:r>
      <w:r w:rsidRPr="008F1FAC">
        <w:rPr>
          <w:rStyle w:val="Refdenotaalpie"/>
          <w:rFonts w:ascii="Arial" w:eastAsia="Times New Roman" w:hAnsi="Arial" w:cs="Arial"/>
          <w:b/>
          <w:color w:val="auto"/>
          <w:sz w:val="24"/>
          <w:szCs w:val="24"/>
        </w:rPr>
        <w:footnoteReference w:id="3"/>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880110" w:rsidRDefault="00880110" w:rsidP="00880110">
      <w:pPr>
        <w:rPr>
          <w:rFonts w:eastAsia="Arial" w:cs="Arial"/>
          <w:b/>
          <w:bCs/>
          <w:sz w:val="24"/>
          <w:szCs w:val="24"/>
        </w:rPr>
      </w:pPr>
    </w:p>
    <w:p w:rsidR="00880110" w:rsidRDefault="00880110" w:rsidP="00880110">
      <w:pPr>
        <w:rPr>
          <w:rFonts w:eastAsia="Arial" w:cs="Arial"/>
          <w:b/>
          <w:bCs/>
          <w:sz w:val="24"/>
          <w:szCs w:val="24"/>
        </w:rPr>
      </w:pPr>
      <w:r w:rsidRPr="008F1FAC">
        <w:rPr>
          <w:rFonts w:eastAsia="Arial" w:cs="Arial"/>
          <w:b/>
          <w:bCs/>
          <w:sz w:val="24"/>
          <w:szCs w:val="24"/>
        </w:rPr>
        <w:t xml:space="preserve">I. Hechos contextuales y origen de la presente controversia </w:t>
      </w:r>
    </w:p>
    <w:p w:rsidR="00880110" w:rsidRDefault="00880110" w:rsidP="00880110">
      <w:pPr>
        <w:rPr>
          <w:rFonts w:eastAsia="Arial" w:cs="Arial"/>
          <w:b/>
          <w:bCs/>
          <w:sz w:val="24"/>
          <w:szCs w:val="24"/>
        </w:rPr>
      </w:pPr>
    </w:p>
    <w:p w:rsidR="00880110" w:rsidRDefault="00880110" w:rsidP="00880110">
      <w:pPr>
        <w:rPr>
          <w:rFonts w:eastAsia="Arial" w:cs="Arial"/>
          <w:b/>
          <w:bCs/>
          <w:sz w:val="24"/>
          <w:szCs w:val="24"/>
        </w:rPr>
      </w:pPr>
      <w:r>
        <w:rPr>
          <w:rFonts w:eastAsia="Arial" w:cs="Arial"/>
          <w:b/>
          <w:bCs/>
          <w:sz w:val="24"/>
          <w:szCs w:val="24"/>
        </w:rPr>
        <w:t>I. Denuncia ante el INE por presunta adquisición de tiempos de radio</w:t>
      </w:r>
    </w:p>
    <w:p w:rsidR="00725403" w:rsidRDefault="00725403" w:rsidP="00880110">
      <w:pPr>
        <w:rPr>
          <w:rFonts w:eastAsia="Arial" w:cs="Arial"/>
          <w:b/>
          <w:bCs/>
          <w:sz w:val="24"/>
          <w:szCs w:val="24"/>
        </w:rPr>
      </w:pPr>
    </w:p>
    <w:p w:rsidR="00880110" w:rsidRDefault="00880110" w:rsidP="00880110">
      <w:pPr>
        <w:pStyle w:val="Normalsentencia"/>
        <w:spacing w:before="0" w:after="0"/>
        <w:ind w:firstLine="0"/>
        <w:rPr>
          <w:bCs/>
          <w:sz w:val="24"/>
          <w:szCs w:val="24"/>
        </w:rPr>
      </w:pPr>
      <w:r>
        <w:rPr>
          <w:rFonts w:eastAsia="Arial" w:cs="Arial"/>
          <w:b/>
          <w:bCs/>
          <w:sz w:val="24"/>
          <w:szCs w:val="24"/>
        </w:rPr>
        <w:t xml:space="preserve">1. </w:t>
      </w:r>
      <w:r>
        <w:rPr>
          <w:bCs/>
          <w:sz w:val="24"/>
          <w:szCs w:val="24"/>
        </w:rPr>
        <w:t xml:space="preserve">El 3 de junio, el PAN </w:t>
      </w:r>
      <w:r w:rsidRPr="008E11D2">
        <w:rPr>
          <w:b/>
          <w:bCs/>
          <w:sz w:val="24"/>
          <w:szCs w:val="24"/>
        </w:rPr>
        <w:t>presentó denuncia</w:t>
      </w:r>
      <w:r>
        <w:rPr>
          <w:bCs/>
          <w:sz w:val="24"/>
          <w:szCs w:val="24"/>
        </w:rPr>
        <w:t xml:space="preserve"> contra el entonces candidato del PVEM por la presunta adquisición de tiempos en medios de comunicación, de la cual conoció la Unidad Técnica de lo Contencioso Electoral del INE</w:t>
      </w:r>
      <w:r>
        <w:rPr>
          <w:rStyle w:val="Refdenotaalpie"/>
          <w:bCs/>
          <w:sz w:val="24"/>
          <w:szCs w:val="24"/>
        </w:rPr>
        <w:footnoteReference w:id="4"/>
      </w:r>
      <w:r>
        <w:rPr>
          <w:bCs/>
          <w:sz w:val="24"/>
          <w:szCs w:val="24"/>
        </w:rPr>
        <w:t>.</w:t>
      </w:r>
    </w:p>
    <w:p w:rsidR="00880110" w:rsidRDefault="00880110" w:rsidP="00880110">
      <w:pPr>
        <w:pStyle w:val="Normalsentencia"/>
        <w:spacing w:before="0" w:after="0"/>
        <w:ind w:firstLine="0"/>
        <w:rPr>
          <w:bCs/>
          <w:sz w:val="24"/>
          <w:szCs w:val="24"/>
        </w:rPr>
      </w:pPr>
    </w:p>
    <w:p w:rsidR="00880110" w:rsidRDefault="00880110" w:rsidP="00880110">
      <w:pPr>
        <w:pStyle w:val="Normalsentencia"/>
        <w:spacing w:before="0" w:after="0"/>
        <w:ind w:firstLine="0"/>
        <w:rPr>
          <w:bCs/>
          <w:sz w:val="24"/>
          <w:szCs w:val="24"/>
        </w:rPr>
      </w:pPr>
      <w:r>
        <w:rPr>
          <w:b/>
          <w:bCs/>
          <w:sz w:val="24"/>
          <w:szCs w:val="24"/>
        </w:rPr>
        <w:t>2</w:t>
      </w:r>
      <w:r w:rsidRPr="005A4BC0">
        <w:rPr>
          <w:b/>
          <w:bCs/>
          <w:sz w:val="24"/>
          <w:szCs w:val="24"/>
        </w:rPr>
        <w:t>.</w:t>
      </w:r>
      <w:r>
        <w:rPr>
          <w:bCs/>
          <w:sz w:val="24"/>
          <w:szCs w:val="24"/>
        </w:rPr>
        <w:t xml:space="preserve"> El 28 de junio, la Unidad Técnica de lo Contencioso Electoral del INE desechó la denuncia antes mencionada, porque consideró que no se acompañaron pruebas que al menos indiciariamente demostraran los hechos denunciados.</w:t>
      </w:r>
    </w:p>
    <w:p w:rsidR="00880110" w:rsidRDefault="00880110" w:rsidP="00880110">
      <w:pPr>
        <w:pStyle w:val="Normalsentencia"/>
        <w:spacing w:before="0" w:after="0"/>
        <w:ind w:firstLine="0"/>
        <w:rPr>
          <w:bCs/>
          <w:sz w:val="24"/>
          <w:szCs w:val="24"/>
        </w:rPr>
      </w:pPr>
    </w:p>
    <w:p w:rsidR="00880110" w:rsidRPr="00863A0E" w:rsidRDefault="00880110" w:rsidP="00880110">
      <w:pPr>
        <w:pStyle w:val="Normalsentencia"/>
        <w:spacing w:before="0" w:after="0"/>
        <w:ind w:firstLine="0"/>
        <w:rPr>
          <w:b/>
          <w:bCs/>
          <w:sz w:val="24"/>
          <w:szCs w:val="24"/>
        </w:rPr>
      </w:pPr>
      <w:r w:rsidRPr="00863A0E">
        <w:rPr>
          <w:b/>
          <w:bCs/>
          <w:sz w:val="24"/>
          <w:szCs w:val="24"/>
        </w:rPr>
        <w:t>II. Recurso ante Sala Superior</w:t>
      </w:r>
    </w:p>
    <w:p w:rsidR="00880110" w:rsidRDefault="00880110" w:rsidP="00880110">
      <w:pPr>
        <w:pStyle w:val="Normalsentencia"/>
        <w:spacing w:before="0" w:after="0"/>
        <w:ind w:firstLine="0"/>
        <w:rPr>
          <w:bCs/>
          <w:sz w:val="24"/>
          <w:szCs w:val="24"/>
        </w:rPr>
      </w:pPr>
    </w:p>
    <w:p w:rsidR="00880110" w:rsidRDefault="00880110" w:rsidP="00880110">
      <w:pPr>
        <w:pStyle w:val="Normalsentencia"/>
        <w:spacing w:before="0" w:after="0"/>
        <w:ind w:firstLine="0"/>
        <w:rPr>
          <w:bCs/>
          <w:sz w:val="24"/>
          <w:szCs w:val="24"/>
        </w:rPr>
      </w:pPr>
      <w:r>
        <w:rPr>
          <w:bCs/>
          <w:sz w:val="24"/>
          <w:szCs w:val="24"/>
        </w:rPr>
        <w:t xml:space="preserve">El 30 de junio, el impugnante interpuso recurso de revisión del procedimiento especial sancionador, para impugnar el </w:t>
      </w:r>
      <w:proofErr w:type="spellStart"/>
      <w:r>
        <w:rPr>
          <w:bCs/>
          <w:sz w:val="24"/>
          <w:szCs w:val="24"/>
        </w:rPr>
        <w:t>desechamiento</w:t>
      </w:r>
      <w:proofErr w:type="spellEnd"/>
      <w:r>
        <w:rPr>
          <w:bCs/>
          <w:sz w:val="24"/>
          <w:szCs w:val="24"/>
        </w:rPr>
        <w:t xml:space="preserve"> de su denuncia por parte del INE. El 21 de julio, la Sal Superior determinó revocar la determinación del INE y le ordenó que efectuara un estudio de las pruebas y los hechos del caso, considerando que el entonces candidato del PVEM tuvo 2 entrevistas en una radio difusora mientras que al resto de las candidaturas se les otorgó 1 entrevista y que la candidatura del PAN solicitó una entrevista el 29 de mayo y se le concedió hasta el 30 de junio.</w:t>
      </w:r>
    </w:p>
    <w:p w:rsidR="00880110" w:rsidRDefault="00880110" w:rsidP="00880110">
      <w:pPr>
        <w:pStyle w:val="Normalsentencia"/>
        <w:spacing w:before="0" w:after="0"/>
        <w:ind w:firstLine="0"/>
        <w:rPr>
          <w:bCs/>
          <w:sz w:val="24"/>
          <w:szCs w:val="24"/>
        </w:rPr>
      </w:pPr>
    </w:p>
    <w:p w:rsidR="00880110" w:rsidRPr="00E208C7" w:rsidRDefault="00880110" w:rsidP="00880110">
      <w:pPr>
        <w:pStyle w:val="Normalsentencia"/>
        <w:spacing w:before="0" w:after="0"/>
        <w:ind w:firstLine="0"/>
        <w:rPr>
          <w:b/>
          <w:bCs/>
          <w:sz w:val="24"/>
          <w:szCs w:val="24"/>
        </w:rPr>
      </w:pPr>
      <w:r w:rsidRPr="00E208C7">
        <w:rPr>
          <w:b/>
          <w:bCs/>
          <w:sz w:val="24"/>
          <w:szCs w:val="24"/>
        </w:rPr>
        <w:t>III. Elección local</w:t>
      </w:r>
    </w:p>
    <w:p w:rsidR="00880110" w:rsidRPr="008F1FAC" w:rsidRDefault="00880110" w:rsidP="00880110">
      <w:pPr>
        <w:rPr>
          <w:rFonts w:eastAsia="Arial" w:cs="Arial"/>
          <w:b/>
          <w:bCs/>
          <w:sz w:val="24"/>
          <w:szCs w:val="24"/>
        </w:rPr>
      </w:pPr>
    </w:p>
    <w:p w:rsidR="00880110" w:rsidRPr="00ED09A4" w:rsidRDefault="00880110" w:rsidP="00880110">
      <w:pPr>
        <w:spacing w:line="360" w:lineRule="auto"/>
        <w:rPr>
          <w:rFonts w:cs="Arial"/>
          <w:b/>
          <w:sz w:val="24"/>
          <w:szCs w:val="24"/>
        </w:rPr>
      </w:pPr>
      <w:r w:rsidRPr="00737C01">
        <w:rPr>
          <w:rFonts w:cs="Arial"/>
          <w:b/>
          <w:sz w:val="24"/>
          <w:szCs w:val="24"/>
        </w:rPr>
        <w:t>1.</w:t>
      </w:r>
      <w:r>
        <w:rPr>
          <w:rFonts w:cs="Arial"/>
          <w:b/>
          <w:sz w:val="24"/>
          <w:szCs w:val="24"/>
        </w:rPr>
        <w:t xml:space="preserve"> </w:t>
      </w:r>
      <w:r>
        <w:rPr>
          <w:rFonts w:cs="Arial"/>
          <w:bCs/>
          <w:sz w:val="24"/>
          <w:szCs w:val="24"/>
        </w:rPr>
        <w:t>El 9</w:t>
      </w:r>
      <w:r w:rsidRPr="00A72E6E">
        <w:rPr>
          <w:rFonts w:cs="Arial"/>
          <w:bCs/>
          <w:sz w:val="24"/>
          <w:szCs w:val="24"/>
        </w:rPr>
        <w:t xml:space="preserve"> de junio</w:t>
      </w:r>
      <w:r w:rsidRPr="00D51DB0">
        <w:rPr>
          <w:rFonts w:cs="Arial"/>
          <w:bCs/>
          <w:sz w:val="24"/>
          <w:szCs w:val="24"/>
        </w:rPr>
        <w:t xml:space="preserve">, </w:t>
      </w:r>
      <w:r w:rsidRPr="004D20B1">
        <w:rPr>
          <w:rFonts w:cs="Arial"/>
          <w:sz w:val="24"/>
          <w:szCs w:val="24"/>
        </w:rPr>
        <w:t xml:space="preserve">se llevó a cabo la elección para renovar, entre otros cargos, a los integrantes del </w:t>
      </w:r>
      <w:r>
        <w:rPr>
          <w:rFonts w:cs="Arial"/>
          <w:sz w:val="24"/>
          <w:szCs w:val="24"/>
        </w:rPr>
        <w:t>a</w:t>
      </w:r>
      <w:r w:rsidRPr="004D20B1">
        <w:rPr>
          <w:rFonts w:cs="Arial"/>
          <w:sz w:val="24"/>
          <w:szCs w:val="24"/>
        </w:rPr>
        <w:t>yuntamiento</w:t>
      </w:r>
      <w:r>
        <w:rPr>
          <w:rFonts w:cs="Arial"/>
          <w:sz w:val="24"/>
          <w:szCs w:val="24"/>
        </w:rPr>
        <w:t xml:space="preserve"> de San Felipe</w:t>
      </w:r>
      <w:r>
        <w:rPr>
          <w:rFonts w:cs="Arial"/>
          <w:bCs/>
          <w:sz w:val="24"/>
          <w:szCs w:val="24"/>
        </w:rPr>
        <w:t xml:space="preserve">, Guanajuato en la que </w:t>
      </w:r>
      <w:r w:rsidRPr="004D20B1">
        <w:rPr>
          <w:rFonts w:cs="Arial"/>
          <w:b/>
          <w:color w:val="000000"/>
          <w:sz w:val="24"/>
          <w:szCs w:val="24"/>
          <w:lang w:val="es-ES"/>
        </w:rPr>
        <w:t>resultó ganadora</w:t>
      </w:r>
      <w:r w:rsidRPr="004D20B1">
        <w:rPr>
          <w:rFonts w:cs="Arial"/>
          <w:color w:val="000000"/>
          <w:sz w:val="24"/>
          <w:szCs w:val="24"/>
          <w:lang w:val="es-ES"/>
        </w:rPr>
        <w:t xml:space="preserve"> la planilla postulada por</w:t>
      </w:r>
      <w:r>
        <w:rPr>
          <w:rFonts w:cs="Arial"/>
          <w:color w:val="000000"/>
          <w:sz w:val="24"/>
          <w:szCs w:val="24"/>
          <w:lang w:val="es-ES"/>
        </w:rPr>
        <w:t xml:space="preserve"> el </w:t>
      </w:r>
      <w:r w:rsidRPr="00B2082A">
        <w:rPr>
          <w:rFonts w:cs="Arial"/>
          <w:color w:val="000000"/>
          <w:sz w:val="24"/>
          <w:szCs w:val="24"/>
          <w:lang w:val="es-ES"/>
        </w:rPr>
        <w:t>PVEM</w:t>
      </w:r>
      <w:r>
        <w:rPr>
          <w:rFonts w:eastAsia="Calibri" w:cs="Arial"/>
          <w:sz w:val="24"/>
          <w:szCs w:val="24"/>
        </w:rPr>
        <w:t>, con los resultados siguientes:</w:t>
      </w:r>
    </w:p>
    <w:p w:rsidR="00880110" w:rsidRDefault="00880110" w:rsidP="00880110">
      <w:pPr>
        <w:rPr>
          <w:rFonts w:eastAsia="Calibri" w:cs="Arial"/>
          <w:iCs/>
          <w:sz w:val="24"/>
          <w:szCs w:val="24"/>
        </w:rPr>
      </w:pPr>
    </w:p>
    <w:tbl>
      <w:tblPr>
        <w:tblStyle w:val="Tablaconcuadrcula2"/>
        <w:tblW w:w="0" w:type="auto"/>
        <w:tblInd w:w="1414" w:type="dxa"/>
        <w:tblLook w:val="04A0" w:firstRow="1" w:lastRow="0" w:firstColumn="1" w:lastColumn="0" w:noHBand="0" w:noVBand="1"/>
      </w:tblPr>
      <w:tblGrid>
        <w:gridCol w:w="2597"/>
        <w:gridCol w:w="1701"/>
      </w:tblGrid>
      <w:tr w:rsidR="00880110" w:rsidRPr="00C71D1D" w:rsidTr="000D125E">
        <w:trPr>
          <w:trHeight w:val="64"/>
          <w:tblHeader/>
        </w:trPr>
        <w:tc>
          <w:tcPr>
            <w:tcW w:w="42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0110" w:rsidRPr="00C71D1D" w:rsidRDefault="00880110" w:rsidP="000D125E">
            <w:pPr>
              <w:jc w:val="center"/>
              <w:rPr>
                <w:rFonts w:cs="Arial"/>
                <w:szCs w:val="16"/>
              </w:rPr>
            </w:pPr>
            <w:proofErr w:type="gramStart"/>
            <w:r w:rsidRPr="00C71D1D">
              <w:rPr>
                <w:rFonts w:cs="Arial"/>
                <w:szCs w:val="16"/>
              </w:rPr>
              <w:t>TOTAL</w:t>
            </w:r>
            <w:proofErr w:type="gramEnd"/>
            <w:r w:rsidRPr="00C71D1D">
              <w:rPr>
                <w:rFonts w:cs="Arial"/>
                <w:szCs w:val="16"/>
              </w:rPr>
              <w:t xml:space="preserve"> DE VOTOS POR CANDIDATO</w:t>
            </w:r>
          </w:p>
        </w:tc>
      </w:tr>
      <w:tr w:rsidR="00880110" w:rsidRPr="00C71D1D" w:rsidTr="000D125E">
        <w:trPr>
          <w:tblHeader/>
        </w:trPr>
        <w:tc>
          <w:tcPr>
            <w:tcW w:w="2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0110" w:rsidRPr="00C71D1D" w:rsidRDefault="00880110" w:rsidP="000D125E">
            <w:pPr>
              <w:rPr>
                <w:rFonts w:cs="Arial"/>
                <w:szCs w:val="16"/>
              </w:rPr>
            </w:pPr>
            <w:r w:rsidRPr="00C71D1D">
              <w:rPr>
                <w:rFonts w:cs="Arial"/>
                <w:szCs w:val="16"/>
              </w:rPr>
              <w:t>Partido Político o Coalición</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0110" w:rsidRPr="00C71D1D" w:rsidRDefault="00880110" w:rsidP="000D125E">
            <w:pPr>
              <w:rPr>
                <w:rFonts w:cs="Arial"/>
                <w:szCs w:val="16"/>
              </w:rPr>
            </w:pPr>
            <w:r w:rsidRPr="00C71D1D">
              <w:rPr>
                <w:rFonts w:cs="Arial"/>
                <w:szCs w:val="16"/>
              </w:rPr>
              <w:t>Número de Votos</w:t>
            </w:r>
          </w:p>
        </w:tc>
      </w:tr>
      <w:tr w:rsidR="00880110" w:rsidRPr="00C71D1D" w:rsidTr="000D125E">
        <w:trPr>
          <w:trHeight w:val="171"/>
        </w:trPr>
        <w:tc>
          <w:tcPr>
            <w:tcW w:w="25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80110" w:rsidRPr="00C71D1D" w:rsidRDefault="00880110" w:rsidP="000D125E">
            <w:pPr>
              <w:rPr>
                <w:rFonts w:cs="Arial"/>
                <w:szCs w:val="16"/>
                <w:highlight w:val="yellow"/>
              </w:rPr>
            </w:pPr>
            <w:r w:rsidRPr="00C71D1D">
              <w:rPr>
                <w:rFonts w:cs="Arial"/>
                <w:noProof/>
                <w:szCs w:val="16"/>
                <w:highlight w:val="yellow"/>
                <w:lang w:val="es-ES" w:eastAsia="es-ES"/>
              </w:rPr>
              <w:drawing>
                <wp:inline distT="0" distB="0" distL="0" distR="0" wp14:anchorId="1A640BF2" wp14:editId="0B2AFEB6">
                  <wp:extent cx="163830" cy="163830"/>
                  <wp:effectExtent l="0" t="0" r="7620" b="7620"/>
                  <wp:docPr id="22" name="Imagen 22" descr="http://intranet.te.gob.mx/imgs/logo_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te.gob.mx/imgs/logo_p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80110" w:rsidRPr="00C71D1D" w:rsidRDefault="00880110" w:rsidP="000D125E">
            <w:pPr>
              <w:rPr>
                <w:rFonts w:cs="Arial"/>
                <w:bCs/>
                <w:szCs w:val="16"/>
                <w:highlight w:val="yellow"/>
              </w:rPr>
            </w:pPr>
            <w:r w:rsidRPr="00C71D1D">
              <w:rPr>
                <w:rFonts w:cs="Arial"/>
                <w:bCs/>
                <w:szCs w:val="16"/>
              </w:rPr>
              <w:t>13,999</w:t>
            </w:r>
          </w:p>
        </w:tc>
      </w:tr>
      <w:tr w:rsidR="00880110" w:rsidRPr="00C71D1D" w:rsidTr="000D125E">
        <w:trPr>
          <w:trHeight w:val="171"/>
        </w:trPr>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880110" w:rsidRPr="00C71D1D" w:rsidRDefault="00880110" w:rsidP="000D125E">
            <w:pPr>
              <w:rPr>
                <w:rFonts w:cs="Arial"/>
                <w:noProof/>
                <w:szCs w:val="16"/>
                <w:highlight w:val="yellow"/>
                <w:lang w:eastAsia="es-MX"/>
              </w:rPr>
            </w:pPr>
            <w:r w:rsidRPr="00C71D1D">
              <w:rPr>
                <w:rFonts w:cs="Arial"/>
                <w:noProof/>
                <w:szCs w:val="16"/>
                <w:highlight w:val="yellow"/>
                <w:lang w:val="es-ES" w:eastAsia="es-ES"/>
              </w:rPr>
              <w:drawing>
                <wp:inline distT="0" distB="0" distL="0" distR="0" wp14:anchorId="0B7A3DA6" wp14:editId="6B9BBF40">
                  <wp:extent cx="163830" cy="163830"/>
                  <wp:effectExtent l="0" t="0" r="7620" b="7620"/>
                  <wp:docPr id="1" name="Imagen 1" descr="http://intranet.te.gob.mx/imgs/log_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te.gob.mx/imgs/log_p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0110" w:rsidRPr="00C71D1D" w:rsidRDefault="00880110" w:rsidP="000D125E">
            <w:pPr>
              <w:rPr>
                <w:rFonts w:cs="Arial"/>
                <w:bCs/>
                <w:szCs w:val="16"/>
              </w:rPr>
            </w:pPr>
            <w:r w:rsidRPr="00C71D1D">
              <w:rPr>
                <w:rFonts w:cs="Arial"/>
                <w:bCs/>
                <w:szCs w:val="16"/>
              </w:rPr>
              <w:t>1,885</w:t>
            </w:r>
          </w:p>
        </w:tc>
      </w:tr>
      <w:tr w:rsidR="00880110" w:rsidRPr="00C71D1D" w:rsidTr="000D125E">
        <w:trPr>
          <w:trHeight w:val="171"/>
        </w:trPr>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880110" w:rsidRPr="00C71D1D" w:rsidRDefault="00880110" w:rsidP="000D125E">
            <w:pPr>
              <w:rPr>
                <w:rFonts w:cs="Arial"/>
                <w:noProof/>
                <w:szCs w:val="16"/>
                <w:highlight w:val="yellow"/>
                <w:lang w:eastAsia="es-MX"/>
              </w:rPr>
            </w:pPr>
            <w:r w:rsidRPr="00C71D1D">
              <w:rPr>
                <w:rFonts w:cs="Arial"/>
                <w:noProof/>
                <w:szCs w:val="16"/>
                <w:highlight w:val="yellow"/>
                <w:lang w:val="es-ES" w:eastAsia="es-ES"/>
              </w:rPr>
              <w:drawing>
                <wp:inline distT="0" distB="0" distL="0" distR="0" wp14:anchorId="5104F20F" wp14:editId="45C7145F">
                  <wp:extent cx="163830" cy="163830"/>
                  <wp:effectExtent l="0" t="0" r="7620" b="7620"/>
                  <wp:docPr id="2" name="Imagen 2" descr="Partido de la Revolución Democrátic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artido de la Revolución Democrática - Wikipedia, la enciclopedia lib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0110" w:rsidRPr="00C71D1D" w:rsidRDefault="00880110" w:rsidP="000D125E">
            <w:pPr>
              <w:rPr>
                <w:rFonts w:cs="Arial"/>
                <w:bCs/>
                <w:szCs w:val="16"/>
              </w:rPr>
            </w:pPr>
            <w:r w:rsidRPr="00C71D1D">
              <w:rPr>
                <w:rFonts w:cs="Arial"/>
                <w:bCs/>
                <w:szCs w:val="16"/>
              </w:rPr>
              <w:t>304</w:t>
            </w:r>
          </w:p>
        </w:tc>
      </w:tr>
      <w:tr w:rsidR="00880110" w:rsidRPr="00C71D1D" w:rsidTr="000D125E">
        <w:tc>
          <w:tcPr>
            <w:tcW w:w="25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80110" w:rsidRPr="00C71D1D" w:rsidRDefault="00880110" w:rsidP="000D125E">
            <w:pPr>
              <w:rPr>
                <w:rFonts w:cs="Arial"/>
                <w:noProof/>
                <w:szCs w:val="16"/>
              </w:rPr>
            </w:pPr>
            <w:r w:rsidRPr="00C71D1D">
              <w:rPr>
                <w:rFonts w:cs="Arial"/>
                <w:noProof/>
                <w:szCs w:val="16"/>
                <w:lang w:val="es-ES" w:eastAsia="es-ES"/>
              </w:rPr>
              <w:drawing>
                <wp:inline distT="0" distB="0" distL="0" distR="0" wp14:anchorId="01656213" wp14:editId="2970130C">
                  <wp:extent cx="163830" cy="163830"/>
                  <wp:effectExtent l="0" t="0" r="7620" b="7620"/>
                  <wp:docPr id="17" name="Imagen 17" descr="http://intranet.te.gob.mx/imgs/log_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intranet.te.gob.mx/imgs/log_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80110" w:rsidRPr="00C71D1D" w:rsidRDefault="00880110" w:rsidP="000D125E">
            <w:pPr>
              <w:rPr>
                <w:rFonts w:cs="Arial"/>
                <w:szCs w:val="16"/>
              </w:rPr>
            </w:pPr>
            <w:r w:rsidRPr="00C71D1D">
              <w:rPr>
                <w:rFonts w:cs="Arial"/>
                <w:szCs w:val="16"/>
              </w:rPr>
              <w:t>14,814</w:t>
            </w:r>
          </w:p>
        </w:tc>
      </w:tr>
      <w:tr w:rsidR="00880110" w:rsidRPr="00C71D1D" w:rsidTr="000D125E">
        <w:tc>
          <w:tcPr>
            <w:tcW w:w="2597" w:type="dxa"/>
            <w:tcBorders>
              <w:top w:val="single" w:sz="4" w:space="0" w:color="auto"/>
              <w:left w:val="single" w:sz="4" w:space="0" w:color="auto"/>
              <w:bottom w:val="single" w:sz="4" w:space="0" w:color="auto"/>
              <w:right w:val="single" w:sz="4" w:space="0" w:color="auto"/>
            </w:tcBorders>
            <w:vAlign w:val="center"/>
          </w:tcPr>
          <w:p w:rsidR="00880110" w:rsidRPr="00C71D1D" w:rsidRDefault="00880110" w:rsidP="000D125E">
            <w:pPr>
              <w:rPr>
                <w:rFonts w:cs="Arial"/>
                <w:noProof/>
                <w:szCs w:val="16"/>
              </w:rPr>
            </w:pPr>
            <w:r w:rsidRPr="00C71D1D">
              <w:rPr>
                <w:rFonts w:cs="Arial"/>
                <w:noProof/>
                <w:szCs w:val="16"/>
                <w:lang w:val="es-ES" w:eastAsia="es-ES"/>
              </w:rPr>
              <w:drawing>
                <wp:inline distT="0" distB="0" distL="0" distR="0" wp14:anchorId="4B978A47" wp14:editId="0FA09FBF">
                  <wp:extent cx="189865" cy="189865"/>
                  <wp:effectExtent l="0" t="0" r="635" b="635"/>
                  <wp:docPr id="16" name="Imagen 1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center"/>
          </w:tcPr>
          <w:p w:rsidR="00880110" w:rsidRPr="00C71D1D" w:rsidRDefault="00880110" w:rsidP="000D125E">
            <w:pPr>
              <w:rPr>
                <w:rFonts w:cs="Arial"/>
                <w:szCs w:val="16"/>
              </w:rPr>
            </w:pPr>
            <w:r w:rsidRPr="00C71D1D">
              <w:rPr>
                <w:rFonts w:cs="Arial"/>
                <w:szCs w:val="16"/>
              </w:rPr>
              <w:t>434</w:t>
            </w:r>
          </w:p>
        </w:tc>
      </w:tr>
      <w:tr w:rsidR="00880110" w:rsidRPr="00C71D1D" w:rsidTr="000D125E">
        <w:tc>
          <w:tcPr>
            <w:tcW w:w="2597" w:type="dxa"/>
            <w:tcBorders>
              <w:top w:val="single" w:sz="4" w:space="0" w:color="auto"/>
              <w:left w:val="single" w:sz="4" w:space="0" w:color="auto"/>
              <w:bottom w:val="single" w:sz="4" w:space="0" w:color="auto"/>
              <w:right w:val="single" w:sz="4" w:space="0" w:color="auto"/>
            </w:tcBorders>
            <w:vAlign w:val="center"/>
            <w:hideMark/>
          </w:tcPr>
          <w:p w:rsidR="00880110" w:rsidRPr="00C71D1D" w:rsidRDefault="00880110" w:rsidP="000D125E">
            <w:pPr>
              <w:rPr>
                <w:rFonts w:cs="Arial"/>
                <w:noProof/>
                <w:szCs w:val="16"/>
                <w:lang w:eastAsia="es-MX"/>
              </w:rPr>
            </w:pPr>
            <w:r w:rsidRPr="00C71D1D">
              <w:rPr>
                <w:rFonts w:cs="Arial"/>
                <w:noProof/>
                <w:szCs w:val="16"/>
                <w:lang w:val="es-ES" w:eastAsia="es-ES"/>
              </w:rPr>
              <w:drawing>
                <wp:inline distT="0" distB="0" distL="0" distR="0" wp14:anchorId="201D2B5F" wp14:editId="1A158BD8">
                  <wp:extent cx="200025" cy="200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center"/>
          </w:tcPr>
          <w:p w:rsidR="00880110" w:rsidRPr="00C71D1D" w:rsidRDefault="00880110" w:rsidP="000D125E">
            <w:pPr>
              <w:rPr>
                <w:rFonts w:cs="Arial"/>
                <w:szCs w:val="16"/>
              </w:rPr>
            </w:pPr>
            <w:r w:rsidRPr="00C71D1D">
              <w:rPr>
                <w:rFonts w:cs="Arial"/>
                <w:szCs w:val="16"/>
              </w:rPr>
              <w:t>212</w:t>
            </w:r>
          </w:p>
        </w:tc>
      </w:tr>
      <w:tr w:rsidR="00880110" w:rsidRPr="00C71D1D" w:rsidTr="000D125E">
        <w:tc>
          <w:tcPr>
            <w:tcW w:w="2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110" w:rsidRPr="00C71D1D" w:rsidRDefault="00880110" w:rsidP="000D125E">
            <w:pPr>
              <w:rPr>
                <w:rFonts w:cs="Arial"/>
                <w:noProof/>
                <w:szCs w:val="16"/>
              </w:rPr>
            </w:pPr>
            <w:r w:rsidRPr="00C71D1D">
              <w:rPr>
                <w:rFonts w:cs="Arial"/>
                <w:noProof/>
                <w:szCs w:val="16"/>
                <w:lang w:val="es-ES" w:eastAsia="es-ES"/>
              </w:rPr>
              <w:drawing>
                <wp:inline distT="0" distB="0" distL="0" distR="0" wp14:anchorId="47A29703" wp14:editId="43883B1C">
                  <wp:extent cx="163830" cy="163830"/>
                  <wp:effectExtent l="0" t="0" r="7620" b="0"/>
                  <wp:docPr id="14" name="Imagen 14" descr="MO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MORE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0110" w:rsidRPr="00C71D1D" w:rsidRDefault="00880110" w:rsidP="000D125E">
            <w:pPr>
              <w:rPr>
                <w:rFonts w:cs="Arial"/>
                <w:szCs w:val="16"/>
              </w:rPr>
            </w:pPr>
            <w:r w:rsidRPr="00C71D1D">
              <w:rPr>
                <w:rFonts w:cs="Arial"/>
                <w:szCs w:val="16"/>
              </w:rPr>
              <w:t>2,618</w:t>
            </w:r>
          </w:p>
        </w:tc>
      </w:tr>
      <w:tr w:rsidR="00880110" w:rsidRPr="00C71D1D" w:rsidTr="000D125E">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880110" w:rsidRPr="00C71D1D" w:rsidRDefault="00880110" w:rsidP="000D125E">
            <w:pPr>
              <w:rPr>
                <w:rFonts w:cs="Arial"/>
                <w:noProof/>
                <w:szCs w:val="16"/>
              </w:rPr>
            </w:pPr>
            <w:r w:rsidRPr="00C71D1D">
              <w:rPr>
                <w:rFonts w:cs="Arial"/>
                <w:noProof/>
                <w:szCs w:val="16"/>
                <w:lang w:val="es-ES" w:eastAsia="es-ES"/>
              </w:rPr>
              <w:drawing>
                <wp:inline distT="0" distB="0" distL="0" distR="0" wp14:anchorId="5C508606" wp14:editId="183280C1">
                  <wp:extent cx="181155" cy="179818"/>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382" t="19910" r="10751" b="20339"/>
                          <a:stretch/>
                        </pic:blipFill>
                        <pic:spPr bwMode="auto">
                          <a:xfrm flipV="1">
                            <a:off x="0" y="0"/>
                            <a:ext cx="191234" cy="1898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0110" w:rsidRPr="00C71D1D" w:rsidRDefault="00880110" w:rsidP="000D125E">
            <w:pPr>
              <w:rPr>
                <w:rFonts w:cs="Arial"/>
                <w:szCs w:val="16"/>
              </w:rPr>
            </w:pPr>
            <w:r w:rsidRPr="00C71D1D">
              <w:rPr>
                <w:rFonts w:cs="Arial"/>
                <w:szCs w:val="16"/>
              </w:rPr>
              <w:t>2,765</w:t>
            </w:r>
          </w:p>
        </w:tc>
      </w:tr>
      <w:tr w:rsidR="00880110" w:rsidRPr="00C71D1D" w:rsidTr="000D125E">
        <w:tc>
          <w:tcPr>
            <w:tcW w:w="2597" w:type="dxa"/>
            <w:tcBorders>
              <w:top w:val="single" w:sz="4" w:space="0" w:color="auto"/>
              <w:left w:val="single" w:sz="4" w:space="0" w:color="auto"/>
              <w:bottom w:val="single" w:sz="4" w:space="0" w:color="auto"/>
              <w:right w:val="single" w:sz="4" w:space="0" w:color="auto"/>
            </w:tcBorders>
            <w:vAlign w:val="center"/>
            <w:hideMark/>
          </w:tcPr>
          <w:p w:rsidR="00880110" w:rsidRPr="00C71D1D" w:rsidRDefault="00880110" w:rsidP="000D125E">
            <w:pPr>
              <w:rPr>
                <w:rFonts w:cs="Arial"/>
                <w:szCs w:val="16"/>
              </w:rPr>
            </w:pPr>
            <w:r w:rsidRPr="00C71D1D">
              <w:rPr>
                <w:rFonts w:cs="Arial"/>
                <w:noProof/>
                <w:szCs w:val="16"/>
                <w:lang w:val="es-ES" w:eastAsia="es-ES"/>
              </w:rPr>
              <w:drawing>
                <wp:inline distT="0" distB="0" distL="0" distR="0" wp14:anchorId="64822728" wp14:editId="70250876">
                  <wp:extent cx="189865" cy="189865"/>
                  <wp:effectExtent l="0" t="0" r="635" b="635"/>
                  <wp:docPr id="13" name="Imagen 13" descr="PES Puebla - oficial (@PESPueOficial)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PES Puebla - oficial (@PESPueOficial) | Twit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center"/>
          </w:tcPr>
          <w:p w:rsidR="00880110" w:rsidRPr="00C71D1D" w:rsidRDefault="00880110" w:rsidP="000D125E">
            <w:pPr>
              <w:rPr>
                <w:rFonts w:cs="Arial"/>
                <w:szCs w:val="16"/>
              </w:rPr>
            </w:pPr>
            <w:r w:rsidRPr="00C71D1D">
              <w:rPr>
                <w:rFonts w:cs="Arial"/>
                <w:szCs w:val="16"/>
              </w:rPr>
              <w:t>589</w:t>
            </w:r>
          </w:p>
        </w:tc>
      </w:tr>
      <w:tr w:rsidR="00880110" w:rsidRPr="00C71D1D" w:rsidTr="000D125E">
        <w:tc>
          <w:tcPr>
            <w:tcW w:w="2597" w:type="dxa"/>
            <w:tcBorders>
              <w:top w:val="single" w:sz="4" w:space="0" w:color="auto"/>
              <w:left w:val="single" w:sz="4" w:space="0" w:color="auto"/>
              <w:bottom w:val="single" w:sz="4" w:space="0" w:color="auto"/>
              <w:right w:val="single" w:sz="4" w:space="0" w:color="auto"/>
            </w:tcBorders>
            <w:vAlign w:val="center"/>
          </w:tcPr>
          <w:p w:rsidR="00880110" w:rsidRPr="00C71D1D" w:rsidRDefault="00880110" w:rsidP="000D125E">
            <w:pPr>
              <w:rPr>
                <w:rFonts w:cs="Arial"/>
                <w:noProof/>
                <w:szCs w:val="16"/>
              </w:rPr>
            </w:pPr>
            <w:r w:rsidRPr="00C71D1D">
              <w:rPr>
                <w:rFonts w:cs="Arial"/>
                <w:noProof/>
                <w:szCs w:val="16"/>
                <w:lang w:val="es-ES" w:eastAsia="es-ES"/>
              </w:rPr>
              <w:drawing>
                <wp:inline distT="0" distB="0" distL="0" distR="0" wp14:anchorId="57C29C63" wp14:editId="5FF6762D">
                  <wp:extent cx="180975" cy="180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center"/>
          </w:tcPr>
          <w:p w:rsidR="00880110" w:rsidRPr="00C71D1D" w:rsidRDefault="00880110" w:rsidP="000D125E">
            <w:pPr>
              <w:rPr>
                <w:rFonts w:cs="Arial"/>
                <w:szCs w:val="16"/>
              </w:rPr>
            </w:pPr>
            <w:r w:rsidRPr="00C71D1D">
              <w:rPr>
                <w:rFonts w:cs="Arial"/>
                <w:szCs w:val="16"/>
              </w:rPr>
              <w:t>0</w:t>
            </w:r>
          </w:p>
        </w:tc>
      </w:tr>
      <w:tr w:rsidR="00880110" w:rsidRPr="00C71D1D" w:rsidTr="000D125E">
        <w:tc>
          <w:tcPr>
            <w:tcW w:w="2597" w:type="dxa"/>
            <w:tcBorders>
              <w:top w:val="single" w:sz="4" w:space="0" w:color="auto"/>
              <w:left w:val="single" w:sz="4" w:space="0" w:color="auto"/>
              <w:bottom w:val="single" w:sz="4" w:space="0" w:color="auto"/>
              <w:right w:val="single" w:sz="4" w:space="0" w:color="auto"/>
            </w:tcBorders>
            <w:vAlign w:val="center"/>
          </w:tcPr>
          <w:p w:rsidR="00880110" w:rsidRPr="00C71D1D" w:rsidRDefault="00880110" w:rsidP="000D125E">
            <w:pPr>
              <w:rPr>
                <w:rFonts w:cs="Arial"/>
                <w:noProof/>
                <w:szCs w:val="16"/>
              </w:rPr>
            </w:pPr>
            <w:r w:rsidRPr="00C71D1D">
              <w:rPr>
                <w:rFonts w:cs="Arial"/>
                <w:noProof/>
                <w:szCs w:val="16"/>
                <w:lang w:val="es-ES" w:eastAsia="es-ES"/>
              </w:rPr>
              <w:drawing>
                <wp:inline distT="0" distB="0" distL="0" distR="0" wp14:anchorId="0D2091FD" wp14:editId="358D5121">
                  <wp:extent cx="171450" cy="171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center"/>
          </w:tcPr>
          <w:p w:rsidR="00880110" w:rsidRPr="00C71D1D" w:rsidRDefault="00880110" w:rsidP="000D125E">
            <w:pPr>
              <w:rPr>
                <w:rFonts w:cs="Arial"/>
                <w:szCs w:val="16"/>
              </w:rPr>
            </w:pPr>
            <w:r w:rsidRPr="00C71D1D">
              <w:rPr>
                <w:rFonts w:cs="Arial"/>
                <w:szCs w:val="16"/>
              </w:rPr>
              <w:t>0</w:t>
            </w:r>
          </w:p>
        </w:tc>
      </w:tr>
      <w:tr w:rsidR="00880110" w:rsidRPr="00C71D1D" w:rsidTr="000D125E">
        <w:tc>
          <w:tcPr>
            <w:tcW w:w="2597" w:type="dxa"/>
            <w:tcBorders>
              <w:top w:val="single" w:sz="4" w:space="0" w:color="auto"/>
              <w:left w:val="single" w:sz="4" w:space="0" w:color="auto"/>
              <w:bottom w:val="single" w:sz="4" w:space="0" w:color="auto"/>
              <w:right w:val="single" w:sz="4" w:space="0" w:color="auto"/>
            </w:tcBorders>
            <w:vAlign w:val="center"/>
            <w:hideMark/>
          </w:tcPr>
          <w:p w:rsidR="00880110" w:rsidRPr="00C71D1D" w:rsidRDefault="00880110" w:rsidP="000D125E">
            <w:pPr>
              <w:rPr>
                <w:rFonts w:cs="Arial"/>
                <w:szCs w:val="16"/>
              </w:rPr>
            </w:pPr>
            <w:r w:rsidRPr="00C71D1D">
              <w:rPr>
                <w:rFonts w:cs="Arial"/>
                <w:szCs w:val="16"/>
              </w:rPr>
              <w:t>Candidatos no registrados</w:t>
            </w:r>
          </w:p>
        </w:tc>
        <w:tc>
          <w:tcPr>
            <w:tcW w:w="1701" w:type="dxa"/>
            <w:tcBorders>
              <w:top w:val="single" w:sz="4" w:space="0" w:color="auto"/>
              <w:left w:val="single" w:sz="4" w:space="0" w:color="auto"/>
              <w:bottom w:val="single" w:sz="4" w:space="0" w:color="auto"/>
              <w:right w:val="single" w:sz="4" w:space="0" w:color="auto"/>
            </w:tcBorders>
            <w:vAlign w:val="center"/>
          </w:tcPr>
          <w:p w:rsidR="00880110" w:rsidRPr="00C71D1D" w:rsidRDefault="00880110" w:rsidP="000D125E">
            <w:pPr>
              <w:rPr>
                <w:rFonts w:cs="Arial"/>
                <w:szCs w:val="16"/>
              </w:rPr>
            </w:pPr>
            <w:r w:rsidRPr="00C71D1D">
              <w:rPr>
                <w:rFonts w:cs="Arial"/>
                <w:szCs w:val="16"/>
              </w:rPr>
              <w:t>18</w:t>
            </w:r>
          </w:p>
        </w:tc>
      </w:tr>
      <w:tr w:rsidR="00880110" w:rsidRPr="00C71D1D" w:rsidTr="000D125E">
        <w:tc>
          <w:tcPr>
            <w:tcW w:w="2597" w:type="dxa"/>
            <w:tcBorders>
              <w:top w:val="single" w:sz="4" w:space="0" w:color="auto"/>
              <w:left w:val="single" w:sz="4" w:space="0" w:color="auto"/>
              <w:bottom w:val="single" w:sz="4" w:space="0" w:color="auto"/>
              <w:right w:val="single" w:sz="4" w:space="0" w:color="auto"/>
            </w:tcBorders>
            <w:vAlign w:val="center"/>
            <w:hideMark/>
          </w:tcPr>
          <w:p w:rsidR="00880110" w:rsidRPr="00C71D1D" w:rsidRDefault="00880110" w:rsidP="000D125E">
            <w:pPr>
              <w:rPr>
                <w:rFonts w:cs="Arial"/>
                <w:szCs w:val="16"/>
              </w:rPr>
            </w:pPr>
            <w:r w:rsidRPr="00C71D1D">
              <w:rPr>
                <w:rFonts w:cs="Arial"/>
                <w:szCs w:val="16"/>
              </w:rPr>
              <w:t>Votos nulos</w:t>
            </w:r>
          </w:p>
        </w:tc>
        <w:tc>
          <w:tcPr>
            <w:tcW w:w="1701" w:type="dxa"/>
            <w:tcBorders>
              <w:top w:val="single" w:sz="4" w:space="0" w:color="auto"/>
              <w:left w:val="single" w:sz="4" w:space="0" w:color="auto"/>
              <w:bottom w:val="single" w:sz="4" w:space="0" w:color="auto"/>
              <w:right w:val="single" w:sz="4" w:space="0" w:color="auto"/>
            </w:tcBorders>
            <w:vAlign w:val="center"/>
          </w:tcPr>
          <w:p w:rsidR="00880110" w:rsidRPr="00C71D1D" w:rsidRDefault="00880110" w:rsidP="000D125E">
            <w:pPr>
              <w:rPr>
                <w:rFonts w:cs="Arial"/>
                <w:szCs w:val="16"/>
              </w:rPr>
            </w:pPr>
            <w:r w:rsidRPr="00C71D1D">
              <w:rPr>
                <w:rFonts w:cs="Arial"/>
                <w:szCs w:val="16"/>
              </w:rPr>
              <w:t>1,086</w:t>
            </w:r>
          </w:p>
        </w:tc>
      </w:tr>
      <w:tr w:rsidR="00880110" w:rsidRPr="00C71D1D" w:rsidTr="000D125E">
        <w:tc>
          <w:tcPr>
            <w:tcW w:w="2597" w:type="dxa"/>
            <w:tcBorders>
              <w:top w:val="single" w:sz="4" w:space="0" w:color="auto"/>
              <w:left w:val="single" w:sz="4" w:space="0" w:color="auto"/>
              <w:bottom w:val="single" w:sz="4" w:space="0" w:color="auto"/>
              <w:right w:val="single" w:sz="4" w:space="0" w:color="auto"/>
            </w:tcBorders>
            <w:vAlign w:val="center"/>
            <w:hideMark/>
          </w:tcPr>
          <w:p w:rsidR="00880110" w:rsidRPr="00C71D1D" w:rsidRDefault="00880110" w:rsidP="000D125E">
            <w:pPr>
              <w:rPr>
                <w:rFonts w:cs="Arial"/>
                <w:szCs w:val="16"/>
              </w:rPr>
            </w:pPr>
            <w:r w:rsidRPr="00C71D1D">
              <w:rPr>
                <w:rFonts w:cs="Arial"/>
                <w:szCs w:val="16"/>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880110" w:rsidRPr="00C71D1D" w:rsidRDefault="00880110" w:rsidP="000D125E">
            <w:pPr>
              <w:rPr>
                <w:rFonts w:cs="Arial"/>
                <w:szCs w:val="16"/>
              </w:rPr>
            </w:pPr>
            <w:r w:rsidRPr="00C71D1D">
              <w:rPr>
                <w:rFonts w:cs="Arial"/>
                <w:szCs w:val="16"/>
              </w:rPr>
              <w:t>38,724</w:t>
            </w:r>
          </w:p>
        </w:tc>
      </w:tr>
    </w:tbl>
    <w:p w:rsidR="00880110" w:rsidRDefault="00880110" w:rsidP="00880110">
      <w:pPr>
        <w:spacing w:line="360" w:lineRule="auto"/>
        <w:rPr>
          <w:rFonts w:eastAsia="Calibri" w:cs="Arial"/>
          <w:b/>
          <w:bCs/>
          <w:sz w:val="24"/>
          <w:szCs w:val="24"/>
        </w:rPr>
      </w:pPr>
    </w:p>
    <w:p w:rsidR="00880110" w:rsidRDefault="00880110" w:rsidP="00880110">
      <w:pPr>
        <w:spacing w:line="360" w:lineRule="auto"/>
        <w:rPr>
          <w:rFonts w:cs="Arial"/>
          <w:color w:val="000000"/>
          <w:sz w:val="24"/>
          <w:szCs w:val="24"/>
          <w:lang w:val="es-ES"/>
        </w:rPr>
      </w:pPr>
      <w:r w:rsidRPr="74C7579E">
        <w:rPr>
          <w:rFonts w:cs="Arial"/>
          <w:b/>
          <w:bCs/>
          <w:sz w:val="24"/>
          <w:szCs w:val="24"/>
        </w:rPr>
        <w:t>2</w:t>
      </w:r>
      <w:r w:rsidRPr="00E44929">
        <w:rPr>
          <w:rFonts w:cs="Arial"/>
          <w:b/>
          <w:sz w:val="24"/>
          <w:szCs w:val="24"/>
        </w:rPr>
        <w:t>.</w:t>
      </w:r>
      <w:r>
        <w:rPr>
          <w:rFonts w:cs="Arial"/>
          <w:bCs/>
          <w:sz w:val="24"/>
          <w:szCs w:val="24"/>
        </w:rPr>
        <w:t xml:space="preserve"> E</w:t>
      </w:r>
      <w:r w:rsidRPr="00D51DB0">
        <w:rPr>
          <w:rFonts w:eastAsia="Calibri" w:cs="Arial"/>
          <w:sz w:val="24"/>
          <w:szCs w:val="24"/>
        </w:rPr>
        <w:t xml:space="preserve">l 13 de junio, </w:t>
      </w:r>
      <w:r w:rsidRPr="00D51DB0">
        <w:rPr>
          <w:rFonts w:eastAsia="Calibri" w:cs="Arial"/>
          <w:b/>
          <w:bCs/>
          <w:sz w:val="24"/>
          <w:szCs w:val="24"/>
        </w:rPr>
        <w:t xml:space="preserve">el Instituto </w:t>
      </w:r>
      <w:r>
        <w:rPr>
          <w:rFonts w:eastAsia="Calibri" w:cs="Arial"/>
          <w:b/>
          <w:bCs/>
          <w:sz w:val="24"/>
          <w:szCs w:val="24"/>
        </w:rPr>
        <w:t xml:space="preserve">Electoral </w:t>
      </w:r>
      <w:r w:rsidRPr="00D51DB0">
        <w:rPr>
          <w:rFonts w:eastAsia="Calibri" w:cs="Arial"/>
          <w:b/>
          <w:bCs/>
          <w:sz w:val="24"/>
          <w:szCs w:val="24"/>
        </w:rPr>
        <w:t xml:space="preserve">Local </w:t>
      </w:r>
      <w:r w:rsidRPr="74C7579E">
        <w:rPr>
          <w:rFonts w:cs="Arial"/>
          <w:b/>
          <w:color w:val="000000" w:themeColor="text1"/>
          <w:sz w:val="24"/>
          <w:szCs w:val="24"/>
          <w:lang w:val="es-ES"/>
        </w:rPr>
        <w:t xml:space="preserve">llevó a cabo la asignación de las regidurías de </w:t>
      </w:r>
      <w:proofErr w:type="spellStart"/>
      <w:r w:rsidRPr="74C7579E">
        <w:rPr>
          <w:rFonts w:cs="Arial"/>
          <w:b/>
          <w:color w:val="000000" w:themeColor="text1"/>
          <w:sz w:val="24"/>
          <w:szCs w:val="24"/>
          <w:lang w:val="es-ES"/>
        </w:rPr>
        <w:t>rp</w:t>
      </w:r>
      <w:proofErr w:type="spellEnd"/>
      <w:r w:rsidRPr="74C7579E">
        <w:rPr>
          <w:rFonts w:cs="Arial"/>
          <w:color w:val="000000" w:themeColor="text1"/>
          <w:sz w:val="24"/>
          <w:szCs w:val="24"/>
          <w:lang w:val="es-ES"/>
        </w:rPr>
        <w:t xml:space="preserve"> para integrar el Ayuntamiento de </w:t>
      </w:r>
      <w:r>
        <w:rPr>
          <w:sz w:val="24"/>
          <w:szCs w:val="24"/>
        </w:rPr>
        <w:t>San Felipe, Guanajuato.</w:t>
      </w:r>
    </w:p>
    <w:p w:rsidR="00880110" w:rsidRPr="00707622" w:rsidRDefault="00880110" w:rsidP="00880110">
      <w:pPr>
        <w:spacing w:line="360" w:lineRule="auto"/>
        <w:rPr>
          <w:rFonts w:cs="Arial"/>
          <w:color w:val="000000"/>
          <w:szCs w:val="16"/>
          <w:lang w:val="es-ES"/>
        </w:rPr>
      </w:pPr>
    </w:p>
    <w:p w:rsidR="00880110" w:rsidRPr="004D20B1" w:rsidRDefault="00880110" w:rsidP="00880110">
      <w:pPr>
        <w:spacing w:line="360" w:lineRule="auto"/>
        <w:rPr>
          <w:rFonts w:cs="Arial"/>
          <w:b/>
          <w:color w:val="000000"/>
          <w:sz w:val="24"/>
          <w:szCs w:val="24"/>
          <w:lang w:val="es-ES"/>
        </w:rPr>
      </w:pPr>
      <w:r w:rsidRPr="004D20B1">
        <w:rPr>
          <w:rFonts w:cs="Arial"/>
          <w:b/>
          <w:color w:val="000000"/>
          <w:sz w:val="24"/>
          <w:szCs w:val="24"/>
          <w:lang w:val="es-ES"/>
        </w:rPr>
        <w:t>I</w:t>
      </w:r>
      <w:r>
        <w:rPr>
          <w:rFonts w:cs="Arial"/>
          <w:b/>
          <w:color w:val="000000"/>
          <w:sz w:val="24"/>
          <w:szCs w:val="24"/>
          <w:lang w:val="es-ES"/>
        </w:rPr>
        <w:t>V</w:t>
      </w:r>
      <w:r w:rsidRPr="004D20B1">
        <w:rPr>
          <w:rFonts w:cs="Arial"/>
          <w:b/>
          <w:color w:val="000000"/>
          <w:sz w:val="24"/>
          <w:szCs w:val="24"/>
          <w:lang w:val="es-ES"/>
        </w:rPr>
        <w:t>. Juicio</w:t>
      </w:r>
      <w:r>
        <w:rPr>
          <w:rFonts w:cs="Arial"/>
          <w:b/>
          <w:color w:val="000000"/>
          <w:sz w:val="24"/>
          <w:szCs w:val="24"/>
          <w:lang w:val="es-ES"/>
        </w:rPr>
        <w:t>s</w:t>
      </w:r>
      <w:r w:rsidRPr="004D20B1">
        <w:rPr>
          <w:rFonts w:cs="Arial"/>
          <w:b/>
          <w:color w:val="000000"/>
          <w:sz w:val="24"/>
          <w:szCs w:val="24"/>
          <w:lang w:val="es-ES"/>
        </w:rPr>
        <w:t xml:space="preserve"> local</w:t>
      </w:r>
      <w:r>
        <w:rPr>
          <w:rFonts w:cs="Arial"/>
          <w:b/>
          <w:color w:val="000000"/>
          <w:sz w:val="24"/>
          <w:szCs w:val="24"/>
          <w:lang w:val="es-ES"/>
        </w:rPr>
        <w:t>es</w:t>
      </w:r>
    </w:p>
    <w:p w:rsidR="00880110" w:rsidRDefault="00880110" w:rsidP="00880110">
      <w:pPr>
        <w:jc w:val="center"/>
        <w:rPr>
          <w:rFonts w:eastAsia="Calibri" w:cs="Arial"/>
          <w:iCs/>
          <w:sz w:val="24"/>
          <w:szCs w:val="24"/>
        </w:rPr>
      </w:pPr>
    </w:p>
    <w:p w:rsidR="00880110" w:rsidRDefault="00880110" w:rsidP="00880110">
      <w:pPr>
        <w:pStyle w:val="Normalsentencia"/>
        <w:spacing w:before="0" w:after="0"/>
        <w:ind w:firstLine="0"/>
        <w:rPr>
          <w:bCs/>
          <w:sz w:val="24"/>
          <w:szCs w:val="24"/>
        </w:rPr>
      </w:pPr>
      <w:r>
        <w:rPr>
          <w:rFonts w:eastAsia="Calibri" w:cs="Arial"/>
          <w:b/>
          <w:bCs/>
          <w:iCs/>
          <w:sz w:val="24"/>
          <w:szCs w:val="24"/>
        </w:rPr>
        <w:t>1</w:t>
      </w:r>
      <w:r w:rsidRPr="00C12689">
        <w:rPr>
          <w:rFonts w:eastAsia="Calibri" w:cs="Arial"/>
          <w:b/>
          <w:bCs/>
          <w:iCs/>
          <w:sz w:val="24"/>
          <w:szCs w:val="24"/>
        </w:rPr>
        <w:t xml:space="preserve">. </w:t>
      </w:r>
      <w:r>
        <w:rPr>
          <w:rFonts w:eastAsia="Calibri" w:cs="Arial"/>
          <w:b/>
          <w:bCs/>
          <w:iCs/>
          <w:sz w:val="24"/>
          <w:szCs w:val="24"/>
        </w:rPr>
        <w:t>Inconformes</w:t>
      </w:r>
      <w:r w:rsidRPr="00925DF3">
        <w:rPr>
          <w:rFonts w:eastAsia="Calibri" w:cs="Arial"/>
          <w:sz w:val="24"/>
        </w:rPr>
        <w:t xml:space="preserve">, el </w:t>
      </w:r>
      <w:r>
        <w:rPr>
          <w:rFonts w:eastAsia="Calibri" w:cs="Arial"/>
          <w:sz w:val="24"/>
        </w:rPr>
        <w:t>12, 13 y 15</w:t>
      </w:r>
      <w:r w:rsidRPr="00925DF3">
        <w:rPr>
          <w:rFonts w:eastAsia="Calibri" w:cs="Arial"/>
          <w:sz w:val="24"/>
        </w:rPr>
        <w:t xml:space="preserve"> de ju</w:t>
      </w:r>
      <w:r>
        <w:rPr>
          <w:rFonts w:eastAsia="Calibri" w:cs="Arial"/>
          <w:sz w:val="24"/>
        </w:rPr>
        <w:t>n</w:t>
      </w:r>
      <w:r w:rsidRPr="00925DF3">
        <w:rPr>
          <w:rFonts w:eastAsia="Calibri" w:cs="Arial"/>
          <w:sz w:val="24"/>
        </w:rPr>
        <w:t>io</w:t>
      </w:r>
      <w:r>
        <w:rPr>
          <w:rFonts w:eastAsia="Calibri" w:cs="Arial"/>
          <w:sz w:val="24"/>
        </w:rPr>
        <w:t xml:space="preserve">, </w:t>
      </w:r>
      <w:r w:rsidRPr="009D5D18">
        <w:rPr>
          <w:rFonts w:eastAsia="Calibri" w:cs="Arial"/>
          <w:b/>
          <w:sz w:val="24"/>
        </w:rPr>
        <w:t>el PRI, una ciudadana, el PAN y su entonces candidato, promovieron juicios locales</w:t>
      </w:r>
      <w:r w:rsidRPr="00CB314F">
        <w:rPr>
          <w:rFonts w:eastAsia="Calibri" w:cs="Arial"/>
          <w:sz w:val="24"/>
        </w:rPr>
        <w:t>,</w:t>
      </w:r>
      <w:r>
        <w:rPr>
          <w:rFonts w:eastAsia="Calibri" w:cs="Arial"/>
          <w:b/>
          <w:bCs/>
          <w:sz w:val="24"/>
        </w:rPr>
        <w:t xml:space="preserve"> </w:t>
      </w:r>
      <w:r w:rsidRPr="004D20B1">
        <w:rPr>
          <w:bCs/>
          <w:sz w:val="24"/>
          <w:szCs w:val="24"/>
        </w:rPr>
        <w:t>a fin de controvertir</w:t>
      </w:r>
      <w:r>
        <w:rPr>
          <w:bCs/>
          <w:sz w:val="24"/>
          <w:szCs w:val="24"/>
        </w:rPr>
        <w:t>, por un lado,</w:t>
      </w:r>
      <w:r w:rsidRPr="00E251C3">
        <w:rPr>
          <w:b/>
          <w:sz w:val="24"/>
          <w:szCs w:val="24"/>
        </w:rPr>
        <w:t xml:space="preserve"> i.</w:t>
      </w:r>
      <w:r>
        <w:rPr>
          <w:bCs/>
          <w:sz w:val="24"/>
          <w:szCs w:val="24"/>
        </w:rPr>
        <w:t xml:space="preserve"> </w:t>
      </w:r>
      <w:r w:rsidRPr="00F1653C">
        <w:rPr>
          <w:bCs/>
          <w:sz w:val="24"/>
          <w:szCs w:val="24"/>
        </w:rPr>
        <w:t>la validez y entrega de la constancia de mayoría a la planilla de</w:t>
      </w:r>
      <w:r>
        <w:rPr>
          <w:bCs/>
          <w:sz w:val="24"/>
          <w:szCs w:val="24"/>
        </w:rPr>
        <w:t>l PVEM</w:t>
      </w:r>
      <w:r w:rsidRPr="00F1653C">
        <w:rPr>
          <w:bCs/>
          <w:sz w:val="24"/>
          <w:szCs w:val="24"/>
        </w:rPr>
        <w:t xml:space="preserve">, argumentando la nulidad de votación recibida en diversas casillas, </w:t>
      </w:r>
      <w:r>
        <w:rPr>
          <w:bCs/>
          <w:sz w:val="24"/>
          <w:szCs w:val="24"/>
        </w:rPr>
        <w:t xml:space="preserve">la nulidad de </w:t>
      </w:r>
      <w:r>
        <w:rPr>
          <w:bCs/>
          <w:sz w:val="24"/>
          <w:szCs w:val="24"/>
        </w:rPr>
        <w:lastRenderedPageBreak/>
        <w:t xml:space="preserve">la elección, </w:t>
      </w:r>
      <w:r w:rsidRPr="00F1653C">
        <w:rPr>
          <w:bCs/>
          <w:sz w:val="24"/>
          <w:szCs w:val="24"/>
        </w:rPr>
        <w:t>así como presuntas irregularidades atribuidas al Comité Municipal</w:t>
      </w:r>
      <w:r>
        <w:rPr>
          <w:bCs/>
          <w:sz w:val="24"/>
          <w:szCs w:val="24"/>
        </w:rPr>
        <w:t xml:space="preserve">, y </w:t>
      </w:r>
      <w:r w:rsidRPr="00E251C3">
        <w:rPr>
          <w:b/>
          <w:sz w:val="24"/>
          <w:szCs w:val="24"/>
        </w:rPr>
        <w:t>ii.</w:t>
      </w:r>
      <w:r>
        <w:rPr>
          <w:bCs/>
          <w:sz w:val="24"/>
          <w:szCs w:val="24"/>
        </w:rPr>
        <w:t xml:space="preserve"> </w:t>
      </w:r>
      <w:r w:rsidRPr="004D20B1">
        <w:rPr>
          <w:bCs/>
          <w:sz w:val="24"/>
          <w:szCs w:val="24"/>
        </w:rPr>
        <w:t xml:space="preserve">la asignación de regidurías de </w:t>
      </w:r>
      <w:proofErr w:type="spellStart"/>
      <w:r>
        <w:rPr>
          <w:bCs/>
          <w:sz w:val="24"/>
          <w:szCs w:val="24"/>
        </w:rPr>
        <w:t>rp</w:t>
      </w:r>
      <w:proofErr w:type="spellEnd"/>
      <w:r>
        <w:rPr>
          <w:bCs/>
          <w:sz w:val="24"/>
          <w:szCs w:val="24"/>
        </w:rPr>
        <w:t>, en concreto que en la integración del ayuntamiento se vulneración los límites constitucionales se sobre y subrepresentación</w:t>
      </w:r>
      <w:r w:rsidRPr="00516618">
        <w:rPr>
          <w:bCs/>
          <w:sz w:val="24"/>
          <w:szCs w:val="24"/>
        </w:rPr>
        <w:t>.</w:t>
      </w:r>
    </w:p>
    <w:p w:rsidR="00880110" w:rsidRDefault="00880110" w:rsidP="00880110">
      <w:pPr>
        <w:rPr>
          <w:rFonts w:eastAsia="Calibri" w:cs="Arial"/>
          <w:sz w:val="24"/>
        </w:rPr>
      </w:pPr>
    </w:p>
    <w:p w:rsidR="00880110" w:rsidRDefault="00880110" w:rsidP="00880110">
      <w:pPr>
        <w:spacing w:line="360" w:lineRule="auto"/>
        <w:rPr>
          <w:rFonts w:eastAsia="Calibri" w:cs="Arial"/>
          <w:sz w:val="24"/>
        </w:rPr>
      </w:pPr>
      <w:r>
        <w:rPr>
          <w:rFonts w:eastAsia="Calibri" w:cs="Arial"/>
          <w:b/>
          <w:bCs/>
          <w:sz w:val="24"/>
        </w:rPr>
        <w:t>2</w:t>
      </w:r>
      <w:r w:rsidRPr="000868AD">
        <w:rPr>
          <w:rFonts w:eastAsia="Calibri" w:cs="Arial"/>
          <w:b/>
          <w:bCs/>
          <w:sz w:val="24"/>
        </w:rPr>
        <w:t>.</w:t>
      </w:r>
      <w:r>
        <w:rPr>
          <w:rFonts w:eastAsia="Calibri" w:cs="Arial"/>
          <w:b/>
          <w:bCs/>
          <w:sz w:val="24"/>
        </w:rPr>
        <w:t xml:space="preserve"> </w:t>
      </w:r>
      <w:r w:rsidRPr="000868AD">
        <w:rPr>
          <w:rFonts w:eastAsia="Calibri" w:cs="Arial"/>
          <w:sz w:val="24"/>
        </w:rPr>
        <w:t xml:space="preserve">El </w:t>
      </w:r>
      <w:r>
        <w:rPr>
          <w:rFonts w:eastAsia="Calibri" w:cs="Arial"/>
          <w:sz w:val="24"/>
        </w:rPr>
        <w:t xml:space="preserve">10 </w:t>
      </w:r>
      <w:r w:rsidRPr="000868AD">
        <w:rPr>
          <w:rFonts w:eastAsia="Calibri" w:cs="Arial"/>
          <w:sz w:val="24"/>
        </w:rPr>
        <w:t xml:space="preserve">de </w:t>
      </w:r>
      <w:r>
        <w:rPr>
          <w:rFonts w:eastAsia="Calibri" w:cs="Arial"/>
          <w:sz w:val="24"/>
        </w:rPr>
        <w:t>agosto,</w:t>
      </w:r>
      <w:r w:rsidRPr="000868AD">
        <w:rPr>
          <w:rFonts w:eastAsia="Calibri" w:cs="Arial"/>
          <w:sz w:val="24"/>
        </w:rPr>
        <w:t xml:space="preserve"> </w:t>
      </w:r>
      <w:r w:rsidRPr="00783347">
        <w:rPr>
          <w:rFonts w:eastAsia="Calibri" w:cs="Arial"/>
          <w:b/>
          <w:bCs/>
          <w:sz w:val="24"/>
        </w:rPr>
        <w:t xml:space="preserve">el Tribunal de </w:t>
      </w:r>
      <w:r>
        <w:rPr>
          <w:rFonts w:eastAsia="Calibri" w:cs="Arial"/>
          <w:b/>
          <w:bCs/>
          <w:sz w:val="24"/>
        </w:rPr>
        <w:t xml:space="preserve">Guanajuato </w:t>
      </w:r>
      <w:r w:rsidRPr="00783347">
        <w:rPr>
          <w:rFonts w:eastAsia="Calibri" w:cs="Arial"/>
          <w:b/>
          <w:bCs/>
          <w:sz w:val="24"/>
        </w:rPr>
        <w:t>resolvió</w:t>
      </w:r>
      <w:r w:rsidRPr="00526C72">
        <w:rPr>
          <w:rFonts w:eastAsia="Calibri" w:cs="Arial"/>
          <w:sz w:val="24"/>
        </w:rPr>
        <w:t xml:space="preserve"> en los términos que se precisan al inicio del </w:t>
      </w:r>
      <w:r w:rsidRPr="00557913">
        <w:rPr>
          <w:rFonts w:eastAsia="Calibri" w:cs="Arial"/>
          <w:sz w:val="24"/>
        </w:rPr>
        <w:t>apartado siguiente, lo cual constituye la determinación impugnada en el presente juicio</w:t>
      </w:r>
      <w:r>
        <w:rPr>
          <w:rFonts w:eastAsia="Calibri" w:cs="Arial"/>
          <w:sz w:val="24"/>
        </w:rPr>
        <w:t>.</w:t>
      </w:r>
    </w:p>
    <w:p w:rsidR="00880110" w:rsidRDefault="00880110" w:rsidP="00880110">
      <w:pPr>
        <w:rPr>
          <w:rFonts w:cs="Arial"/>
          <w:b/>
          <w:bCs/>
          <w:sz w:val="24"/>
          <w:szCs w:val="24"/>
        </w:rPr>
      </w:pPr>
      <w:bookmarkStart w:id="56" w:name="_Toc74989861"/>
    </w:p>
    <w:p w:rsidR="00880110" w:rsidRPr="00526C72" w:rsidRDefault="00880110" w:rsidP="00880110">
      <w:pPr>
        <w:pStyle w:val="Ttulo1"/>
        <w:spacing w:before="0"/>
        <w:contextualSpacing/>
        <w:jc w:val="center"/>
        <w:rPr>
          <w:rFonts w:ascii="Arial" w:eastAsia="Calibri" w:hAnsi="Arial" w:cs="Arial"/>
          <w:b/>
          <w:bCs/>
          <w:color w:val="auto"/>
          <w:sz w:val="24"/>
          <w:szCs w:val="24"/>
          <w:lang w:eastAsia="es-MX"/>
        </w:rPr>
      </w:pPr>
      <w:bookmarkStart w:id="57" w:name="_Toc73744850"/>
      <w:bookmarkStart w:id="58" w:name="_Toc79163478"/>
      <w:bookmarkStart w:id="59" w:name="_Toc79172140"/>
      <w:bookmarkStart w:id="60" w:name="_Toc79172785"/>
      <w:bookmarkStart w:id="61" w:name="_Toc79173049"/>
      <w:bookmarkStart w:id="62" w:name="_Toc79173703"/>
      <w:bookmarkStart w:id="63" w:name="_Toc79176075"/>
      <w:bookmarkStart w:id="64" w:name="_Toc79175945"/>
      <w:bookmarkStart w:id="65" w:name="_Toc79183185"/>
      <w:bookmarkStart w:id="66" w:name="_Toc79183560"/>
      <w:bookmarkStart w:id="67" w:name="_Toc79183651"/>
      <w:bookmarkStart w:id="68" w:name="_Toc79184171"/>
      <w:bookmarkStart w:id="69" w:name="_Toc79184108"/>
      <w:bookmarkStart w:id="70" w:name="_Toc80872666"/>
      <w:bookmarkStart w:id="71" w:name="_Toc80910963"/>
      <w:bookmarkStart w:id="72" w:name="_Hlk74002719"/>
      <w:bookmarkStart w:id="73" w:name="_Hlk75008229"/>
      <w:bookmarkEnd w:id="56"/>
      <w:r w:rsidRPr="00526C72">
        <w:rPr>
          <w:rFonts w:ascii="Arial" w:eastAsia="Times New Roman" w:hAnsi="Arial" w:cs="Arial"/>
          <w:b/>
          <w:bCs/>
          <w:color w:val="auto"/>
          <w:sz w:val="24"/>
          <w:szCs w:val="24"/>
        </w:rPr>
        <w:t>Estudio de fondo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880110" w:rsidRPr="00526C72" w:rsidRDefault="00880110" w:rsidP="00880110">
      <w:pPr>
        <w:contextualSpacing/>
        <w:rPr>
          <w:rFonts w:cs="Arial"/>
          <w:b/>
          <w:bCs/>
          <w:sz w:val="24"/>
          <w:szCs w:val="24"/>
          <w:lang w:eastAsia="es-MX"/>
        </w:rPr>
      </w:pPr>
    </w:p>
    <w:p w:rsidR="00880110" w:rsidRDefault="00880110" w:rsidP="00880110">
      <w:pPr>
        <w:pStyle w:val="Ttulo2"/>
        <w:spacing w:before="0"/>
        <w:contextualSpacing/>
        <w:rPr>
          <w:rFonts w:ascii="Arial" w:hAnsi="Arial" w:cs="Arial"/>
          <w:b/>
          <w:bCs/>
          <w:color w:val="auto"/>
          <w:sz w:val="24"/>
          <w:szCs w:val="24"/>
          <w:lang w:val="es-ES_tradnl"/>
        </w:rPr>
      </w:pPr>
      <w:bookmarkStart w:id="74" w:name="_Toc73744851"/>
      <w:bookmarkStart w:id="75" w:name="_Toc79163479"/>
      <w:bookmarkStart w:id="76" w:name="_Toc79172141"/>
      <w:bookmarkStart w:id="77" w:name="_Toc79172786"/>
      <w:bookmarkStart w:id="78" w:name="_Toc79173050"/>
      <w:bookmarkStart w:id="79" w:name="_Toc79173704"/>
      <w:bookmarkStart w:id="80" w:name="_Toc79176076"/>
      <w:bookmarkStart w:id="81" w:name="_Toc79175946"/>
      <w:bookmarkStart w:id="82" w:name="_Toc79183186"/>
      <w:bookmarkStart w:id="83" w:name="_Toc79183561"/>
      <w:bookmarkStart w:id="84" w:name="_Toc79183652"/>
      <w:bookmarkStart w:id="85" w:name="_Toc79184172"/>
      <w:bookmarkStart w:id="86" w:name="_Toc79184109"/>
      <w:bookmarkStart w:id="87" w:name="_Toc80872667"/>
      <w:bookmarkStart w:id="88" w:name="_Toc80910964"/>
      <w:r w:rsidRPr="00526C72">
        <w:rPr>
          <w:rFonts w:ascii="Arial" w:hAnsi="Arial" w:cs="Arial"/>
          <w:b/>
          <w:bCs/>
          <w:color w:val="auto"/>
          <w:sz w:val="24"/>
          <w:szCs w:val="24"/>
          <w:u w:val="single"/>
          <w:lang w:val="es-ES_tradnl"/>
        </w:rPr>
        <w:t xml:space="preserve">Apartado preliminar. </w:t>
      </w:r>
      <w:r w:rsidRPr="00526C72">
        <w:rPr>
          <w:rFonts w:ascii="Arial" w:hAnsi="Arial" w:cs="Arial"/>
          <w:b/>
          <w:bCs/>
          <w:color w:val="auto"/>
          <w:sz w:val="24"/>
          <w:szCs w:val="24"/>
          <w:lang w:val="es-ES_tradnl"/>
        </w:rPr>
        <w:t>Materia de la controversia</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880110" w:rsidRPr="00121089" w:rsidRDefault="00880110" w:rsidP="00880110">
      <w:pPr>
        <w:rPr>
          <w:sz w:val="24"/>
          <w:szCs w:val="24"/>
          <w:lang w:val="es-ES_tradnl"/>
        </w:rPr>
      </w:pPr>
    </w:p>
    <w:bookmarkEnd w:id="72"/>
    <w:p w:rsidR="00725403" w:rsidRPr="00725403" w:rsidRDefault="00880110" w:rsidP="00880110">
      <w:pPr>
        <w:spacing w:line="360" w:lineRule="auto"/>
        <w:contextualSpacing/>
        <w:rPr>
          <w:rFonts w:cs="Arial"/>
          <w:sz w:val="24"/>
          <w:szCs w:val="24"/>
          <w:lang w:val="es-ES"/>
        </w:rPr>
      </w:pPr>
      <w:r w:rsidRPr="003D7734">
        <w:rPr>
          <w:rFonts w:cs="Arial"/>
          <w:b/>
          <w:sz w:val="24"/>
          <w:szCs w:val="24"/>
        </w:rPr>
        <w:t>1. En la sentencia impugnada</w:t>
      </w:r>
      <w:r w:rsidRPr="003D7734">
        <w:rPr>
          <w:rFonts w:cs="Arial"/>
          <w:sz w:val="24"/>
          <w:szCs w:val="24"/>
        </w:rPr>
        <w:t xml:space="preserve">, el </w:t>
      </w:r>
      <w:r w:rsidRPr="00634C3D">
        <w:rPr>
          <w:rFonts w:cs="Arial"/>
          <w:sz w:val="24"/>
          <w:szCs w:val="24"/>
        </w:rPr>
        <w:t>Tribunal</w:t>
      </w:r>
      <w:r w:rsidRPr="00634C3D">
        <w:rPr>
          <w:rFonts w:cs="Arial"/>
        </w:rPr>
        <w:t xml:space="preserve"> </w:t>
      </w:r>
      <w:r w:rsidRPr="00634C3D">
        <w:rPr>
          <w:rFonts w:cs="Arial"/>
          <w:bCs/>
          <w:sz w:val="24"/>
          <w:szCs w:val="24"/>
          <w:lang w:val="es-ES_tradnl"/>
        </w:rPr>
        <w:t>Loca</w:t>
      </w:r>
      <w:r>
        <w:rPr>
          <w:rFonts w:cs="Arial"/>
          <w:bCs/>
          <w:sz w:val="24"/>
          <w:szCs w:val="24"/>
          <w:lang w:val="es-ES_tradnl"/>
        </w:rPr>
        <w:t>l</w:t>
      </w:r>
      <w:r w:rsidRPr="00A0122A">
        <w:rPr>
          <w:rFonts w:cs="Arial"/>
          <w:bCs/>
          <w:sz w:val="24"/>
          <w:szCs w:val="24"/>
          <w:lang w:val="es-ES_tradnl"/>
        </w:rPr>
        <w:t xml:space="preserve">: </w:t>
      </w:r>
      <w:r w:rsidRPr="00A0122A">
        <w:rPr>
          <w:rFonts w:cs="Arial"/>
          <w:b/>
          <w:sz w:val="24"/>
          <w:szCs w:val="24"/>
          <w:lang w:val="es-ES_tradnl"/>
        </w:rPr>
        <w:t xml:space="preserve">i. </w:t>
      </w:r>
      <w:r>
        <w:rPr>
          <w:rFonts w:cs="Arial"/>
          <w:bCs/>
          <w:sz w:val="24"/>
          <w:szCs w:val="24"/>
          <w:lang w:val="es-ES_tradnl"/>
        </w:rPr>
        <w:t xml:space="preserve">determinó que </w:t>
      </w:r>
      <w:r>
        <w:rPr>
          <w:rFonts w:cs="Arial"/>
          <w:sz w:val="24"/>
          <w:szCs w:val="24"/>
          <w:lang w:val="es-ES"/>
        </w:rPr>
        <w:t>el</w:t>
      </w:r>
      <w:r w:rsidRPr="00C2422A">
        <w:rPr>
          <w:rFonts w:cs="Arial"/>
          <w:sz w:val="24"/>
          <w:szCs w:val="24"/>
          <w:lang w:val="es-ES"/>
        </w:rPr>
        <w:t xml:space="preserve"> medio de impugnación promovido por el presidente del Comité Directivo </w:t>
      </w:r>
      <w:r>
        <w:rPr>
          <w:rFonts w:cs="Arial"/>
          <w:sz w:val="24"/>
          <w:szCs w:val="24"/>
          <w:lang w:val="es-ES"/>
        </w:rPr>
        <w:t xml:space="preserve">era improcedente, </w:t>
      </w:r>
      <w:r w:rsidRPr="00C2422A">
        <w:rPr>
          <w:rFonts w:cs="Arial"/>
          <w:sz w:val="24"/>
          <w:szCs w:val="24"/>
          <w:lang w:val="es-ES"/>
        </w:rPr>
        <w:t xml:space="preserve">porque carecía de facultades de representación para promover medios de impugnación a nombre del </w:t>
      </w:r>
      <w:r>
        <w:rPr>
          <w:rFonts w:cs="Arial"/>
          <w:sz w:val="24"/>
          <w:szCs w:val="24"/>
          <w:lang w:val="es-ES"/>
        </w:rPr>
        <w:t xml:space="preserve">PRI, </w:t>
      </w:r>
      <w:r>
        <w:rPr>
          <w:rFonts w:cs="Arial"/>
          <w:b/>
          <w:bCs/>
          <w:sz w:val="24"/>
          <w:szCs w:val="24"/>
          <w:lang w:val="es-ES"/>
        </w:rPr>
        <w:t xml:space="preserve">ii. </w:t>
      </w:r>
      <w:r w:rsidRPr="00C2422A">
        <w:rPr>
          <w:rFonts w:cs="Arial"/>
          <w:sz w:val="24"/>
          <w:szCs w:val="24"/>
          <w:lang w:val="es-ES"/>
        </w:rPr>
        <w:t>Confirm</w:t>
      </w:r>
      <w:r>
        <w:rPr>
          <w:rFonts w:cs="Arial"/>
          <w:sz w:val="24"/>
          <w:szCs w:val="24"/>
          <w:lang w:val="es-ES"/>
        </w:rPr>
        <w:t xml:space="preserve">ó </w:t>
      </w:r>
      <w:r w:rsidRPr="00C2422A">
        <w:rPr>
          <w:rFonts w:cs="Arial"/>
          <w:sz w:val="24"/>
          <w:szCs w:val="24"/>
          <w:lang w:val="es-ES"/>
        </w:rPr>
        <w:t>la validez de la elección para renovar el ayuntamiento de San Felipe, Guanajuato</w:t>
      </w:r>
      <w:r>
        <w:rPr>
          <w:rFonts w:cs="Arial"/>
          <w:sz w:val="24"/>
          <w:szCs w:val="24"/>
          <w:lang w:val="es-ES"/>
        </w:rPr>
        <w:t>,</w:t>
      </w:r>
      <w:r w:rsidRPr="00C2422A">
        <w:rPr>
          <w:rFonts w:cs="Arial"/>
          <w:sz w:val="24"/>
          <w:szCs w:val="24"/>
          <w:lang w:val="es-ES"/>
        </w:rPr>
        <w:t xml:space="preserve"> así como la entrega de la constancia de mayoría a la planilla postulada por el PVEM, al considerar </w:t>
      </w:r>
      <w:r>
        <w:rPr>
          <w:rFonts w:cs="Arial"/>
          <w:sz w:val="24"/>
          <w:szCs w:val="24"/>
          <w:u w:val="single"/>
          <w:lang w:val="es-ES"/>
        </w:rPr>
        <w:t>por un lado,</w:t>
      </w:r>
      <w:r>
        <w:rPr>
          <w:rFonts w:cs="Arial"/>
          <w:sz w:val="24"/>
          <w:szCs w:val="24"/>
          <w:lang w:val="es-ES"/>
        </w:rPr>
        <w:t xml:space="preserve"> que</w:t>
      </w:r>
      <w:r>
        <w:rPr>
          <w:rFonts w:cs="Arial"/>
          <w:b/>
          <w:bCs/>
          <w:sz w:val="24"/>
          <w:szCs w:val="24"/>
          <w:lang w:val="es-ES"/>
        </w:rPr>
        <w:t xml:space="preserve"> </w:t>
      </w:r>
      <w:r w:rsidRPr="00C2422A">
        <w:rPr>
          <w:rFonts w:cs="Arial"/>
          <w:sz w:val="24"/>
          <w:szCs w:val="24"/>
          <w:lang w:val="es-ES"/>
        </w:rPr>
        <w:t>no se actualizaban las causales de nulidad de votación recibida en diversas casillas, porque del análisis realizado, l</w:t>
      </w:r>
      <w:r w:rsidRPr="001F7C80">
        <w:rPr>
          <w:rFonts w:cs="Arial"/>
          <w:sz w:val="24"/>
          <w:szCs w:val="24"/>
          <w:lang w:val="es-ES"/>
        </w:rPr>
        <w:t xml:space="preserve">as pruebas aportadas por el impugnante no demostraban las irregularidades consistentes en entrega tardía de paquetes electorales, apertura tardía de casillas y error o dolo, entre otras, y </w:t>
      </w:r>
      <w:r w:rsidRPr="001F7C80">
        <w:rPr>
          <w:rFonts w:cs="Arial"/>
          <w:sz w:val="24"/>
          <w:szCs w:val="24"/>
          <w:u w:val="single"/>
          <w:lang w:val="es-ES"/>
        </w:rPr>
        <w:t>por otro</w:t>
      </w:r>
      <w:r w:rsidRPr="001F7C80">
        <w:rPr>
          <w:rFonts w:cs="Arial"/>
          <w:sz w:val="24"/>
          <w:szCs w:val="24"/>
          <w:lang w:val="es-ES"/>
        </w:rPr>
        <w:t>,</w:t>
      </w:r>
      <w:r w:rsidRPr="001F7C80">
        <w:rPr>
          <w:rFonts w:cs="Arial"/>
          <w:b/>
          <w:bCs/>
          <w:sz w:val="24"/>
          <w:szCs w:val="24"/>
          <w:lang w:val="es-ES"/>
        </w:rPr>
        <w:t xml:space="preserve"> </w:t>
      </w:r>
      <w:r w:rsidRPr="001F7C80">
        <w:rPr>
          <w:rFonts w:cs="Arial"/>
          <w:sz w:val="24"/>
          <w:szCs w:val="24"/>
          <w:lang w:val="es-ES"/>
        </w:rPr>
        <w:t>que</w:t>
      </w:r>
      <w:r w:rsidRPr="001F7C80">
        <w:rPr>
          <w:rFonts w:cs="Arial"/>
          <w:sz w:val="24"/>
          <w:szCs w:val="24"/>
          <w:u w:val="single"/>
          <w:lang w:val="es-ES"/>
        </w:rPr>
        <w:t xml:space="preserve"> </w:t>
      </w:r>
      <w:r w:rsidRPr="001F7C80">
        <w:rPr>
          <w:rFonts w:cs="Arial"/>
          <w:sz w:val="24"/>
          <w:szCs w:val="24"/>
          <w:lang w:val="es-ES"/>
        </w:rPr>
        <w:t>no se acreditaron las infracciones de promoción personalizada, violencia política por razón de género entra otras, porque se declararon</w:t>
      </w:r>
      <w:r w:rsidRPr="00C2422A">
        <w:rPr>
          <w:rFonts w:cs="Arial"/>
          <w:sz w:val="24"/>
          <w:szCs w:val="24"/>
          <w:lang w:val="es-ES"/>
        </w:rPr>
        <w:t xml:space="preserve"> inexistentes </w:t>
      </w:r>
      <w:r>
        <w:rPr>
          <w:rFonts w:cs="Arial"/>
          <w:sz w:val="24"/>
          <w:szCs w:val="24"/>
          <w:lang w:val="es-ES"/>
        </w:rPr>
        <w:t xml:space="preserve">los hechos denunciados </w:t>
      </w:r>
      <w:r w:rsidRPr="00C2422A">
        <w:rPr>
          <w:rFonts w:cs="Arial"/>
          <w:sz w:val="24"/>
          <w:szCs w:val="24"/>
          <w:lang w:val="es-ES"/>
        </w:rPr>
        <w:t>y no se probó la existencia de violaciones al principio de imparcialidad por parte del Comité Municipal</w:t>
      </w:r>
      <w:r>
        <w:rPr>
          <w:rFonts w:cs="Arial"/>
          <w:sz w:val="24"/>
          <w:szCs w:val="24"/>
          <w:lang w:val="es-ES"/>
        </w:rPr>
        <w:t xml:space="preserve">, y </w:t>
      </w:r>
      <w:r>
        <w:rPr>
          <w:rFonts w:cs="Arial"/>
          <w:b/>
          <w:bCs/>
          <w:sz w:val="24"/>
          <w:szCs w:val="24"/>
          <w:lang w:val="es-ES"/>
        </w:rPr>
        <w:t xml:space="preserve">iii. </w:t>
      </w:r>
      <w:r>
        <w:rPr>
          <w:rFonts w:cs="Arial"/>
          <w:sz w:val="24"/>
          <w:szCs w:val="24"/>
          <w:lang w:val="es-ES"/>
        </w:rPr>
        <w:t xml:space="preserve">confirmó </w:t>
      </w:r>
      <w:r w:rsidRPr="00C2422A">
        <w:rPr>
          <w:rFonts w:cs="Arial"/>
          <w:sz w:val="24"/>
          <w:szCs w:val="24"/>
          <w:lang w:val="es-ES"/>
        </w:rPr>
        <w:t xml:space="preserve">el acuerdo del Instituto Local, a través del cual efectuó la asignación de regidurías de </w:t>
      </w:r>
      <w:proofErr w:type="spellStart"/>
      <w:r w:rsidRPr="00C2422A">
        <w:rPr>
          <w:rFonts w:cs="Arial"/>
          <w:sz w:val="24"/>
          <w:szCs w:val="24"/>
          <w:lang w:val="es-ES"/>
        </w:rPr>
        <w:t>rp</w:t>
      </w:r>
      <w:proofErr w:type="spellEnd"/>
      <w:r w:rsidRPr="00C2422A">
        <w:rPr>
          <w:rFonts w:cs="Arial"/>
          <w:sz w:val="24"/>
          <w:szCs w:val="24"/>
          <w:lang w:val="es-ES"/>
        </w:rPr>
        <w:t xml:space="preserve"> para integrar el ayuntamiento de San Felipe, Guanajuato, porque</w:t>
      </w:r>
      <w:r>
        <w:rPr>
          <w:rFonts w:cs="Arial"/>
          <w:sz w:val="24"/>
          <w:szCs w:val="24"/>
          <w:lang w:val="es-ES"/>
        </w:rPr>
        <w:t>, contrario a lo afirmado por el impugnante,</w:t>
      </w:r>
      <w:r w:rsidRPr="00C2422A">
        <w:rPr>
          <w:rFonts w:cs="Arial"/>
          <w:sz w:val="24"/>
          <w:szCs w:val="24"/>
          <w:lang w:val="es-ES"/>
        </w:rPr>
        <w:t xml:space="preserve"> para la integración del órgano municipal no existía el deber de tomar en consideración los límites de sobre y subrepresentación fijados constitucionalmente para la integrac</w:t>
      </w:r>
      <w:r w:rsidRPr="004B64B9">
        <w:rPr>
          <w:rFonts w:cs="Arial"/>
          <w:sz w:val="24"/>
          <w:szCs w:val="24"/>
          <w:lang w:val="es-ES"/>
        </w:rPr>
        <w:t>ión de los Congresos locales</w:t>
      </w:r>
      <w:r>
        <w:rPr>
          <w:rFonts w:cs="Arial"/>
          <w:sz w:val="24"/>
          <w:szCs w:val="24"/>
          <w:lang w:val="es-ES"/>
        </w:rPr>
        <w:t>.</w:t>
      </w:r>
    </w:p>
    <w:p w:rsidR="00880110" w:rsidRPr="002E1303" w:rsidRDefault="00880110" w:rsidP="00880110">
      <w:pPr>
        <w:pStyle w:val="Prrafodelista"/>
        <w:spacing w:line="360" w:lineRule="auto"/>
        <w:ind w:left="0"/>
        <w:rPr>
          <w:rFonts w:eastAsia="Calibri" w:cs="Arial"/>
          <w:sz w:val="24"/>
          <w:szCs w:val="24"/>
        </w:rPr>
      </w:pPr>
    </w:p>
    <w:p w:rsidR="00880110" w:rsidRPr="002523E0" w:rsidRDefault="00880110" w:rsidP="00880110">
      <w:pPr>
        <w:spacing w:line="360" w:lineRule="auto"/>
        <w:rPr>
          <w:bCs/>
          <w:sz w:val="24"/>
          <w:szCs w:val="24"/>
        </w:rPr>
      </w:pPr>
      <w:bookmarkStart w:id="89" w:name="_Hlk74002752"/>
      <w:r w:rsidRPr="002523E0">
        <w:rPr>
          <w:rFonts w:eastAsia="Calibri" w:cs="Arial"/>
          <w:b/>
          <w:bCs/>
          <w:sz w:val="24"/>
          <w:szCs w:val="24"/>
        </w:rPr>
        <w:t xml:space="preserve">2. </w:t>
      </w:r>
      <w:r w:rsidRPr="002523E0">
        <w:rPr>
          <w:rFonts w:cs="Arial"/>
          <w:b/>
          <w:sz w:val="24"/>
          <w:szCs w:val="24"/>
          <w:lang w:val="es-ES_tradnl"/>
        </w:rPr>
        <w:t>Pretensión y planteamientos</w:t>
      </w:r>
      <w:r w:rsidRPr="002523E0">
        <w:rPr>
          <w:rStyle w:val="Refdenotaalpie"/>
          <w:b/>
          <w:sz w:val="24"/>
          <w:szCs w:val="24"/>
          <w:lang w:val="es-ES_tradnl"/>
        </w:rPr>
        <w:footnoteReference w:id="5"/>
      </w:r>
      <w:r w:rsidRPr="002523E0">
        <w:rPr>
          <w:rFonts w:cs="Arial"/>
          <w:b/>
          <w:sz w:val="24"/>
          <w:szCs w:val="24"/>
          <w:lang w:val="es-ES_tradnl"/>
        </w:rPr>
        <w:t>.</w:t>
      </w:r>
      <w:r w:rsidRPr="002523E0">
        <w:rPr>
          <w:rFonts w:cs="Arial"/>
          <w:sz w:val="24"/>
          <w:szCs w:val="24"/>
          <w:lang w:val="es-ES_tradnl"/>
        </w:rPr>
        <w:t xml:space="preserve"> </w:t>
      </w:r>
      <w:bookmarkEnd w:id="89"/>
      <w:r w:rsidRPr="002523E0">
        <w:rPr>
          <w:bCs/>
          <w:sz w:val="24"/>
          <w:szCs w:val="24"/>
        </w:rPr>
        <w:t>Los impugnantes pretenden que se revoque la resolución del Tribunal de</w:t>
      </w:r>
      <w:r>
        <w:rPr>
          <w:bCs/>
          <w:sz w:val="24"/>
          <w:szCs w:val="24"/>
        </w:rPr>
        <w:t xml:space="preserve"> Guanajuato</w:t>
      </w:r>
      <w:r w:rsidRPr="002523E0">
        <w:rPr>
          <w:bCs/>
          <w:sz w:val="24"/>
          <w:szCs w:val="24"/>
        </w:rPr>
        <w:t>, porque, desde su perspectiva:</w:t>
      </w:r>
    </w:p>
    <w:p w:rsidR="00880110" w:rsidRPr="002523E0" w:rsidRDefault="00880110" w:rsidP="00880110">
      <w:pPr>
        <w:spacing w:line="360" w:lineRule="auto"/>
        <w:rPr>
          <w:rFonts w:eastAsia="Calibri"/>
          <w:sz w:val="24"/>
          <w:szCs w:val="24"/>
        </w:rPr>
      </w:pPr>
    </w:p>
    <w:p w:rsidR="00880110" w:rsidRDefault="00880110" w:rsidP="00880110">
      <w:pPr>
        <w:spacing w:line="360" w:lineRule="auto"/>
        <w:rPr>
          <w:rFonts w:eastAsia="Calibri"/>
          <w:sz w:val="24"/>
          <w:szCs w:val="24"/>
        </w:rPr>
      </w:pPr>
      <w:r w:rsidRPr="00A0122A">
        <w:rPr>
          <w:rFonts w:eastAsia="Calibri"/>
          <w:b/>
          <w:sz w:val="24"/>
          <w:szCs w:val="24"/>
        </w:rPr>
        <w:lastRenderedPageBreak/>
        <w:t>i</w:t>
      </w:r>
      <w:r w:rsidRPr="00A0122A">
        <w:rPr>
          <w:rFonts w:eastAsia="Calibri"/>
          <w:b/>
          <w:bCs/>
          <w:sz w:val="24"/>
          <w:szCs w:val="24"/>
        </w:rPr>
        <w:t>.</w:t>
      </w:r>
      <w:r>
        <w:rPr>
          <w:rFonts w:eastAsia="Calibri"/>
          <w:sz w:val="24"/>
          <w:szCs w:val="24"/>
        </w:rPr>
        <w:t xml:space="preserve"> En relación con la </w:t>
      </w:r>
      <w:r w:rsidRPr="001E6303">
        <w:rPr>
          <w:rFonts w:eastAsia="Calibri"/>
          <w:b/>
          <w:bCs/>
          <w:sz w:val="24"/>
          <w:szCs w:val="24"/>
        </w:rPr>
        <w:t>improcedencia del medio de impugnación del presidente del Comité Directivo del PRI</w:t>
      </w:r>
      <w:r>
        <w:rPr>
          <w:rFonts w:eastAsia="Calibri"/>
          <w:sz w:val="24"/>
          <w:szCs w:val="24"/>
        </w:rPr>
        <w:t>, el impugnante argumenta que: contrario a lo determinado por la responsable, él en su calidad de presidente del Comité Directivo sí cuenta con facultades de representación para actuar en nombre del PRI y así promover medios de impugnación en su defensa.</w:t>
      </w:r>
    </w:p>
    <w:p w:rsidR="00880110" w:rsidRDefault="00880110" w:rsidP="00880110">
      <w:pPr>
        <w:spacing w:line="360" w:lineRule="auto"/>
        <w:rPr>
          <w:rFonts w:eastAsia="Calibri"/>
          <w:sz w:val="24"/>
          <w:szCs w:val="24"/>
        </w:rPr>
      </w:pPr>
    </w:p>
    <w:p w:rsidR="00880110" w:rsidRDefault="00880110" w:rsidP="00880110">
      <w:pPr>
        <w:spacing w:line="360" w:lineRule="auto"/>
        <w:rPr>
          <w:rFonts w:eastAsia="Calibri"/>
          <w:sz w:val="24"/>
          <w:szCs w:val="24"/>
        </w:rPr>
      </w:pPr>
      <w:r>
        <w:rPr>
          <w:rFonts w:eastAsia="Calibri"/>
          <w:b/>
          <w:bCs/>
          <w:sz w:val="24"/>
          <w:szCs w:val="24"/>
        </w:rPr>
        <w:t xml:space="preserve">ii. </w:t>
      </w:r>
      <w:r>
        <w:rPr>
          <w:rFonts w:eastAsia="Calibri"/>
          <w:sz w:val="24"/>
          <w:szCs w:val="24"/>
        </w:rPr>
        <w:t xml:space="preserve">Respecto de </w:t>
      </w:r>
      <w:r w:rsidRPr="00A0122A">
        <w:rPr>
          <w:rFonts w:eastAsia="Calibri"/>
          <w:b/>
          <w:bCs/>
          <w:sz w:val="24"/>
          <w:szCs w:val="24"/>
        </w:rPr>
        <w:t xml:space="preserve">la </w:t>
      </w:r>
      <w:r w:rsidRPr="00A0122A">
        <w:rPr>
          <w:rFonts w:cs="Arial"/>
          <w:b/>
          <w:bCs/>
          <w:sz w:val="24"/>
          <w:szCs w:val="24"/>
          <w:lang w:val="es-ES"/>
        </w:rPr>
        <w:t>validez de la elección, así como la entrega de la constancia de mayoría</w:t>
      </w:r>
      <w:r w:rsidRPr="00C2422A">
        <w:rPr>
          <w:rFonts w:cs="Arial"/>
          <w:sz w:val="24"/>
          <w:szCs w:val="24"/>
          <w:lang w:val="es-ES"/>
        </w:rPr>
        <w:t xml:space="preserve">, </w:t>
      </w:r>
      <w:r>
        <w:rPr>
          <w:rFonts w:eastAsia="Calibri"/>
          <w:sz w:val="24"/>
          <w:szCs w:val="24"/>
        </w:rPr>
        <w:t xml:space="preserve">el PAN y su candidatura </w:t>
      </w:r>
      <w:r w:rsidRPr="002523E0">
        <w:rPr>
          <w:rFonts w:eastAsia="Calibri"/>
          <w:sz w:val="24"/>
          <w:szCs w:val="24"/>
        </w:rPr>
        <w:t>argumenta</w:t>
      </w:r>
      <w:r>
        <w:rPr>
          <w:rFonts w:eastAsia="Calibri"/>
          <w:sz w:val="24"/>
          <w:szCs w:val="24"/>
        </w:rPr>
        <w:t>n</w:t>
      </w:r>
      <w:r w:rsidRPr="002523E0">
        <w:rPr>
          <w:rFonts w:eastAsia="Calibri"/>
          <w:sz w:val="24"/>
          <w:szCs w:val="24"/>
        </w:rPr>
        <w:t>, esencialmente</w:t>
      </w:r>
      <w:r>
        <w:rPr>
          <w:rFonts w:eastAsia="Calibri"/>
          <w:sz w:val="24"/>
          <w:szCs w:val="24"/>
        </w:rPr>
        <w:t>,</w:t>
      </w:r>
      <w:r w:rsidRPr="002523E0">
        <w:rPr>
          <w:rFonts w:eastAsia="Calibri"/>
          <w:sz w:val="24"/>
          <w:szCs w:val="24"/>
        </w:rPr>
        <w:t xml:space="preserve"> que el Tribunal de</w:t>
      </w:r>
      <w:r>
        <w:rPr>
          <w:rFonts w:eastAsia="Calibri"/>
          <w:sz w:val="24"/>
          <w:szCs w:val="24"/>
        </w:rPr>
        <w:t xml:space="preserve"> Guanajuato</w:t>
      </w:r>
      <w:r w:rsidRPr="002523E0">
        <w:rPr>
          <w:rFonts w:eastAsia="Calibri"/>
          <w:sz w:val="24"/>
          <w:szCs w:val="24"/>
        </w:rPr>
        <w:t xml:space="preserve">: </w:t>
      </w:r>
      <w:r>
        <w:rPr>
          <w:rFonts w:eastAsia="Calibri"/>
          <w:b/>
          <w:bCs/>
          <w:sz w:val="24"/>
          <w:szCs w:val="24"/>
        </w:rPr>
        <w:t>a</w:t>
      </w:r>
      <w:r>
        <w:rPr>
          <w:rFonts w:eastAsia="Calibri"/>
          <w:sz w:val="24"/>
          <w:szCs w:val="24"/>
        </w:rPr>
        <w:t>.</w:t>
      </w:r>
      <w:r w:rsidRPr="002523E0">
        <w:rPr>
          <w:rFonts w:eastAsia="Calibri"/>
          <w:sz w:val="24"/>
          <w:szCs w:val="24"/>
        </w:rPr>
        <w:t xml:space="preserve"> </w:t>
      </w:r>
      <w:r>
        <w:rPr>
          <w:rFonts w:eastAsia="Calibri"/>
          <w:sz w:val="24"/>
          <w:szCs w:val="24"/>
        </w:rPr>
        <w:t xml:space="preserve">analizó indebidamente las pruebas a través de las cuales se probó que el candidato electo utilizó recursos del municipio, radio y televisión, humanos, imagen y colores, </w:t>
      </w:r>
      <w:r>
        <w:rPr>
          <w:rFonts w:eastAsia="Calibri"/>
          <w:b/>
          <w:bCs/>
          <w:sz w:val="24"/>
          <w:szCs w:val="24"/>
        </w:rPr>
        <w:t>b</w:t>
      </w:r>
      <w:r>
        <w:rPr>
          <w:rFonts w:eastAsia="Calibri"/>
          <w:sz w:val="24"/>
          <w:szCs w:val="24"/>
        </w:rPr>
        <w:t xml:space="preserve">. omitió analizar las pruebas relacionadas con el procedimiento sancionador promovido ante el INE, así como la sentencia de la Sala Superior, en la que se ordenó a dicho Instituto que emitiera un pronunciamiento, donde se tomara en cuenta que el entonces candidato del PVEM tuvo 2 entrevistas en una radio difusora, mientras que al resto de las candidaturas sólo se les otorgó 1 entrevista, </w:t>
      </w:r>
      <w:r>
        <w:rPr>
          <w:rFonts w:eastAsia="Calibri"/>
          <w:b/>
          <w:bCs/>
          <w:sz w:val="24"/>
          <w:szCs w:val="24"/>
        </w:rPr>
        <w:t>c</w:t>
      </w:r>
      <w:r>
        <w:rPr>
          <w:rFonts w:eastAsia="Calibri"/>
          <w:b/>
          <w:sz w:val="24"/>
          <w:szCs w:val="24"/>
        </w:rPr>
        <w:t xml:space="preserve">. </w:t>
      </w:r>
      <w:r>
        <w:rPr>
          <w:rFonts w:eastAsia="Calibri"/>
          <w:sz w:val="24"/>
          <w:szCs w:val="24"/>
        </w:rPr>
        <w:t xml:space="preserve">se tasaron de forma errónea las pruebas relacionadas con la compra de tiempos de radio y Tv, por parte entonces candidato del PVEM, porque no se tomó en cuenta que esto se efectuó durante la campaña, lo cual generó inequidad frente a las otras opciones políticas, </w:t>
      </w:r>
      <w:r>
        <w:rPr>
          <w:rFonts w:eastAsia="Calibri"/>
          <w:b/>
          <w:bCs/>
          <w:sz w:val="24"/>
          <w:szCs w:val="24"/>
        </w:rPr>
        <w:t>d</w:t>
      </w:r>
      <w:r>
        <w:rPr>
          <w:rFonts w:eastAsia="Calibri"/>
          <w:b/>
          <w:sz w:val="24"/>
          <w:szCs w:val="24"/>
        </w:rPr>
        <w:t>.</w:t>
      </w:r>
      <w:r>
        <w:rPr>
          <w:rFonts w:eastAsia="Calibri"/>
          <w:sz w:val="24"/>
          <w:szCs w:val="24"/>
        </w:rPr>
        <w:t xml:space="preserve"> se analizaron de forma errónea las pruebas relacionadas con las notas periodísticas que se allegaron en el procedimiento respectivo, </w:t>
      </w:r>
      <w:r>
        <w:rPr>
          <w:rFonts w:eastAsia="Calibri"/>
          <w:b/>
          <w:bCs/>
          <w:sz w:val="24"/>
          <w:szCs w:val="24"/>
        </w:rPr>
        <w:t>e</w:t>
      </w:r>
      <w:r>
        <w:rPr>
          <w:rFonts w:eastAsia="Calibri"/>
          <w:sz w:val="24"/>
          <w:szCs w:val="24"/>
        </w:rPr>
        <w:t>. incorrectamente se declaró la inoperancia del agravio rela</w:t>
      </w:r>
      <w:r w:rsidRPr="001F7C80">
        <w:rPr>
          <w:rFonts w:eastAsia="Calibri"/>
          <w:sz w:val="24"/>
          <w:szCs w:val="24"/>
        </w:rPr>
        <w:t xml:space="preserve">cionado con la infracciones </w:t>
      </w:r>
      <w:r w:rsidRPr="001F7C80">
        <w:rPr>
          <w:rFonts w:cs="Arial"/>
          <w:sz w:val="24"/>
          <w:szCs w:val="24"/>
          <w:lang w:val="es-ES"/>
        </w:rPr>
        <w:t>promoción personalizada, violencia política por razón de género entra otras</w:t>
      </w:r>
      <w:r w:rsidRPr="001F7C80">
        <w:rPr>
          <w:rFonts w:eastAsia="Calibri"/>
          <w:sz w:val="24"/>
          <w:szCs w:val="24"/>
        </w:rPr>
        <w:t>, porque</w:t>
      </w:r>
      <w:r>
        <w:rPr>
          <w:rFonts w:eastAsia="Calibri"/>
          <w:sz w:val="24"/>
          <w:szCs w:val="24"/>
        </w:rPr>
        <w:t xml:space="preserve"> no se tomaron en cuenta los procedimientos sancionadores que se allegaron como prueba, </w:t>
      </w:r>
      <w:r>
        <w:rPr>
          <w:rFonts w:eastAsia="Calibri"/>
          <w:b/>
          <w:bCs/>
          <w:sz w:val="24"/>
          <w:szCs w:val="24"/>
        </w:rPr>
        <w:t>e</w:t>
      </w:r>
      <w:r>
        <w:rPr>
          <w:rFonts w:eastAsia="Calibri"/>
          <w:sz w:val="24"/>
          <w:szCs w:val="24"/>
        </w:rPr>
        <w:t xml:space="preserve">. fue incorrecto que se calificara como inoperante el agravio relacionado a que en la </w:t>
      </w:r>
      <w:r w:rsidRPr="006B3FBB">
        <w:rPr>
          <w:rFonts w:eastAsia="Calibri"/>
          <w:sz w:val="24"/>
          <w:szCs w:val="24"/>
        </w:rPr>
        <w:t xml:space="preserve">integración de las casillas participaron militantes del PVEM y una supervisora electoral, porque, la presencia de militantes afecta la certeza de imparcialidad de los funcionarios, </w:t>
      </w:r>
      <w:r w:rsidRPr="006B3FBB">
        <w:rPr>
          <w:rFonts w:eastAsia="Calibri"/>
          <w:b/>
          <w:bCs/>
          <w:sz w:val="24"/>
          <w:szCs w:val="24"/>
        </w:rPr>
        <w:t>f</w:t>
      </w:r>
      <w:r w:rsidRPr="006B3FBB">
        <w:rPr>
          <w:rFonts w:eastAsia="Calibri"/>
          <w:sz w:val="24"/>
          <w:szCs w:val="24"/>
        </w:rPr>
        <w:t>. se</w:t>
      </w:r>
      <w:r>
        <w:rPr>
          <w:rFonts w:eastAsia="Calibri"/>
          <w:sz w:val="24"/>
          <w:szCs w:val="24"/>
        </w:rPr>
        <w:t xml:space="preserve"> analizó de forma errónea el planteamiento respecto de la entrega tardía de diversos paquetes elector</w:t>
      </w:r>
      <w:r w:rsidRPr="00577C0F">
        <w:rPr>
          <w:rFonts w:eastAsia="Calibri"/>
          <w:sz w:val="24"/>
          <w:szCs w:val="24"/>
        </w:rPr>
        <w:t>ales, porque no se estudió de forma integral porque lo que se trató de demostrar un trato inequitativo, y</w:t>
      </w:r>
      <w:r>
        <w:rPr>
          <w:rFonts w:eastAsia="Calibri"/>
          <w:sz w:val="24"/>
          <w:szCs w:val="24"/>
        </w:rPr>
        <w:t xml:space="preserve"> </w:t>
      </w:r>
      <w:r>
        <w:rPr>
          <w:rFonts w:eastAsia="Calibri"/>
          <w:b/>
          <w:bCs/>
          <w:sz w:val="24"/>
          <w:szCs w:val="24"/>
        </w:rPr>
        <w:t>g</w:t>
      </w:r>
      <w:r w:rsidRPr="00E20214">
        <w:rPr>
          <w:rFonts w:eastAsia="Calibri"/>
          <w:b/>
          <w:bCs/>
          <w:sz w:val="24"/>
          <w:szCs w:val="24"/>
        </w:rPr>
        <w:t>.</w:t>
      </w:r>
      <w:r>
        <w:rPr>
          <w:rFonts w:eastAsia="Calibri"/>
          <w:sz w:val="24"/>
          <w:szCs w:val="24"/>
        </w:rPr>
        <w:t xml:space="preserve"> no se efectuó un estudio completo de las casillas que se impugnaron por la recepción de la votación por personas no autorizadas, ya que se dejó de considerar los testimonios levantados ante notario público. </w:t>
      </w:r>
    </w:p>
    <w:p w:rsidR="00725403" w:rsidRDefault="00725403" w:rsidP="00880110">
      <w:pPr>
        <w:spacing w:line="360" w:lineRule="auto"/>
        <w:rPr>
          <w:rFonts w:eastAsia="Calibri"/>
          <w:sz w:val="24"/>
          <w:szCs w:val="24"/>
        </w:rPr>
      </w:pPr>
    </w:p>
    <w:p w:rsidR="00725403" w:rsidRPr="002523E0" w:rsidRDefault="00725403" w:rsidP="00880110">
      <w:pPr>
        <w:spacing w:line="360" w:lineRule="auto"/>
        <w:rPr>
          <w:rFonts w:eastAsia="Calibri"/>
          <w:sz w:val="24"/>
          <w:szCs w:val="24"/>
        </w:rPr>
      </w:pPr>
    </w:p>
    <w:p w:rsidR="00880110" w:rsidRDefault="00880110" w:rsidP="00880110">
      <w:pPr>
        <w:spacing w:line="360" w:lineRule="auto"/>
        <w:rPr>
          <w:rFonts w:eastAsia="Calibri"/>
          <w:sz w:val="24"/>
          <w:szCs w:val="24"/>
        </w:rPr>
      </w:pPr>
    </w:p>
    <w:p w:rsidR="00880110" w:rsidRPr="002523E0" w:rsidRDefault="00880110" w:rsidP="00880110">
      <w:pPr>
        <w:spacing w:line="360" w:lineRule="auto"/>
        <w:rPr>
          <w:rFonts w:eastAsia="Calibri"/>
          <w:sz w:val="24"/>
          <w:szCs w:val="24"/>
        </w:rPr>
      </w:pPr>
      <w:r w:rsidRPr="00A334D8">
        <w:rPr>
          <w:rFonts w:eastAsia="Calibri"/>
          <w:b/>
          <w:sz w:val="24"/>
          <w:szCs w:val="24"/>
        </w:rPr>
        <w:lastRenderedPageBreak/>
        <w:t>iii</w:t>
      </w:r>
      <w:r w:rsidRPr="00A334D8">
        <w:rPr>
          <w:rFonts w:eastAsia="Calibri"/>
          <w:b/>
          <w:bCs/>
          <w:sz w:val="24"/>
          <w:szCs w:val="24"/>
        </w:rPr>
        <w:t>.</w:t>
      </w:r>
      <w:r>
        <w:rPr>
          <w:rFonts w:eastAsia="Calibri"/>
          <w:sz w:val="24"/>
          <w:szCs w:val="24"/>
        </w:rPr>
        <w:t xml:space="preserve"> Finalmente, en relación con el </w:t>
      </w:r>
      <w:r w:rsidRPr="00A334D8">
        <w:rPr>
          <w:rFonts w:eastAsia="Calibri"/>
          <w:b/>
          <w:bCs/>
          <w:sz w:val="24"/>
          <w:szCs w:val="24"/>
        </w:rPr>
        <w:t xml:space="preserve">Acuerdo de asignación de regidurías de </w:t>
      </w:r>
      <w:proofErr w:type="spellStart"/>
      <w:r w:rsidRPr="00A334D8">
        <w:rPr>
          <w:rFonts w:eastAsia="Calibri"/>
          <w:b/>
          <w:bCs/>
          <w:sz w:val="24"/>
          <w:szCs w:val="24"/>
        </w:rPr>
        <w:t>rp</w:t>
      </w:r>
      <w:proofErr w:type="spellEnd"/>
      <w:r>
        <w:rPr>
          <w:rFonts w:eastAsia="Calibri"/>
          <w:sz w:val="24"/>
          <w:szCs w:val="24"/>
        </w:rPr>
        <w:t xml:space="preserve">, la ciudadana señala que el Tribunal Local incorrectamente no consideró que </w:t>
      </w:r>
      <w:r w:rsidRPr="004B64B9">
        <w:rPr>
          <w:rFonts w:eastAsia="Calibri"/>
          <w:sz w:val="24"/>
          <w:szCs w:val="24"/>
        </w:rPr>
        <w:t xml:space="preserve">el Tribunal Local </w:t>
      </w:r>
      <w:r>
        <w:rPr>
          <w:rFonts w:eastAsia="Calibri"/>
          <w:sz w:val="24"/>
          <w:szCs w:val="24"/>
        </w:rPr>
        <w:t xml:space="preserve">indebidamente no consideró </w:t>
      </w:r>
      <w:r w:rsidRPr="004B64B9">
        <w:rPr>
          <w:rFonts w:eastAsia="Calibri"/>
          <w:sz w:val="24"/>
          <w:szCs w:val="24"/>
        </w:rPr>
        <w:t>que debía aplicarse algún mecanismo que garantizara los límites constitucionales de sub y sobrerrepresentación para el caso de las regidurías.</w:t>
      </w:r>
    </w:p>
    <w:p w:rsidR="00880110" w:rsidRPr="00526C72" w:rsidRDefault="00880110" w:rsidP="00880110">
      <w:pPr>
        <w:spacing w:line="360" w:lineRule="auto"/>
      </w:pPr>
    </w:p>
    <w:p w:rsidR="00880110" w:rsidRPr="00062EA0" w:rsidRDefault="00880110" w:rsidP="00880110">
      <w:pPr>
        <w:spacing w:line="360" w:lineRule="auto"/>
        <w:rPr>
          <w:rFonts w:eastAsia="Calibri" w:cs="Arial"/>
          <w:b/>
          <w:sz w:val="24"/>
        </w:rPr>
      </w:pPr>
      <w:r w:rsidRPr="00526C72">
        <w:rPr>
          <w:rFonts w:eastAsia="Calibri" w:cs="Arial"/>
          <w:b/>
          <w:bCs/>
          <w:sz w:val="24"/>
        </w:rPr>
        <w:t>3. Cuesti</w:t>
      </w:r>
      <w:r>
        <w:rPr>
          <w:rFonts w:eastAsia="Calibri" w:cs="Arial"/>
          <w:b/>
          <w:bCs/>
          <w:sz w:val="24"/>
        </w:rPr>
        <w:t>ó</w:t>
      </w:r>
      <w:r w:rsidRPr="00526C72">
        <w:rPr>
          <w:rFonts w:eastAsia="Calibri" w:cs="Arial"/>
          <w:b/>
          <w:bCs/>
          <w:sz w:val="24"/>
        </w:rPr>
        <w:t>n a resolver.</w:t>
      </w:r>
      <w:r w:rsidRPr="00526C72">
        <w:rPr>
          <w:rFonts w:eastAsia="Calibri" w:cs="Arial"/>
          <w:sz w:val="24"/>
        </w:rPr>
        <w:t xml:space="preserve"> Determinar</w:t>
      </w:r>
      <w:r w:rsidRPr="0025042F">
        <w:rPr>
          <w:rFonts w:eastAsia="Calibri" w:cs="Arial"/>
          <w:sz w:val="24"/>
        </w:rPr>
        <w:t>:</w:t>
      </w:r>
      <w:r>
        <w:rPr>
          <w:rFonts w:eastAsia="Calibri" w:cs="Arial"/>
          <w:sz w:val="24"/>
        </w:rPr>
        <w:t xml:space="preserve"> </w:t>
      </w:r>
      <w:r>
        <w:rPr>
          <w:rFonts w:eastAsia="Calibri" w:cs="Arial"/>
          <w:b/>
          <w:bCs/>
          <w:sz w:val="24"/>
        </w:rPr>
        <w:t xml:space="preserve">i. </w:t>
      </w:r>
      <w:r>
        <w:rPr>
          <w:rFonts w:eastAsia="Calibri" w:cs="Arial"/>
          <w:sz w:val="24"/>
        </w:rPr>
        <w:t>En relación con la</w:t>
      </w:r>
      <w:r>
        <w:rPr>
          <w:rFonts w:eastAsia="Calibri" w:cs="Arial"/>
          <w:b/>
          <w:bCs/>
          <w:sz w:val="24"/>
        </w:rPr>
        <w:t xml:space="preserve"> </w:t>
      </w:r>
      <w:r w:rsidRPr="001E6303">
        <w:rPr>
          <w:rFonts w:eastAsia="Calibri"/>
          <w:b/>
          <w:bCs/>
          <w:sz w:val="24"/>
          <w:szCs w:val="24"/>
        </w:rPr>
        <w:t>improcedencia del medio de impugnación del presidente del Comité Directivo del PRI</w:t>
      </w:r>
      <w:r>
        <w:rPr>
          <w:rFonts w:eastAsia="Calibri"/>
          <w:sz w:val="24"/>
          <w:szCs w:val="24"/>
        </w:rPr>
        <w:t xml:space="preserve">, </w:t>
      </w:r>
      <w:r>
        <w:rPr>
          <w:rFonts w:eastAsia="Calibri" w:cs="Arial"/>
          <w:sz w:val="24"/>
        </w:rPr>
        <w:t xml:space="preserve">¿si fue apegado a derecho que se determinara la improcedencia del medio de impugnación promovido por el presidente del Comité Directivo?, </w:t>
      </w:r>
      <w:r>
        <w:rPr>
          <w:rFonts w:eastAsia="Calibri" w:cs="Arial"/>
          <w:b/>
          <w:bCs/>
          <w:sz w:val="24"/>
        </w:rPr>
        <w:t xml:space="preserve">ii. </w:t>
      </w:r>
      <w:r>
        <w:rPr>
          <w:rFonts w:eastAsia="Calibri"/>
          <w:sz w:val="24"/>
          <w:szCs w:val="24"/>
        </w:rPr>
        <w:t xml:space="preserve">respecto de </w:t>
      </w:r>
      <w:r w:rsidRPr="00A0122A">
        <w:rPr>
          <w:rFonts w:eastAsia="Calibri"/>
          <w:b/>
          <w:bCs/>
          <w:sz w:val="24"/>
          <w:szCs w:val="24"/>
        </w:rPr>
        <w:t xml:space="preserve">la </w:t>
      </w:r>
      <w:r w:rsidRPr="00A0122A">
        <w:rPr>
          <w:rFonts w:cs="Arial"/>
          <w:b/>
          <w:bCs/>
          <w:sz w:val="24"/>
          <w:szCs w:val="24"/>
          <w:lang w:val="es-ES"/>
        </w:rPr>
        <w:t>validez de la elección, así como la entrega de la constancia de mayoría</w:t>
      </w:r>
      <w:r>
        <w:rPr>
          <w:rFonts w:eastAsia="Calibri" w:cs="Arial"/>
          <w:sz w:val="24"/>
        </w:rPr>
        <w:t xml:space="preserve"> </w:t>
      </w:r>
      <w:r w:rsidRPr="0025042F">
        <w:rPr>
          <w:rFonts w:eastAsia="Calibri" w:cs="Arial"/>
          <w:sz w:val="24"/>
        </w:rPr>
        <w:t>¿</w:t>
      </w:r>
      <w:r>
        <w:rPr>
          <w:rFonts w:eastAsia="Calibri" w:cs="Arial"/>
          <w:sz w:val="24"/>
        </w:rPr>
        <w:t>el Tribunal Local efectuó un estudio correcto completo de las pruebas aportadas por el PAN y su candidato</w:t>
      </w:r>
      <w:r w:rsidRPr="0025042F">
        <w:rPr>
          <w:rFonts w:eastAsia="Calibri" w:cs="Arial"/>
          <w:sz w:val="24"/>
        </w:rPr>
        <w:t>?</w:t>
      </w:r>
      <w:r>
        <w:rPr>
          <w:rFonts w:eastAsia="Calibri" w:cs="Arial"/>
          <w:sz w:val="24"/>
        </w:rPr>
        <w:t xml:space="preserve"> ¿la responsable analizó las pruebas relacionadas con un procedimiento especial sancionador que se sustancia ante el INE y que se haya relacionado con la presunta adquisición de tiempos de radio y tv por parte del entonces candidato del PVEM</w:t>
      </w:r>
      <w:r w:rsidRPr="008E6AE8">
        <w:rPr>
          <w:rFonts w:eastAsia="Calibri" w:cs="Arial"/>
          <w:sz w:val="24"/>
        </w:rPr>
        <w:t>? ¿</w:t>
      </w:r>
      <w:r>
        <w:rPr>
          <w:rFonts w:eastAsia="Calibri" w:cs="Arial"/>
          <w:sz w:val="24"/>
        </w:rPr>
        <w:t xml:space="preserve">se efectuó un correo estudio de las pruebas relacionadas con </w:t>
      </w:r>
      <w:r w:rsidRPr="001F7C80">
        <w:rPr>
          <w:rFonts w:cs="Arial"/>
          <w:sz w:val="24"/>
          <w:szCs w:val="24"/>
          <w:lang w:val="es-ES"/>
        </w:rPr>
        <w:t xml:space="preserve">promoción personalizada, violencia política por razón de género </w:t>
      </w:r>
      <w:r w:rsidRPr="00D05EA0">
        <w:rPr>
          <w:rFonts w:cs="Arial"/>
          <w:sz w:val="24"/>
          <w:szCs w:val="24"/>
          <w:lang w:val="es-ES"/>
        </w:rPr>
        <w:t>entra otras</w:t>
      </w:r>
      <w:r w:rsidRPr="00D05EA0">
        <w:rPr>
          <w:rFonts w:eastAsia="Calibri" w:cs="Arial"/>
          <w:sz w:val="24"/>
        </w:rPr>
        <w:t>?</w:t>
      </w:r>
      <w:r>
        <w:rPr>
          <w:rFonts w:eastAsia="Calibri" w:cs="Arial"/>
          <w:sz w:val="24"/>
        </w:rPr>
        <w:t xml:space="preserve"> </w:t>
      </w:r>
      <w:r w:rsidRPr="008E6AE8">
        <w:rPr>
          <w:rFonts w:eastAsia="Calibri" w:cs="Arial"/>
          <w:sz w:val="24"/>
        </w:rPr>
        <w:t>¿</w:t>
      </w:r>
      <w:r>
        <w:rPr>
          <w:rFonts w:eastAsia="Calibri" w:cs="Arial"/>
          <w:sz w:val="24"/>
        </w:rPr>
        <w:t xml:space="preserve">se efectuó un correcto estudio de las causales de nulidad hechas valer por los impugnantes? y </w:t>
      </w:r>
      <w:r>
        <w:rPr>
          <w:rFonts w:eastAsia="Calibri" w:cs="Arial"/>
          <w:b/>
          <w:bCs/>
          <w:sz w:val="24"/>
        </w:rPr>
        <w:t>iii.</w:t>
      </w:r>
      <w:r w:rsidRPr="00062EA0">
        <w:rPr>
          <w:rFonts w:eastAsia="Calibri"/>
          <w:sz w:val="24"/>
          <w:szCs w:val="24"/>
        </w:rPr>
        <w:t xml:space="preserve"> </w:t>
      </w:r>
      <w:r>
        <w:rPr>
          <w:rFonts w:eastAsia="Calibri"/>
          <w:sz w:val="24"/>
          <w:szCs w:val="24"/>
        </w:rPr>
        <w:t xml:space="preserve">en relación con el </w:t>
      </w:r>
      <w:r w:rsidRPr="00A334D8">
        <w:rPr>
          <w:rFonts w:eastAsia="Calibri"/>
          <w:b/>
          <w:bCs/>
          <w:sz w:val="24"/>
          <w:szCs w:val="24"/>
        </w:rPr>
        <w:t xml:space="preserve">Acuerdo de asignación de regidurías de </w:t>
      </w:r>
      <w:proofErr w:type="spellStart"/>
      <w:r w:rsidRPr="00A334D8">
        <w:rPr>
          <w:rFonts w:eastAsia="Calibri"/>
          <w:b/>
          <w:bCs/>
          <w:sz w:val="24"/>
          <w:szCs w:val="24"/>
        </w:rPr>
        <w:t>rp</w:t>
      </w:r>
      <w:proofErr w:type="spellEnd"/>
      <w:r>
        <w:rPr>
          <w:rFonts w:eastAsia="Calibri"/>
          <w:sz w:val="24"/>
          <w:szCs w:val="24"/>
        </w:rPr>
        <w:t>,</w:t>
      </w:r>
      <w:r>
        <w:rPr>
          <w:rFonts w:eastAsia="Calibri" w:cs="Arial"/>
          <w:b/>
          <w:bCs/>
          <w:sz w:val="24"/>
        </w:rPr>
        <w:t xml:space="preserve"> </w:t>
      </w:r>
      <w:r>
        <w:rPr>
          <w:rFonts w:eastAsia="Calibri" w:cs="Arial"/>
          <w:sz w:val="24"/>
        </w:rPr>
        <w:t xml:space="preserve">¿si fue correcto que el Tribunal Local considerara </w:t>
      </w:r>
      <w:proofErr w:type="gramStart"/>
      <w:r>
        <w:rPr>
          <w:rFonts w:eastAsia="Calibri" w:cs="Arial"/>
          <w:sz w:val="24"/>
        </w:rPr>
        <w:t>que</w:t>
      </w:r>
      <w:proofErr w:type="gramEnd"/>
      <w:r>
        <w:rPr>
          <w:rFonts w:eastAsia="Calibri" w:cs="Arial"/>
          <w:sz w:val="24"/>
        </w:rPr>
        <w:t xml:space="preserve"> en la asignación de regidurías para integrar el ayuntamiento de San Felipe, Guanajuato, no resultaban aplicables los límites de sobre y subrepresentación?</w:t>
      </w:r>
    </w:p>
    <w:p w:rsidR="00880110" w:rsidRPr="00DE71E9" w:rsidRDefault="00880110" w:rsidP="00880110">
      <w:pPr>
        <w:rPr>
          <w:rFonts w:cs="Arial"/>
          <w:sz w:val="24"/>
          <w:szCs w:val="24"/>
        </w:rPr>
      </w:pPr>
    </w:p>
    <w:p w:rsidR="00880110" w:rsidRPr="008552D6" w:rsidRDefault="00880110" w:rsidP="00880110">
      <w:pPr>
        <w:pStyle w:val="Ttulo2"/>
        <w:spacing w:before="0"/>
        <w:contextualSpacing/>
        <w:rPr>
          <w:rFonts w:ascii="Arial" w:hAnsi="Arial" w:cs="Arial"/>
          <w:b/>
          <w:color w:val="auto"/>
          <w:sz w:val="24"/>
          <w:szCs w:val="24"/>
          <w:u w:val="single"/>
        </w:rPr>
      </w:pPr>
      <w:bookmarkStart w:id="90" w:name="_Toc75092258"/>
      <w:bookmarkStart w:id="91" w:name="_Toc75905161"/>
      <w:bookmarkStart w:id="92" w:name="_Toc79163480"/>
      <w:bookmarkStart w:id="93" w:name="_Toc79172142"/>
      <w:bookmarkStart w:id="94" w:name="_Toc79172787"/>
      <w:bookmarkStart w:id="95" w:name="_Toc79173051"/>
      <w:bookmarkStart w:id="96" w:name="_Toc79173705"/>
      <w:bookmarkStart w:id="97" w:name="_Toc79176077"/>
      <w:bookmarkStart w:id="98" w:name="_Toc79175947"/>
      <w:bookmarkStart w:id="99" w:name="_Toc79183187"/>
      <w:bookmarkStart w:id="100" w:name="_Toc79183562"/>
      <w:bookmarkStart w:id="101" w:name="_Toc79183653"/>
      <w:bookmarkStart w:id="102" w:name="_Toc79184173"/>
      <w:bookmarkStart w:id="103" w:name="_Toc79184110"/>
      <w:bookmarkStart w:id="104" w:name="_Toc80872668"/>
      <w:bookmarkStart w:id="105" w:name="_Toc80910965"/>
      <w:bookmarkStart w:id="106" w:name="_Hlk75008961"/>
      <w:bookmarkEnd w:id="73"/>
      <w:r w:rsidRPr="008552D6">
        <w:rPr>
          <w:rFonts w:ascii="Arial" w:hAnsi="Arial" w:cs="Arial"/>
          <w:b/>
          <w:color w:val="auto"/>
          <w:sz w:val="24"/>
          <w:szCs w:val="24"/>
          <w:u w:val="single"/>
        </w:rPr>
        <w:t>Apartado I</w:t>
      </w:r>
      <w:r w:rsidRPr="008552D6">
        <w:rPr>
          <w:rFonts w:ascii="Arial" w:hAnsi="Arial" w:cs="Arial"/>
          <w:b/>
          <w:color w:val="auto"/>
          <w:sz w:val="24"/>
          <w:szCs w:val="24"/>
        </w:rPr>
        <w:t>. Decisión general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552D6">
        <w:rPr>
          <w:rFonts w:ascii="Arial" w:hAnsi="Arial" w:cs="Arial"/>
          <w:b/>
          <w:color w:val="auto"/>
          <w:sz w:val="24"/>
          <w:szCs w:val="24"/>
          <w:u w:val="single"/>
        </w:rPr>
        <w:t xml:space="preserve"> </w:t>
      </w:r>
    </w:p>
    <w:p w:rsidR="00880110" w:rsidRPr="008F1FAC" w:rsidRDefault="00880110" w:rsidP="00880110">
      <w:pPr>
        <w:rPr>
          <w:rFonts w:eastAsia="Calibri" w:cs="Arial"/>
          <w:b/>
          <w:sz w:val="24"/>
          <w:szCs w:val="24"/>
        </w:rPr>
      </w:pPr>
    </w:p>
    <w:p w:rsidR="00880110" w:rsidRDefault="00880110" w:rsidP="00880110">
      <w:pPr>
        <w:spacing w:line="360" w:lineRule="auto"/>
        <w:rPr>
          <w:rFonts w:cs="Arial"/>
          <w:sz w:val="24"/>
          <w:szCs w:val="24"/>
        </w:rPr>
      </w:pPr>
      <w:r w:rsidRPr="4E210D7F">
        <w:rPr>
          <w:rFonts w:cs="Arial"/>
          <w:sz w:val="24"/>
          <w:szCs w:val="24"/>
        </w:rPr>
        <w:t xml:space="preserve">Esta Sala Monterrey considera que debe </w:t>
      </w:r>
      <w:r>
        <w:rPr>
          <w:rFonts w:cs="Arial"/>
          <w:b/>
          <w:bCs/>
          <w:sz w:val="24"/>
          <w:szCs w:val="24"/>
        </w:rPr>
        <w:t xml:space="preserve"> modificarse </w:t>
      </w:r>
      <w:r w:rsidRPr="4E210D7F">
        <w:rPr>
          <w:rFonts w:cs="Arial"/>
          <w:sz w:val="24"/>
          <w:szCs w:val="24"/>
        </w:rPr>
        <w:t xml:space="preserve">la sentencia </w:t>
      </w:r>
      <w:r w:rsidRPr="4E210D7F">
        <w:rPr>
          <w:rFonts w:cs="Arial"/>
          <w:sz w:val="24"/>
          <w:szCs w:val="24"/>
          <w:lang w:val="es-ES"/>
        </w:rPr>
        <w:t xml:space="preserve">del </w:t>
      </w:r>
      <w:r w:rsidRPr="00C2422A">
        <w:rPr>
          <w:rFonts w:cs="Arial"/>
          <w:sz w:val="24"/>
          <w:szCs w:val="24"/>
          <w:lang w:val="es-ES"/>
        </w:rPr>
        <w:t xml:space="preserve">Tribunal Local </w:t>
      </w:r>
      <w:r>
        <w:rPr>
          <w:rFonts w:cs="Arial"/>
          <w:sz w:val="24"/>
          <w:szCs w:val="24"/>
          <w:lang w:val="es-ES"/>
        </w:rPr>
        <w:t xml:space="preserve">que </w:t>
      </w:r>
      <w:r w:rsidRPr="00C2422A">
        <w:rPr>
          <w:rFonts w:cs="Arial"/>
          <w:sz w:val="24"/>
          <w:szCs w:val="24"/>
          <w:lang w:val="es-ES"/>
        </w:rPr>
        <w:t>confirmó la validez de la elección para renovar el ayuntamiento de San Felipe, Guanajuato</w:t>
      </w:r>
      <w:r>
        <w:rPr>
          <w:rFonts w:cs="Arial"/>
          <w:sz w:val="24"/>
          <w:szCs w:val="24"/>
          <w:lang w:val="es-ES"/>
        </w:rPr>
        <w:t>,</w:t>
      </w:r>
      <w:r w:rsidRPr="00C2422A">
        <w:rPr>
          <w:rFonts w:cs="Arial"/>
          <w:sz w:val="24"/>
          <w:szCs w:val="24"/>
          <w:lang w:val="es-ES"/>
        </w:rPr>
        <w:t xml:space="preserve"> así como la entrega de la constancia de mayoría a la planilla postulada por el PVEM, al considerar que</w:t>
      </w:r>
      <w:r>
        <w:rPr>
          <w:rFonts w:cs="Arial"/>
          <w:sz w:val="24"/>
          <w:szCs w:val="24"/>
          <w:lang w:val="es-ES"/>
        </w:rPr>
        <w:t>,</w:t>
      </w:r>
      <w:r w:rsidRPr="00C2422A">
        <w:rPr>
          <w:rFonts w:cs="Arial"/>
          <w:sz w:val="24"/>
          <w:szCs w:val="24"/>
          <w:lang w:val="es-ES"/>
        </w:rPr>
        <w:t xml:space="preserve"> en </w:t>
      </w:r>
      <w:r>
        <w:rPr>
          <w:rFonts w:cs="Arial"/>
          <w:sz w:val="24"/>
          <w:szCs w:val="24"/>
          <w:lang w:val="es-ES"/>
        </w:rPr>
        <w:t xml:space="preserve">lo </w:t>
      </w:r>
      <w:r w:rsidRPr="00C2422A">
        <w:rPr>
          <w:rFonts w:cs="Arial"/>
          <w:sz w:val="24"/>
          <w:szCs w:val="24"/>
          <w:lang w:val="es-ES"/>
        </w:rPr>
        <w:t xml:space="preserve">que </w:t>
      </w:r>
      <w:r>
        <w:rPr>
          <w:rFonts w:cs="Arial"/>
          <w:sz w:val="24"/>
          <w:szCs w:val="24"/>
          <w:lang w:val="es-ES"/>
        </w:rPr>
        <w:t xml:space="preserve">interesa ante esta instancia federal, que </w:t>
      </w:r>
      <w:r w:rsidRPr="00C2422A">
        <w:rPr>
          <w:rFonts w:cs="Arial"/>
          <w:sz w:val="24"/>
          <w:szCs w:val="24"/>
          <w:lang w:val="es-ES"/>
        </w:rPr>
        <w:t xml:space="preserve">no se </w:t>
      </w:r>
      <w:r w:rsidRPr="001F7C80">
        <w:rPr>
          <w:rFonts w:cs="Arial"/>
          <w:sz w:val="24"/>
          <w:szCs w:val="24"/>
          <w:lang w:val="es-ES"/>
        </w:rPr>
        <w:t>acreditaron violaciones a los principios de equidad, igualdad e imparcialidad porque respecto de las infracciones de promoción personalizada, violencia política por razón de género</w:t>
      </w:r>
      <w:r>
        <w:rPr>
          <w:rFonts w:cs="Arial"/>
          <w:sz w:val="24"/>
          <w:szCs w:val="24"/>
          <w:lang w:val="es-ES"/>
        </w:rPr>
        <w:t>,</w:t>
      </w:r>
      <w:r w:rsidRPr="001F7C80">
        <w:rPr>
          <w:rFonts w:cs="Arial"/>
          <w:sz w:val="24"/>
          <w:szCs w:val="24"/>
          <w:lang w:val="es-ES"/>
        </w:rPr>
        <w:t xml:space="preserve"> entra otras, porque se declararon inexistentes los hechos denunciados y no se probó la existencia de</w:t>
      </w:r>
      <w:r w:rsidRPr="00C2422A">
        <w:rPr>
          <w:rFonts w:cs="Arial"/>
          <w:sz w:val="24"/>
          <w:szCs w:val="24"/>
          <w:lang w:val="es-ES"/>
        </w:rPr>
        <w:t xml:space="preserve"> violaciones al principio de imparcialidad por parte del Comité Municipal, y por otro lado</w:t>
      </w:r>
      <w:r w:rsidRPr="004B64B9">
        <w:rPr>
          <w:rFonts w:cs="Arial"/>
          <w:sz w:val="24"/>
          <w:szCs w:val="24"/>
        </w:rPr>
        <w:t xml:space="preserve">; </w:t>
      </w:r>
      <w:r w:rsidRPr="004B64B9">
        <w:rPr>
          <w:rFonts w:cs="Arial"/>
          <w:b/>
          <w:bCs/>
          <w:sz w:val="24"/>
          <w:szCs w:val="24"/>
        </w:rPr>
        <w:t xml:space="preserve">porque esta Sala considera </w:t>
      </w:r>
      <w:r w:rsidRPr="004B64B9">
        <w:rPr>
          <w:rFonts w:cs="Arial"/>
          <w:sz w:val="24"/>
          <w:szCs w:val="24"/>
        </w:rPr>
        <w:t>que,</w:t>
      </w:r>
      <w:r>
        <w:rPr>
          <w:rFonts w:cs="Arial"/>
          <w:sz w:val="24"/>
          <w:szCs w:val="24"/>
        </w:rPr>
        <w:t xml:space="preserve"> </w:t>
      </w:r>
      <w:r w:rsidRPr="004B64B9">
        <w:rPr>
          <w:rFonts w:cs="Arial"/>
          <w:sz w:val="24"/>
          <w:szCs w:val="24"/>
        </w:rPr>
        <w:t>el</w:t>
      </w:r>
      <w:r w:rsidRPr="004B64B9">
        <w:rPr>
          <w:rFonts w:cs="Arial"/>
          <w:b/>
          <w:bCs/>
          <w:sz w:val="24"/>
          <w:szCs w:val="24"/>
        </w:rPr>
        <w:t xml:space="preserve"> </w:t>
      </w:r>
      <w:r w:rsidRPr="004B64B9">
        <w:rPr>
          <w:rFonts w:cs="Arial"/>
          <w:sz w:val="24"/>
          <w:szCs w:val="24"/>
        </w:rPr>
        <w:t xml:space="preserve">Tribunal Local tenía el deber de pronunciarse sobre </w:t>
      </w:r>
      <w:r w:rsidRPr="004B64B9">
        <w:rPr>
          <w:sz w:val="24"/>
          <w:szCs w:val="24"/>
        </w:rPr>
        <w:t xml:space="preserve">las pruebas </w:t>
      </w:r>
      <w:r w:rsidRPr="004B64B9">
        <w:rPr>
          <w:rFonts w:cs="Arial"/>
          <w:sz w:val="24"/>
          <w:szCs w:val="24"/>
        </w:rPr>
        <w:t>aportadas</w:t>
      </w:r>
      <w:r>
        <w:rPr>
          <w:rFonts w:cs="Arial"/>
          <w:sz w:val="24"/>
          <w:szCs w:val="24"/>
        </w:rPr>
        <w:t xml:space="preserve"> en el </w:t>
      </w:r>
      <w:r w:rsidRPr="000E26B1">
        <w:rPr>
          <w:rFonts w:cs="Arial"/>
          <w:sz w:val="24"/>
          <w:szCs w:val="24"/>
        </w:rPr>
        <w:t>juicio a fin de garantizar el estudio integral de los elementos debidamente ofrecidos,</w:t>
      </w:r>
      <w:r>
        <w:rPr>
          <w:rFonts w:cs="Arial"/>
          <w:sz w:val="24"/>
          <w:szCs w:val="24"/>
        </w:rPr>
        <w:t xml:space="preserve"> y el presidente del </w:t>
      </w:r>
      <w:r>
        <w:rPr>
          <w:rFonts w:cs="Arial"/>
          <w:sz w:val="24"/>
          <w:szCs w:val="24"/>
        </w:rPr>
        <w:lastRenderedPageBreak/>
        <w:t>Comité Directivo no tiene facultades de representación para actuar a nombre del PRI.</w:t>
      </w:r>
    </w:p>
    <w:p w:rsidR="00725403" w:rsidRPr="00CD73E6" w:rsidRDefault="00725403" w:rsidP="00880110">
      <w:pPr>
        <w:spacing w:line="360" w:lineRule="auto"/>
        <w:rPr>
          <w:rFonts w:cs="Arial"/>
          <w:b/>
          <w:sz w:val="24"/>
          <w:szCs w:val="24"/>
          <w:lang w:val="es-ES"/>
        </w:rPr>
      </w:pPr>
    </w:p>
    <w:p w:rsidR="00880110" w:rsidRPr="00B66139" w:rsidRDefault="00880110" w:rsidP="00880110">
      <w:pPr>
        <w:spacing w:line="360" w:lineRule="auto"/>
        <w:rPr>
          <w:rFonts w:cs="Arial"/>
          <w:sz w:val="24"/>
          <w:szCs w:val="24"/>
        </w:rPr>
      </w:pPr>
    </w:p>
    <w:p w:rsidR="00880110" w:rsidRPr="00D73394" w:rsidRDefault="00880110" w:rsidP="00880110">
      <w:pPr>
        <w:pStyle w:val="Ttulo2"/>
        <w:spacing w:before="0"/>
        <w:contextualSpacing/>
        <w:rPr>
          <w:rFonts w:ascii="Arial" w:hAnsi="Arial" w:cs="Arial"/>
          <w:b/>
          <w:color w:val="auto"/>
          <w:sz w:val="24"/>
          <w:szCs w:val="24"/>
          <w:u w:val="single"/>
        </w:rPr>
      </w:pPr>
      <w:bookmarkStart w:id="107" w:name="_Toc75092259"/>
      <w:bookmarkStart w:id="108" w:name="_Toc75905162"/>
      <w:bookmarkStart w:id="109" w:name="_Toc79163481"/>
      <w:bookmarkStart w:id="110" w:name="_Toc79172143"/>
      <w:bookmarkStart w:id="111" w:name="_Toc79172788"/>
      <w:bookmarkStart w:id="112" w:name="_Toc79173052"/>
      <w:bookmarkStart w:id="113" w:name="_Toc79173706"/>
      <w:bookmarkStart w:id="114" w:name="_Toc79176078"/>
      <w:bookmarkStart w:id="115" w:name="_Toc79175948"/>
      <w:bookmarkStart w:id="116" w:name="_Toc79183188"/>
      <w:bookmarkStart w:id="117" w:name="_Toc79183654"/>
      <w:bookmarkStart w:id="118" w:name="_Toc79184174"/>
      <w:bookmarkStart w:id="119" w:name="_Toc79184111"/>
      <w:bookmarkStart w:id="120" w:name="_Toc80872669"/>
      <w:bookmarkStart w:id="121" w:name="_Toc80910966"/>
      <w:r w:rsidRPr="008552D6">
        <w:rPr>
          <w:rFonts w:ascii="Arial" w:hAnsi="Arial" w:cs="Arial"/>
          <w:b/>
          <w:color w:val="auto"/>
          <w:sz w:val="24"/>
          <w:szCs w:val="24"/>
          <w:u w:val="single"/>
        </w:rPr>
        <w:t>Apartado II</w:t>
      </w:r>
      <w:r w:rsidRPr="008552D6">
        <w:rPr>
          <w:rFonts w:ascii="Arial" w:hAnsi="Arial" w:cs="Arial"/>
          <w:b/>
          <w:color w:val="auto"/>
          <w:sz w:val="24"/>
          <w:szCs w:val="24"/>
        </w:rPr>
        <w:t>. Desarrollo y justificación de la decisión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8552D6">
        <w:rPr>
          <w:rFonts w:ascii="Arial" w:hAnsi="Arial" w:cs="Arial"/>
          <w:b/>
          <w:color w:val="auto"/>
          <w:sz w:val="24"/>
          <w:szCs w:val="24"/>
          <w:u w:val="single"/>
        </w:rPr>
        <w:t xml:space="preserve"> </w:t>
      </w:r>
    </w:p>
    <w:p w:rsidR="00880110" w:rsidRDefault="00880110" w:rsidP="00880110">
      <w:pPr>
        <w:autoSpaceDE w:val="0"/>
        <w:autoSpaceDN w:val="0"/>
        <w:adjustRightInd w:val="0"/>
        <w:spacing w:line="360" w:lineRule="auto"/>
        <w:rPr>
          <w:rFonts w:eastAsia="Times New Roman" w:cs="Arial"/>
          <w:color w:val="000000"/>
          <w:sz w:val="24"/>
          <w:szCs w:val="24"/>
          <w:lang w:eastAsia="es-MX"/>
        </w:rPr>
      </w:pPr>
      <w:bookmarkStart w:id="122" w:name="_Toc75010216"/>
      <w:bookmarkStart w:id="123" w:name="_Toc75092260"/>
      <w:bookmarkStart w:id="124" w:name="_Hlk75009297"/>
      <w:bookmarkStart w:id="125" w:name="_Hlk75009096"/>
      <w:bookmarkEnd w:id="106"/>
    </w:p>
    <w:p w:rsidR="00880110" w:rsidRPr="00984A62" w:rsidRDefault="00880110" w:rsidP="00880110">
      <w:pPr>
        <w:pStyle w:val="Ttulo1"/>
        <w:spacing w:before="0"/>
        <w:ind w:left="708"/>
        <w:rPr>
          <w:rFonts w:ascii="Arial" w:hAnsi="Arial" w:cs="Arial"/>
          <w:b/>
          <w:color w:val="auto"/>
          <w:sz w:val="24"/>
          <w:szCs w:val="24"/>
        </w:rPr>
      </w:pPr>
      <w:bookmarkStart w:id="126" w:name="_Toc80872675"/>
      <w:bookmarkStart w:id="127" w:name="_Toc80910967"/>
      <w:bookmarkStart w:id="128" w:name="_Toc78557875"/>
      <w:bookmarkStart w:id="129" w:name="_Hlk71743871"/>
      <w:r w:rsidRPr="00062EA0">
        <w:rPr>
          <w:rFonts w:ascii="Arial" w:hAnsi="Arial" w:cs="Arial"/>
          <w:b/>
          <w:color w:val="auto"/>
          <w:sz w:val="24"/>
          <w:szCs w:val="24"/>
          <w:u w:val="single"/>
        </w:rPr>
        <w:t xml:space="preserve">Tema </w:t>
      </w:r>
      <w:r w:rsidRPr="00062EA0">
        <w:rPr>
          <w:rFonts w:ascii="Arial" w:hAnsi="Arial" w:cs="Arial"/>
          <w:b/>
          <w:iCs/>
          <w:color w:val="auto"/>
          <w:sz w:val="24"/>
          <w:szCs w:val="24"/>
          <w:u w:val="single"/>
        </w:rPr>
        <w:t>1.</w:t>
      </w:r>
      <w:r w:rsidRPr="00984A62">
        <w:rPr>
          <w:rFonts w:ascii="Arial" w:hAnsi="Arial" w:cs="Arial"/>
          <w:b/>
          <w:color w:val="auto"/>
          <w:sz w:val="24"/>
          <w:szCs w:val="24"/>
        </w:rPr>
        <w:t xml:space="preserve"> El </w:t>
      </w:r>
      <w:proofErr w:type="gramStart"/>
      <w:r>
        <w:rPr>
          <w:rFonts w:ascii="Arial" w:hAnsi="Arial" w:cs="Arial"/>
          <w:b/>
          <w:color w:val="auto"/>
          <w:sz w:val="24"/>
          <w:szCs w:val="24"/>
        </w:rPr>
        <w:t>Presidente</w:t>
      </w:r>
      <w:proofErr w:type="gramEnd"/>
      <w:r>
        <w:rPr>
          <w:rFonts w:ascii="Arial" w:hAnsi="Arial" w:cs="Arial"/>
          <w:b/>
          <w:color w:val="auto"/>
          <w:sz w:val="24"/>
          <w:szCs w:val="24"/>
        </w:rPr>
        <w:t xml:space="preserve"> del Comité Directivo sí carece de legitimación para actuar en representación del partido ante el Tribunal Local</w:t>
      </w:r>
      <w:bookmarkEnd w:id="126"/>
      <w:bookmarkEnd w:id="127"/>
    </w:p>
    <w:p w:rsidR="00880110" w:rsidRDefault="00880110" w:rsidP="00880110">
      <w:pPr>
        <w:autoSpaceDE w:val="0"/>
        <w:autoSpaceDN w:val="0"/>
        <w:adjustRightInd w:val="0"/>
        <w:spacing w:line="360" w:lineRule="auto"/>
        <w:rPr>
          <w:rFonts w:eastAsia="Times New Roman" w:cs="Arial"/>
          <w:color w:val="000000"/>
          <w:sz w:val="24"/>
          <w:szCs w:val="24"/>
          <w:lang w:eastAsia="es-MX"/>
        </w:rPr>
      </w:pPr>
    </w:p>
    <w:p w:rsidR="00880110" w:rsidRPr="000A41AA" w:rsidRDefault="00880110" w:rsidP="00880110">
      <w:pPr>
        <w:pStyle w:val="Ttulo2"/>
        <w:spacing w:before="0"/>
        <w:contextualSpacing/>
        <w:rPr>
          <w:rFonts w:ascii="Arial" w:hAnsi="Arial" w:cs="Arial"/>
          <w:b/>
          <w:bCs/>
          <w:sz w:val="24"/>
          <w:szCs w:val="24"/>
        </w:rPr>
      </w:pPr>
      <w:bookmarkStart w:id="130" w:name="_Toc80899837"/>
      <w:bookmarkStart w:id="131" w:name="_Toc80910968"/>
      <w:r w:rsidRPr="00280964">
        <w:rPr>
          <w:rFonts w:ascii="Arial" w:hAnsi="Arial" w:cs="Arial"/>
          <w:b/>
          <w:bCs/>
          <w:color w:val="auto"/>
          <w:sz w:val="24"/>
          <w:szCs w:val="24"/>
          <w:lang w:val="es-ES_tradnl"/>
        </w:rPr>
        <w:t>1. Marco normativo sobre la improcedencia por falta de legitimación</w:t>
      </w:r>
      <w:bookmarkEnd w:id="130"/>
      <w:bookmarkEnd w:id="131"/>
    </w:p>
    <w:p w:rsidR="00880110" w:rsidRPr="000A41AA" w:rsidRDefault="00880110" w:rsidP="00880110">
      <w:pPr>
        <w:rPr>
          <w:rFonts w:cs="Arial"/>
          <w:b/>
          <w:bCs/>
          <w:sz w:val="24"/>
          <w:szCs w:val="24"/>
        </w:rPr>
      </w:pPr>
    </w:p>
    <w:p w:rsidR="00880110" w:rsidRDefault="00880110" w:rsidP="00880110">
      <w:pPr>
        <w:spacing w:line="360" w:lineRule="auto"/>
        <w:rPr>
          <w:rFonts w:cs="Arial"/>
          <w:sz w:val="24"/>
          <w:szCs w:val="24"/>
        </w:rPr>
      </w:pPr>
      <w:r w:rsidRPr="0019395A">
        <w:rPr>
          <w:rFonts w:cs="Arial"/>
          <w:sz w:val="24"/>
          <w:szCs w:val="24"/>
        </w:rPr>
        <w:t xml:space="preserve">En términos de la Ley Electoral Local los medios de impugnación locales son </w:t>
      </w:r>
      <w:r w:rsidRPr="0019395A">
        <w:rPr>
          <w:rFonts w:cs="Arial"/>
          <w:bCs/>
          <w:sz w:val="24"/>
          <w:szCs w:val="24"/>
        </w:rPr>
        <w:t>improcedentes</w:t>
      </w:r>
      <w:r w:rsidRPr="0019395A">
        <w:rPr>
          <w:rFonts w:cs="Arial"/>
          <w:sz w:val="24"/>
          <w:szCs w:val="24"/>
        </w:rPr>
        <w:t xml:space="preserve"> cuando</w:t>
      </w:r>
      <w:r w:rsidRPr="000A41AA">
        <w:rPr>
          <w:rFonts w:cs="Arial"/>
          <w:sz w:val="24"/>
          <w:szCs w:val="24"/>
        </w:rPr>
        <w:t xml:space="preserve"> el impugnante carece de </w:t>
      </w:r>
      <w:r w:rsidRPr="0019395A">
        <w:rPr>
          <w:rFonts w:cs="Arial"/>
          <w:sz w:val="24"/>
          <w:szCs w:val="24"/>
        </w:rPr>
        <w:t>legitimación o no tenga la personería con la que se ostente, en los términos del propio ordenamiento (artículo 420, párrafo 1, fracción V, de la Ley Electoral Local</w:t>
      </w:r>
      <w:r w:rsidRPr="0019395A">
        <w:rPr>
          <w:rStyle w:val="Refdenotaalpie"/>
          <w:rFonts w:cs="Arial"/>
          <w:szCs w:val="24"/>
        </w:rPr>
        <w:footnoteReference w:id="6"/>
      </w:r>
      <w:r w:rsidRPr="0019395A">
        <w:rPr>
          <w:rFonts w:cs="Arial"/>
          <w:sz w:val="24"/>
          <w:szCs w:val="24"/>
        </w:rPr>
        <w:t>).</w:t>
      </w:r>
    </w:p>
    <w:p w:rsidR="00880110" w:rsidRPr="003970FC" w:rsidRDefault="00880110" w:rsidP="00880110">
      <w:pPr>
        <w:shd w:val="clear" w:color="auto" w:fill="FFFFFF" w:themeFill="background1"/>
        <w:spacing w:line="360" w:lineRule="auto"/>
        <w:rPr>
          <w:rFonts w:eastAsia="Calibri" w:cs="Arial"/>
          <w:sz w:val="24"/>
          <w:szCs w:val="24"/>
        </w:rPr>
      </w:pPr>
    </w:p>
    <w:p w:rsidR="00880110" w:rsidRPr="000A41AA" w:rsidRDefault="00880110" w:rsidP="00880110">
      <w:pPr>
        <w:shd w:val="clear" w:color="auto" w:fill="FFFFFF" w:themeFill="background1"/>
        <w:spacing w:line="360" w:lineRule="auto"/>
        <w:rPr>
          <w:rFonts w:cs="Arial"/>
          <w:sz w:val="24"/>
          <w:szCs w:val="24"/>
        </w:rPr>
      </w:pPr>
      <w:r w:rsidRPr="00BA301D">
        <w:rPr>
          <w:rFonts w:cs="Arial"/>
          <w:sz w:val="24"/>
          <w:szCs w:val="24"/>
        </w:rPr>
        <w:t>En los recursos de revisión, la propia ley señala que la presentación de los medios de impugnación corresponde a los partidos políticos y, en su caso por las candidaturas independientes con interés jurídico para promover el recurso (artículo 396, párrafo 1, de la Ley Electoral Local</w:t>
      </w:r>
      <w:r w:rsidRPr="00BA301D">
        <w:rPr>
          <w:rStyle w:val="Refdenotaalpie"/>
          <w:rFonts w:cs="Arial"/>
          <w:szCs w:val="24"/>
        </w:rPr>
        <w:footnoteReference w:id="7"/>
      </w:r>
      <w:r w:rsidRPr="00BA301D">
        <w:rPr>
          <w:rFonts w:cs="Arial"/>
          <w:sz w:val="24"/>
          <w:szCs w:val="24"/>
        </w:rPr>
        <w:t>).</w:t>
      </w:r>
    </w:p>
    <w:p w:rsidR="00880110" w:rsidRDefault="00880110" w:rsidP="00880110">
      <w:pPr>
        <w:spacing w:line="360" w:lineRule="auto"/>
        <w:rPr>
          <w:rFonts w:cs="Arial"/>
          <w:b/>
          <w:bCs/>
          <w:sz w:val="24"/>
          <w:szCs w:val="24"/>
        </w:rPr>
      </w:pPr>
    </w:p>
    <w:p w:rsidR="00880110" w:rsidRDefault="00880110" w:rsidP="00880110">
      <w:pPr>
        <w:spacing w:line="360" w:lineRule="auto"/>
        <w:rPr>
          <w:rFonts w:ascii="Times New Roman" w:eastAsia="Times New Roman" w:hAnsi="Times New Roman"/>
          <w:sz w:val="24"/>
          <w:szCs w:val="24"/>
          <w:lang w:eastAsia="es-MX"/>
        </w:rPr>
      </w:pPr>
      <w:r>
        <w:rPr>
          <w:rFonts w:cs="Arial"/>
          <w:sz w:val="24"/>
          <w:szCs w:val="24"/>
        </w:rPr>
        <w:t>En ese sentido</w:t>
      </w:r>
      <w:r w:rsidRPr="003F4D9F">
        <w:rPr>
          <w:rFonts w:cs="Arial"/>
          <w:sz w:val="24"/>
          <w:szCs w:val="24"/>
        </w:rPr>
        <w:t xml:space="preserve">, </w:t>
      </w:r>
      <w:r>
        <w:rPr>
          <w:rFonts w:cs="Arial"/>
          <w:sz w:val="24"/>
          <w:szCs w:val="24"/>
        </w:rPr>
        <w:t xml:space="preserve">se puede considerar que </w:t>
      </w:r>
      <w:r w:rsidRPr="003F4D9F">
        <w:rPr>
          <w:rFonts w:cs="Arial"/>
          <w:sz w:val="24"/>
          <w:szCs w:val="24"/>
        </w:rPr>
        <w:t xml:space="preserve">los autorizados para promover un </w:t>
      </w:r>
      <w:r>
        <w:rPr>
          <w:rFonts w:cs="Arial"/>
          <w:sz w:val="24"/>
          <w:szCs w:val="24"/>
        </w:rPr>
        <w:t xml:space="preserve">recurso de revisión en representación de un partido político, </w:t>
      </w:r>
      <w:r w:rsidRPr="00C23574">
        <w:rPr>
          <w:rFonts w:cs="Arial"/>
          <w:sz w:val="24"/>
          <w:szCs w:val="24"/>
        </w:rPr>
        <w:t xml:space="preserve">contra actos </w:t>
      </w:r>
      <w:r>
        <w:rPr>
          <w:rFonts w:cs="Arial"/>
          <w:sz w:val="24"/>
          <w:szCs w:val="24"/>
        </w:rPr>
        <w:t>relacionados co</w:t>
      </w:r>
      <w:r w:rsidRPr="000D0798">
        <w:rPr>
          <w:rFonts w:cs="Arial"/>
          <w:sz w:val="24"/>
          <w:szCs w:val="24"/>
        </w:rPr>
        <w:t>n los cómputos municipales de la elección de ayuntamientos cuando se alegue causales de nulidad</w:t>
      </w:r>
      <w:r>
        <w:rPr>
          <w:rFonts w:cs="Arial"/>
          <w:sz w:val="24"/>
          <w:szCs w:val="24"/>
        </w:rPr>
        <w:t>,</w:t>
      </w:r>
      <w:r w:rsidRPr="000D0798">
        <w:rPr>
          <w:rFonts w:cs="Arial"/>
          <w:sz w:val="24"/>
          <w:szCs w:val="24"/>
        </w:rPr>
        <w:t xml:space="preserve"> serán los </w:t>
      </w:r>
      <w:r w:rsidRPr="000D0798">
        <w:rPr>
          <w:rFonts w:cs="Arial"/>
          <w:bCs/>
          <w:sz w:val="24"/>
          <w:szCs w:val="24"/>
        </w:rPr>
        <w:t>representantes formalmente autorizados con base en las normas internas de los partidos o conforme a lo que establezca la Ley.</w:t>
      </w:r>
    </w:p>
    <w:p w:rsidR="00880110" w:rsidRDefault="00880110" w:rsidP="00880110">
      <w:pPr>
        <w:spacing w:line="360" w:lineRule="auto"/>
        <w:rPr>
          <w:rFonts w:cs="Arial"/>
          <w:sz w:val="24"/>
          <w:szCs w:val="24"/>
        </w:rPr>
      </w:pPr>
    </w:p>
    <w:p w:rsidR="00880110" w:rsidRPr="004A702D" w:rsidRDefault="00880110" w:rsidP="00880110">
      <w:pPr>
        <w:pStyle w:val="Ttulo2"/>
        <w:spacing w:before="0"/>
        <w:contextualSpacing/>
        <w:rPr>
          <w:rFonts w:ascii="Arial" w:hAnsi="Arial" w:cs="Arial"/>
          <w:b/>
          <w:bCs/>
          <w:color w:val="auto"/>
          <w:sz w:val="24"/>
          <w:szCs w:val="24"/>
        </w:rPr>
      </w:pPr>
      <w:bookmarkStart w:id="132" w:name="_Toc80899838"/>
      <w:bookmarkStart w:id="133" w:name="_Toc80910969"/>
      <w:r w:rsidRPr="000D0798">
        <w:rPr>
          <w:rFonts w:ascii="Arial" w:hAnsi="Arial" w:cs="Arial"/>
          <w:b/>
          <w:bCs/>
          <w:color w:val="auto"/>
          <w:sz w:val="24"/>
          <w:szCs w:val="24"/>
          <w:lang w:val="es-ES_tradnl"/>
        </w:rPr>
        <w:lastRenderedPageBreak/>
        <w:t>1.2. Facultades estatutarias para promover juicios en representación del PRI</w:t>
      </w:r>
      <w:bookmarkEnd w:id="132"/>
      <w:bookmarkEnd w:id="133"/>
    </w:p>
    <w:p w:rsidR="00880110" w:rsidRPr="004A702D" w:rsidRDefault="00880110" w:rsidP="00880110">
      <w:pPr>
        <w:rPr>
          <w:rFonts w:cs="Arial"/>
          <w:sz w:val="24"/>
          <w:szCs w:val="24"/>
        </w:rPr>
      </w:pPr>
    </w:p>
    <w:p w:rsidR="00880110" w:rsidRPr="004A702D" w:rsidRDefault="00880110" w:rsidP="00880110">
      <w:pPr>
        <w:spacing w:line="360" w:lineRule="auto"/>
        <w:rPr>
          <w:rFonts w:cs="Arial"/>
          <w:sz w:val="24"/>
          <w:szCs w:val="24"/>
        </w:rPr>
      </w:pPr>
      <w:r w:rsidRPr="004A702D">
        <w:rPr>
          <w:rFonts w:cs="Arial"/>
          <w:sz w:val="24"/>
          <w:szCs w:val="24"/>
        </w:rPr>
        <w:t xml:space="preserve">Por su parte, el Estatuto establece que el </w:t>
      </w:r>
      <w:proofErr w:type="gramStart"/>
      <w:r w:rsidRPr="004A702D">
        <w:rPr>
          <w:rFonts w:cs="Arial"/>
          <w:sz w:val="24"/>
          <w:szCs w:val="24"/>
        </w:rPr>
        <w:t>Presidente</w:t>
      </w:r>
      <w:proofErr w:type="gramEnd"/>
      <w:r w:rsidRPr="004A702D">
        <w:rPr>
          <w:rFonts w:cs="Arial"/>
          <w:sz w:val="24"/>
          <w:szCs w:val="24"/>
        </w:rPr>
        <w:t xml:space="preserve"> del Comité Directivo Nacional designará a los representantes ante las autoridades electorales correspondientes</w:t>
      </w:r>
      <w:r w:rsidRPr="004A702D">
        <w:rPr>
          <w:rStyle w:val="Refdenotaalpie"/>
          <w:sz w:val="24"/>
          <w:szCs w:val="24"/>
        </w:rPr>
        <w:footnoteReference w:id="8"/>
      </w:r>
      <w:r w:rsidRPr="004A702D">
        <w:rPr>
          <w:rFonts w:cs="Arial"/>
          <w:sz w:val="24"/>
          <w:szCs w:val="24"/>
        </w:rPr>
        <w:t>.</w:t>
      </w:r>
    </w:p>
    <w:p w:rsidR="00880110" w:rsidRPr="004A702D" w:rsidRDefault="00880110" w:rsidP="00880110">
      <w:pPr>
        <w:spacing w:line="360" w:lineRule="auto"/>
        <w:rPr>
          <w:rFonts w:cs="Arial"/>
          <w:sz w:val="24"/>
          <w:szCs w:val="24"/>
        </w:rPr>
      </w:pPr>
    </w:p>
    <w:p w:rsidR="00880110" w:rsidRPr="004A702D" w:rsidRDefault="00880110" w:rsidP="00880110">
      <w:pPr>
        <w:spacing w:line="360" w:lineRule="auto"/>
        <w:rPr>
          <w:rFonts w:cs="Arial"/>
          <w:sz w:val="24"/>
          <w:szCs w:val="24"/>
        </w:rPr>
      </w:pPr>
      <w:r w:rsidRPr="004A702D">
        <w:rPr>
          <w:rFonts w:cs="Arial"/>
          <w:sz w:val="24"/>
          <w:szCs w:val="24"/>
        </w:rPr>
        <w:t>Asimismo, establece que</w:t>
      </w:r>
      <w:r>
        <w:rPr>
          <w:rFonts w:cs="Arial"/>
          <w:sz w:val="24"/>
          <w:szCs w:val="24"/>
        </w:rPr>
        <w:t xml:space="preserve"> la representación del partido en las entidades federativas recae en los Comités Directivos Estatales</w:t>
      </w:r>
      <w:r w:rsidRPr="004A702D">
        <w:rPr>
          <w:rStyle w:val="Refdenotaalpie"/>
          <w:sz w:val="24"/>
          <w:szCs w:val="24"/>
        </w:rPr>
        <w:footnoteReference w:id="9"/>
      </w:r>
      <w:r w:rsidRPr="004A702D">
        <w:rPr>
          <w:rFonts w:cs="Arial"/>
          <w:sz w:val="24"/>
          <w:szCs w:val="24"/>
        </w:rPr>
        <w:t>.</w:t>
      </w:r>
    </w:p>
    <w:p w:rsidR="00880110" w:rsidRPr="004A702D" w:rsidRDefault="00880110" w:rsidP="00880110">
      <w:pPr>
        <w:spacing w:line="360" w:lineRule="auto"/>
        <w:rPr>
          <w:rFonts w:cs="Arial"/>
          <w:sz w:val="24"/>
          <w:szCs w:val="24"/>
        </w:rPr>
      </w:pPr>
    </w:p>
    <w:p w:rsidR="00880110" w:rsidRPr="0085581F" w:rsidRDefault="00880110" w:rsidP="00880110">
      <w:pPr>
        <w:spacing w:line="360" w:lineRule="auto"/>
        <w:rPr>
          <w:rFonts w:cs="Arial"/>
          <w:sz w:val="24"/>
          <w:szCs w:val="24"/>
          <w:highlight w:val="yellow"/>
        </w:rPr>
      </w:pPr>
      <w:r w:rsidRPr="004A702D">
        <w:rPr>
          <w:rFonts w:cs="Arial"/>
          <w:sz w:val="24"/>
          <w:szCs w:val="24"/>
        </w:rPr>
        <w:t xml:space="preserve">En el caso de los Comités Directivos Estatales, se integrarán, entre otros, por la presidencia y una secretaría general, y el primero de los mencionados distribuirá las atribuciones </w:t>
      </w:r>
      <w:r w:rsidRPr="00CF4FE8">
        <w:rPr>
          <w:rFonts w:cs="Arial"/>
          <w:sz w:val="24"/>
          <w:szCs w:val="24"/>
        </w:rPr>
        <w:t xml:space="preserve">y deberes en atención a la naturaleza de los cargos que ocupan, para lo cual, </w:t>
      </w:r>
      <w:r w:rsidRPr="00CF4FE8">
        <w:rPr>
          <w:rFonts w:cs="Arial"/>
          <w:b/>
          <w:bCs/>
          <w:sz w:val="24"/>
          <w:szCs w:val="24"/>
        </w:rPr>
        <w:t>serán aplicables en lo conducente las disposiciones relativas a los integrantes del Comité Directivo Nacional</w:t>
      </w:r>
      <w:r w:rsidRPr="00CF4FE8">
        <w:rPr>
          <w:rStyle w:val="Refdenotaalpie"/>
          <w:sz w:val="24"/>
          <w:szCs w:val="24"/>
        </w:rPr>
        <w:footnoteReference w:id="10"/>
      </w:r>
      <w:r w:rsidRPr="00CF4FE8">
        <w:rPr>
          <w:rFonts w:cs="Arial"/>
          <w:sz w:val="24"/>
          <w:szCs w:val="24"/>
        </w:rPr>
        <w:t>.</w:t>
      </w:r>
    </w:p>
    <w:p w:rsidR="00880110" w:rsidRPr="0085581F" w:rsidRDefault="00880110" w:rsidP="00880110">
      <w:pPr>
        <w:spacing w:line="360" w:lineRule="auto"/>
        <w:rPr>
          <w:rFonts w:cs="Arial"/>
          <w:sz w:val="24"/>
          <w:szCs w:val="24"/>
          <w:highlight w:val="yellow"/>
        </w:rPr>
      </w:pPr>
    </w:p>
    <w:p w:rsidR="00880110" w:rsidRPr="0041712C" w:rsidRDefault="00880110" w:rsidP="00880110">
      <w:pPr>
        <w:spacing w:line="360" w:lineRule="auto"/>
        <w:rPr>
          <w:rFonts w:cs="Arial"/>
          <w:sz w:val="24"/>
          <w:szCs w:val="24"/>
        </w:rPr>
      </w:pPr>
      <w:r w:rsidRPr="0041712C">
        <w:rPr>
          <w:rFonts w:cs="Arial"/>
          <w:sz w:val="24"/>
          <w:szCs w:val="24"/>
        </w:rPr>
        <w:t xml:space="preserve">En el caso de los Comités Directivos Municipales, el Estatuto señala, que estos órganos son los que dirigen permanentemente las actividades del Partido en el ámbito de su competencia y </w:t>
      </w:r>
      <w:proofErr w:type="gramStart"/>
      <w:r w:rsidRPr="0041712C">
        <w:rPr>
          <w:rFonts w:cs="Arial"/>
          <w:sz w:val="24"/>
          <w:szCs w:val="24"/>
        </w:rPr>
        <w:t>de acuerdo a</w:t>
      </w:r>
      <w:proofErr w:type="gramEnd"/>
      <w:r w:rsidRPr="0041712C">
        <w:rPr>
          <w:rFonts w:cs="Arial"/>
          <w:sz w:val="24"/>
          <w:szCs w:val="24"/>
        </w:rPr>
        <w:t xml:space="preserve"> sus facultades estatutarias, entre las cuales no se advierte la representación del partido.</w:t>
      </w:r>
    </w:p>
    <w:p w:rsidR="00880110" w:rsidRPr="0041712C" w:rsidRDefault="00880110" w:rsidP="00880110">
      <w:pPr>
        <w:spacing w:line="360" w:lineRule="auto"/>
        <w:rPr>
          <w:rFonts w:cs="Arial"/>
          <w:sz w:val="24"/>
          <w:szCs w:val="24"/>
        </w:rPr>
      </w:pPr>
    </w:p>
    <w:p w:rsidR="00880110" w:rsidRDefault="00880110" w:rsidP="00880110">
      <w:pPr>
        <w:spacing w:line="360" w:lineRule="auto"/>
        <w:rPr>
          <w:rFonts w:cs="Arial"/>
          <w:sz w:val="24"/>
          <w:szCs w:val="24"/>
        </w:rPr>
      </w:pPr>
      <w:r w:rsidRPr="0041712C">
        <w:rPr>
          <w:rFonts w:cs="Arial"/>
          <w:sz w:val="24"/>
          <w:szCs w:val="24"/>
        </w:rPr>
        <w:t xml:space="preserve">De manera que, estatutariamente los titulares </w:t>
      </w:r>
      <w:r>
        <w:rPr>
          <w:rFonts w:cs="Arial"/>
          <w:sz w:val="24"/>
          <w:szCs w:val="24"/>
        </w:rPr>
        <w:t xml:space="preserve">de los Comités Directivos Estatales </w:t>
      </w:r>
      <w:r w:rsidRPr="0041712C">
        <w:rPr>
          <w:rFonts w:cs="Arial"/>
          <w:sz w:val="24"/>
          <w:szCs w:val="24"/>
        </w:rPr>
        <w:t>son los que cuentan con la representación legal del</w:t>
      </w:r>
      <w:r>
        <w:rPr>
          <w:rFonts w:cs="Arial"/>
          <w:sz w:val="24"/>
          <w:szCs w:val="24"/>
        </w:rPr>
        <w:t xml:space="preserve"> PRI en la entidad federativa de que se trate</w:t>
      </w:r>
      <w:r w:rsidRPr="0041712C">
        <w:rPr>
          <w:rFonts w:cs="Arial"/>
          <w:sz w:val="24"/>
          <w:szCs w:val="24"/>
        </w:rPr>
        <w:t>.</w:t>
      </w:r>
    </w:p>
    <w:p w:rsidR="00880110" w:rsidRDefault="00880110" w:rsidP="00880110">
      <w:pPr>
        <w:spacing w:line="360" w:lineRule="auto"/>
        <w:rPr>
          <w:rFonts w:cs="Arial"/>
          <w:sz w:val="24"/>
          <w:szCs w:val="24"/>
        </w:rPr>
      </w:pPr>
    </w:p>
    <w:p w:rsidR="00880110" w:rsidRPr="000D3101" w:rsidRDefault="00880110" w:rsidP="00880110">
      <w:pPr>
        <w:pStyle w:val="Ttulo2"/>
        <w:spacing w:before="0"/>
        <w:contextualSpacing/>
        <w:rPr>
          <w:rFonts w:ascii="Arial" w:hAnsi="Arial" w:cs="Arial"/>
          <w:b/>
          <w:bCs/>
          <w:color w:val="000000"/>
          <w:sz w:val="24"/>
          <w:szCs w:val="24"/>
          <w:lang w:eastAsia="es-MX"/>
        </w:rPr>
      </w:pPr>
      <w:bookmarkStart w:id="134" w:name="_Toc80899839"/>
      <w:bookmarkStart w:id="135" w:name="_Toc80910970"/>
      <w:r>
        <w:rPr>
          <w:rFonts w:ascii="Arial" w:hAnsi="Arial" w:cs="Arial"/>
          <w:b/>
          <w:color w:val="000000"/>
          <w:sz w:val="24"/>
          <w:szCs w:val="24"/>
          <w:lang w:eastAsia="es-MX"/>
        </w:rPr>
        <w:t>2</w:t>
      </w:r>
      <w:r w:rsidRPr="009B0DF8">
        <w:rPr>
          <w:rFonts w:ascii="Arial" w:hAnsi="Arial" w:cs="Arial"/>
          <w:b/>
          <w:color w:val="000000"/>
          <w:sz w:val="24"/>
          <w:szCs w:val="24"/>
          <w:lang w:eastAsia="es-MX"/>
        </w:rPr>
        <w:t xml:space="preserve">. </w:t>
      </w:r>
      <w:r w:rsidRPr="000D3101">
        <w:rPr>
          <w:rFonts w:ascii="Arial" w:eastAsia="Arial" w:hAnsi="Arial" w:cs="Arial"/>
          <w:b/>
          <w:bCs/>
          <w:color w:val="auto"/>
          <w:sz w:val="24"/>
          <w:szCs w:val="24"/>
          <w:lang w:val="es-ES_tradnl"/>
        </w:rPr>
        <w:t>Resolución</w:t>
      </w:r>
      <w:r>
        <w:rPr>
          <w:rFonts w:ascii="Arial" w:eastAsia="Arial" w:hAnsi="Arial" w:cs="Arial"/>
          <w:b/>
          <w:bCs/>
          <w:color w:val="auto"/>
          <w:sz w:val="24"/>
          <w:szCs w:val="24"/>
          <w:lang w:val="es-ES_tradnl"/>
        </w:rPr>
        <w:t xml:space="preserve"> impugnada y caso concreto</w:t>
      </w:r>
      <w:bookmarkEnd w:id="134"/>
      <w:bookmarkEnd w:id="135"/>
    </w:p>
    <w:p w:rsidR="00880110" w:rsidRDefault="00880110" w:rsidP="00880110">
      <w:pPr>
        <w:rPr>
          <w:rFonts w:cs="Arial"/>
          <w:b/>
          <w:color w:val="000000"/>
          <w:sz w:val="24"/>
          <w:szCs w:val="24"/>
          <w:lang w:eastAsia="es-MX"/>
        </w:rPr>
      </w:pPr>
    </w:p>
    <w:p w:rsidR="00880110" w:rsidRDefault="00880110" w:rsidP="00880110">
      <w:pPr>
        <w:pStyle w:val="Prrafodelista"/>
        <w:spacing w:line="360" w:lineRule="auto"/>
        <w:ind w:left="0"/>
        <w:rPr>
          <w:rFonts w:cs="Arial"/>
          <w:sz w:val="24"/>
          <w:szCs w:val="24"/>
          <w:lang w:val="es-ES"/>
        </w:rPr>
      </w:pPr>
      <w:r>
        <w:rPr>
          <w:rFonts w:cs="Arial"/>
          <w:sz w:val="24"/>
          <w:szCs w:val="24"/>
        </w:rPr>
        <w:t>E</w:t>
      </w:r>
      <w:r w:rsidRPr="003D7734">
        <w:rPr>
          <w:rFonts w:cs="Arial"/>
          <w:sz w:val="24"/>
          <w:szCs w:val="24"/>
        </w:rPr>
        <w:t xml:space="preserve">l </w:t>
      </w:r>
      <w:r w:rsidRPr="00634C3D">
        <w:rPr>
          <w:rFonts w:cs="Arial"/>
          <w:sz w:val="24"/>
          <w:szCs w:val="24"/>
        </w:rPr>
        <w:t>Tribunal</w:t>
      </w:r>
      <w:r w:rsidRPr="00634C3D">
        <w:rPr>
          <w:rFonts w:cs="Arial"/>
        </w:rPr>
        <w:t xml:space="preserve"> </w:t>
      </w:r>
      <w:r w:rsidRPr="00634C3D">
        <w:rPr>
          <w:rFonts w:cs="Arial"/>
          <w:bCs/>
          <w:sz w:val="24"/>
          <w:szCs w:val="24"/>
          <w:lang w:val="es-ES_tradnl"/>
        </w:rPr>
        <w:t>Local</w:t>
      </w:r>
      <w:r w:rsidRPr="00634C3D">
        <w:rPr>
          <w:rFonts w:cs="Arial"/>
          <w:b/>
          <w:sz w:val="24"/>
          <w:szCs w:val="24"/>
          <w:lang w:val="es-ES_tradnl"/>
        </w:rPr>
        <w:t xml:space="preserve"> </w:t>
      </w:r>
      <w:r>
        <w:rPr>
          <w:rFonts w:cs="Arial"/>
          <w:bCs/>
          <w:sz w:val="24"/>
          <w:szCs w:val="24"/>
          <w:lang w:val="es-ES_tradnl"/>
        </w:rPr>
        <w:t xml:space="preserve">determinó que </w:t>
      </w:r>
      <w:r>
        <w:rPr>
          <w:rFonts w:cs="Arial"/>
          <w:sz w:val="24"/>
          <w:szCs w:val="24"/>
          <w:lang w:val="es-ES"/>
        </w:rPr>
        <w:t>el</w:t>
      </w:r>
      <w:r w:rsidRPr="00C2422A">
        <w:rPr>
          <w:rFonts w:cs="Arial"/>
          <w:sz w:val="24"/>
          <w:szCs w:val="24"/>
          <w:lang w:val="es-ES"/>
        </w:rPr>
        <w:t xml:space="preserve"> medio de impugnación promovido por el presidente del Comité Directivo </w:t>
      </w:r>
      <w:r>
        <w:rPr>
          <w:rFonts w:cs="Arial"/>
          <w:sz w:val="24"/>
          <w:szCs w:val="24"/>
          <w:lang w:val="es-ES"/>
        </w:rPr>
        <w:t xml:space="preserve">era improcedente, </w:t>
      </w:r>
      <w:r w:rsidRPr="00C2422A">
        <w:rPr>
          <w:rFonts w:cs="Arial"/>
          <w:sz w:val="24"/>
          <w:szCs w:val="24"/>
          <w:lang w:val="es-ES"/>
        </w:rPr>
        <w:t xml:space="preserve">porque carecía de facultades de representación para promover medios de impugnación a nombre del </w:t>
      </w:r>
      <w:r>
        <w:rPr>
          <w:rFonts w:cs="Arial"/>
          <w:sz w:val="24"/>
          <w:szCs w:val="24"/>
          <w:lang w:val="es-ES"/>
        </w:rPr>
        <w:t>PRI.</w:t>
      </w:r>
    </w:p>
    <w:p w:rsidR="00880110" w:rsidRDefault="00880110" w:rsidP="00880110">
      <w:pPr>
        <w:pStyle w:val="Prrafodelista"/>
        <w:spacing w:line="360" w:lineRule="auto"/>
        <w:ind w:left="0"/>
        <w:rPr>
          <w:rFonts w:cs="Arial"/>
          <w:sz w:val="24"/>
          <w:szCs w:val="24"/>
          <w:lang w:val="es-ES"/>
        </w:rPr>
      </w:pPr>
    </w:p>
    <w:p w:rsidR="00880110" w:rsidRDefault="00880110" w:rsidP="00880110">
      <w:pPr>
        <w:spacing w:line="360" w:lineRule="auto"/>
        <w:rPr>
          <w:rFonts w:eastAsia="Calibri"/>
          <w:sz w:val="24"/>
          <w:szCs w:val="24"/>
        </w:rPr>
      </w:pPr>
      <w:r>
        <w:rPr>
          <w:rFonts w:eastAsia="Calibri"/>
          <w:sz w:val="24"/>
          <w:szCs w:val="24"/>
        </w:rPr>
        <w:t>El impugnante argumenta que contrario a lo determinado por la responsable, él en su calidad de presidente del Comité Directivo sí cuenta con facultades de representación para actuar en nombre del PRI y así promover medios de impugnación en su defensa.</w:t>
      </w:r>
    </w:p>
    <w:p w:rsidR="00880110" w:rsidRDefault="00880110" w:rsidP="00880110">
      <w:pPr>
        <w:pStyle w:val="Prrafodelista"/>
        <w:spacing w:line="360" w:lineRule="auto"/>
        <w:ind w:left="0"/>
        <w:rPr>
          <w:rFonts w:cs="Arial"/>
          <w:bCs/>
          <w:sz w:val="24"/>
          <w:szCs w:val="24"/>
        </w:rPr>
      </w:pPr>
    </w:p>
    <w:p w:rsidR="00880110" w:rsidRPr="00310B9F" w:rsidRDefault="00880110" w:rsidP="00880110">
      <w:pPr>
        <w:pStyle w:val="Ttulo2"/>
        <w:spacing w:before="0"/>
        <w:contextualSpacing/>
        <w:rPr>
          <w:rFonts w:ascii="Arial" w:hAnsi="Arial" w:cs="Arial"/>
          <w:b/>
          <w:color w:val="auto"/>
          <w:sz w:val="24"/>
          <w:szCs w:val="24"/>
        </w:rPr>
      </w:pPr>
      <w:bookmarkStart w:id="136" w:name="_Toc80899840"/>
      <w:bookmarkStart w:id="137" w:name="_Toc80910971"/>
      <w:r>
        <w:rPr>
          <w:rFonts w:ascii="Arial" w:hAnsi="Arial" w:cs="Arial"/>
          <w:b/>
          <w:color w:val="auto"/>
          <w:sz w:val="24"/>
          <w:szCs w:val="24"/>
          <w:lang w:eastAsia="es-MX"/>
        </w:rPr>
        <w:t>3</w:t>
      </w:r>
      <w:r w:rsidRPr="00310B9F">
        <w:rPr>
          <w:rFonts w:ascii="Arial" w:hAnsi="Arial" w:cs="Arial"/>
          <w:b/>
          <w:color w:val="auto"/>
          <w:sz w:val="24"/>
          <w:szCs w:val="24"/>
          <w:lang w:eastAsia="es-MX"/>
        </w:rPr>
        <w:t xml:space="preserve">. </w:t>
      </w:r>
      <w:r w:rsidRPr="00310B9F">
        <w:rPr>
          <w:rFonts w:ascii="Arial" w:hAnsi="Arial" w:cs="Arial"/>
          <w:b/>
          <w:color w:val="auto"/>
          <w:sz w:val="24"/>
          <w:szCs w:val="24"/>
        </w:rPr>
        <w:t>Valoración</w:t>
      </w:r>
      <w:bookmarkEnd w:id="136"/>
      <w:bookmarkEnd w:id="137"/>
    </w:p>
    <w:p w:rsidR="00880110" w:rsidRDefault="00880110" w:rsidP="00880110">
      <w:pPr>
        <w:tabs>
          <w:tab w:val="left" w:pos="2445"/>
        </w:tabs>
        <w:spacing w:line="360" w:lineRule="auto"/>
        <w:rPr>
          <w:rFonts w:cs="Arial"/>
          <w:b/>
          <w:bCs/>
          <w:sz w:val="24"/>
          <w:szCs w:val="24"/>
        </w:rPr>
      </w:pPr>
    </w:p>
    <w:p w:rsidR="00880110" w:rsidRDefault="00880110" w:rsidP="00880110">
      <w:pPr>
        <w:tabs>
          <w:tab w:val="left" w:pos="2445"/>
        </w:tabs>
        <w:spacing w:line="360" w:lineRule="auto"/>
        <w:rPr>
          <w:rFonts w:cs="Arial"/>
          <w:sz w:val="24"/>
          <w:szCs w:val="24"/>
          <w:lang w:val="es-ES_tradnl"/>
        </w:rPr>
      </w:pPr>
      <w:r w:rsidRPr="00AF56C8">
        <w:rPr>
          <w:rFonts w:cs="Arial"/>
          <w:b/>
          <w:bCs/>
          <w:sz w:val="24"/>
          <w:szCs w:val="24"/>
        </w:rPr>
        <w:t>3.1.</w:t>
      </w:r>
      <w:r w:rsidRPr="00D73FF5">
        <w:rPr>
          <w:rFonts w:cs="Arial"/>
          <w:bCs/>
          <w:sz w:val="24"/>
          <w:szCs w:val="24"/>
        </w:rPr>
        <w:t xml:space="preserve"> </w:t>
      </w:r>
      <w:r>
        <w:rPr>
          <w:rFonts w:cs="Arial"/>
          <w:bCs/>
          <w:sz w:val="24"/>
          <w:szCs w:val="24"/>
        </w:rPr>
        <w:t>Esta</w:t>
      </w:r>
      <w:r>
        <w:rPr>
          <w:rFonts w:cs="Arial"/>
          <w:sz w:val="24"/>
          <w:szCs w:val="24"/>
        </w:rPr>
        <w:t xml:space="preserve"> </w:t>
      </w:r>
      <w:r>
        <w:rPr>
          <w:rFonts w:cs="Arial"/>
          <w:sz w:val="24"/>
          <w:szCs w:val="24"/>
          <w:lang w:val="es-ES_tradnl"/>
        </w:rPr>
        <w:t xml:space="preserve">Sala Monterrey considera que la impugnante </w:t>
      </w:r>
      <w:r w:rsidRPr="00062EA0">
        <w:rPr>
          <w:rFonts w:cs="Arial"/>
          <w:b/>
          <w:bCs/>
          <w:sz w:val="24"/>
          <w:szCs w:val="24"/>
          <w:lang w:val="es-ES_tradnl"/>
        </w:rPr>
        <w:t>no</w:t>
      </w:r>
      <w:r>
        <w:rPr>
          <w:rFonts w:cs="Arial"/>
          <w:sz w:val="24"/>
          <w:szCs w:val="24"/>
          <w:lang w:val="es-ES_tradnl"/>
        </w:rPr>
        <w:t xml:space="preserve"> </w:t>
      </w:r>
      <w:r w:rsidRPr="00C00844">
        <w:rPr>
          <w:rFonts w:cs="Arial"/>
          <w:b/>
          <w:sz w:val="24"/>
          <w:szCs w:val="24"/>
          <w:lang w:val="es-ES_tradnl"/>
        </w:rPr>
        <w:t>tiene razón</w:t>
      </w:r>
      <w:r>
        <w:rPr>
          <w:rFonts w:cs="Arial"/>
          <w:sz w:val="24"/>
          <w:szCs w:val="24"/>
          <w:lang w:val="es-ES_tradnl"/>
        </w:rPr>
        <w:t>, porque, como lo estableció la responsable, el impugnante no cuenta con la representación del partido para acudir en su nombre a promover medios de impugnación ante el Tribunal Local.</w:t>
      </w:r>
    </w:p>
    <w:p w:rsidR="00880110" w:rsidRDefault="00880110" w:rsidP="00880110">
      <w:pPr>
        <w:tabs>
          <w:tab w:val="left" w:pos="2445"/>
        </w:tabs>
        <w:spacing w:line="360" w:lineRule="auto"/>
        <w:rPr>
          <w:rFonts w:cs="Arial"/>
          <w:sz w:val="24"/>
          <w:szCs w:val="24"/>
        </w:rPr>
      </w:pPr>
    </w:p>
    <w:p w:rsidR="00880110" w:rsidRDefault="00880110" w:rsidP="00880110">
      <w:pPr>
        <w:tabs>
          <w:tab w:val="left" w:pos="2445"/>
        </w:tabs>
        <w:spacing w:line="360" w:lineRule="auto"/>
        <w:rPr>
          <w:rFonts w:cs="Arial"/>
          <w:sz w:val="24"/>
          <w:szCs w:val="24"/>
        </w:rPr>
      </w:pPr>
      <w:r>
        <w:rPr>
          <w:rFonts w:cs="Arial"/>
          <w:sz w:val="24"/>
          <w:szCs w:val="24"/>
        </w:rPr>
        <w:t>En efecto, del análisis de las normas estatutarias se advierte que, en un primer momento, el Comité Ejecutivo Nacional es quien nombra a los representantes ante las autoridades electorales.</w:t>
      </w:r>
    </w:p>
    <w:p w:rsidR="00880110" w:rsidRDefault="00880110" w:rsidP="00880110">
      <w:pPr>
        <w:tabs>
          <w:tab w:val="left" w:pos="2445"/>
        </w:tabs>
        <w:spacing w:line="360" w:lineRule="auto"/>
        <w:rPr>
          <w:rFonts w:cs="Arial"/>
          <w:sz w:val="24"/>
          <w:szCs w:val="24"/>
        </w:rPr>
      </w:pPr>
    </w:p>
    <w:p w:rsidR="00880110" w:rsidRDefault="00880110" w:rsidP="00880110">
      <w:pPr>
        <w:tabs>
          <w:tab w:val="left" w:pos="2445"/>
        </w:tabs>
        <w:spacing w:line="360" w:lineRule="auto"/>
        <w:rPr>
          <w:rFonts w:cs="Arial"/>
          <w:sz w:val="24"/>
          <w:szCs w:val="24"/>
        </w:rPr>
      </w:pPr>
      <w:r>
        <w:rPr>
          <w:rFonts w:cs="Arial"/>
          <w:sz w:val="24"/>
          <w:szCs w:val="24"/>
        </w:rPr>
        <w:t>Ahora, el Estatuto también precisa que quienes ejercerán la representación del partido en las entidades federativas serán los Comités Directivos Estatales, que como ya se precisó, están conformados, entre otros, por la presidencia y la Secretaría General.</w:t>
      </w:r>
    </w:p>
    <w:p w:rsidR="00880110" w:rsidRDefault="00880110" w:rsidP="00880110">
      <w:pPr>
        <w:tabs>
          <w:tab w:val="left" w:pos="2445"/>
        </w:tabs>
        <w:spacing w:line="360" w:lineRule="auto"/>
        <w:rPr>
          <w:rFonts w:cs="Arial"/>
          <w:sz w:val="24"/>
          <w:szCs w:val="24"/>
        </w:rPr>
      </w:pPr>
    </w:p>
    <w:p w:rsidR="00880110" w:rsidRDefault="00880110" w:rsidP="00880110">
      <w:pPr>
        <w:tabs>
          <w:tab w:val="left" w:pos="2445"/>
        </w:tabs>
        <w:spacing w:line="360" w:lineRule="auto"/>
        <w:rPr>
          <w:rFonts w:cs="Arial"/>
          <w:sz w:val="24"/>
          <w:szCs w:val="24"/>
        </w:rPr>
      </w:pPr>
      <w:r>
        <w:rPr>
          <w:rFonts w:cs="Arial"/>
          <w:sz w:val="24"/>
          <w:szCs w:val="24"/>
        </w:rPr>
        <w:t>En ese sentido, se advierte que la representación del partido debe provenir del órgano competente o debe ser ejercida por quien tiene tales atribuciones.</w:t>
      </w:r>
    </w:p>
    <w:p w:rsidR="00880110" w:rsidRDefault="00880110" w:rsidP="00880110">
      <w:pPr>
        <w:tabs>
          <w:tab w:val="left" w:pos="2445"/>
        </w:tabs>
        <w:spacing w:line="360" w:lineRule="auto"/>
        <w:rPr>
          <w:rFonts w:cs="Arial"/>
          <w:sz w:val="24"/>
          <w:szCs w:val="24"/>
        </w:rPr>
      </w:pPr>
    </w:p>
    <w:p w:rsidR="00880110" w:rsidRDefault="00880110" w:rsidP="00880110">
      <w:pPr>
        <w:tabs>
          <w:tab w:val="left" w:pos="2445"/>
        </w:tabs>
        <w:spacing w:line="360" w:lineRule="auto"/>
        <w:rPr>
          <w:rFonts w:cs="Arial"/>
          <w:sz w:val="24"/>
          <w:szCs w:val="24"/>
        </w:rPr>
      </w:pPr>
      <w:r>
        <w:rPr>
          <w:rFonts w:cs="Arial"/>
          <w:sz w:val="24"/>
          <w:szCs w:val="24"/>
        </w:rPr>
        <w:t xml:space="preserve">Por lo tanto, si </w:t>
      </w:r>
      <w:proofErr w:type="gramStart"/>
      <w:r>
        <w:rPr>
          <w:rFonts w:cs="Arial"/>
          <w:sz w:val="24"/>
          <w:szCs w:val="24"/>
        </w:rPr>
        <w:t>de acuerdo al</w:t>
      </w:r>
      <w:proofErr w:type="gramEnd"/>
      <w:r>
        <w:rPr>
          <w:rFonts w:cs="Arial"/>
          <w:sz w:val="24"/>
          <w:szCs w:val="24"/>
        </w:rPr>
        <w:t xml:space="preserve"> Estatuto el Comité Directivo y su titular no tiene atribuciones de representación, resulta evidente que no es viable que ejerzan una acción a nombre del partido, dado que esta facultad no le está conferida.</w:t>
      </w:r>
    </w:p>
    <w:p w:rsidR="00880110" w:rsidRDefault="00880110" w:rsidP="00880110">
      <w:pPr>
        <w:tabs>
          <w:tab w:val="left" w:pos="2445"/>
        </w:tabs>
        <w:spacing w:line="360" w:lineRule="auto"/>
        <w:rPr>
          <w:rFonts w:cs="Arial"/>
          <w:sz w:val="24"/>
          <w:szCs w:val="24"/>
        </w:rPr>
      </w:pPr>
    </w:p>
    <w:p w:rsidR="00880110" w:rsidRDefault="00880110" w:rsidP="00880110">
      <w:pPr>
        <w:tabs>
          <w:tab w:val="left" w:pos="2445"/>
        </w:tabs>
        <w:spacing w:line="360" w:lineRule="auto"/>
        <w:rPr>
          <w:rFonts w:cs="Arial"/>
          <w:sz w:val="24"/>
          <w:szCs w:val="24"/>
        </w:rPr>
      </w:pPr>
      <w:r>
        <w:rPr>
          <w:rFonts w:cs="Arial"/>
          <w:sz w:val="24"/>
          <w:szCs w:val="24"/>
        </w:rPr>
        <w:t>No pasa desapercibido que el impugnante considera que en términos del artículo 63, V, del Estatuto</w:t>
      </w:r>
      <w:r>
        <w:rPr>
          <w:rStyle w:val="Refdenotaalpie"/>
          <w:sz w:val="24"/>
          <w:szCs w:val="24"/>
        </w:rPr>
        <w:footnoteReference w:id="11"/>
      </w:r>
      <w:r>
        <w:rPr>
          <w:rFonts w:cs="Arial"/>
          <w:sz w:val="24"/>
          <w:szCs w:val="24"/>
        </w:rPr>
        <w:t xml:space="preserve">, tiene facultades para actuar a nombre del partido al tratarse de asuntos relacionados con la defensa de los triunfos electorales, sin embargo dicha norma no puede entenderse en un sentido de que se dote a toda dirección a ejercer la representación del partido, pues como ya se precisó, el propio </w:t>
      </w:r>
      <w:r>
        <w:rPr>
          <w:rFonts w:cs="Arial"/>
          <w:sz w:val="24"/>
          <w:szCs w:val="24"/>
        </w:rPr>
        <w:lastRenderedPageBreak/>
        <w:t xml:space="preserve">Estatuto establece puntualmente quien debe otorgarla y que órgano la tiene conferida expresamente, de ahí que no tenga razón el impugnante en su alegato. </w:t>
      </w:r>
    </w:p>
    <w:p w:rsidR="00725403" w:rsidRDefault="00725403" w:rsidP="00880110">
      <w:pPr>
        <w:tabs>
          <w:tab w:val="left" w:pos="2445"/>
        </w:tabs>
        <w:spacing w:line="360" w:lineRule="auto"/>
        <w:rPr>
          <w:rFonts w:cs="Arial"/>
          <w:sz w:val="24"/>
          <w:szCs w:val="24"/>
        </w:rPr>
      </w:pPr>
    </w:p>
    <w:p w:rsidR="00725403" w:rsidRPr="00062EA0" w:rsidRDefault="00725403" w:rsidP="00880110">
      <w:pPr>
        <w:tabs>
          <w:tab w:val="left" w:pos="2445"/>
        </w:tabs>
        <w:spacing w:line="360" w:lineRule="auto"/>
        <w:rPr>
          <w:rFonts w:cs="Arial"/>
          <w:sz w:val="24"/>
          <w:szCs w:val="24"/>
        </w:rPr>
      </w:pPr>
    </w:p>
    <w:p w:rsidR="00880110" w:rsidRDefault="00880110" w:rsidP="00880110">
      <w:pPr>
        <w:rPr>
          <w:rFonts w:cs="Arial"/>
          <w:sz w:val="22"/>
          <w:szCs w:val="28"/>
        </w:rPr>
      </w:pPr>
    </w:p>
    <w:p w:rsidR="00880110" w:rsidRPr="00984A62" w:rsidRDefault="00880110" w:rsidP="00880110">
      <w:pPr>
        <w:pStyle w:val="Ttulo1"/>
        <w:spacing w:before="0"/>
        <w:ind w:left="708"/>
        <w:rPr>
          <w:rFonts w:ascii="Arial" w:hAnsi="Arial" w:cs="Arial"/>
          <w:b/>
          <w:color w:val="auto"/>
          <w:sz w:val="24"/>
          <w:szCs w:val="24"/>
        </w:rPr>
      </w:pPr>
      <w:bookmarkStart w:id="138" w:name="_Toc80872670"/>
      <w:bookmarkStart w:id="139" w:name="_Toc80910972"/>
      <w:r w:rsidRPr="00062EA0">
        <w:rPr>
          <w:rFonts w:ascii="Arial" w:hAnsi="Arial" w:cs="Arial"/>
          <w:b/>
          <w:iCs/>
          <w:color w:val="auto"/>
          <w:sz w:val="24"/>
          <w:szCs w:val="24"/>
          <w:u w:val="single"/>
        </w:rPr>
        <w:t xml:space="preserve">Tema </w:t>
      </w:r>
      <w:r>
        <w:rPr>
          <w:rFonts w:ascii="Arial" w:hAnsi="Arial" w:cs="Arial"/>
          <w:b/>
          <w:iCs/>
          <w:color w:val="auto"/>
          <w:sz w:val="24"/>
          <w:szCs w:val="24"/>
          <w:u w:val="single"/>
        </w:rPr>
        <w:t>2</w:t>
      </w:r>
      <w:r w:rsidRPr="00984A62">
        <w:rPr>
          <w:rFonts w:ascii="Arial" w:hAnsi="Arial" w:cs="Arial"/>
          <w:b/>
          <w:i/>
          <w:color w:val="auto"/>
          <w:sz w:val="24"/>
          <w:szCs w:val="24"/>
          <w:u w:val="single"/>
        </w:rPr>
        <w:t>.</w:t>
      </w:r>
      <w:r w:rsidRPr="00984A62">
        <w:rPr>
          <w:rFonts w:ascii="Arial" w:hAnsi="Arial" w:cs="Arial"/>
          <w:b/>
          <w:color w:val="auto"/>
          <w:sz w:val="24"/>
          <w:szCs w:val="24"/>
        </w:rPr>
        <w:t xml:space="preserve"> El Tribunal Local </w:t>
      </w:r>
      <w:r>
        <w:rPr>
          <w:rFonts w:ascii="Arial" w:hAnsi="Arial" w:cs="Arial"/>
          <w:b/>
          <w:color w:val="auto"/>
          <w:sz w:val="24"/>
          <w:szCs w:val="24"/>
        </w:rPr>
        <w:t xml:space="preserve">debió analizar las pruebas supervenientes </w:t>
      </w:r>
      <w:bookmarkEnd w:id="128"/>
      <w:bookmarkEnd w:id="129"/>
      <w:bookmarkEnd w:id="138"/>
      <w:bookmarkEnd w:id="139"/>
      <w:r w:rsidRPr="00880110">
        <w:rPr>
          <w:rFonts w:ascii="Arial" w:hAnsi="Arial" w:cs="Arial"/>
          <w:b/>
          <w:color w:val="auto"/>
          <w:sz w:val="24"/>
          <w:szCs w:val="24"/>
        </w:rPr>
        <w:t>aportadas</w:t>
      </w:r>
      <w:r>
        <w:rPr>
          <w:rFonts w:ascii="Arial" w:hAnsi="Arial" w:cs="Arial"/>
          <w:b/>
          <w:color w:val="auto"/>
          <w:sz w:val="24"/>
          <w:szCs w:val="24"/>
        </w:rPr>
        <w:t xml:space="preserve"> </w:t>
      </w:r>
    </w:p>
    <w:p w:rsidR="00880110" w:rsidRPr="002F487C" w:rsidRDefault="00880110" w:rsidP="00880110">
      <w:pPr>
        <w:rPr>
          <w:rFonts w:cs="Arial"/>
          <w:sz w:val="22"/>
          <w:szCs w:val="28"/>
        </w:rPr>
      </w:pPr>
    </w:p>
    <w:p w:rsidR="00880110" w:rsidRPr="00167AEE" w:rsidRDefault="00880110" w:rsidP="00880110">
      <w:pPr>
        <w:pStyle w:val="Ttulo2"/>
        <w:spacing w:before="0" w:line="360" w:lineRule="auto"/>
        <w:contextualSpacing/>
        <w:rPr>
          <w:rFonts w:ascii="Arial" w:hAnsi="Arial" w:cs="Arial"/>
          <w:b/>
          <w:color w:val="auto"/>
          <w:sz w:val="24"/>
          <w:szCs w:val="24"/>
        </w:rPr>
      </w:pPr>
      <w:bookmarkStart w:id="140" w:name="_Toc78557876"/>
      <w:bookmarkStart w:id="141" w:name="_Toc77332815"/>
      <w:bookmarkStart w:id="142" w:name="_Toc77183603"/>
      <w:bookmarkStart w:id="143" w:name="_Toc76067451"/>
      <w:bookmarkStart w:id="144" w:name="_Toc76062037"/>
      <w:bookmarkStart w:id="145" w:name="_Toc76061013"/>
      <w:bookmarkStart w:id="146" w:name="_Toc76060479"/>
      <w:bookmarkStart w:id="147" w:name="_Toc74159041"/>
      <w:bookmarkStart w:id="148" w:name="_Toc76058357"/>
      <w:bookmarkStart w:id="149" w:name="_Toc76056755"/>
      <w:bookmarkStart w:id="150" w:name="_Toc76039324"/>
      <w:bookmarkStart w:id="151" w:name="_Toc80204943"/>
      <w:bookmarkStart w:id="152" w:name="_Toc80270171"/>
      <w:bookmarkStart w:id="153" w:name="_Toc80399094"/>
      <w:bookmarkStart w:id="154" w:name="_Toc80399512"/>
      <w:bookmarkStart w:id="155" w:name="_Toc80872671"/>
      <w:bookmarkStart w:id="156" w:name="_Toc80899842"/>
      <w:bookmarkStart w:id="157" w:name="_Toc80910973"/>
      <w:bookmarkStart w:id="158" w:name="_Toc79183190"/>
      <w:bookmarkStart w:id="159" w:name="_Toc79183656"/>
      <w:bookmarkStart w:id="160" w:name="_Toc79184176"/>
      <w:bookmarkStart w:id="161" w:name="_Toc79184113"/>
      <w:r w:rsidRPr="00167AEE">
        <w:rPr>
          <w:rFonts w:ascii="Arial" w:hAnsi="Arial" w:cs="Arial"/>
          <w:b/>
          <w:color w:val="auto"/>
          <w:sz w:val="24"/>
          <w:szCs w:val="24"/>
        </w:rPr>
        <w:t xml:space="preserve">1.1 </w:t>
      </w:r>
      <w:r w:rsidRPr="00167AEE">
        <w:rPr>
          <w:rFonts w:ascii="Arial" w:eastAsia="Arial" w:hAnsi="Arial" w:cs="Arial"/>
          <w:b/>
          <w:color w:val="auto"/>
          <w:sz w:val="24"/>
          <w:szCs w:val="24"/>
        </w:rPr>
        <w:t>Marco normativo del deber de analizar integralmente todos los hechos o circunstancias del asunto</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67AEE">
        <w:rPr>
          <w:rFonts w:ascii="Arial" w:eastAsia="Arial" w:hAnsi="Arial" w:cs="Arial"/>
          <w:b/>
          <w:color w:val="auto"/>
          <w:sz w:val="24"/>
          <w:szCs w:val="24"/>
        </w:rPr>
        <w:t xml:space="preserve"> </w:t>
      </w:r>
    </w:p>
    <w:p w:rsidR="00880110" w:rsidRPr="00167AEE" w:rsidRDefault="00880110" w:rsidP="00880110">
      <w:pPr>
        <w:rPr>
          <w:rFonts w:eastAsia="Arial" w:cs="Arial"/>
          <w:b/>
          <w:sz w:val="24"/>
          <w:szCs w:val="24"/>
        </w:rPr>
      </w:pPr>
    </w:p>
    <w:p w:rsidR="00880110" w:rsidRPr="00167AEE" w:rsidRDefault="00880110" w:rsidP="00880110">
      <w:pPr>
        <w:spacing w:line="360" w:lineRule="auto"/>
        <w:rPr>
          <w:bCs/>
          <w:sz w:val="24"/>
          <w:szCs w:val="24"/>
        </w:rPr>
      </w:pPr>
      <w:r w:rsidRPr="00167AEE">
        <w:rPr>
          <w:sz w:val="24"/>
          <w:szCs w:val="24"/>
          <w:lang w:val="es-ES"/>
        </w:rPr>
        <w:t xml:space="preserve">Las autoridades electorales y órganos partidistas, administrativos y/o jurisdiccionales, tienen el deber de pronunciarse en sus determinaciones o resoluciones, sobre todos los </w:t>
      </w:r>
      <w:bookmarkStart w:id="162" w:name="_Hlk70009254"/>
      <w:r w:rsidRPr="00167AEE">
        <w:rPr>
          <w:sz w:val="24"/>
          <w:szCs w:val="24"/>
          <w:lang w:val="es-ES"/>
        </w:rPr>
        <w:t>hechos o circunstancias que les son planteadas</w:t>
      </w:r>
      <w:bookmarkEnd w:id="162"/>
      <w:r w:rsidRPr="00167AEE">
        <w:rPr>
          <w:sz w:val="24"/>
          <w:szCs w:val="24"/>
          <w:lang w:val="es-ES"/>
        </w:rPr>
        <w:t>, con independencia de la manera en la que se atiendan o se resuelvan, para cumplir con el deber de administrar justicia completa, en términos de lo dispuesto por el artículo 17 de la Constitución Política de los Estados Unidos Mexicanos</w:t>
      </w:r>
      <w:r w:rsidRPr="00167AEE">
        <w:rPr>
          <w:sz w:val="24"/>
          <w:szCs w:val="24"/>
          <w:vertAlign w:val="superscript"/>
          <w:lang w:val="es-ES"/>
        </w:rPr>
        <w:footnoteReference w:id="12"/>
      </w:r>
      <w:r w:rsidRPr="00167AEE">
        <w:rPr>
          <w:sz w:val="24"/>
          <w:szCs w:val="24"/>
          <w:lang w:val="es-ES"/>
        </w:rPr>
        <w:t>.</w:t>
      </w:r>
    </w:p>
    <w:p w:rsidR="00880110" w:rsidRPr="00167AEE" w:rsidRDefault="00880110" w:rsidP="00880110">
      <w:pPr>
        <w:spacing w:line="360" w:lineRule="auto"/>
        <w:rPr>
          <w:rFonts w:eastAsia="Arial"/>
          <w:sz w:val="24"/>
          <w:szCs w:val="24"/>
        </w:rPr>
      </w:pPr>
    </w:p>
    <w:p w:rsidR="00880110" w:rsidRPr="00167AEE" w:rsidRDefault="00880110" w:rsidP="00880110">
      <w:pPr>
        <w:spacing w:line="360" w:lineRule="auto"/>
        <w:rPr>
          <w:rFonts w:eastAsia="Arial"/>
          <w:sz w:val="24"/>
          <w:szCs w:val="24"/>
        </w:rPr>
      </w:pPr>
      <w:r w:rsidRPr="00167AEE">
        <w:rPr>
          <w:rFonts w:eastAsia="Arial"/>
          <w:sz w:val="24"/>
          <w:szCs w:val="24"/>
        </w:rPr>
        <w:t xml:space="preserve">Por ello, las autoridades jurisdiccionales deben analizar todos los elementos necesarios para estar en aptitud de emitir una determinación, a fin de atender la pretensión del impugnante o denunciante, con independencia de que esta se haga de manera directa, específica, individual o incluso genérica, pero en todo caso con la mención de que será atendida. </w:t>
      </w:r>
    </w:p>
    <w:p w:rsidR="00880110" w:rsidRPr="00167AEE" w:rsidRDefault="00880110" w:rsidP="00880110">
      <w:pPr>
        <w:spacing w:line="360" w:lineRule="auto"/>
        <w:rPr>
          <w:rFonts w:eastAsia="Arial"/>
          <w:sz w:val="24"/>
          <w:szCs w:val="24"/>
        </w:rPr>
      </w:pPr>
    </w:p>
    <w:p w:rsidR="00880110" w:rsidRDefault="00880110" w:rsidP="00880110">
      <w:pPr>
        <w:spacing w:line="360" w:lineRule="auto"/>
        <w:rPr>
          <w:sz w:val="24"/>
          <w:szCs w:val="24"/>
          <w:lang w:val="es-ES"/>
        </w:rPr>
      </w:pPr>
      <w:r w:rsidRPr="00167AEE">
        <w:rPr>
          <w:sz w:val="24"/>
          <w:szCs w:val="24"/>
          <w:lang w:val="es-ES"/>
        </w:rPr>
        <w:t xml:space="preserve">Con la precisión de que, especialmente, en el caso de los órganos que atienden por primera vez la controversia tienen el deber de pronunciarse sobre todas las pretensiones y planteamientos sometidos a su conocimiento y no únicamente a algún aspecto concreto, así como valorar los medios de prueba aportados o allegados legalmente al proceso, como base para resolver sobre las </w:t>
      </w:r>
      <w:r w:rsidRPr="00167AEE">
        <w:rPr>
          <w:sz w:val="24"/>
          <w:szCs w:val="24"/>
          <w:lang w:val="es-ES"/>
        </w:rPr>
        <w:lastRenderedPageBreak/>
        <w:t>pretensiones</w:t>
      </w:r>
      <w:r w:rsidRPr="00167AEE">
        <w:rPr>
          <w:sz w:val="24"/>
          <w:szCs w:val="24"/>
          <w:vertAlign w:val="superscript"/>
          <w:lang w:val="es-ES"/>
        </w:rPr>
        <w:footnoteReference w:id="13"/>
      </w:r>
      <w:r w:rsidRPr="00167AEE">
        <w:rPr>
          <w:sz w:val="24"/>
          <w:szCs w:val="24"/>
          <w:lang w:val="es-ES"/>
        </w:rPr>
        <w:t>, por más que estimen que basta el análisis de algunos de ellos para sustentar una decisión desestimatoria.</w:t>
      </w:r>
    </w:p>
    <w:p w:rsidR="00880110" w:rsidRPr="00167AEE" w:rsidRDefault="00880110" w:rsidP="00880110">
      <w:pPr>
        <w:spacing w:line="360" w:lineRule="auto"/>
        <w:rPr>
          <w:sz w:val="24"/>
          <w:szCs w:val="24"/>
          <w:lang w:val="es-ES"/>
        </w:rPr>
      </w:pPr>
    </w:p>
    <w:p w:rsidR="00880110" w:rsidRPr="002F487C" w:rsidRDefault="00880110" w:rsidP="00880110">
      <w:pPr>
        <w:pStyle w:val="Ttulo2"/>
        <w:spacing w:before="0" w:line="360" w:lineRule="auto"/>
        <w:contextualSpacing/>
        <w:rPr>
          <w:rFonts w:ascii="Arial" w:hAnsi="Arial" w:cs="Arial"/>
          <w:b/>
          <w:color w:val="auto"/>
          <w:sz w:val="24"/>
          <w:szCs w:val="24"/>
        </w:rPr>
      </w:pPr>
      <w:bookmarkStart w:id="163" w:name="_Toc80872672"/>
      <w:bookmarkStart w:id="164" w:name="_Toc80899843"/>
      <w:bookmarkStart w:id="165" w:name="_Toc80910974"/>
      <w:r w:rsidRPr="002F487C">
        <w:rPr>
          <w:rFonts w:ascii="Arial" w:hAnsi="Arial" w:cs="Arial"/>
          <w:b/>
          <w:bCs/>
          <w:color w:val="auto"/>
          <w:sz w:val="24"/>
          <w:szCs w:val="24"/>
        </w:rPr>
        <w:t>1.</w:t>
      </w:r>
      <w:bookmarkStart w:id="166" w:name="_Toc78016188"/>
      <w:r>
        <w:rPr>
          <w:rFonts w:ascii="Arial" w:hAnsi="Arial" w:cs="Arial"/>
          <w:b/>
          <w:bCs/>
          <w:color w:val="auto"/>
          <w:sz w:val="24"/>
          <w:szCs w:val="24"/>
        </w:rPr>
        <w:t>2.</w:t>
      </w:r>
      <w:r w:rsidRPr="002F487C">
        <w:rPr>
          <w:rFonts w:ascii="Arial" w:hAnsi="Arial" w:cs="Arial"/>
          <w:b/>
          <w:color w:val="auto"/>
          <w:sz w:val="24"/>
          <w:szCs w:val="24"/>
        </w:rPr>
        <w:t xml:space="preserve"> Marco normativo o deber de analizar integralmente </w:t>
      </w:r>
      <w:r>
        <w:rPr>
          <w:rFonts w:ascii="Arial" w:hAnsi="Arial" w:cs="Arial"/>
          <w:b/>
          <w:color w:val="auto"/>
          <w:sz w:val="24"/>
          <w:szCs w:val="24"/>
        </w:rPr>
        <w:t xml:space="preserve">las </w:t>
      </w:r>
      <w:bookmarkEnd w:id="166"/>
      <w:r>
        <w:rPr>
          <w:rFonts w:ascii="Arial" w:hAnsi="Arial" w:cs="Arial"/>
          <w:b/>
          <w:color w:val="auto"/>
          <w:sz w:val="24"/>
          <w:szCs w:val="24"/>
        </w:rPr>
        <w:t>pruebas aportadas por las partes</w:t>
      </w:r>
      <w:bookmarkEnd w:id="158"/>
      <w:bookmarkEnd w:id="159"/>
      <w:bookmarkEnd w:id="160"/>
      <w:bookmarkEnd w:id="161"/>
      <w:bookmarkEnd w:id="163"/>
      <w:bookmarkEnd w:id="164"/>
      <w:bookmarkEnd w:id="165"/>
    </w:p>
    <w:p w:rsidR="00880110" w:rsidRPr="005C2762" w:rsidRDefault="00880110" w:rsidP="00880110">
      <w:pPr>
        <w:rPr>
          <w:rFonts w:cs="Arial"/>
          <w:sz w:val="24"/>
          <w:szCs w:val="24"/>
        </w:rPr>
      </w:pPr>
    </w:p>
    <w:p w:rsidR="00880110" w:rsidRPr="005C2762" w:rsidRDefault="00880110" w:rsidP="00880110">
      <w:pPr>
        <w:spacing w:line="360" w:lineRule="auto"/>
        <w:rPr>
          <w:rFonts w:cs="Arial"/>
          <w:sz w:val="24"/>
          <w:szCs w:val="24"/>
        </w:rPr>
      </w:pPr>
      <w:r>
        <w:rPr>
          <w:rFonts w:cs="Arial"/>
          <w:sz w:val="24"/>
          <w:szCs w:val="24"/>
        </w:rPr>
        <w:t>La Constitución General establece el</w:t>
      </w:r>
      <w:r w:rsidRPr="005C2762">
        <w:rPr>
          <w:rFonts w:cs="Arial"/>
          <w:sz w:val="24"/>
          <w:szCs w:val="24"/>
        </w:rPr>
        <w:t xml:space="preserve"> derecho al debido proceso</w:t>
      </w:r>
      <w:r>
        <w:rPr>
          <w:rFonts w:cs="Arial"/>
          <w:sz w:val="24"/>
          <w:szCs w:val="24"/>
        </w:rPr>
        <w:t>, el cual</w:t>
      </w:r>
      <w:r w:rsidRPr="005C2762">
        <w:rPr>
          <w:rFonts w:cs="Arial"/>
          <w:sz w:val="24"/>
          <w:szCs w:val="24"/>
        </w:rPr>
        <w:t xml:space="preserve"> busca confirmar la legalidad y correcta aplicación de las leyes dentro de un marco de respeto mínimo a la dignidad humana dentro de cualquier tipo de proceso, que se realiza de acuerdo con reglas preestablecidas, cuyo resultado será el dictado de una determinación, con la finalidad de declarar el derecho material aplicable al caso concreto</w:t>
      </w:r>
      <w:r>
        <w:rPr>
          <w:rFonts w:cs="Arial"/>
          <w:sz w:val="24"/>
          <w:szCs w:val="24"/>
        </w:rPr>
        <w:t xml:space="preserve"> [</w:t>
      </w:r>
      <w:r w:rsidRPr="007D7FDB">
        <w:rPr>
          <w:rFonts w:cs="Arial"/>
          <w:sz w:val="24"/>
          <w:szCs w:val="24"/>
        </w:rPr>
        <w:t>artículo</w:t>
      </w:r>
      <w:r>
        <w:rPr>
          <w:rFonts w:cs="Arial"/>
          <w:sz w:val="24"/>
          <w:szCs w:val="24"/>
        </w:rPr>
        <w:t xml:space="preserve">s </w:t>
      </w:r>
      <w:r w:rsidRPr="005C2762">
        <w:rPr>
          <w:rFonts w:cs="Arial"/>
          <w:sz w:val="24"/>
          <w:szCs w:val="24"/>
        </w:rPr>
        <w:t>14</w:t>
      </w:r>
      <w:r>
        <w:rPr>
          <w:rStyle w:val="Refdenotaalpie"/>
          <w:sz w:val="24"/>
          <w:szCs w:val="24"/>
        </w:rPr>
        <w:footnoteReference w:id="14"/>
      </w:r>
      <w:r w:rsidRPr="005C2762">
        <w:rPr>
          <w:rFonts w:cs="Arial"/>
          <w:sz w:val="24"/>
          <w:szCs w:val="24"/>
        </w:rPr>
        <w:t>, párrafo segundo</w:t>
      </w:r>
      <w:r>
        <w:rPr>
          <w:rFonts w:cs="Arial"/>
          <w:sz w:val="24"/>
          <w:szCs w:val="24"/>
        </w:rPr>
        <w:t xml:space="preserve"> y </w:t>
      </w:r>
      <w:r w:rsidRPr="007D7FDB">
        <w:rPr>
          <w:rFonts w:cs="Arial"/>
          <w:sz w:val="24"/>
          <w:szCs w:val="24"/>
        </w:rPr>
        <w:t>16</w:t>
      </w:r>
      <w:r>
        <w:rPr>
          <w:rStyle w:val="Refdenotaalpie"/>
          <w:sz w:val="24"/>
          <w:szCs w:val="24"/>
        </w:rPr>
        <w:footnoteReference w:id="15"/>
      </w:r>
      <w:r w:rsidRPr="007D7FDB">
        <w:rPr>
          <w:rFonts w:cs="Arial"/>
          <w:sz w:val="24"/>
          <w:szCs w:val="24"/>
        </w:rPr>
        <w:t xml:space="preserve">, párrafo primero, </w:t>
      </w:r>
      <w:r w:rsidRPr="00F80C98">
        <w:rPr>
          <w:rFonts w:cs="Arial"/>
          <w:sz w:val="24"/>
          <w:szCs w:val="24"/>
        </w:rPr>
        <w:t>de la Constitución General</w:t>
      </w:r>
      <w:r>
        <w:rPr>
          <w:rFonts w:cs="Arial"/>
          <w:sz w:val="24"/>
          <w:szCs w:val="24"/>
        </w:rPr>
        <w:t>]</w:t>
      </w:r>
      <w:r w:rsidRPr="007D7FDB">
        <w:rPr>
          <w:rFonts w:cs="Arial"/>
          <w:sz w:val="24"/>
          <w:szCs w:val="24"/>
        </w:rPr>
        <w:t>.</w:t>
      </w:r>
    </w:p>
    <w:p w:rsidR="00880110" w:rsidRPr="00312455" w:rsidRDefault="00880110" w:rsidP="00880110">
      <w:pPr>
        <w:spacing w:line="360" w:lineRule="auto"/>
        <w:ind w:firstLine="708"/>
        <w:rPr>
          <w:rFonts w:cs="Arial"/>
          <w:sz w:val="24"/>
          <w:szCs w:val="24"/>
        </w:rPr>
      </w:pPr>
    </w:p>
    <w:p w:rsidR="00880110" w:rsidRPr="00312455" w:rsidRDefault="00880110" w:rsidP="00880110">
      <w:pPr>
        <w:spacing w:line="360" w:lineRule="auto"/>
        <w:rPr>
          <w:rFonts w:cs="Arial"/>
          <w:sz w:val="24"/>
          <w:szCs w:val="24"/>
        </w:rPr>
      </w:pPr>
      <w:r w:rsidRPr="00312455">
        <w:rPr>
          <w:rFonts w:cs="Arial"/>
          <w:sz w:val="24"/>
          <w:szCs w:val="24"/>
        </w:rPr>
        <w:t xml:space="preserve">En lo fundamental, el debido proceso en general tiene como pilares insoslayables los principios de audiencia previa y </w:t>
      </w:r>
      <w:r w:rsidRPr="00312455">
        <w:rPr>
          <w:rFonts w:cs="Arial"/>
          <w:b/>
          <w:sz w:val="24"/>
          <w:szCs w:val="24"/>
        </w:rPr>
        <w:t>la igualdad de todas las partes</w:t>
      </w:r>
      <w:r w:rsidRPr="00312455">
        <w:rPr>
          <w:rFonts w:cs="Arial"/>
          <w:sz w:val="24"/>
          <w:szCs w:val="24"/>
        </w:rPr>
        <w:t xml:space="preserve"> procesales para ejercer su derecho de defensa en idénticas condiciones, es decir, mediante el otorgamiento de iguales </w:t>
      </w:r>
      <w:r w:rsidRPr="00312455">
        <w:rPr>
          <w:rFonts w:cs="Arial"/>
          <w:b/>
          <w:sz w:val="24"/>
          <w:szCs w:val="24"/>
          <w:u w:val="single"/>
        </w:rPr>
        <w:t>oportunidades para presentar y analizar pruebas</w:t>
      </w:r>
      <w:r w:rsidRPr="00312455">
        <w:rPr>
          <w:rFonts w:cs="Arial"/>
          <w:sz w:val="24"/>
          <w:szCs w:val="24"/>
        </w:rPr>
        <w:t xml:space="preserve">, interponer recursos y presentar observaciones dentro de plazos o términos iguales para todos. </w:t>
      </w:r>
    </w:p>
    <w:p w:rsidR="00880110" w:rsidRPr="00574437" w:rsidRDefault="00880110" w:rsidP="00880110">
      <w:pPr>
        <w:spacing w:line="360" w:lineRule="auto"/>
        <w:rPr>
          <w:rFonts w:cs="Arial"/>
          <w:strike/>
          <w:sz w:val="24"/>
          <w:szCs w:val="24"/>
          <w:highlight w:val="green"/>
        </w:rPr>
      </w:pPr>
    </w:p>
    <w:p w:rsidR="00880110" w:rsidRPr="00312455" w:rsidRDefault="00880110" w:rsidP="00880110">
      <w:pPr>
        <w:spacing w:line="360" w:lineRule="auto"/>
        <w:rPr>
          <w:rFonts w:cs="Arial"/>
          <w:sz w:val="24"/>
          <w:szCs w:val="24"/>
        </w:rPr>
      </w:pPr>
      <w:r w:rsidRPr="00312455">
        <w:rPr>
          <w:rFonts w:cs="Arial"/>
          <w:sz w:val="24"/>
          <w:szCs w:val="24"/>
        </w:rPr>
        <w:t xml:space="preserve">En ese sentido, la audiencia previa es fundamental, en todo tipo de proceso, para que la persona perjudicada tenga la oportunidad de </w:t>
      </w:r>
      <w:r w:rsidRPr="00312455">
        <w:rPr>
          <w:rFonts w:cs="Arial"/>
          <w:b/>
          <w:sz w:val="24"/>
          <w:szCs w:val="24"/>
        </w:rPr>
        <w:t>defenderse de los cargos que se le imputan y presentar las pruebas de descargo que considere pertinentes al caso concreto</w:t>
      </w:r>
      <w:r w:rsidRPr="00312455">
        <w:rPr>
          <w:rFonts w:cs="Arial"/>
          <w:sz w:val="24"/>
          <w:szCs w:val="24"/>
        </w:rPr>
        <w:t>-independientemente de la naturaleza que sea- antes de que se emita una resolución final.</w:t>
      </w:r>
    </w:p>
    <w:p w:rsidR="00880110" w:rsidRPr="00574437" w:rsidRDefault="00880110" w:rsidP="00880110">
      <w:pPr>
        <w:spacing w:line="360" w:lineRule="auto"/>
        <w:rPr>
          <w:rFonts w:eastAsia="Calibri" w:cs="Arial"/>
          <w:strike/>
          <w:sz w:val="24"/>
          <w:szCs w:val="24"/>
        </w:rPr>
      </w:pPr>
    </w:p>
    <w:p w:rsidR="00880110" w:rsidRPr="0064413B" w:rsidRDefault="00880110" w:rsidP="00880110">
      <w:pPr>
        <w:spacing w:line="360" w:lineRule="auto"/>
        <w:rPr>
          <w:rFonts w:eastAsia="Calibri" w:cs="Arial"/>
          <w:sz w:val="24"/>
          <w:szCs w:val="24"/>
        </w:rPr>
      </w:pPr>
      <w:r w:rsidRPr="0064413B">
        <w:rPr>
          <w:rFonts w:eastAsia="Calibri" w:cs="Arial"/>
          <w:sz w:val="24"/>
          <w:szCs w:val="24"/>
        </w:rPr>
        <w:lastRenderedPageBreak/>
        <w:t>Por lo tanto, entre los elementos fundamentales del debido proceso, se encuentra la posibilidad de presentar pruebas las cuales serán materia de análisis por parte del juzgado conforme a las reglas previstas.</w:t>
      </w:r>
    </w:p>
    <w:p w:rsidR="00880110" w:rsidRPr="00574437" w:rsidRDefault="00880110" w:rsidP="00880110">
      <w:pPr>
        <w:spacing w:line="360" w:lineRule="auto"/>
        <w:rPr>
          <w:rFonts w:eastAsia="Calibri" w:cs="Arial"/>
          <w:strike/>
          <w:sz w:val="24"/>
          <w:szCs w:val="24"/>
          <w:highlight w:val="green"/>
        </w:rPr>
      </w:pPr>
    </w:p>
    <w:p w:rsidR="00880110" w:rsidRPr="0064413B" w:rsidRDefault="00880110" w:rsidP="00880110">
      <w:pPr>
        <w:spacing w:line="360" w:lineRule="auto"/>
        <w:rPr>
          <w:rFonts w:eastAsia="Calibri" w:cs="Arial"/>
          <w:sz w:val="24"/>
          <w:szCs w:val="24"/>
        </w:rPr>
      </w:pPr>
      <w:r w:rsidRPr="0064413B">
        <w:rPr>
          <w:rFonts w:eastAsia="Calibri" w:cs="Arial"/>
          <w:sz w:val="24"/>
          <w:szCs w:val="24"/>
        </w:rPr>
        <w:t xml:space="preserve">La finalidad de este elemento es que las partes </w:t>
      </w:r>
      <w:r>
        <w:rPr>
          <w:rFonts w:eastAsia="Calibri" w:cs="Arial"/>
          <w:sz w:val="24"/>
          <w:szCs w:val="24"/>
        </w:rPr>
        <w:t xml:space="preserve">puedan presentar </w:t>
      </w:r>
      <w:r w:rsidRPr="0064413B">
        <w:rPr>
          <w:rFonts w:eastAsia="Calibri" w:cs="Arial"/>
          <w:sz w:val="24"/>
          <w:szCs w:val="24"/>
        </w:rPr>
        <w:t xml:space="preserve">pruebas </w:t>
      </w:r>
      <w:r>
        <w:rPr>
          <w:rFonts w:eastAsia="Calibri" w:cs="Arial"/>
          <w:sz w:val="24"/>
          <w:szCs w:val="24"/>
        </w:rPr>
        <w:t xml:space="preserve">para </w:t>
      </w:r>
      <w:r w:rsidRPr="0064413B">
        <w:rPr>
          <w:rFonts w:eastAsia="Calibri" w:cs="Arial"/>
          <w:sz w:val="24"/>
          <w:szCs w:val="24"/>
        </w:rPr>
        <w:t>apoyar sus argumentos con elementos de generen una mayor convicción en el juzgador a fin de esclarecer cual es la verdad de los hechos que se encuentren en litigio.</w:t>
      </w:r>
    </w:p>
    <w:p w:rsidR="00880110" w:rsidRPr="00574437" w:rsidRDefault="00880110" w:rsidP="00880110">
      <w:pPr>
        <w:spacing w:line="360" w:lineRule="auto"/>
        <w:rPr>
          <w:rFonts w:eastAsia="Calibri" w:cs="Arial"/>
          <w:strike/>
          <w:sz w:val="24"/>
          <w:szCs w:val="24"/>
          <w:highlight w:val="green"/>
        </w:rPr>
      </w:pPr>
      <w:r w:rsidRPr="00574437">
        <w:rPr>
          <w:rFonts w:eastAsia="Calibri" w:cs="Arial"/>
          <w:strike/>
          <w:sz w:val="24"/>
          <w:szCs w:val="24"/>
          <w:highlight w:val="green"/>
        </w:rPr>
        <w:t xml:space="preserve"> </w:t>
      </w:r>
    </w:p>
    <w:p w:rsidR="00880110" w:rsidRDefault="00880110" w:rsidP="00880110">
      <w:pPr>
        <w:spacing w:line="360" w:lineRule="auto"/>
        <w:rPr>
          <w:rFonts w:eastAsia="Calibri" w:cs="Arial"/>
          <w:sz w:val="24"/>
          <w:szCs w:val="24"/>
        </w:rPr>
      </w:pPr>
      <w:r w:rsidRPr="000558D8">
        <w:rPr>
          <w:rFonts w:eastAsia="Calibri" w:cs="Arial"/>
          <w:sz w:val="24"/>
          <w:szCs w:val="24"/>
        </w:rPr>
        <w:t xml:space="preserve">Siguiendo la línea jurisprudencial </w:t>
      </w:r>
      <w:r>
        <w:rPr>
          <w:rFonts w:eastAsia="Calibri" w:cs="Arial"/>
          <w:sz w:val="24"/>
          <w:szCs w:val="24"/>
        </w:rPr>
        <w:t>de la Suprema Corte de Justicia de la Nación</w:t>
      </w:r>
      <w:r w:rsidRPr="000558D8">
        <w:rPr>
          <w:rFonts w:eastAsia="Calibri" w:cs="Arial"/>
          <w:sz w:val="24"/>
          <w:szCs w:val="24"/>
        </w:rPr>
        <w:t xml:space="preserve">, las formalidades esenciales del procedimiento se manifiestan en un núcleo duro compuesto por la notificación o emplazamiento, </w:t>
      </w:r>
      <w:r w:rsidRPr="000558D8">
        <w:rPr>
          <w:rFonts w:eastAsia="Calibri" w:cs="Arial"/>
          <w:b/>
          <w:sz w:val="24"/>
          <w:szCs w:val="24"/>
          <w:u w:val="single"/>
        </w:rPr>
        <w:t>la posibilidad probatoria en sentido amplio</w:t>
      </w:r>
      <w:r w:rsidRPr="000558D8">
        <w:rPr>
          <w:rFonts w:eastAsia="Calibri" w:cs="Arial"/>
          <w:sz w:val="24"/>
          <w:szCs w:val="24"/>
        </w:rPr>
        <w:t>, el derecho de formular alegatos y la obligación de las responsables de resolver la cuestión planteada; sin embargo, eso no quiere decir que el derecho humano en comento, se encuentre cerrado a ese número taxativo de supuestos, pues puede verse ampliado, según la naturaleza del caso que se analice</w:t>
      </w:r>
      <w:r w:rsidRPr="000558D8">
        <w:rPr>
          <w:rStyle w:val="Refdenotaalpie"/>
          <w:rFonts w:eastAsia="Calibri"/>
          <w:sz w:val="24"/>
          <w:szCs w:val="24"/>
        </w:rPr>
        <w:footnoteReference w:id="16"/>
      </w:r>
      <w:r w:rsidRPr="000558D8">
        <w:rPr>
          <w:rFonts w:eastAsia="Calibri" w:cs="Arial"/>
          <w:sz w:val="24"/>
          <w:szCs w:val="24"/>
        </w:rPr>
        <w:t>.</w:t>
      </w:r>
    </w:p>
    <w:p w:rsidR="00880110" w:rsidRDefault="00880110" w:rsidP="00880110">
      <w:pPr>
        <w:spacing w:line="360" w:lineRule="auto"/>
        <w:rPr>
          <w:rFonts w:eastAsia="Calibri" w:cs="Arial"/>
          <w:sz w:val="24"/>
          <w:szCs w:val="24"/>
        </w:rPr>
      </w:pPr>
    </w:p>
    <w:p w:rsidR="00880110" w:rsidRPr="000D3101" w:rsidRDefault="00880110" w:rsidP="00880110">
      <w:pPr>
        <w:pStyle w:val="Ttulo2"/>
        <w:spacing w:before="0"/>
        <w:contextualSpacing/>
        <w:rPr>
          <w:rFonts w:ascii="Arial" w:hAnsi="Arial" w:cs="Arial"/>
          <w:b/>
          <w:bCs/>
          <w:color w:val="000000"/>
          <w:sz w:val="24"/>
          <w:szCs w:val="24"/>
          <w:lang w:eastAsia="es-MX"/>
        </w:rPr>
      </w:pPr>
      <w:bookmarkStart w:id="167" w:name="_Toc75092261"/>
      <w:bookmarkStart w:id="168" w:name="_Toc75905165"/>
      <w:bookmarkStart w:id="169" w:name="_Toc79163483"/>
      <w:bookmarkStart w:id="170" w:name="_Toc79172145"/>
      <w:bookmarkStart w:id="171" w:name="_Toc79172790"/>
      <w:bookmarkStart w:id="172" w:name="_Toc79173054"/>
      <w:bookmarkStart w:id="173" w:name="_Toc79173708"/>
      <w:bookmarkStart w:id="174" w:name="_Toc79173725"/>
      <w:bookmarkStart w:id="175" w:name="_Toc79176080"/>
      <w:bookmarkStart w:id="176" w:name="_Toc79175950"/>
      <w:bookmarkStart w:id="177" w:name="_Toc79183192"/>
      <w:bookmarkStart w:id="178" w:name="_Toc79183658"/>
      <w:bookmarkStart w:id="179" w:name="_Toc79184178"/>
      <w:bookmarkStart w:id="180" w:name="_Toc79184115"/>
      <w:bookmarkStart w:id="181" w:name="_Toc80872673"/>
      <w:bookmarkStart w:id="182" w:name="_Toc80899846"/>
      <w:bookmarkStart w:id="183" w:name="_Toc80910977"/>
      <w:bookmarkEnd w:id="122"/>
      <w:bookmarkEnd w:id="123"/>
      <w:bookmarkEnd w:id="124"/>
      <w:r>
        <w:rPr>
          <w:rFonts w:ascii="Arial" w:hAnsi="Arial" w:cs="Arial"/>
          <w:b/>
          <w:color w:val="000000"/>
          <w:sz w:val="24"/>
          <w:szCs w:val="24"/>
          <w:lang w:eastAsia="es-MX"/>
        </w:rPr>
        <w:t>2</w:t>
      </w:r>
      <w:r w:rsidRPr="009B0DF8">
        <w:rPr>
          <w:rFonts w:ascii="Arial" w:hAnsi="Arial" w:cs="Arial"/>
          <w:b/>
          <w:color w:val="000000"/>
          <w:sz w:val="24"/>
          <w:szCs w:val="24"/>
          <w:lang w:eastAsia="es-MX"/>
        </w:rPr>
        <w:t xml:space="preserve">. </w:t>
      </w:r>
      <w:bookmarkEnd w:id="167"/>
      <w:bookmarkEnd w:id="168"/>
      <w:r w:rsidRPr="000D3101">
        <w:rPr>
          <w:rFonts w:ascii="Arial" w:eastAsia="Arial" w:hAnsi="Arial" w:cs="Arial"/>
          <w:b/>
          <w:bCs/>
          <w:color w:val="auto"/>
          <w:sz w:val="24"/>
          <w:szCs w:val="24"/>
          <w:lang w:val="es-ES_tradnl"/>
        </w:rPr>
        <w:t>Resolución</w:t>
      </w:r>
      <w:bookmarkEnd w:id="169"/>
      <w:r>
        <w:rPr>
          <w:rFonts w:ascii="Arial" w:eastAsia="Arial" w:hAnsi="Arial" w:cs="Arial"/>
          <w:b/>
          <w:bCs/>
          <w:color w:val="auto"/>
          <w:sz w:val="24"/>
          <w:szCs w:val="24"/>
          <w:lang w:val="es-ES_tradnl"/>
        </w:rPr>
        <w:t xml:space="preserve"> impugnada y caso concreto</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880110" w:rsidRDefault="00880110" w:rsidP="00880110">
      <w:pPr>
        <w:rPr>
          <w:rFonts w:cs="Arial"/>
          <w:b/>
          <w:color w:val="000000"/>
          <w:sz w:val="24"/>
          <w:szCs w:val="24"/>
          <w:lang w:eastAsia="es-MX"/>
        </w:rPr>
      </w:pPr>
    </w:p>
    <w:p w:rsidR="00880110" w:rsidRPr="002E1303" w:rsidRDefault="00880110" w:rsidP="00880110">
      <w:pPr>
        <w:spacing w:line="360" w:lineRule="auto"/>
        <w:contextualSpacing/>
        <w:rPr>
          <w:rFonts w:eastAsia="Calibri" w:cs="Arial"/>
          <w:sz w:val="24"/>
          <w:szCs w:val="24"/>
        </w:rPr>
      </w:pPr>
      <w:r>
        <w:rPr>
          <w:rFonts w:cs="Arial"/>
          <w:sz w:val="24"/>
          <w:szCs w:val="24"/>
        </w:rPr>
        <w:t>E</w:t>
      </w:r>
      <w:r w:rsidRPr="003D7734">
        <w:rPr>
          <w:rFonts w:cs="Arial"/>
          <w:sz w:val="24"/>
          <w:szCs w:val="24"/>
        </w:rPr>
        <w:t xml:space="preserve">l </w:t>
      </w:r>
      <w:r w:rsidRPr="00634C3D">
        <w:rPr>
          <w:rFonts w:cs="Arial"/>
          <w:sz w:val="24"/>
          <w:szCs w:val="24"/>
        </w:rPr>
        <w:t>Tribunal</w:t>
      </w:r>
      <w:r w:rsidRPr="00634C3D">
        <w:rPr>
          <w:rFonts w:cs="Arial"/>
        </w:rPr>
        <w:t xml:space="preserve"> </w:t>
      </w:r>
      <w:r w:rsidRPr="00634C3D">
        <w:rPr>
          <w:rFonts w:cs="Arial"/>
          <w:bCs/>
          <w:sz w:val="24"/>
          <w:szCs w:val="24"/>
          <w:lang w:val="es-ES_tradnl"/>
        </w:rPr>
        <w:t>Local</w:t>
      </w:r>
      <w:r w:rsidRPr="00634C3D">
        <w:rPr>
          <w:rFonts w:cs="Arial"/>
          <w:b/>
          <w:sz w:val="24"/>
          <w:szCs w:val="24"/>
          <w:lang w:val="es-ES_tradnl"/>
        </w:rPr>
        <w:t xml:space="preserve"> </w:t>
      </w:r>
      <w:r>
        <w:rPr>
          <w:rFonts w:cs="Arial"/>
          <w:sz w:val="24"/>
          <w:szCs w:val="24"/>
          <w:lang w:val="es-ES"/>
        </w:rPr>
        <w:t>c</w:t>
      </w:r>
      <w:r w:rsidRPr="00C2422A">
        <w:rPr>
          <w:rFonts w:cs="Arial"/>
          <w:sz w:val="24"/>
          <w:szCs w:val="24"/>
          <w:lang w:val="es-ES"/>
        </w:rPr>
        <w:t>onfirm</w:t>
      </w:r>
      <w:r>
        <w:rPr>
          <w:rFonts w:cs="Arial"/>
          <w:sz w:val="24"/>
          <w:szCs w:val="24"/>
          <w:lang w:val="es-ES"/>
        </w:rPr>
        <w:t xml:space="preserve">ó </w:t>
      </w:r>
      <w:r w:rsidRPr="00C2422A">
        <w:rPr>
          <w:rFonts w:cs="Arial"/>
          <w:sz w:val="24"/>
          <w:szCs w:val="24"/>
          <w:lang w:val="es-ES"/>
        </w:rPr>
        <w:t>la validez de la elección para renovar el ayuntamiento de San Felipe, Guanajuato</w:t>
      </w:r>
      <w:r>
        <w:rPr>
          <w:rFonts w:cs="Arial"/>
          <w:sz w:val="24"/>
          <w:szCs w:val="24"/>
          <w:lang w:val="es-ES"/>
        </w:rPr>
        <w:t>,</w:t>
      </w:r>
      <w:r w:rsidRPr="00C2422A">
        <w:rPr>
          <w:rFonts w:cs="Arial"/>
          <w:sz w:val="24"/>
          <w:szCs w:val="24"/>
          <w:lang w:val="es-ES"/>
        </w:rPr>
        <w:t xml:space="preserve"> así como la entrega de la constancia de mayoría a la planilla postulada por el PVEM, al considerar </w:t>
      </w:r>
      <w:r>
        <w:rPr>
          <w:rFonts w:cs="Arial"/>
          <w:sz w:val="24"/>
          <w:szCs w:val="24"/>
          <w:u w:val="single"/>
          <w:lang w:val="es-ES"/>
        </w:rPr>
        <w:t>por un lado,</w:t>
      </w:r>
      <w:r>
        <w:rPr>
          <w:rFonts w:cs="Arial"/>
          <w:sz w:val="24"/>
          <w:szCs w:val="24"/>
          <w:lang w:val="es-ES"/>
        </w:rPr>
        <w:t xml:space="preserve"> que</w:t>
      </w:r>
      <w:r>
        <w:rPr>
          <w:rFonts w:cs="Arial"/>
          <w:b/>
          <w:bCs/>
          <w:sz w:val="24"/>
          <w:szCs w:val="24"/>
          <w:lang w:val="es-ES"/>
        </w:rPr>
        <w:t xml:space="preserve"> </w:t>
      </w:r>
      <w:r w:rsidRPr="00C2422A">
        <w:rPr>
          <w:rFonts w:cs="Arial"/>
          <w:sz w:val="24"/>
          <w:szCs w:val="24"/>
          <w:lang w:val="es-ES"/>
        </w:rPr>
        <w:t>no se actualizaban las causales de nulidad de votación recibida en diversas casillas, porque del análisis realizado, l</w:t>
      </w:r>
      <w:r w:rsidRPr="001F7C80">
        <w:rPr>
          <w:rFonts w:cs="Arial"/>
          <w:sz w:val="24"/>
          <w:szCs w:val="24"/>
          <w:lang w:val="es-ES"/>
        </w:rPr>
        <w:t xml:space="preserve">as pruebas aportadas por el impugnante no demostraban las </w:t>
      </w:r>
      <w:r w:rsidRPr="001F7C80">
        <w:rPr>
          <w:rFonts w:cs="Arial"/>
          <w:sz w:val="24"/>
          <w:szCs w:val="24"/>
          <w:lang w:val="es-ES"/>
        </w:rPr>
        <w:lastRenderedPageBreak/>
        <w:t xml:space="preserve">irregularidades consistentes en entrega tardía de paquetes electorales, apertura tardía de casillas y error o dolo, entre otras, y </w:t>
      </w:r>
      <w:r w:rsidRPr="001F7C80">
        <w:rPr>
          <w:rFonts w:cs="Arial"/>
          <w:sz w:val="24"/>
          <w:szCs w:val="24"/>
          <w:u w:val="single"/>
          <w:lang w:val="es-ES"/>
        </w:rPr>
        <w:t>por otro</w:t>
      </w:r>
      <w:r w:rsidRPr="001F7C80">
        <w:rPr>
          <w:rFonts w:cs="Arial"/>
          <w:sz w:val="24"/>
          <w:szCs w:val="24"/>
          <w:lang w:val="es-ES"/>
        </w:rPr>
        <w:t>,</w:t>
      </w:r>
      <w:r w:rsidRPr="001F7C80">
        <w:rPr>
          <w:rFonts w:cs="Arial"/>
          <w:b/>
          <w:bCs/>
          <w:sz w:val="24"/>
          <w:szCs w:val="24"/>
          <w:lang w:val="es-ES"/>
        </w:rPr>
        <w:t xml:space="preserve"> </w:t>
      </w:r>
      <w:r w:rsidRPr="001F7C80">
        <w:rPr>
          <w:rFonts w:cs="Arial"/>
          <w:sz w:val="24"/>
          <w:szCs w:val="24"/>
          <w:lang w:val="es-ES"/>
        </w:rPr>
        <w:t>que</w:t>
      </w:r>
      <w:r w:rsidRPr="001F7C80">
        <w:rPr>
          <w:rFonts w:cs="Arial"/>
          <w:sz w:val="24"/>
          <w:szCs w:val="24"/>
          <w:u w:val="single"/>
          <w:lang w:val="es-ES"/>
        </w:rPr>
        <w:t xml:space="preserve"> </w:t>
      </w:r>
      <w:r w:rsidRPr="001F7C80">
        <w:rPr>
          <w:rFonts w:cs="Arial"/>
          <w:sz w:val="24"/>
          <w:szCs w:val="24"/>
          <w:lang w:val="es-ES"/>
        </w:rPr>
        <w:t>no se acreditaron las infracciones de promoción personalizada, violencia política por razón de género entra otras, porque se declararon</w:t>
      </w:r>
      <w:r w:rsidRPr="00C2422A">
        <w:rPr>
          <w:rFonts w:cs="Arial"/>
          <w:sz w:val="24"/>
          <w:szCs w:val="24"/>
          <w:lang w:val="es-ES"/>
        </w:rPr>
        <w:t xml:space="preserve"> inexistentes </w:t>
      </w:r>
      <w:r>
        <w:rPr>
          <w:rFonts w:cs="Arial"/>
          <w:sz w:val="24"/>
          <w:szCs w:val="24"/>
          <w:lang w:val="es-ES"/>
        </w:rPr>
        <w:t xml:space="preserve">los hechos denunciados </w:t>
      </w:r>
      <w:r w:rsidRPr="00C2422A">
        <w:rPr>
          <w:rFonts w:cs="Arial"/>
          <w:sz w:val="24"/>
          <w:szCs w:val="24"/>
          <w:lang w:val="es-ES"/>
        </w:rPr>
        <w:t>y no se probó la existencia de violaciones al principio de imparcialidad por parte del Comité Municipal</w:t>
      </w:r>
      <w:r>
        <w:rPr>
          <w:rFonts w:cs="Arial"/>
          <w:sz w:val="24"/>
          <w:szCs w:val="24"/>
          <w:lang w:val="es-ES"/>
        </w:rPr>
        <w:t>.</w:t>
      </w:r>
    </w:p>
    <w:p w:rsidR="00880110" w:rsidRDefault="00880110" w:rsidP="00880110">
      <w:pPr>
        <w:pStyle w:val="Prrafodelista"/>
        <w:spacing w:line="360" w:lineRule="auto"/>
        <w:ind w:left="0"/>
        <w:rPr>
          <w:rFonts w:cs="Arial"/>
          <w:bCs/>
          <w:sz w:val="24"/>
          <w:szCs w:val="24"/>
        </w:rPr>
      </w:pPr>
    </w:p>
    <w:p w:rsidR="00880110" w:rsidRDefault="00880110" w:rsidP="00880110">
      <w:pPr>
        <w:spacing w:line="360" w:lineRule="auto"/>
        <w:rPr>
          <w:rFonts w:eastAsia="Calibri"/>
          <w:sz w:val="24"/>
          <w:szCs w:val="24"/>
        </w:rPr>
      </w:pPr>
      <w:r w:rsidRPr="005A0358">
        <w:rPr>
          <w:rFonts w:cs="Arial"/>
          <w:bCs/>
          <w:sz w:val="24"/>
          <w:szCs w:val="24"/>
        </w:rPr>
        <w:t xml:space="preserve">En esta instancia federal, </w:t>
      </w:r>
      <w:r w:rsidRPr="005A0358">
        <w:rPr>
          <w:rFonts w:eastAsia="Calibri"/>
          <w:sz w:val="24"/>
          <w:szCs w:val="24"/>
        </w:rPr>
        <w:t xml:space="preserve">el PAN </w:t>
      </w:r>
      <w:r>
        <w:rPr>
          <w:rFonts w:eastAsia="Calibri"/>
          <w:sz w:val="24"/>
          <w:szCs w:val="24"/>
        </w:rPr>
        <w:t>y su candidato</w:t>
      </w:r>
      <w:r w:rsidRPr="005A0358">
        <w:rPr>
          <w:rFonts w:eastAsia="Calibri"/>
          <w:sz w:val="24"/>
          <w:szCs w:val="24"/>
        </w:rPr>
        <w:t xml:space="preserve"> argumenta</w:t>
      </w:r>
      <w:r>
        <w:rPr>
          <w:rFonts w:eastAsia="Calibri"/>
          <w:sz w:val="24"/>
          <w:szCs w:val="24"/>
        </w:rPr>
        <w:t>n</w:t>
      </w:r>
      <w:r w:rsidRPr="005A0358">
        <w:rPr>
          <w:rFonts w:eastAsia="Calibri"/>
          <w:sz w:val="24"/>
          <w:szCs w:val="24"/>
        </w:rPr>
        <w:t xml:space="preserve">, esencialmente, que el Tribunal de Guanajuato: </w:t>
      </w:r>
      <w:r w:rsidRPr="005A0358">
        <w:rPr>
          <w:rFonts w:eastAsia="Calibri"/>
          <w:b/>
          <w:bCs/>
          <w:sz w:val="24"/>
          <w:szCs w:val="24"/>
        </w:rPr>
        <w:t>a</w:t>
      </w:r>
      <w:r w:rsidRPr="005A0358">
        <w:rPr>
          <w:rFonts w:eastAsia="Calibri"/>
          <w:sz w:val="24"/>
          <w:szCs w:val="24"/>
        </w:rPr>
        <w:t xml:space="preserve">. analizó indebidamente las pruebas a través de las cuales se probó que el candidato electo utilizó recursos del municipio, radio y televisión, humanos, imagen y colores, </w:t>
      </w:r>
      <w:r w:rsidRPr="005A0358">
        <w:rPr>
          <w:rFonts w:eastAsia="Calibri"/>
          <w:b/>
          <w:bCs/>
          <w:sz w:val="24"/>
          <w:szCs w:val="24"/>
        </w:rPr>
        <w:t>b</w:t>
      </w:r>
      <w:r w:rsidRPr="005A0358">
        <w:rPr>
          <w:rFonts w:eastAsia="Calibri"/>
          <w:sz w:val="24"/>
          <w:szCs w:val="24"/>
        </w:rPr>
        <w:t xml:space="preserve">. omitió analizar las pruebas relacionadas con el procedimiento sancionador promovido ante el INE, así como la sentencia de la Sala Superior, en la que se ordenó a dicho Instituto que emitiera un pronunciamiento, donde se tomara en cuenta que el entonces candidato del PVEM tuvo 2 entrevistas en una radio difusora, mientras que al resto de las candidaturas sólo se les otorgó 1 entrevista, </w:t>
      </w:r>
      <w:r w:rsidRPr="005A0358">
        <w:rPr>
          <w:rFonts w:eastAsia="Calibri"/>
          <w:b/>
          <w:bCs/>
          <w:sz w:val="24"/>
          <w:szCs w:val="24"/>
        </w:rPr>
        <w:t xml:space="preserve">c. </w:t>
      </w:r>
      <w:r w:rsidRPr="005A0358">
        <w:rPr>
          <w:rFonts w:eastAsia="Calibri"/>
          <w:sz w:val="24"/>
          <w:szCs w:val="24"/>
        </w:rPr>
        <w:t xml:space="preserve">se tasaron de forma errónea las pruebas relacionadas con la compra de tiempos de radio y Tv, por parte entonces candidato del PVEM, porque no se tomó en cuenta que esto se efectuó durante la campaña, lo cual generó inequidad frente a las otras opciones políticas, </w:t>
      </w:r>
      <w:bookmarkStart w:id="184" w:name="_Toc80899847"/>
      <w:r w:rsidRPr="005A0358">
        <w:rPr>
          <w:rFonts w:eastAsia="Calibri"/>
          <w:b/>
          <w:bCs/>
          <w:sz w:val="24"/>
          <w:szCs w:val="24"/>
        </w:rPr>
        <w:t>d</w:t>
      </w:r>
      <w:r w:rsidRPr="005A0358">
        <w:rPr>
          <w:rFonts w:eastAsia="Calibri"/>
          <w:b/>
          <w:sz w:val="24"/>
          <w:szCs w:val="24"/>
        </w:rPr>
        <w:t>.</w:t>
      </w:r>
      <w:r w:rsidRPr="005A0358">
        <w:rPr>
          <w:rFonts w:eastAsia="Calibri"/>
          <w:sz w:val="24"/>
          <w:szCs w:val="24"/>
        </w:rPr>
        <w:t xml:space="preserve"> se analizaron de forma errónea las pruebas relacionadas con las notas periodísticas que se allegaron en el procedimiento respectivo, </w:t>
      </w:r>
      <w:r w:rsidRPr="005A0358">
        <w:rPr>
          <w:rFonts w:eastAsia="Calibri"/>
          <w:b/>
          <w:bCs/>
          <w:sz w:val="24"/>
          <w:szCs w:val="24"/>
        </w:rPr>
        <w:t>e</w:t>
      </w:r>
      <w:r w:rsidRPr="005A0358">
        <w:rPr>
          <w:rFonts w:eastAsia="Calibri"/>
          <w:sz w:val="24"/>
          <w:szCs w:val="24"/>
        </w:rPr>
        <w:t xml:space="preserve">. incorrectamente se declaró la inoperancia del agravio relacionado con la infracciones </w:t>
      </w:r>
      <w:r w:rsidRPr="005A0358">
        <w:rPr>
          <w:rFonts w:cs="Arial"/>
          <w:sz w:val="24"/>
          <w:szCs w:val="24"/>
          <w:lang w:val="es-ES"/>
        </w:rPr>
        <w:t>promoción personalizada, violencia política por razón de género entra otras</w:t>
      </w:r>
      <w:r w:rsidRPr="005A0358">
        <w:rPr>
          <w:rFonts w:eastAsia="Calibri"/>
          <w:sz w:val="24"/>
          <w:szCs w:val="24"/>
        </w:rPr>
        <w:t xml:space="preserve">, porque no se tomaron en cuenta los procedimientos sancionadores que se allegaron como prueba, </w:t>
      </w:r>
      <w:r w:rsidRPr="005A0358">
        <w:rPr>
          <w:rFonts w:eastAsia="Calibri"/>
          <w:b/>
          <w:bCs/>
          <w:sz w:val="24"/>
          <w:szCs w:val="24"/>
        </w:rPr>
        <w:t>e</w:t>
      </w:r>
      <w:r w:rsidRPr="005A0358">
        <w:rPr>
          <w:rFonts w:eastAsia="Calibri"/>
          <w:sz w:val="24"/>
          <w:szCs w:val="24"/>
        </w:rPr>
        <w:t xml:space="preserve">. fue incorrecto que se calificara como inoperante el agravio relacionado a que en la integración de las casillas participaron militantes del PVEM y una supervisora electoral, porque, la presencia de militantes afecta la certeza de imparcialidad de los funcionarios, </w:t>
      </w:r>
      <w:r w:rsidRPr="005A0358">
        <w:rPr>
          <w:rFonts w:eastAsia="Calibri"/>
          <w:b/>
          <w:bCs/>
          <w:sz w:val="24"/>
          <w:szCs w:val="24"/>
        </w:rPr>
        <w:t>f</w:t>
      </w:r>
      <w:r w:rsidRPr="005A0358">
        <w:rPr>
          <w:rFonts w:eastAsia="Calibri"/>
          <w:sz w:val="24"/>
          <w:szCs w:val="24"/>
        </w:rPr>
        <w:t xml:space="preserve">. se analizó de forma errónea el planteamiento respecto de la entrega tardía de diversos paquetes electorales, porque no se estudió de forma integral porque lo que se trató de demostrar un trato inequitativo, y </w:t>
      </w:r>
      <w:r w:rsidRPr="005A0358">
        <w:rPr>
          <w:rFonts w:eastAsia="Calibri"/>
          <w:b/>
          <w:bCs/>
          <w:sz w:val="24"/>
          <w:szCs w:val="24"/>
        </w:rPr>
        <w:t>g.</w:t>
      </w:r>
      <w:r w:rsidRPr="005A0358">
        <w:rPr>
          <w:rFonts w:eastAsia="Calibri"/>
          <w:sz w:val="24"/>
          <w:szCs w:val="24"/>
        </w:rPr>
        <w:t xml:space="preserve"> no se efectuó un estudio completo de las casillas que se impugnaron por la recepción de la votación por personas no autorizadas, ya que se dejó de considerar los testimonios levantados ante notario público.</w:t>
      </w:r>
      <w:r>
        <w:rPr>
          <w:rFonts w:eastAsia="Calibri"/>
          <w:sz w:val="24"/>
          <w:szCs w:val="24"/>
        </w:rPr>
        <w:t xml:space="preserve"> </w:t>
      </w:r>
    </w:p>
    <w:p w:rsidR="00880110" w:rsidRDefault="00880110" w:rsidP="00880110">
      <w:pPr>
        <w:spacing w:line="360" w:lineRule="auto"/>
        <w:rPr>
          <w:rFonts w:cs="Arial"/>
          <w:b/>
          <w:sz w:val="24"/>
          <w:szCs w:val="24"/>
          <w:lang w:eastAsia="es-MX"/>
        </w:rPr>
      </w:pPr>
    </w:p>
    <w:p w:rsidR="00725403" w:rsidRDefault="00725403" w:rsidP="00880110">
      <w:pPr>
        <w:spacing w:line="360" w:lineRule="auto"/>
        <w:rPr>
          <w:rFonts w:cs="Arial"/>
          <w:b/>
          <w:sz w:val="24"/>
          <w:szCs w:val="24"/>
          <w:lang w:eastAsia="es-MX"/>
        </w:rPr>
      </w:pPr>
    </w:p>
    <w:p w:rsidR="00725403" w:rsidRDefault="00725403" w:rsidP="00880110">
      <w:pPr>
        <w:spacing w:line="360" w:lineRule="auto"/>
        <w:rPr>
          <w:rFonts w:cs="Arial"/>
          <w:b/>
          <w:sz w:val="24"/>
          <w:szCs w:val="24"/>
          <w:lang w:eastAsia="es-MX"/>
        </w:rPr>
      </w:pPr>
    </w:p>
    <w:p w:rsidR="00725403" w:rsidRDefault="00725403" w:rsidP="00880110">
      <w:pPr>
        <w:spacing w:line="360" w:lineRule="auto"/>
        <w:rPr>
          <w:rFonts w:cs="Arial"/>
          <w:b/>
          <w:sz w:val="24"/>
          <w:szCs w:val="24"/>
          <w:lang w:eastAsia="es-MX"/>
        </w:rPr>
      </w:pPr>
    </w:p>
    <w:p w:rsidR="00880110" w:rsidRDefault="00880110" w:rsidP="00880110">
      <w:pPr>
        <w:rPr>
          <w:rFonts w:cs="Arial"/>
          <w:b/>
          <w:sz w:val="24"/>
          <w:szCs w:val="24"/>
        </w:rPr>
      </w:pPr>
      <w:r>
        <w:rPr>
          <w:rFonts w:cs="Arial"/>
          <w:b/>
          <w:sz w:val="24"/>
          <w:szCs w:val="24"/>
          <w:lang w:eastAsia="es-MX"/>
        </w:rPr>
        <w:lastRenderedPageBreak/>
        <w:t>3</w:t>
      </w:r>
      <w:r w:rsidRPr="00310B9F">
        <w:rPr>
          <w:rFonts w:cs="Arial"/>
          <w:b/>
          <w:sz w:val="24"/>
          <w:szCs w:val="24"/>
          <w:lang w:eastAsia="es-MX"/>
        </w:rPr>
        <w:t xml:space="preserve">. </w:t>
      </w:r>
      <w:r w:rsidRPr="00310B9F">
        <w:rPr>
          <w:rFonts w:cs="Arial"/>
          <w:b/>
          <w:sz w:val="24"/>
          <w:szCs w:val="24"/>
        </w:rPr>
        <w:t>Valoración</w:t>
      </w:r>
      <w:bookmarkEnd w:id="184"/>
    </w:p>
    <w:p w:rsidR="00880110" w:rsidRDefault="00880110" w:rsidP="00880110">
      <w:pPr>
        <w:spacing w:line="360" w:lineRule="auto"/>
        <w:rPr>
          <w:rFonts w:cs="Arial"/>
          <w:b/>
          <w:bCs/>
          <w:color w:val="000000"/>
          <w:sz w:val="24"/>
          <w:szCs w:val="24"/>
        </w:rPr>
      </w:pPr>
    </w:p>
    <w:p w:rsidR="00880110" w:rsidRPr="00245B15" w:rsidRDefault="00880110" w:rsidP="00880110">
      <w:pPr>
        <w:spacing w:line="360" w:lineRule="auto"/>
        <w:rPr>
          <w:rFonts w:cs="Arial"/>
          <w:bCs/>
          <w:color w:val="000000"/>
          <w:sz w:val="24"/>
          <w:szCs w:val="24"/>
        </w:rPr>
      </w:pPr>
      <w:r w:rsidRPr="00245B15">
        <w:rPr>
          <w:rFonts w:cs="Arial"/>
          <w:b/>
          <w:bCs/>
          <w:sz w:val="24"/>
          <w:szCs w:val="24"/>
        </w:rPr>
        <w:t>3.1.</w:t>
      </w:r>
      <w:r w:rsidRPr="00245B15">
        <w:rPr>
          <w:rFonts w:cs="Arial"/>
          <w:bCs/>
          <w:sz w:val="24"/>
          <w:szCs w:val="24"/>
        </w:rPr>
        <w:t xml:space="preserve"> Esta</w:t>
      </w:r>
      <w:r w:rsidRPr="00245B15">
        <w:rPr>
          <w:rFonts w:cs="Arial"/>
          <w:sz w:val="24"/>
          <w:szCs w:val="24"/>
        </w:rPr>
        <w:t xml:space="preserve"> </w:t>
      </w:r>
      <w:r w:rsidRPr="00245B15">
        <w:rPr>
          <w:rFonts w:cs="Arial"/>
          <w:sz w:val="24"/>
          <w:szCs w:val="24"/>
          <w:lang w:val="es-ES_tradnl"/>
        </w:rPr>
        <w:t xml:space="preserve">Sala Monterrey considera que </w:t>
      </w:r>
      <w:r w:rsidRPr="00245B15">
        <w:rPr>
          <w:rFonts w:eastAsia="Calibri"/>
          <w:sz w:val="24"/>
          <w:szCs w:val="24"/>
        </w:rPr>
        <w:t xml:space="preserve">el PAN y su candidato </w:t>
      </w:r>
      <w:r w:rsidRPr="00245B15">
        <w:rPr>
          <w:rFonts w:cs="Arial"/>
          <w:b/>
          <w:sz w:val="24"/>
          <w:szCs w:val="24"/>
          <w:lang w:val="es-ES_tradnl"/>
        </w:rPr>
        <w:t>tienen razón</w:t>
      </w:r>
      <w:r w:rsidRPr="00245B15">
        <w:rPr>
          <w:rFonts w:cs="Arial"/>
          <w:sz w:val="24"/>
          <w:szCs w:val="24"/>
          <w:lang w:val="es-ES_tradnl"/>
        </w:rPr>
        <w:t xml:space="preserve">, porque </w:t>
      </w:r>
      <w:r w:rsidRPr="00245B15">
        <w:rPr>
          <w:rFonts w:cs="Arial"/>
          <w:bCs/>
          <w:color w:val="000000"/>
          <w:sz w:val="24"/>
          <w:szCs w:val="24"/>
        </w:rPr>
        <w:t xml:space="preserve">el Tribunal Local debió pronunciarse y analizar las pruebas relacionadas con la denuncia presentada ante el INE y aportadas </w:t>
      </w:r>
      <w:r w:rsidRPr="000E26B1">
        <w:rPr>
          <w:rFonts w:cs="Arial"/>
          <w:bCs/>
          <w:color w:val="000000"/>
          <w:sz w:val="24"/>
          <w:szCs w:val="24"/>
        </w:rPr>
        <w:t>por el impugnante al estar</w:t>
      </w:r>
      <w:r w:rsidRPr="00245B15">
        <w:rPr>
          <w:rFonts w:cs="Arial"/>
          <w:bCs/>
          <w:color w:val="000000"/>
          <w:sz w:val="24"/>
          <w:szCs w:val="24"/>
        </w:rPr>
        <w:t xml:space="preserve"> relacionado con la materia de la controversia consistente en la validez de la elección cuestionada.</w:t>
      </w:r>
    </w:p>
    <w:p w:rsidR="00880110" w:rsidRPr="00245B15" w:rsidRDefault="00880110" w:rsidP="00880110">
      <w:pPr>
        <w:spacing w:line="360" w:lineRule="auto"/>
        <w:rPr>
          <w:rFonts w:cs="Arial"/>
          <w:b/>
          <w:bCs/>
          <w:color w:val="000000"/>
          <w:sz w:val="24"/>
          <w:szCs w:val="24"/>
        </w:rPr>
      </w:pPr>
    </w:p>
    <w:p w:rsidR="00880110" w:rsidRPr="00B814AA" w:rsidRDefault="00880110" w:rsidP="00880110">
      <w:pPr>
        <w:spacing w:line="360" w:lineRule="auto"/>
        <w:ind w:right="72"/>
        <w:rPr>
          <w:rFonts w:cs="Arial"/>
          <w:sz w:val="24"/>
          <w:szCs w:val="24"/>
        </w:rPr>
      </w:pPr>
      <w:r w:rsidRPr="00245B15">
        <w:rPr>
          <w:rFonts w:cs="Arial"/>
          <w:sz w:val="24"/>
          <w:szCs w:val="24"/>
        </w:rPr>
        <w:t>Como se adelantó, en relación al tema de la supuesta causa de nulidad por la compra de tiempo de radio y televisión, el impugnante señala que la autoridad responsable incumplió con su deber de análisis integral de los elementos del caso, debido a que no tomo en cuenta el procedimiento especial sancionador en que se sustenta dicha adquisición de tiempos de radio, y del cual la Sala Superior se pronunció, en el sentido de ordenar al INE su estudio considerando diversos parámetros, procedimiento del cual la responsable no emitió pronunciamiento alguno</w:t>
      </w:r>
      <w:r w:rsidRPr="00245B15">
        <w:rPr>
          <w:rStyle w:val="Refdenotaalpie"/>
          <w:sz w:val="24"/>
          <w:szCs w:val="24"/>
        </w:rPr>
        <w:footnoteReference w:id="17"/>
      </w:r>
      <w:r w:rsidRPr="00245B15">
        <w:rPr>
          <w:rFonts w:cs="Arial"/>
          <w:sz w:val="24"/>
          <w:szCs w:val="24"/>
        </w:rPr>
        <w:t>.</w:t>
      </w:r>
    </w:p>
    <w:p w:rsidR="00880110" w:rsidRDefault="00880110" w:rsidP="00880110">
      <w:pPr>
        <w:tabs>
          <w:tab w:val="left" w:pos="2445"/>
        </w:tabs>
        <w:spacing w:line="360" w:lineRule="auto"/>
        <w:rPr>
          <w:rFonts w:cs="Arial"/>
          <w:sz w:val="24"/>
          <w:szCs w:val="24"/>
          <w:lang w:val="es-ES_tradnl"/>
        </w:rPr>
      </w:pPr>
    </w:p>
    <w:p w:rsidR="00880110" w:rsidRPr="005D26DF" w:rsidRDefault="00880110" w:rsidP="00880110">
      <w:pPr>
        <w:tabs>
          <w:tab w:val="left" w:pos="2445"/>
        </w:tabs>
        <w:spacing w:line="360" w:lineRule="auto"/>
        <w:rPr>
          <w:rFonts w:cs="Arial"/>
          <w:sz w:val="24"/>
          <w:szCs w:val="24"/>
          <w:lang w:val="es-ES_tradnl"/>
        </w:rPr>
      </w:pPr>
      <w:r>
        <w:rPr>
          <w:rFonts w:cs="Arial"/>
          <w:sz w:val="24"/>
          <w:szCs w:val="24"/>
          <w:lang w:val="es-ES_tradnl"/>
        </w:rPr>
        <w:t>En efecto, del análisis del caso, se advierte que el Tribunal Local no se pronunció respecto de la prueba que presentó como superveniente, consistente en la denuncia presentada ante el INE, relacionada con la presunta adquisición de tiempos de radio y tv por parte del PVEM y su candidato a la presidencia municipal de San Felipe, Guanajuato</w:t>
      </w:r>
      <w:r>
        <w:rPr>
          <w:rStyle w:val="Refdenotaalpie"/>
          <w:sz w:val="24"/>
          <w:szCs w:val="24"/>
          <w:lang w:val="es-ES_tradnl"/>
        </w:rPr>
        <w:footnoteReference w:id="18"/>
      </w:r>
      <w:r>
        <w:rPr>
          <w:rFonts w:cs="Arial"/>
          <w:sz w:val="24"/>
          <w:szCs w:val="24"/>
          <w:lang w:val="es-ES_tradnl"/>
        </w:rPr>
        <w:t>.</w:t>
      </w:r>
    </w:p>
    <w:p w:rsidR="00880110" w:rsidRPr="00B6645A" w:rsidRDefault="00880110" w:rsidP="00880110">
      <w:pPr>
        <w:tabs>
          <w:tab w:val="left" w:pos="2445"/>
        </w:tabs>
        <w:spacing w:line="360" w:lineRule="auto"/>
        <w:rPr>
          <w:rFonts w:cs="Arial"/>
          <w:sz w:val="24"/>
          <w:szCs w:val="24"/>
          <w:lang w:val="es-ES_tradnl"/>
        </w:rPr>
      </w:pPr>
    </w:p>
    <w:p w:rsidR="00880110" w:rsidRPr="00737C01" w:rsidRDefault="00880110" w:rsidP="00880110">
      <w:pPr>
        <w:spacing w:line="360" w:lineRule="auto"/>
        <w:rPr>
          <w:rFonts w:cs="Arial"/>
          <w:sz w:val="24"/>
          <w:szCs w:val="24"/>
          <w:lang w:val="es-ES_tradnl"/>
        </w:rPr>
      </w:pPr>
      <w:r>
        <w:rPr>
          <w:rFonts w:cs="Arial"/>
          <w:sz w:val="24"/>
          <w:szCs w:val="24"/>
          <w:lang w:val="es-ES_tradnl"/>
        </w:rPr>
        <w:t>Esto, pues</w:t>
      </w:r>
      <w:r w:rsidRPr="00E76635">
        <w:rPr>
          <w:rFonts w:cs="Arial"/>
          <w:sz w:val="24"/>
          <w:szCs w:val="24"/>
          <w:lang w:val="es-ES_tradnl"/>
        </w:rPr>
        <w:t xml:space="preserve"> </w:t>
      </w:r>
      <w:r>
        <w:rPr>
          <w:rFonts w:cs="Arial"/>
          <w:sz w:val="24"/>
          <w:szCs w:val="24"/>
          <w:lang w:val="es-ES_tradnl"/>
        </w:rPr>
        <w:t xml:space="preserve">de las constancias del expediente se advierte que el 23 de junio, el Oficial Mayor de Tribunal Local remitió a la ponencia de la Magistratura ponente, el escrito presentado por Juan Ramón Hernández Araiza, a través del cual allegó diversos documentos, entre ellos el oficio del INE relacionado con el procedimiento especial sancionador relacionada con la denuncia presentada por </w:t>
      </w:r>
      <w:r>
        <w:rPr>
          <w:rFonts w:cs="Arial"/>
          <w:sz w:val="24"/>
          <w:szCs w:val="24"/>
          <w:lang w:val="es-ES_tradnl"/>
        </w:rPr>
        <w:lastRenderedPageBreak/>
        <w:t>la presunta adquisición de tiempos de radio y tv por parte del PVEM y su candidato a la presidencia municipal de San Felipe, Guanajuato</w:t>
      </w:r>
      <w:r>
        <w:rPr>
          <w:rStyle w:val="Refdenotaalpie"/>
          <w:sz w:val="24"/>
          <w:szCs w:val="24"/>
          <w:lang w:val="es-ES_tradnl"/>
        </w:rPr>
        <w:footnoteReference w:id="19"/>
      </w:r>
      <w:r>
        <w:rPr>
          <w:rFonts w:cs="Arial"/>
          <w:sz w:val="24"/>
          <w:szCs w:val="24"/>
          <w:lang w:val="es-ES_tradnl"/>
        </w:rPr>
        <w:t>.</w:t>
      </w:r>
    </w:p>
    <w:p w:rsidR="00880110" w:rsidRPr="00737C01" w:rsidRDefault="00880110" w:rsidP="00880110">
      <w:pPr>
        <w:tabs>
          <w:tab w:val="left" w:pos="2445"/>
        </w:tabs>
        <w:spacing w:line="360" w:lineRule="auto"/>
        <w:rPr>
          <w:rFonts w:cs="Arial"/>
          <w:sz w:val="24"/>
          <w:szCs w:val="24"/>
          <w:lang w:val="es-ES_tradnl"/>
        </w:rPr>
      </w:pPr>
    </w:p>
    <w:p w:rsidR="00880110" w:rsidRDefault="00880110" w:rsidP="00880110">
      <w:pPr>
        <w:autoSpaceDE w:val="0"/>
        <w:autoSpaceDN w:val="0"/>
        <w:adjustRightInd w:val="0"/>
        <w:spacing w:line="360" w:lineRule="auto"/>
        <w:rPr>
          <w:rFonts w:cs="Arial"/>
          <w:bCs/>
          <w:color w:val="000000"/>
          <w:sz w:val="24"/>
          <w:szCs w:val="24"/>
        </w:rPr>
      </w:pPr>
      <w:r>
        <w:rPr>
          <w:rFonts w:cs="Arial"/>
          <w:bCs/>
          <w:color w:val="000000"/>
          <w:sz w:val="24"/>
          <w:szCs w:val="24"/>
        </w:rPr>
        <w:t>En esa misma fecha, la Magistratura ponente dictó acuerdo donde señaló que se tenían por recibidas las pruebas supervenientes presentadas por el impugnante, de las cuales precisó que se pronunciaría en el momento procesal oportuno y se les glosó en un cuaderno de pruebas</w:t>
      </w:r>
      <w:r>
        <w:rPr>
          <w:rStyle w:val="Refdenotaalpie"/>
          <w:bCs/>
          <w:color w:val="000000"/>
          <w:sz w:val="24"/>
          <w:szCs w:val="24"/>
        </w:rPr>
        <w:footnoteReference w:id="20"/>
      </w:r>
      <w:r>
        <w:rPr>
          <w:rFonts w:cs="Arial"/>
          <w:bCs/>
          <w:color w:val="000000"/>
          <w:sz w:val="24"/>
          <w:szCs w:val="24"/>
        </w:rPr>
        <w:t>.</w:t>
      </w:r>
    </w:p>
    <w:p w:rsidR="00880110" w:rsidRDefault="00880110" w:rsidP="00880110">
      <w:pPr>
        <w:autoSpaceDE w:val="0"/>
        <w:autoSpaceDN w:val="0"/>
        <w:adjustRightInd w:val="0"/>
        <w:spacing w:line="360" w:lineRule="auto"/>
        <w:rPr>
          <w:rFonts w:cs="Arial"/>
          <w:bCs/>
          <w:color w:val="000000"/>
          <w:sz w:val="24"/>
          <w:szCs w:val="24"/>
        </w:rPr>
      </w:pPr>
    </w:p>
    <w:p w:rsidR="00880110" w:rsidRDefault="00880110" w:rsidP="00880110">
      <w:pPr>
        <w:spacing w:line="360" w:lineRule="auto"/>
        <w:rPr>
          <w:rFonts w:cs="Arial"/>
          <w:sz w:val="24"/>
          <w:szCs w:val="24"/>
          <w:lang w:val="es-ES_tradnl"/>
        </w:rPr>
      </w:pPr>
      <w:r>
        <w:rPr>
          <w:rFonts w:cs="Arial"/>
          <w:color w:val="000000" w:themeColor="text1"/>
          <w:sz w:val="24"/>
          <w:szCs w:val="24"/>
        </w:rPr>
        <w:t>De lo anterior, no se advierte que el Tribunal Local hubiese emitido pronunciamiento previo respecto de las mencionadas pruebas y tampoco que las analizara los hechos a través de los cuales el impugnante pretendía acreditar diversas irregularidades presuntamente acontecidas en la elección impugnada, ello a pesar de que sí lo hizo de otras pruebas diversas relacionadas con otros procedimientos sancionadores que se presentaron en el juicio</w:t>
      </w:r>
      <w:r>
        <w:rPr>
          <w:rStyle w:val="Refdenotaalpie"/>
          <w:color w:val="000000" w:themeColor="text1"/>
          <w:sz w:val="24"/>
          <w:szCs w:val="24"/>
        </w:rPr>
        <w:footnoteReference w:id="21"/>
      </w:r>
      <w:r>
        <w:rPr>
          <w:rFonts w:cs="Arial"/>
          <w:color w:val="000000" w:themeColor="text1"/>
          <w:sz w:val="24"/>
          <w:szCs w:val="24"/>
        </w:rPr>
        <w:t xml:space="preserve">, tampoco se observa que hubiese </w:t>
      </w:r>
      <w:r>
        <w:rPr>
          <w:rFonts w:cs="Arial"/>
          <w:sz w:val="24"/>
          <w:szCs w:val="24"/>
          <w:lang w:val="es-ES_tradnl"/>
        </w:rPr>
        <w:t>desechado las pruebas del impugnante como de ese modo no haberlas considerado como parte del estudio del caso concreto.</w:t>
      </w:r>
    </w:p>
    <w:p w:rsidR="00880110" w:rsidRDefault="00880110" w:rsidP="00880110">
      <w:pPr>
        <w:spacing w:line="360" w:lineRule="auto"/>
        <w:rPr>
          <w:rFonts w:cs="Arial"/>
          <w:sz w:val="24"/>
          <w:szCs w:val="24"/>
          <w:lang w:val="es-ES_tradnl"/>
        </w:rPr>
      </w:pPr>
    </w:p>
    <w:p w:rsidR="00880110" w:rsidRDefault="00880110" w:rsidP="00880110">
      <w:pPr>
        <w:spacing w:line="360" w:lineRule="auto"/>
        <w:rPr>
          <w:rFonts w:cs="Arial"/>
          <w:sz w:val="24"/>
          <w:szCs w:val="24"/>
          <w:lang w:val="es-ES_tradnl"/>
        </w:rPr>
      </w:pPr>
      <w:r>
        <w:rPr>
          <w:rFonts w:cs="Arial"/>
          <w:sz w:val="24"/>
          <w:szCs w:val="24"/>
          <w:lang w:val="es-ES_tradnl"/>
        </w:rPr>
        <w:t>Por lo tanto, si el impugnante allegó como pruebas supervenientes las constancias relacionadas con un procedimiento sancionador, y el Tribunal Local no consideró desecharlas, éste se encontraba obligado a tomarlas como parte de su análisis de fondo, lo cual en el caso no aconteció.</w:t>
      </w:r>
    </w:p>
    <w:p w:rsidR="00880110" w:rsidRDefault="00880110" w:rsidP="00880110">
      <w:pPr>
        <w:spacing w:line="360" w:lineRule="auto"/>
        <w:rPr>
          <w:rFonts w:cs="Arial"/>
          <w:sz w:val="24"/>
          <w:szCs w:val="24"/>
          <w:lang w:val="es-ES_tradnl"/>
        </w:rPr>
      </w:pPr>
    </w:p>
    <w:p w:rsidR="00880110" w:rsidRDefault="00880110" w:rsidP="00880110">
      <w:pPr>
        <w:autoSpaceDE w:val="0"/>
        <w:autoSpaceDN w:val="0"/>
        <w:adjustRightInd w:val="0"/>
        <w:spacing w:line="360" w:lineRule="auto"/>
        <w:rPr>
          <w:rFonts w:cs="Arial"/>
          <w:bCs/>
          <w:color w:val="000000"/>
          <w:sz w:val="24"/>
          <w:szCs w:val="24"/>
        </w:rPr>
      </w:pPr>
      <w:r>
        <w:rPr>
          <w:rFonts w:cs="Arial"/>
          <w:bCs/>
          <w:color w:val="000000"/>
          <w:sz w:val="24"/>
          <w:szCs w:val="24"/>
        </w:rPr>
        <w:t>En consecuencia, para esta Sala Monterrey el Tribunal Local debió pronunciarse y analizar las pruebas supervenientes relacionadas con la denuncia presentada ante el INE y aportadas por el impugnan</w:t>
      </w:r>
      <w:r w:rsidRPr="000E26B1">
        <w:rPr>
          <w:rFonts w:cs="Arial"/>
          <w:bCs/>
          <w:color w:val="000000"/>
          <w:sz w:val="24"/>
          <w:szCs w:val="24"/>
        </w:rPr>
        <w:t>te, al</w:t>
      </w:r>
      <w:r>
        <w:rPr>
          <w:rFonts w:cs="Arial"/>
          <w:bCs/>
          <w:color w:val="000000"/>
          <w:sz w:val="24"/>
          <w:szCs w:val="24"/>
        </w:rPr>
        <w:t xml:space="preserve"> estar relacionado con la materia de la controversia consistente en la validez cuestionada.</w:t>
      </w:r>
    </w:p>
    <w:p w:rsidR="00880110" w:rsidRDefault="00880110" w:rsidP="00880110">
      <w:pPr>
        <w:autoSpaceDE w:val="0"/>
        <w:autoSpaceDN w:val="0"/>
        <w:adjustRightInd w:val="0"/>
        <w:spacing w:line="360" w:lineRule="auto"/>
        <w:rPr>
          <w:rFonts w:cs="Arial"/>
          <w:bCs/>
          <w:color w:val="000000"/>
          <w:sz w:val="24"/>
          <w:szCs w:val="24"/>
        </w:rPr>
      </w:pPr>
    </w:p>
    <w:p w:rsidR="00880110" w:rsidRDefault="00880110" w:rsidP="00880110">
      <w:pPr>
        <w:autoSpaceDE w:val="0"/>
        <w:autoSpaceDN w:val="0"/>
        <w:adjustRightInd w:val="0"/>
        <w:spacing w:line="360" w:lineRule="auto"/>
        <w:rPr>
          <w:rFonts w:cs="Arial"/>
          <w:bCs/>
          <w:color w:val="000000"/>
          <w:sz w:val="24"/>
          <w:szCs w:val="24"/>
        </w:rPr>
      </w:pPr>
      <w:r>
        <w:rPr>
          <w:rFonts w:cs="Arial"/>
          <w:bCs/>
          <w:color w:val="000000"/>
          <w:sz w:val="24"/>
          <w:szCs w:val="24"/>
        </w:rPr>
        <w:t>Por tanto, la autoridad responsable debió garantizar el debido proceso en el juicio local y, en consecuencia, valorar y pronunciarse las pruebas presentadas o requerir aquellas relacionadas con los procedimientos sancionadores respectivos.</w:t>
      </w:r>
    </w:p>
    <w:p w:rsidR="00880110" w:rsidRDefault="00880110" w:rsidP="00880110">
      <w:pPr>
        <w:autoSpaceDE w:val="0"/>
        <w:autoSpaceDN w:val="0"/>
        <w:adjustRightInd w:val="0"/>
        <w:spacing w:line="360" w:lineRule="auto"/>
        <w:rPr>
          <w:rFonts w:cs="Arial"/>
          <w:bCs/>
          <w:color w:val="000000"/>
          <w:sz w:val="24"/>
          <w:szCs w:val="24"/>
        </w:rPr>
      </w:pPr>
    </w:p>
    <w:p w:rsidR="00880110" w:rsidRDefault="00880110" w:rsidP="00880110">
      <w:pPr>
        <w:autoSpaceDE w:val="0"/>
        <w:autoSpaceDN w:val="0"/>
        <w:adjustRightInd w:val="0"/>
        <w:spacing w:line="360" w:lineRule="auto"/>
        <w:rPr>
          <w:rFonts w:eastAsia="Times New Roman" w:cs="Arial"/>
          <w:color w:val="000000"/>
          <w:sz w:val="24"/>
          <w:szCs w:val="24"/>
          <w:lang w:eastAsia="es-MX"/>
        </w:rPr>
      </w:pPr>
      <w:r>
        <w:rPr>
          <w:rFonts w:eastAsia="Times New Roman" w:cs="Arial"/>
          <w:color w:val="000000"/>
          <w:sz w:val="24"/>
          <w:szCs w:val="24"/>
          <w:lang w:eastAsia="es-MX"/>
        </w:rPr>
        <w:t xml:space="preserve">Por lo anterior, esta Sala Regional considera que debe </w:t>
      </w:r>
      <w:r>
        <w:rPr>
          <w:rFonts w:eastAsia="Times New Roman" w:cs="Arial"/>
          <w:b/>
          <w:color w:val="000000"/>
          <w:sz w:val="24"/>
          <w:szCs w:val="24"/>
          <w:lang w:eastAsia="es-MX"/>
        </w:rPr>
        <w:t xml:space="preserve">modificarse </w:t>
      </w:r>
      <w:r>
        <w:rPr>
          <w:rFonts w:eastAsia="Times New Roman" w:cs="Arial"/>
          <w:color w:val="000000"/>
          <w:sz w:val="24"/>
          <w:szCs w:val="24"/>
          <w:lang w:eastAsia="es-MX"/>
        </w:rPr>
        <w:t xml:space="preserve">la sentencia impugnada </w:t>
      </w:r>
      <w:r w:rsidRPr="000E26B1">
        <w:rPr>
          <w:rFonts w:eastAsia="Times New Roman" w:cs="Arial"/>
          <w:color w:val="000000"/>
          <w:sz w:val="24"/>
          <w:szCs w:val="24"/>
          <w:lang w:eastAsia="es-MX"/>
        </w:rPr>
        <w:t xml:space="preserve">a efecto de que la responsable valore las pruebas debidamente </w:t>
      </w:r>
      <w:r w:rsidRPr="000E26B1">
        <w:rPr>
          <w:rFonts w:eastAsia="Times New Roman" w:cs="Arial"/>
          <w:color w:val="000000"/>
          <w:sz w:val="24"/>
          <w:szCs w:val="24"/>
          <w:lang w:eastAsia="es-MX"/>
        </w:rPr>
        <w:lastRenderedPageBreak/>
        <w:t>ofrecidas y existentes al momento de resolverse, como lo es la prueba relacionada con el referido procedimiento sancionador.</w:t>
      </w:r>
    </w:p>
    <w:p w:rsidR="00880110" w:rsidRDefault="00880110" w:rsidP="00880110">
      <w:pPr>
        <w:autoSpaceDE w:val="0"/>
        <w:autoSpaceDN w:val="0"/>
        <w:adjustRightInd w:val="0"/>
        <w:spacing w:line="360" w:lineRule="auto"/>
        <w:rPr>
          <w:rFonts w:eastAsia="Times New Roman" w:cs="Arial"/>
          <w:color w:val="000000"/>
          <w:sz w:val="24"/>
          <w:szCs w:val="24"/>
          <w:lang w:eastAsia="es-MX"/>
        </w:rPr>
      </w:pPr>
    </w:p>
    <w:p w:rsidR="00880110" w:rsidRDefault="00880110" w:rsidP="00880110">
      <w:pPr>
        <w:autoSpaceDE w:val="0"/>
        <w:autoSpaceDN w:val="0"/>
        <w:adjustRightInd w:val="0"/>
        <w:spacing w:line="360" w:lineRule="auto"/>
        <w:rPr>
          <w:rFonts w:eastAsia="Times New Roman" w:cs="Arial"/>
          <w:color w:val="000000"/>
          <w:sz w:val="24"/>
          <w:szCs w:val="24"/>
          <w:lang w:eastAsia="es-MX"/>
        </w:rPr>
      </w:pPr>
      <w:r>
        <w:rPr>
          <w:rFonts w:eastAsia="Times New Roman" w:cs="Arial"/>
          <w:color w:val="000000"/>
          <w:sz w:val="24"/>
          <w:szCs w:val="24"/>
          <w:lang w:eastAsia="es-MX"/>
        </w:rPr>
        <w:t xml:space="preserve">Al resultar fundado el agravio planteado por el PAN </w:t>
      </w:r>
      <w:proofErr w:type="spellStart"/>
      <w:r>
        <w:rPr>
          <w:rFonts w:eastAsia="Times New Roman" w:cs="Arial"/>
          <w:color w:val="000000"/>
          <w:sz w:val="24"/>
          <w:szCs w:val="24"/>
          <w:lang w:eastAsia="es-MX"/>
        </w:rPr>
        <w:t>y</w:t>
      </w:r>
      <w:proofErr w:type="spellEnd"/>
      <w:r>
        <w:rPr>
          <w:rFonts w:eastAsia="Times New Roman" w:cs="Arial"/>
          <w:color w:val="000000"/>
          <w:sz w:val="24"/>
          <w:szCs w:val="24"/>
          <w:lang w:eastAsia="es-MX"/>
        </w:rPr>
        <w:t xml:space="preserve"> impugnante, resulta incensario el análisis de los restantes que hace valer.</w:t>
      </w:r>
    </w:p>
    <w:p w:rsidR="00880110" w:rsidRDefault="00880110" w:rsidP="00880110">
      <w:pPr>
        <w:autoSpaceDE w:val="0"/>
        <w:autoSpaceDN w:val="0"/>
        <w:adjustRightInd w:val="0"/>
        <w:spacing w:line="360" w:lineRule="auto"/>
        <w:rPr>
          <w:rFonts w:eastAsia="Times New Roman" w:cs="Arial"/>
          <w:color w:val="000000"/>
          <w:sz w:val="24"/>
          <w:szCs w:val="24"/>
          <w:lang w:eastAsia="es-MX"/>
        </w:rPr>
      </w:pPr>
    </w:p>
    <w:p w:rsidR="00880110" w:rsidRDefault="00880110" w:rsidP="00880110">
      <w:pPr>
        <w:autoSpaceDE w:val="0"/>
        <w:autoSpaceDN w:val="0"/>
        <w:adjustRightInd w:val="0"/>
        <w:spacing w:line="360" w:lineRule="auto"/>
        <w:rPr>
          <w:rFonts w:eastAsia="Times New Roman" w:cs="Arial"/>
          <w:color w:val="000000"/>
          <w:sz w:val="24"/>
          <w:szCs w:val="24"/>
          <w:lang w:eastAsia="es-MX"/>
        </w:rPr>
      </w:pPr>
      <w:r w:rsidRPr="0039504F">
        <w:rPr>
          <w:rFonts w:eastAsia="Times New Roman" w:cs="Arial"/>
          <w:b/>
          <w:bCs/>
          <w:color w:val="000000"/>
          <w:sz w:val="24"/>
          <w:szCs w:val="24"/>
          <w:lang w:eastAsia="es-MX"/>
        </w:rPr>
        <w:t>3.2.</w:t>
      </w:r>
      <w:r>
        <w:rPr>
          <w:rFonts w:eastAsia="Times New Roman" w:cs="Arial"/>
          <w:color w:val="000000"/>
          <w:sz w:val="24"/>
          <w:szCs w:val="24"/>
          <w:lang w:eastAsia="es-MX"/>
        </w:rPr>
        <w:t xml:space="preserve"> Ahora, dado que el efecto de la presente sentencia es la revocación de la emitida por el Tribunal Local, para que efectúe el estudio de las pruebas a través de las cuales se cuestiona la validez de la elección para renovar el ayuntamiento de San Felipe, Guanajuato, no resulta viable analizar los alegatos de la impugnante, pues la asignación de cargos de </w:t>
      </w:r>
      <w:proofErr w:type="spellStart"/>
      <w:r>
        <w:rPr>
          <w:rFonts w:eastAsia="Times New Roman" w:cs="Arial"/>
          <w:color w:val="000000"/>
          <w:sz w:val="24"/>
          <w:szCs w:val="24"/>
          <w:lang w:eastAsia="es-MX"/>
        </w:rPr>
        <w:t>rp</w:t>
      </w:r>
      <w:proofErr w:type="spellEnd"/>
      <w:r>
        <w:rPr>
          <w:rFonts w:eastAsia="Times New Roman" w:cs="Arial"/>
          <w:color w:val="000000"/>
          <w:sz w:val="24"/>
          <w:szCs w:val="24"/>
          <w:lang w:eastAsia="es-MX"/>
        </w:rPr>
        <w:t xml:space="preserve"> y la presunta aplicabilidad de los límites se sobre y subrepresentación está supedita a que se confirme la validez de los comicios cuestionados. </w:t>
      </w:r>
    </w:p>
    <w:p w:rsidR="00880110" w:rsidRDefault="00880110" w:rsidP="00880110">
      <w:pPr>
        <w:autoSpaceDE w:val="0"/>
        <w:autoSpaceDN w:val="0"/>
        <w:adjustRightInd w:val="0"/>
        <w:spacing w:line="360" w:lineRule="auto"/>
        <w:rPr>
          <w:rFonts w:eastAsia="Times New Roman" w:cs="Arial"/>
          <w:color w:val="000000"/>
          <w:sz w:val="24"/>
          <w:szCs w:val="24"/>
          <w:lang w:eastAsia="es-MX"/>
        </w:rPr>
      </w:pPr>
    </w:p>
    <w:p w:rsidR="00880110" w:rsidRPr="008D3B91" w:rsidRDefault="00880110" w:rsidP="00880110">
      <w:pPr>
        <w:pStyle w:val="Ttulo2"/>
        <w:spacing w:before="0"/>
        <w:contextualSpacing/>
        <w:rPr>
          <w:rFonts w:ascii="Arial" w:hAnsi="Arial" w:cs="Arial"/>
          <w:b/>
          <w:color w:val="auto"/>
          <w:sz w:val="24"/>
          <w:szCs w:val="24"/>
          <w:u w:val="single"/>
        </w:rPr>
      </w:pPr>
      <w:bookmarkStart w:id="185" w:name="_Toc78749008"/>
      <w:bookmarkStart w:id="186" w:name="_Toc79163484"/>
      <w:bookmarkStart w:id="187" w:name="_Toc79172146"/>
      <w:bookmarkStart w:id="188" w:name="_Toc79172791"/>
      <w:bookmarkStart w:id="189" w:name="_Toc79173055"/>
      <w:bookmarkStart w:id="190" w:name="_Toc79173709"/>
      <w:bookmarkStart w:id="191" w:name="_Toc79176081"/>
      <w:bookmarkStart w:id="192" w:name="_Toc79175951"/>
      <w:bookmarkStart w:id="193" w:name="_Toc79183194"/>
      <w:bookmarkStart w:id="194" w:name="_Toc79183660"/>
      <w:bookmarkStart w:id="195" w:name="_Toc79184180"/>
      <w:bookmarkStart w:id="196" w:name="_Toc79184117"/>
      <w:bookmarkStart w:id="197" w:name="_Toc80872680"/>
      <w:bookmarkStart w:id="198" w:name="_Toc80910978"/>
      <w:r w:rsidRPr="008D3B91">
        <w:rPr>
          <w:rFonts w:ascii="Arial" w:hAnsi="Arial" w:cs="Arial"/>
          <w:b/>
          <w:color w:val="auto"/>
          <w:sz w:val="24"/>
          <w:szCs w:val="24"/>
          <w:u w:val="single"/>
        </w:rPr>
        <w:t>Apartado I</w:t>
      </w:r>
      <w:r>
        <w:rPr>
          <w:rFonts w:ascii="Arial" w:hAnsi="Arial" w:cs="Arial"/>
          <w:b/>
          <w:color w:val="auto"/>
          <w:sz w:val="24"/>
          <w:szCs w:val="24"/>
          <w:u w:val="single"/>
        </w:rPr>
        <w:t>I</w:t>
      </w:r>
      <w:r w:rsidRPr="008D3B91">
        <w:rPr>
          <w:rFonts w:ascii="Arial" w:hAnsi="Arial" w:cs="Arial"/>
          <w:b/>
          <w:color w:val="auto"/>
          <w:sz w:val="24"/>
          <w:szCs w:val="24"/>
          <w:u w:val="single"/>
        </w:rPr>
        <w:t>I</w:t>
      </w:r>
      <w:r w:rsidRPr="008D3B91">
        <w:rPr>
          <w:rFonts w:ascii="Arial" w:hAnsi="Arial" w:cs="Arial"/>
          <w:b/>
          <w:color w:val="auto"/>
          <w:sz w:val="24"/>
          <w:szCs w:val="24"/>
        </w:rPr>
        <w:t xml:space="preserve">. </w:t>
      </w:r>
      <w:r>
        <w:rPr>
          <w:rFonts w:ascii="Arial" w:hAnsi="Arial" w:cs="Arial"/>
          <w:b/>
          <w:color w:val="auto"/>
          <w:sz w:val="24"/>
          <w:szCs w:val="24"/>
        </w:rPr>
        <w:t>Efectos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880110" w:rsidRPr="005B4622" w:rsidRDefault="00880110" w:rsidP="00880110">
      <w:pPr>
        <w:widowControl w:val="0"/>
        <w:autoSpaceDE w:val="0"/>
        <w:autoSpaceDN w:val="0"/>
        <w:adjustRightInd w:val="0"/>
        <w:contextualSpacing/>
        <w:rPr>
          <w:rFonts w:cs="Arial"/>
          <w:bCs/>
          <w:sz w:val="24"/>
          <w:szCs w:val="24"/>
          <w:lang w:val="es-ES_tradnl"/>
        </w:rPr>
      </w:pPr>
    </w:p>
    <w:p w:rsidR="00880110" w:rsidRDefault="00880110" w:rsidP="00880110">
      <w:pPr>
        <w:spacing w:line="360" w:lineRule="auto"/>
        <w:rPr>
          <w:sz w:val="24"/>
          <w:szCs w:val="24"/>
        </w:rPr>
      </w:pPr>
      <w:r w:rsidRPr="003E5ADE">
        <w:rPr>
          <w:sz w:val="24"/>
          <w:szCs w:val="24"/>
        </w:rPr>
        <w:t xml:space="preserve">En atención a lo expuesto, se </w:t>
      </w:r>
      <w:r>
        <w:rPr>
          <w:b/>
          <w:bCs/>
          <w:sz w:val="24"/>
          <w:szCs w:val="24"/>
        </w:rPr>
        <w:t xml:space="preserve">modifica </w:t>
      </w:r>
      <w:r w:rsidRPr="003E5ADE">
        <w:rPr>
          <w:sz w:val="24"/>
          <w:szCs w:val="24"/>
        </w:rPr>
        <w:t>la determinación impugnada, a fin de que el Tribunal Local:</w:t>
      </w:r>
    </w:p>
    <w:p w:rsidR="00880110" w:rsidRDefault="00880110" w:rsidP="00880110">
      <w:pPr>
        <w:spacing w:line="360" w:lineRule="auto"/>
        <w:rPr>
          <w:sz w:val="24"/>
          <w:szCs w:val="24"/>
        </w:rPr>
      </w:pPr>
    </w:p>
    <w:p w:rsidR="00880110" w:rsidRPr="00E55850" w:rsidRDefault="00880110" w:rsidP="00880110">
      <w:pPr>
        <w:spacing w:line="360" w:lineRule="auto"/>
        <w:rPr>
          <w:b/>
          <w:bCs/>
          <w:sz w:val="24"/>
          <w:szCs w:val="24"/>
        </w:rPr>
      </w:pPr>
      <w:r w:rsidRPr="00880110">
        <w:rPr>
          <w:b/>
          <w:bCs/>
          <w:sz w:val="24"/>
          <w:szCs w:val="24"/>
        </w:rPr>
        <w:t>1.</w:t>
      </w:r>
      <w:r w:rsidRPr="00880110">
        <w:t xml:space="preserve"> </w:t>
      </w:r>
      <w:r w:rsidRPr="00880110">
        <w:rPr>
          <w:bCs/>
          <w:sz w:val="24"/>
          <w:szCs w:val="24"/>
        </w:rPr>
        <w:t>Para que emita una nueva determinación en la que tome en cuenta las pruebas aportadas por la impugnante relacionadas con el procedimiento especial sancionador UT/</w:t>
      </w:r>
      <w:proofErr w:type="spellStart"/>
      <w:r w:rsidRPr="00880110">
        <w:rPr>
          <w:bCs/>
          <w:sz w:val="24"/>
          <w:szCs w:val="24"/>
        </w:rPr>
        <w:t>SCG</w:t>
      </w:r>
      <w:proofErr w:type="spellEnd"/>
      <w:r w:rsidRPr="00880110">
        <w:rPr>
          <w:bCs/>
          <w:sz w:val="24"/>
          <w:szCs w:val="24"/>
        </w:rPr>
        <w:t>/PE/PAN/</w:t>
      </w:r>
      <w:proofErr w:type="spellStart"/>
      <w:r w:rsidRPr="00880110">
        <w:rPr>
          <w:bCs/>
          <w:sz w:val="24"/>
          <w:szCs w:val="24"/>
        </w:rPr>
        <w:t>OPLE</w:t>
      </w:r>
      <w:proofErr w:type="spellEnd"/>
      <w:r w:rsidRPr="00880110">
        <w:rPr>
          <w:bCs/>
          <w:sz w:val="24"/>
          <w:szCs w:val="24"/>
        </w:rPr>
        <w:t>/CG/281/</w:t>
      </w:r>
      <w:proofErr w:type="spellStart"/>
      <w:r w:rsidRPr="00880110">
        <w:rPr>
          <w:bCs/>
          <w:sz w:val="24"/>
          <w:szCs w:val="24"/>
        </w:rPr>
        <w:t>PEF</w:t>
      </w:r>
      <w:proofErr w:type="spellEnd"/>
      <w:r w:rsidRPr="00880110">
        <w:rPr>
          <w:bCs/>
          <w:sz w:val="24"/>
          <w:szCs w:val="24"/>
        </w:rPr>
        <w:t>/297/2021, y se pronuncie al respecto, quedando subsistente aquellas cuestiones que no se hallen vinculadas con el análisis de las citadas pruebas</w:t>
      </w:r>
      <w:r w:rsidRPr="00880110">
        <w:rPr>
          <w:rFonts w:cs="Arial"/>
          <w:sz w:val="24"/>
          <w:szCs w:val="24"/>
        </w:rPr>
        <w:t>.</w:t>
      </w:r>
    </w:p>
    <w:p w:rsidR="00880110" w:rsidRDefault="00880110" w:rsidP="00880110">
      <w:pPr>
        <w:pStyle w:val="Style5"/>
        <w:spacing w:line="360" w:lineRule="auto"/>
      </w:pPr>
    </w:p>
    <w:p w:rsidR="00880110" w:rsidRPr="00780A50" w:rsidRDefault="00880110" w:rsidP="00880110">
      <w:pPr>
        <w:pStyle w:val="Style5"/>
        <w:spacing w:line="360" w:lineRule="auto"/>
        <w:rPr>
          <w:lang w:val="es-ES_tradnl"/>
        </w:rPr>
      </w:pPr>
      <w:r>
        <w:rPr>
          <w:b/>
          <w:bCs/>
        </w:rPr>
        <w:t xml:space="preserve">2. </w:t>
      </w:r>
      <w:r>
        <w:t>El Tribunal Local deberá informar a esta Sala Monterrey dentro de las 24 horas siguientes a que emita la determinación, con las constancias que así lo acrediten</w:t>
      </w:r>
      <w:r>
        <w:rPr>
          <w:rStyle w:val="Refdenotaalpie"/>
        </w:rPr>
        <w:footnoteReference w:id="22"/>
      </w:r>
      <w:r>
        <w:t>.</w:t>
      </w:r>
    </w:p>
    <w:p w:rsidR="00880110" w:rsidRPr="00E3010D" w:rsidRDefault="00880110" w:rsidP="00880110">
      <w:pPr>
        <w:autoSpaceDE w:val="0"/>
        <w:autoSpaceDN w:val="0"/>
        <w:adjustRightInd w:val="0"/>
        <w:rPr>
          <w:rFonts w:cs="Arial"/>
          <w:sz w:val="24"/>
          <w:szCs w:val="24"/>
          <w:lang w:eastAsia="es-MX"/>
        </w:rPr>
      </w:pPr>
    </w:p>
    <w:p w:rsidR="00880110" w:rsidRDefault="00880110" w:rsidP="00880110">
      <w:pPr>
        <w:tabs>
          <w:tab w:val="left" w:pos="3694"/>
        </w:tabs>
        <w:spacing w:line="360" w:lineRule="auto"/>
        <w:contextualSpacing/>
        <w:rPr>
          <w:rFonts w:cs="Arial"/>
          <w:bCs/>
          <w:sz w:val="24"/>
          <w:szCs w:val="24"/>
        </w:rPr>
      </w:pPr>
      <w:r w:rsidRPr="00E3010D">
        <w:rPr>
          <w:rFonts w:cs="Arial"/>
          <w:bCs/>
          <w:sz w:val="24"/>
          <w:szCs w:val="24"/>
        </w:rPr>
        <w:t>Por lo expuesto y fundado se:</w:t>
      </w:r>
    </w:p>
    <w:p w:rsidR="00880110" w:rsidRDefault="00880110" w:rsidP="00880110">
      <w:pPr>
        <w:tabs>
          <w:tab w:val="left" w:pos="3694"/>
        </w:tabs>
        <w:contextualSpacing/>
        <w:rPr>
          <w:rFonts w:cs="Arial"/>
          <w:bCs/>
          <w:sz w:val="24"/>
          <w:szCs w:val="24"/>
        </w:rPr>
      </w:pPr>
    </w:p>
    <w:p w:rsidR="00880110" w:rsidRPr="002D7DBF" w:rsidRDefault="00880110" w:rsidP="00880110">
      <w:pPr>
        <w:pStyle w:val="Ttulo1"/>
        <w:spacing w:before="0"/>
        <w:jc w:val="center"/>
        <w:rPr>
          <w:rFonts w:ascii="Arial" w:eastAsia="Times New Roman" w:hAnsi="Arial" w:cs="Arial"/>
          <w:b/>
          <w:bCs/>
          <w:caps/>
          <w:color w:val="auto"/>
          <w:sz w:val="24"/>
          <w:szCs w:val="24"/>
        </w:rPr>
      </w:pPr>
      <w:bookmarkStart w:id="199" w:name="_Toc483300366"/>
      <w:bookmarkStart w:id="200" w:name="_Toc36655160"/>
      <w:bookmarkStart w:id="201" w:name="_Toc67382834"/>
      <w:bookmarkStart w:id="202" w:name="_Toc75911621"/>
      <w:bookmarkStart w:id="203" w:name="_Toc79163485"/>
      <w:bookmarkStart w:id="204" w:name="_Toc79172147"/>
      <w:bookmarkStart w:id="205" w:name="_Toc79172792"/>
      <w:bookmarkStart w:id="206" w:name="_Toc79173056"/>
      <w:bookmarkStart w:id="207" w:name="_Toc79173710"/>
      <w:bookmarkStart w:id="208" w:name="_Toc79176082"/>
      <w:bookmarkStart w:id="209" w:name="_Toc79175952"/>
      <w:bookmarkStart w:id="210" w:name="_Toc79183195"/>
      <w:bookmarkStart w:id="211" w:name="_Toc79183661"/>
      <w:bookmarkStart w:id="212" w:name="_Toc79184181"/>
      <w:bookmarkStart w:id="213" w:name="_Toc79184118"/>
      <w:bookmarkStart w:id="214" w:name="_Toc80872681"/>
      <w:bookmarkStart w:id="215" w:name="_Toc80910979"/>
      <w:r w:rsidRPr="002D7DBF">
        <w:rPr>
          <w:rFonts w:ascii="Arial" w:eastAsia="Times New Roman" w:hAnsi="Arial" w:cs="Arial"/>
          <w:b/>
          <w:bCs/>
          <w:color w:val="auto"/>
          <w:sz w:val="24"/>
          <w:szCs w:val="24"/>
        </w:rPr>
        <w:t>Resuelve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880110" w:rsidRDefault="00880110" w:rsidP="00880110">
      <w:pPr>
        <w:rPr>
          <w:rFonts w:eastAsia="Times New Roman" w:cs="Arial"/>
          <w:b/>
          <w:bCs/>
          <w:sz w:val="24"/>
          <w:szCs w:val="24"/>
          <w:lang w:eastAsia="es-MX"/>
        </w:rPr>
      </w:pPr>
    </w:p>
    <w:p w:rsidR="00880110" w:rsidRDefault="00880110" w:rsidP="00880110">
      <w:pPr>
        <w:spacing w:line="360" w:lineRule="auto"/>
        <w:rPr>
          <w:rFonts w:eastAsia="Times New Roman" w:cs="Arial"/>
          <w:b/>
          <w:bCs/>
          <w:sz w:val="24"/>
          <w:szCs w:val="24"/>
          <w:lang w:eastAsia="es-MX"/>
        </w:rPr>
      </w:pPr>
      <w:r w:rsidRPr="000E26B1">
        <w:rPr>
          <w:rFonts w:eastAsia="Times New Roman" w:cs="Arial"/>
          <w:b/>
          <w:bCs/>
          <w:sz w:val="24"/>
          <w:szCs w:val="24"/>
          <w:lang w:eastAsia="es-MX"/>
        </w:rPr>
        <w:t xml:space="preserve">Primero. </w:t>
      </w:r>
      <w:r w:rsidRPr="000E26B1">
        <w:rPr>
          <w:rFonts w:eastAsia="Times New Roman" w:cs="Arial"/>
          <w:bCs/>
          <w:sz w:val="24"/>
          <w:szCs w:val="24"/>
          <w:lang w:eastAsia="es-MX"/>
        </w:rPr>
        <w:t xml:space="preserve">Se </w:t>
      </w:r>
      <w:r w:rsidRPr="000E26B1">
        <w:rPr>
          <w:rFonts w:eastAsia="Times New Roman" w:cs="Arial"/>
          <w:b/>
          <w:bCs/>
          <w:sz w:val="24"/>
          <w:szCs w:val="24"/>
          <w:lang w:eastAsia="es-MX"/>
        </w:rPr>
        <w:t>acumula</w:t>
      </w:r>
      <w:r w:rsidRPr="000E26B1">
        <w:rPr>
          <w:rFonts w:eastAsia="Times New Roman" w:cs="Arial"/>
          <w:bCs/>
          <w:sz w:val="24"/>
          <w:szCs w:val="24"/>
          <w:lang w:eastAsia="es-MX"/>
        </w:rPr>
        <w:t xml:space="preserve"> el juicio </w:t>
      </w:r>
      <w:r w:rsidRPr="000E26B1">
        <w:rPr>
          <w:sz w:val="24"/>
          <w:szCs w:val="24"/>
        </w:rPr>
        <w:t>SM-JDC-856/2021, SM-JDC-845, y SM-JRC-217 al diverso SM-JRC-216/2021</w:t>
      </w:r>
      <w:r w:rsidRPr="000E26B1">
        <w:rPr>
          <w:rFonts w:eastAsia="Times New Roman" w:cs="Arial"/>
          <w:bCs/>
          <w:sz w:val="24"/>
          <w:szCs w:val="24"/>
          <w:lang w:eastAsia="es-MX"/>
        </w:rPr>
        <w:t>,</w:t>
      </w:r>
      <w:r w:rsidRPr="000E26B1">
        <w:rPr>
          <w:rFonts w:eastAsia="Times New Roman" w:cs="Arial"/>
          <w:b/>
          <w:bCs/>
          <w:sz w:val="24"/>
          <w:szCs w:val="24"/>
          <w:lang w:eastAsia="es-MX"/>
        </w:rPr>
        <w:t xml:space="preserve"> </w:t>
      </w:r>
      <w:r w:rsidRPr="000E26B1">
        <w:rPr>
          <w:rFonts w:eastAsia="Times New Roman" w:cs="Arial"/>
          <w:bCs/>
          <w:sz w:val="24"/>
          <w:szCs w:val="24"/>
          <w:lang w:eastAsia="es-MX"/>
        </w:rPr>
        <w:t>en consecuencia, agréguese copia certificada de los puntos resolutivos de la presente sentencia, al asunto acumulado.</w:t>
      </w:r>
    </w:p>
    <w:p w:rsidR="00880110" w:rsidRPr="00E3010D" w:rsidRDefault="00880110" w:rsidP="00880110">
      <w:pPr>
        <w:rPr>
          <w:rFonts w:eastAsia="Times New Roman" w:cs="Arial"/>
          <w:b/>
          <w:bCs/>
          <w:sz w:val="24"/>
          <w:szCs w:val="24"/>
          <w:lang w:eastAsia="es-MX"/>
        </w:rPr>
      </w:pPr>
    </w:p>
    <w:p w:rsidR="00880110" w:rsidRPr="00E3010D" w:rsidRDefault="00880110" w:rsidP="00880110">
      <w:pPr>
        <w:spacing w:line="360" w:lineRule="auto"/>
        <w:rPr>
          <w:rFonts w:eastAsia="Times New Roman" w:cs="Arial"/>
          <w:sz w:val="24"/>
          <w:szCs w:val="24"/>
          <w:lang w:eastAsia="es-MX"/>
        </w:rPr>
      </w:pPr>
      <w:r>
        <w:rPr>
          <w:rFonts w:eastAsia="Times New Roman" w:cs="Arial"/>
          <w:b/>
          <w:bCs/>
          <w:sz w:val="24"/>
          <w:szCs w:val="24"/>
          <w:lang w:eastAsia="es-MX"/>
        </w:rPr>
        <w:lastRenderedPageBreak/>
        <w:t>Segundo</w:t>
      </w:r>
      <w:r w:rsidRPr="00E3010D">
        <w:rPr>
          <w:rFonts w:eastAsia="Times New Roman" w:cs="Arial"/>
          <w:b/>
          <w:bCs/>
          <w:sz w:val="24"/>
          <w:szCs w:val="24"/>
          <w:lang w:eastAsia="es-MX"/>
        </w:rPr>
        <w:t xml:space="preserve">. </w:t>
      </w:r>
      <w:r w:rsidRPr="00E3010D">
        <w:rPr>
          <w:rFonts w:eastAsia="Times New Roman" w:cs="Arial"/>
          <w:sz w:val="24"/>
          <w:szCs w:val="24"/>
          <w:lang w:eastAsia="es-MX"/>
        </w:rPr>
        <w:t xml:space="preserve">Se </w:t>
      </w:r>
      <w:r>
        <w:rPr>
          <w:rFonts w:eastAsia="Times New Roman" w:cs="Arial"/>
          <w:b/>
          <w:bCs/>
          <w:sz w:val="24"/>
          <w:szCs w:val="24"/>
          <w:lang w:eastAsia="es-MX"/>
        </w:rPr>
        <w:t xml:space="preserve">modifica </w:t>
      </w:r>
      <w:r w:rsidRPr="00E3010D">
        <w:rPr>
          <w:rFonts w:eastAsia="Times New Roman" w:cs="Arial"/>
          <w:sz w:val="24"/>
          <w:szCs w:val="24"/>
          <w:lang w:eastAsia="es-MX"/>
        </w:rPr>
        <w:t>la sentencia impugnada para los efectos precisados.</w:t>
      </w:r>
    </w:p>
    <w:bookmarkEnd w:id="125"/>
    <w:p w:rsidR="00880110" w:rsidRDefault="00880110" w:rsidP="00880110">
      <w:pPr>
        <w:rPr>
          <w:rFonts w:eastAsia="Arial" w:cs="Arial"/>
          <w:b/>
          <w:sz w:val="24"/>
          <w:szCs w:val="24"/>
          <w:bdr w:val="nil"/>
          <w:lang w:val="es-ES" w:eastAsia="es-MX"/>
        </w:rPr>
      </w:pPr>
    </w:p>
    <w:p w:rsidR="00880110" w:rsidRDefault="00880110" w:rsidP="00880110">
      <w:pPr>
        <w:spacing w:line="360" w:lineRule="auto"/>
        <w:rPr>
          <w:rFonts w:cs="Arial"/>
          <w:sz w:val="24"/>
          <w:szCs w:val="24"/>
        </w:rPr>
      </w:pPr>
      <w:r w:rsidRPr="00205204">
        <w:rPr>
          <w:rFonts w:cs="Arial"/>
          <w:sz w:val="24"/>
          <w:szCs w:val="24"/>
        </w:rPr>
        <w:t>En su oportunidad, archívese el expediente como asunto concluido; en su caso, devuélvase la documentación que en original haya exhibido la responsable.</w:t>
      </w:r>
    </w:p>
    <w:p w:rsidR="00880110" w:rsidRDefault="00880110" w:rsidP="00880110">
      <w:pPr>
        <w:rPr>
          <w:rFonts w:eastAsia="Arial" w:cs="Arial"/>
          <w:b/>
          <w:sz w:val="24"/>
          <w:szCs w:val="24"/>
          <w:bdr w:val="nil"/>
          <w:lang w:val="es-ES" w:eastAsia="es-MX"/>
        </w:rPr>
      </w:pPr>
    </w:p>
    <w:p w:rsidR="00880110" w:rsidRDefault="00880110" w:rsidP="00880110">
      <w:pPr>
        <w:spacing w:line="360" w:lineRule="auto"/>
        <w:rPr>
          <w:rFonts w:eastAsia="Arial" w:cs="Arial"/>
          <w:sz w:val="24"/>
          <w:szCs w:val="24"/>
          <w:u w:color="000000"/>
          <w:bdr w:val="nil"/>
          <w:lang w:val="es-ES_tradnl" w:eastAsia="es-MX"/>
        </w:rPr>
      </w:pPr>
      <w:r w:rsidRPr="00604537">
        <w:rPr>
          <w:rFonts w:eastAsia="Arial" w:cs="Arial"/>
          <w:b/>
          <w:bCs/>
          <w:sz w:val="24"/>
          <w:szCs w:val="24"/>
          <w:u w:color="000000"/>
          <w:bdr w:val="nil"/>
          <w:lang w:val="es-ES_tradnl" w:eastAsia="es-MX"/>
        </w:rPr>
        <w:t>Notifíquese</w:t>
      </w:r>
      <w:r w:rsidRPr="00604537">
        <w:rPr>
          <w:rFonts w:eastAsia="Arial" w:cs="Arial"/>
          <w:sz w:val="24"/>
          <w:szCs w:val="24"/>
          <w:u w:color="000000"/>
          <w:bdr w:val="nil"/>
          <w:lang w:val="es-ES_tradnl" w:eastAsia="es-MX"/>
        </w:rPr>
        <w:t xml:space="preserve"> como en derecho corresponda. </w:t>
      </w:r>
    </w:p>
    <w:p w:rsidR="00880110" w:rsidRPr="00604537" w:rsidRDefault="00880110" w:rsidP="00880110">
      <w:pPr>
        <w:rPr>
          <w:rFonts w:eastAsia="Arial" w:cs="Arial"/>
          <w:sz w:val="24"/>
          <w:szCs w:val="24"/>
          <w:u w:color="000000"/>
          <w:bdr w:val="nil"/>
          <w:lang w:val="es-ES_tradnl" w:eastAsia="es-MX"/>
        </w:rPr>
      </w:pPr>
    </w:p>
    <w:p w:rsidR="00880110" w:rsidRPr="00880110" w:rsidRDefault="00880110" w:rsidP="00880110">
      <w:pPr>
        <w:spacing w:before="240" w:after="240" w:line="360" w:lineRule="auto"/>
        <w:rPr>
          <w:rFonts w:cs="Arial"/>
          <w:sz w:val="24"/>
          <w:szCs w:val="24"/>
          <w:lang w:val="es-ES_tradnl" w:eastAsia="es-MX"/>
        </w:rPr>
      </w:pPr>
      <w:r w:rsidRPr="00604537">
        <w:rPr>
          <w:rFonts w:cs="Arial"/>
          <w:sz w:val="24"/>
          <w:szCs w:val="24"/>
        </w:rPr>
        <w:t>Así lo resolvieron por</w:t>
      </w:r>
      <w:r w:rsidRPr="00880110">
        <w:rPr>
          <w:rFonts w:eastAsia="Times New Roman"/>
          <w:sz w:val="24"/>
          <w:szCs w:val="24"/>
          <w:lang w:eastAsia="es-MX"/>
        </w:rPr>
        <w:t xml:space="preserve"> </w:t>
      </w:r>
      <w:r w:rsidRPr="00880110">
        <w:rPr>
          <w:rFonts w:eastAsia="Times New Roman"/>
          <w:b/>
          <w:bCs/>
          <w:sz w:val="24"/>
          <w:szCs w:val="24"/>
          <w:lang w:eastAsia="es-MX"/>
        </w:rPr>
        <w:t>mayoría</w:t>
      </w:r>
      <w:r w:rsidRPr="00880110">
        <w:rPr>
          <w:rFonts w:eastAsia="Times New Roman"/>
          <w:sz w:val="24"/>
          <w:szCs w:val="24"/>
          <w:lang w:eastAsia="es-MX"/>
        </w:rPr>
        <w:t xml:space="preserve"> de votos de los Magistrados Yairsinio David García Ortiz y Ernesto Camacho Ochoa, con el voto en contra de la Magistrada Claudia Valle Aguilasocho,</w:t>
      </w:r>
      <w:r>
        <w:rPr>
          <w:rFonts w:eastAsia="Times New Roman"/>
          <w:sz w:val="24"/>
          <w:szCs w:val="24"/>
          <w:lang w:eastAsia="es-MX"/>
        </w:rPr>
        <w:t xml:space="preserve"> </w:t>
      </w:r>
      <w:r w:rsidRPr="00880110">
        <w:rPr>
          <w:rFonts w:cs="Arial"/>
          <w:sz w:val="24"/>
          <w:szCs w:val="24"/>
          <w:lang w:val="es-ES_tradnl" w:eastAsia="es-MX"/>
        </w:rPr>
        <w:t>integrantes de la Sala Regional del Tribunal Electoral del Poder Judicial de la Federación, correspondiente a la Segunda Circunscripción Electoral Plurinominal, ante el Secretario General de Acuerdos, quien autoriza y da fe.</w:t>
      </w:r>
    </w:p>
    <w:p w:rsidR="00880110" w:rsidRPr="00604537" w:rsidRDefault="00880110" w:rsidP="00880110">
      <w:pPr>
        <w:shd w:val="clear" w:color="auto" w:fill="FFFFFF" w:themeFill="background1"/>
        <w:rPr>
          <w:rFonts w:cs="Arial"/>
          <w:sz w:val="24"/>
          <w:szCs w:val="24"/>
          <w:lang w:val="es-ES_tradnl" w:eastAsia="es-MX"/>
        </w:rPr>
      </w:pPr>
    </w:p>
    <w:p w:rsidR="00880110" w:rsidRDefault="00880110" w:rsidP="00880110"/>
    <w:p w:rsidR="00880110" w:rsidRDefault="00880110" w:rsidP="00880110"/>
    <w:p w:rsidR="00F92130" w:rsidRPr="008922FF" w:rsidRDefault="00F92130" w:rsidP="00F92130">
      <w:pPr>
        <w:spacing w:after="240" w:line="360" w:lineRule="auto"/>
        <w:ind w:right="51"/>
        <w:rPr>
          <w:rFonts w:eastAsia="Calibri" w:cs="Arial"/>
          <w:b/>
          <w:sz w:val="24"/>
          <w:szCs w:val="24"/>
        </w:rPr>
      </w:pPr>
      <w:r w:rsidRPr="008922FF">
        <w:rPr>
          <w:rFonts w:eastAsia="Calibri" w:cs="Arial"/>
          <w:b/>
          <w:sz w:val="24"/>
          <w:szCs w:val="24"/>
        </w:rPr>
        <w:t xml:space="preserve">VOTO PARTICULAR QUE FORMULA LA MAGISTRADA CLAUDIA VALLE AGUILASOCHO EN RELACIÓN CON LA SENTENCIA DICTADA EN EL JUICIO DE REVISIÓN CONSTITUCIONAL ELECTORAL CON CLAVE </w:t>
      </w:r>
      <w:r w:rsidRPr="008922FF">
        <w:rPr>
          <w:rFonts w:eastAsia="Calibri" w:cs="Arial"/>
          <w:b/>
          <w:sz w:val="24"/>
          <w:szCs w:val="24"/>
        </w:rPr>
        <w:br/>
        <w:t>SM-JRC-216/2021</w:t>
      </w:r>
    </w:p>
    <w:p w:rsidR="00F92130" w:rsidRPr="008922FF" w:rsidRDefault="00F92130" w:rsidP="00F92130">
      <w:pPr>
        <w:tabs>
          <w:tab w:val="left" w:pos="5461"/>
        </w:tabs>
        <w:spacing w:before="100" w:beforeAutospacing="1" w:after="100" w:afterAutospacing="1" w:line="360" w:lineRule="auto"/>
        <w:rPr>
          <w:rFonts w:eastAsia="Calibri" w:cs="Arial"/>
          <w:sz w:val="24"/>
          <w:szCs w:val="24"/>
        </w:rPr>
      </w:pPr>
      <w:r w:rsidRPr="008922FF">
        <w:rPr>
          <w:rFonts w:eastAsia="Calibri" w:cs="Arial"/>
          <w:sz w:val="24"/>
          <w:szCs w:val="24"/>
        </w:rPr>
        <w:t xml:space="preserve">Con fundamento en lo dispuesto en el artículo 174, párrafo segundo, de la Ley Orgánica del Poder Judicial de la Federación, formulo el presente voto particular, refiriéndome a las razones que me llevan a disentir del criterio adoptado por la mayoría de los integrantes de esta Sala Regional. </w:t>
      </w:r>
    </w:p>
    <w:p w:rsidR="00F92130" w:rsidRDefault="00F92130" w:rsidP="00F92130">
      <w:pPr>
        <w:tabs>
          <w:tab w:val="left" w:pos="5461"/>
        </w:tabs>
        <w:spacing w:before="100" w:beforeAutospacing="1" w:after="100" w:afterAutospacing="1" w:line="360" w:lineRule="auto"/>
        <w:rPr>
          <w:rFonts w:eastAsia="Calibri" w:cs="Arial"/>
          <w:sz w:val="24"/>
          <w:szCs w:val="24"/>
        </w:rPr>
      </w:pPr>
      <w:r w:rsidRPr="008922FF">
        <w:rPr>
          <w:rFonts w:eastAsia="Calibri" w:cs="Arial"/>
          <w:sz w:val="24"/>
          <w:szCs w:val="24"/>
        </w:rPr>
        <w:t xml:space="preserve">La propuesta a nuestra consideración modifica la sentencia del Tribunal local </w:t>
      </w:r>
      <w:r w:rsidRPr="007C1539">
        <w:rPr>
          <w:rFonts w:cs="Arial"/>
          <w:sz w:val="24"/>
          <w:szCs w:val="24"/>
          <w:lang w:val="es-ES"/>
        </w:rPr>
        <w:t xml:space="preserve">que confirmó la validez de la elección para renovar el ayuntamiento de San Felipe, Guanajuato, así como </w:t>
      </w:r>
      <w:r w:rsidRPr="007C1539">
        <w:rPr>
          <w:rFonts w:eastAsia="Calibri" w:cs="Arial"/>
          <w:sz w:val="24"/>
          <w:szCs w:val="24"/>
        </w:rPr>
        <w:t>la entrega de la constancia de mayoría a la planilla postulada por el PVEM</w:t>
      </w:r>
      <w:r w:rsidRPr="00F03600">
        <w:rPr>
          <w:rFonts w:eastAsia="Calibri" w:cs="Arial"/>
          <w:sz w:val="24"/>
          <w:szCs w:val="24"/>
        </w:rPr>
        <w:t xml:space="preserve">, </w:t>
      </w:r>
      <w:r>
        <w:rPr>
          <w:rFonts w:eastAsia="Calibri" w:cs="Arial"/>
          <w:sz w:val="24"/>
          <w:szCs w:val="24"/>
        </w:rPr>
        <w:t xml:space="preserve">sosteniendo </w:t>
      </w:r>
      <w:r w:rsidRPr="00F03600">
        <w:rPr>
          <w:rFonts w:eastAsia="Calibri" w:cs="Arial"/>
          <w:sz w:val="24"/>
          <w:szCs w:val="24"/>
        </w:rPr>
        <w:t>que el Tribunal local tenía el deber de pronunciarse sobre las pruebas aportadas en el juicio</w:t>
      </w:r>
      <w:r>
        <w:rPr>
          <w:rFonts w:eastAsia="Calibri" w:cs="Arial"/>
          <w:sz w:val="24"/>
          <w:szCs w:val="24"/>
        </w:rPr>
        <w:t>,</w:t>
      </w:r>
      <w:r w:rsidRPr="00F03600">
        <w:rPr>
          <w:rFonts w:eastAsia="Calibri" w:cs="Arial"/>
          <w:sz w:val="24"/>
          <w:szCs w:val="24"/>
        </w:rPr>
        <w:t xml:space="preserve"> a fin de garantizar el estudio integral de los elementos debidamente ofrecidos</w:t>
      </w:r>
      <w:r>
        <w:rPr>
          <w:rFonts w:eastAsia="Calibri" w:cs="Arial"/>
          <w:sz w:val="24"/>
          <w:szCs w:val="24"/>
        </w:rPr>
        <w:t>.</w:t>
      </w:r>
    </w:p>
    <w:p w:rsidR="00F92130" w:rsidRDefault="00F92130" w:rsidP="00F92130">
      <w:pPr>
        <w:tabs>
          <w:tab w:val="left" w:pos="5461"/>
        </w:tabs>
        <w:spacing w:before="100" w:beforeAutospacing="1" w:after="100" w:afterAutospacing="1" w:line="360" w:lineRule="auto"/>
        <w:rPr>
          <w:rFonts w:cs="Arial"/>
          <w:sz w:val="24"/>
          <w:szCs w:val="24"/>
          <w:lang w:val="es-ES"/>
        </w:rPr>
      </w:pPr>
      <w:r w:rsidRPr="008922FF">
        <w:rPr>
          <w:rFonts w:cs="Arial"/>
          <w:sz w:val="24"/>
          <w:szCs w:val="24"/>
        </w:rPr>
        <w:t xml:space="preserve">Una vez analizados los agravios, el Tribunal local, </w:t>
      </w:r>
      <w:r w:rsidRPr="000133E5">
        <w:rPr>
          <w:rFonts w:cs="Arial"/>
          <w:bCs/>
          <w:sz w:val="24"/>
          <w:szCs w:val="24"/>
          <w:lang w:val="es-ES_tradnl"/>
        </w:rPr>
        <w:t xml:space="preserve">determinó que </w:t>
      </w:r>
      <w:r w:rsidRPr="000133E5">
        <w:rPr>
          <w:rFonts w:cs="Arial"/>
          <w:sz w:val="24"/>
          <w:szCs w:val="24"/>
          <w:lang w:val="es-ES"/>
        </w:rPr>
        <w:t>el medio de impugnación promovido por el presidente del Comité Directivo era improcedente, porque carecía de facultades de representación para promover medios de impugnación a nombre del PRI,</w:t>
      </w:r>
      <w:r w:rsidRPr="008922FF">
        <w:rPr>
          <w:rFonts w:cs="Arial"/>
          <w:sz w:val="24"/>
          <w:szCs w:val="24"/>
          <w:lang w:val="es-ES"/>
        </w:rPr>
        <w:t xml:space="preserve"> c</w:t>
      </w:r>
      <w:r w:rsidRPr="000133E5">
        <w:rPr>
          <w:rFonts w:cs="Arial"/>
          <w:sz w:val="24"/>
          <w:szCs w:val="24"/>
          <w:lang w:val="es-ES"/>
        </w:rPr>
        <w:t>onfirmó la validez de la elección para renovar el ayuntamiento de San Felipe, Guanajuato, así como la entrega de la constancia de mayoría a la planilla postulada por el PVEM, al considerar que</w:t>
      </w:r>
      <w:r w:rsidRPr="000133E5">
        <w:rPr>
          <w:rFonts w:cs="Arial"/>
          <w:b/>
          <w:bCs/>
          <w:sz w:val="24"/>
          <w:szCs w:val="24"/>
          <w:lang w:val="es-ES"/>
        </w:rPr>
        <w:t xml:space="preserve"> </w:t>
      </w:r>
      <w:r w:rsidRPr="000133E5">
        <w:rPr>
          <w:rFonts w:cs="Arial"/>
          <w:sz w:val="24"/>
          <w:szCs w:val="24"/>
          <w:lang w:val="es-ES"/>
        </w:rPr>
        <w:t xml:space="preserve">no se </w:t>
      </w:r>
      <w:r w:rsidRPr="000133E5">
        <w:rPr>
          <w:rFonts w:cs="Arial"/>
          <w:sz w:val="24"/>
          <w:szCs w:val="24"/>
          <w:lang w:val="es-ES"/>
        </w:rPr>
        <w:lastRenderedPageBreak/>
        <w:t xml:space="preserve">actualizaban las causales de nulidad de votación recibida en diversas casillas, porque del análisis realizado, las pruebas aportadas por el impugnante no demostraban las irregularidades consistentes en entrega tardía de paquetes electorales, apertura tardía de casillas y error o dolo, entre otras, </w:t>
      </w:r>
      <w:r w:rsidRPr="008922FF">
        <w:rPr>
          <w:rFonts w:cs="Arial"/>
          <w:sz w:val="24"/>
          <w:szCs w:val="24"/>
          <w:lang w:val="es-ES"/>
        </w:rPr>
        <w:t xml:space="preserve">así como que no </w:t>
      </w:r>
      <w:r w:rsidRPr="000133E5">
        <w:rPr>
          <w:rFonts w:cs="Arial"/>
          <w:sz w:val="24"/>
          <w:szCs w:val="24"/>
          <w:lang w:val="es-ES"/>
        </w:rPr>
        <w:t>se acreditaron las infracciones de promoción personalizada, violencia política por razón de género entra otras, porque se declararon inexistentes los hechos denunciados y no se probó la existencia de violaciones al principio de imparcialidad por parte del Comité Municipal</w:t>
      </w:r>
      <w:r>
        <w:rPr>
          <w:rFonts w:cs="Arial"/>
          <w:sz w:val="24"/>
          <w:szCs w:val="24"/>
          <w:lang w:val="es-ES"/>
        </w:rPr>
        <w:t>.</w:t>
      </w:r>
    </w:p>
    <w:p w:rsidR="00F92130" w:rsidRDefault="00F92130" w:rsidP="00F92130">
      <w:pPr>
        <w:spacing w:line="360" w:lineRule="auto"/>
        <w:rPr>
          <w:rFonts w:cs="Arial"/>
          <w:sz w:val="24"/>
          <w:szCs w:val="24"/>
        </w:rPr>
      </w:pPr>
      <w:r>
        <w:rPr>
          <w:rFonts w:cs="Arial"/>
          <w:sz w:val="24"/>
          <w:szCs w:val="24"/>
        </w:rPr>
        <w:t xml:space="preserve">Ante esta Instancia, el </w:t>
      </w:r>
      <w:r w:rsidRPr="002E1418">
        <w:rPr>
          <w:rFonts w:cs="Arial"/>
          <w:sz w:val="24"/>
          <w:szCs w:val="24"/>
        </w:rPr>
        <w:t>presidente del Comité Directivo del PRI</w:t>
      </w:r>
      <w:r>
        <w:rPr>
          <w:rFonts w:cs="Arial"/>
          <w:sz w:val="24"/>
          <w:szCs w:val="24"/>
        </w:rPr>
        <w:t>, en principio</w:t>
      </w:r>
      <w:r w:rsidRPr="002E1418">
        <w:rPr>
          <w:rFonts w:cs="Arial"/>
          <w:sz w:val="24"/>
          <w:szCs w:val="24"/>
        </w:rPr>
        <w:t xml:space="preserve"> </w:t>
      </w:r>
      <w:r>
        <w:rPr>
          <w:rFonts w:cs="Arial"/>
          <w:sz w:val="24"/>
          <w:szCs w:val="24"/>
        </w:rPr>
        <w:t xml:space="preserve">argumenta que </w:t>
      </w:r>
      <w:r w:rsidRPr="002E1418">
        <w:rPr>
          <w:rFonts w:cs="Arial"/>
          <w:sz w:val="24"/>
          <w:szCs w:val="24"/>
        </w:rPr>
        <w:t>contrario a lo determinado por la responsable, en su calidad de presidente del Comité Directivo cuenta con facultades de representación para actuar en nombre del PRI y así promover medios de impugnación en su defensa.</w:t>
      </w:r>
    </w:p>
    <w:p w:rsidR="00F92130" w:rsidRDefault="00F92130" w:rsidP="00F92130">
      <w:pPr>
        <w:spacing w:line="360" w:lineRule="auto"/>
        <w:rPr>
          <w:rFonts w:cs="Arial"/>
          <w:sz w:val="24"/>
          <w:szCs w:val="24"/>
        </w:rPr>
      </w:pPr>
      <w:r>
        <w:rPr>
          <w:rFonts w:cs="Arial"/>
          <w:sz w:val="24"/>
          <w:szCs w:val="24"/>
        </w:rPr>
        <w:t xml:space="preserve">Por cuanto a la </w:t>
      </w:r>
      <w:r w:rsidRPr="002E1418">
        <w:rPr>
          <w:rFonts w:cs="Arial"/>
          <w:sz w:val="24"/>
          <w:szCs w:val="24"/>
        </w:rPr>
        <w:t xml:space="preserve">validez de la elección, así como </w:t>
      </w:r>
      <w:r>
        <w:rPr>
          <w:rFonts w:cs="Arial"/>
          <w:sz w:val="24"/>
          <w:szCs w:val="24"/>
        </w:rPr>
        <w:t xml:space="preserve">a </w:t>
      </w:r>
      <w:r w:rsidRPr="002E1418">
        <w:rPr>
          <w:rFonts w:cs="Arial"/>
          <w:sz w:val="24"/>
          <w:szCs w:val="24"/>
        </w:rPr>
        <w:t xml:space="preserve">la entrega de la constancia de mayoría, el PAN y su candidatura argumentan, esencialmente, </w:t>
      </w:r>
      <w:r>
        <w:rPr>
          <w:rFonts w:cs="Arial"/>
          <w:sz w:val="24"/>
          <w:szCs w:val="24"/>
        </w:rPr>
        <w:t xml:space="preserve">y en lo que es el fondo de la decisión que se adopta por la mayoría, </w:t>
      </w:r>
      <w:r w:rsidRPr="002E1418">
        <w:rPr>
          <w:rFonts w:cs="Arial"/>
          <w:sz w:val="24"/>
          <w:szCs w:val="24"/>
        </w:rPr>
        <w:t>que el Tribunal de Guanajuato</w:t>
      </w:r>
      <w:r>
        <w:rPr>
          <w:rFonts w:cs="Arial"/>
          <w:sz w:val="24"/>
          <w:szCs w:val="24"/>
        </w:rPr>
        <w:t xml:space="preserve"> </w:t>
      </w:r>
      <w:r w:rsidRPr="002E1418">
        <w:rPr>
          <w:rFonts w:cs="Arial"/>
          <w:sz w:val="24"/>
          <w:szCs w:val="24"/>
        </w:rPr>
        <w:t xml:space="preserve">analizó indebidamente las pruebas a través de las cuales se </w:t>
      </w:r>
      <w:r>
        <w:rPr>
          <w:rFonts w:cs="Arial"/>
          <w:sz w:val="24"/>
          <w:szCs w:val="24"/>
        </w:rPr>
        <w:t>demostró</w:t>
      </w:r>
      <w:r w:rsidRPr="002E1418">
        <w:rPr>
          <w:rFonts w:cs="Arial"/>
          <w:sz w:val="24"/>
          <w:szCs w:val="24"/>
        </w:rPr>
        <w:t xml:space="preserve"> que el candidato electo utilizó recursos del municipio, radio y televisión, humanos, imagen y colores, omitió analizar las pruebas relacionadas con el procedimiento sancionador promovido ante el INE, así como la sentencia de la Sala Superior, en la que se ordenó a dicho Instituto que emitiera un pronunciamiento, donde se tomara en cuenta que el entonces candidato del PVEM tuvo</w:t>
      </w:r>
      <w:r>
        <w:rPr>
          <w:rFonts w:cs="Arial"/>
          <w:sz w:val="24"/>
          <w:szCs w:val="24"/>
        </w:rPr>
        <w:t xml:space="preserve"> dos</w:t>
      </w:r>
      <w:r w:rsidRPr="002E1418">
        <w:rPr>
          <w:rFonts w:cs="Arial"/>
          <w:sz w:val="24"/>
          <w:szCs w:val="24"/>
        </w:rPr>
        <w:t xml:space="preserve"> entrevistas en una radio difusora, mientras que al resto de las candidaturas sólo se les otorgó</w:t>
      </w:r>
      <w:r>
        <w:rPr>
          <w:rFonts w:cs="Arial"/>
          <w:sz w:val="24"/>
          <w:szCs w:val="24"/>
        </w:rPr>
        <w:t xml:space="preserve"> una</w:t>
      </w:r>
      <w:r w:rsidRPr="002E1418">
        <w:rPr>
          <w:rFonts w:cs="Arial"/>
          <w:sz w:val="24"/>
          <w:szCs w:val="24"/>
        </w:rPr>
        <w:t xml:space="preserve"> entrevista, </w:t>
      </w:r>
      <w:r>
        <w:rPr>
          <w:rFonts w:cs="Arial"/>
          <w:sz w:val="24"/>
          <w:szCs w:val="24"/>
        </w:rPr>
        <w:t xml:space="preserve">que </w:t>
      </w:r>
      <w:r w:rsidRPr="002E1418">
        <w:rPr>
          <w:rFonts w:cs="Arial"/>
          <w:sz w:val="24"/>
          <w:szCs w:val="24"/>
        </w:rPr>
        <w:t>se tasaron de forma errónea las pruebas relacionadas con la compra de tiempos de radio y Tv, por parte entonces candidato del PVEM</w:t>
      </w:r>
      <w:r>
        <w:rPr>
          <w:rFonts w:cs="Arial"/>
          <w:sz w:val="24"/>
          <w:szCs w:val="24"/>
        </w:rPr>
        <w:t>.</w:t>
      </w:r>
    </w:p>
    <w:p w:rsidR="00F92130" w:rsidRDefault="00F92130" w:rsidP="00F92130">
      <w:pPr>
        <w:spacing w:line="360" w:lineRule="auto"/>
        <w:rPr>
          <w:rFonts w:cs="Arial"/>
          <w:sz w:val="24"/>
          <w:szCs w:val="24"/>
        </w:rPr>
      </w:pPr>
    </w:p>
    <w:p w:rsidR="00F92130" w:rsidRDefault="00F92130" w:rsidP="00F92130">
      <w:pPr>
        <w:spacing w:line="360" w:lineRule="auto"/>
        <w:rPr>
          <w:rFonts w:cs="Arial"/>
          <w:sz w:val="24"/>
          <w:szCs w:val="24"/>
        </w:rPr>
      </w:pPr>
      <w:r>
        <w:rPr>
          <w:rFonts w:cs="Arial"/>
          <w:sz w:val="24"/>
          <w:szCs w:val="24"/>
        </w:rPr>
        <w:t xml:space="preserve">En la sentencia de esta Sala se considera que el </w:t>
      </w:r>
      <w:r w:rsidRPr="005B0101">
        <w:rPr>
          <w:rFonts w:cs="Arial"/>
          <w:sz w:val="24"/>
          <w:szCs w:val="24"/>
        </w:rPr>
        <w:t>Tribunal local no se pronunció respecto de la prueba que</w:t>
      </w:r>
      <w:r>
        <w:rPr>
          <w:rFonts w:cs="Arial"/>
          <w:sz w:val="24"/>
          <w:szCs w:val="24"/>
        </w:rPr>
        <w:t xml:space="preserve"> se</w:t>
      </w:r>
      <w:r w:rsidRPr="005B0101">
        <w:rPr>
          <w:rFonts w:cs="Arial"/>
          <w:sz w:val="24"/>
          <w:szCs w:val="24"/>
        </w:rPr>
        <w:t xml:space="preserve"> presentó como superveniente, </w:t>
      </w:r>
      <w:r>
        <w:rPr>
          <w:rFonts w:cs="Arial"/>
          <w:sz w:val="24"/>
          <w:szCs w:val="24"/>
        </w:rPr>
        <w:t xml:space="preserve">refiriéndose </w:t>
      </w:r>
      <w:r w:rsidRPr="005B0101">
        <w:rPr>
          <w:rFonts w:cs="Arial"/>
          <w:sz w:val="24"/>
          <w:szCs w:val="24"/>
        </w:rPr>
        <w:t xml:space="preserve">a </w:t>
      </w:r>
      <w:r>
        <w:rPr>
          <w:rFonts w:cs="Arial"/>
          <w:sz w:val="24"/>
          <w:szCs w:val="24"/>
        </w:rPr>
        <w:t xml:space="preserve">la </w:t>
      </w:r>
      <w:r w:rsidRPr="005B0101">
        <w:rPr>
          <w:rFonts w:cs="Arial"/>
          <w:sz w:val="24"/>
          <w:szCs w:val="24"/>
        </w:rPr>
        <w:t>denuncia presentada ante el INE, relacionada con la presunta adquisición de tiempos de radio y Tv por parte del PVEM y su candidato a la presidencia municipal de San Felipe, Guanajuato.</w:t>
      </w:r>
    </w:p>
    <w:p w:rsidR="00F92130" w:rsidRPr="005B0101" w:rsidRDefault="00F92130" w:rsidP="00F92130">
      <w:pPr>
        <w:spacing w:line="360" w:lineRule="auto"/>
        <w:rPr>
          <w:rFonts w:cs="Arial"/>
          <w:sz w:val="24"/>
          <w:szCs w:val="24"/>
        </w:rPr>
      </w:pPr>
      <w:bookmarkStart w:id="216" w:name="_GoBack"/>
      <w:bookmarkEnd w:id="216"/>
    </w:p>
    <w:p w:rsidR="00F92130" w:rsidRPr="00AF0A43" w:rsidRDefault="00F92130" w:rsidP="00F92130">
      <w:pPr>
        <w:spacing w:line="360" w:lineRule="auto"/>
        <w:rPr>
          <w:rFonts w:cs="Arial"/>
          <w:sz w:val="24"/>
          <w:szCs w:val="24"/>
        </w:rPr>
      </w:pPr>
      <w:r w:rsidRPr="00AF0A43">
        <w:rPr>
          <w:rFonts w:cs="Arial"/>
          <w:sz w:val="24"/>
          <w:szCs w:val="24"/>
        </w:rPr>
        <w:t>Se sostiene que, si el impugnante allegó como pruebas supervenientes las constancias relacionadas con un procedimiento sancionador, y el Tribunal local no consideró desecharlas, éste se encontraba obligado a tomarlas como parte de su análisis de fondo, lo cual en el caso no aconteció.</w:t>
      </w:r>
    </w:p>
    <w:p w:rsidR="00F92130" w:rsidRPr="00AF0A43" w:rsidRDefault="00F92130" w:rsidP="00F92130">
      <w:pPr>
        <w:spacing w:line="360" w:lineRule="auto"/>
        <w:rPr>
          <w:rFonts w:eastAsia="Calibri" w:cs="Arial"/>
          <w:sz w:val="24"/>
          <w:szCs w:val="24"/>
        </w:rPr>
      </w:pPr>
      <w:r>
        <w:rPr>
          <w:rFonts w:eastAsia="Calibri" w:cs="Arial"/>
          <w:sz w:val="24"/>
          <w:szCs w:val="24"/>
        </w:rPr>
        <w:lastRenderedPageBreak/>
        <w:t xml:space="preserve">Desde mi perspectiva el agravio de omisión de valoración de las constancias que obran en autos es infundado. </w:t>
      </w:r>
    </w:p>
    <w:p w:rsidR="00F92130" w:rsidRPr="00AF0A43" w:rsidRDefault="00F92130" w:rsidP="00F92130">
      <w:pPr>
        <w:spacing w:line="360" w:lineRule="auto"/>
        <w:rPr>
          <w:rFonts w:eastAsia="Calibri" w:cs="Arial"/>
          <w:sz w:val="24"/>
          <w:szCs w:val="24"/>
        </w:rPr>
      </w:pPr>
    </w:p>
    <w:p w:rsidR="00F92130" w:rsidRPr="00AF0A43" w:rsidRDefault="00F92130" w:rsidP="00F92130">
      <w:pPr>
        <w:spacing w:line="360" w:lineRule="auto"/>
        <w:rPr>
          <w:rFonts w:eastAsia="Calibri" w:cs="Arial"/>
          <w:sz w:val="24"/>
          <w:szCs w:val="24"/>
        </w:rPr>
      </w:pPr>
      <w:r w:rsidRPr="00AF0A43">
        <w:rPr>
          <w:rFonts w:eastAsia="Calibri" w:cs="Arial"/>
          <w:sz w:val="24"/>
          <w:szCs w:val="24"/>
        </w:rPr>
        <w:t xml:space="preserve">La postura que guardó es que en la demanda </w:t>
      </w:r>
      <w:r>
        <w:rPr>
          <w:rFonts w:eastAsia="Calibri" w:cs="Arial"/>
          <w:sz w:val="24"/>
          <w:szCs w:val="24"/>
        </w:rPr>
        <w:t>se expresan</w:t>
      </w:r>
      <w:r w:rsidRPr="00AF0A43">
        <w:rPr>
          <w:rFonts w:eastAsia="Calibri" w:cs="Arial"/>
          <w:sz w:val="24"/>
          <w:szCs w:val="24"/>
        </w:rPr>
        <w:t xml:space="preserve"> agravios sobre la valoración de las pruebas </w:t>
      </w:r>
      <w:r>
        <w:rPr>
          <w:rFonts w:eastAsia="Calibri" w:cs="Arial"/>
          <w:sz w:val="24"/>
          <w:szCs w:val="24"/>
        </w:rPr>
        <w:t>incluso de las derivadas de procedimientos especiales sancionadores, como se puede apreciar del fallo reclamado;</w:t>
      </w:r>
      <w:r w:rsidRPr="00AF0A43">
        <w:rPr>
          <w:rFonts w:eastAsia="Calibri" w:cs="Arial"/>
          <w:sz w:val="24"/>
          <w:szCs w:val="24"/>
        </w:rPr>
        <w:t xml:space="preserve"> </w:t>
      </w:r>
      <w:r>
        <w:rPr>
          <w:rFonts w:eastAsia="Calibri" w:cs="Arial"/>
          <w:sz w:val="24"/>
          <w:szCs w:val="24"/>
        </w:rPr>
        <w:t xml:space="preserve">en consecuencia, considero que </w:t>
      </w:r>
      <w:r w:rsidRPr="00AF0A43">
        <w:rPr>
          <w:rFonts w:eastAsia="Calibri" w:cs="Arial"/>
          <w:sz w:val="24"/>
          <w:szCs w:val="24"/>
        </w:rPr>
        <w:t>es</w:t>
      </w:r>
      <w:r>
        <w:rPr>
          <w:rFonts w:eastAsia="Calibri" w:cs="Arial"/>
          <w:sz w:val="24"/>
          <w:szCs w:val="24"/>
        </w:rPr>
        <w:t>t</w:t>
      </w:r>
      <w:r w:rsidRPr="00AF0A43">
        <w:rPr>
          <w:rFonts w:eastAsia="Calibri" w:cs="Arial"/>
          <w:sz w:val="24"/>
          <w:szCs w:val="24"/>
        </w:rPr>
        <w:t>os deben contestarse frontalmente</w:t>
      </w:r>
      <w:r>
        <w:rPr>
          <w:rFonts w:eastAsia="Calibri" w:cs="Arial"/>
          <w:sz w:val="24"/>
          <w:szCs w:val="24"/>
        </w:rPr>
        <w:t xml:space="preserve"> en la decisión que nos corresponde emitir</w:t>
      </w:r>
      <w:r w:rsidRPr="00AF0A43">
        <w:rPr>
          <w:rFonts w:eastAsia="Calibri" w:cs="Arial"/>
          <w:sz w:val="24"/>
          <w:szCs w:val="24"/>
        </w:rPr>
        <w:t>.</w:t>
      </w:r>
    </w:p>
    <w:p w:rsidR="00F92130" w:rsidRPr="00AF0A43" w:rsidRDefault="00F92130" w:rsidP="00F92130">
      <w:pPr>
        <w:spacing w:line="360" w:lineRule="auto"/>
        <w:rPr>
          <w:rFonts w:eastAsia="Calibri" w:cs="Arial"/>
          <w:sz w:val="24"/>
          <w:szCs w:val="24"/>
        </w:rPr>
      </w:pPr>
    </w:p>
    <w:p w:rsidR="00F92130" w:rsidRPr="00AF0A43" w:rsidRDefault="00F92130" w:rsidP="00F92130">
      <w:pPr>
        <w:spacing w:line="360" w:lineRule="auto"/>
        <w:rPr>
          <w:rFonts w:eastAsia="Calibri" w:cs="Arial"/>
          <w:sz w:val="24"/>
          <w:szCs w:val="24"/>
        </w:rPr>
      </w:pPr>
      <w:r>
        <w:rPr>
          <w:rFonts w:eastAsia="Calibri" w:cs="Arial"/>
          <w:sz w:val="24"/>
          <w:szCs w:val="24"/>
        </w:rPr>
        <w:t xml:space="preserve">De ahí que me separe del fallo </w:t>
      </w:r>
      <w:r w:rsidRPr="00AF0A43">
        <w:rPr>
          <w:rFonts w:eastAsia="Calibri" w:cs="Arial"/>
          <w:sz w:val="24"/>
          <w:szCs w:val="24"/>
        </w:rPr>
        <w:t xml:space="preserve">aprobado por la mayoría, </w:t>
      </w:r>
      <w:r>
        <w:rPr>
          <w:rFonts w:eastAsia="Calibri" w:cs="Arial"/>
          <w:sz w:val="24"/>
          <w:szCs w:val="24"/>
        </w:rPr>
        <w:t xml:space="preserve">en el que </w:t>
      </w:r>
      <w:r w:rsidRPr="00AF0A43">
        <w:rPr>
          <w:rFonts w:eastAsia="Calibri" w:cs="Arial"/>
          <w:sz w:val="24"/>
          <w:szCs w:val="24"/>
        </w:rPr>
        <w:t xml:space="preserve">se señala que deberá retomarse por parte del Tribunal local una valoración probatoria con el fin de analizar las pruebas relacionadas con </w:t>
      </w:r>
      <w:r>
        <w:rPr>
          <w:rFonts w:eastAsia="Calibri" w:cs="Arial"/>
          <w:sz w:val="24"/>
          <w:szCs w:val="24"/>
        </w:rPr>
        <w:t>un</w:t>
      </w:r>
      <w:r w:rsidRPr="00AF0A43">
        <w:rPr>
          <w:rFonts w:eastAsia="Calibri" w:cs="Arial"/>
          <w:sz w:val="24"/>
          <w:szCs w:val="24"/>
        </w:rPr>
        <w:t xml:space="preserve"> procedimiento sancionador.</w:t>
      </w:r>
    </w:p>
    <w:p w:rsidR="00F92130" w:rsidRPr="00AF0A43" w:rsidRDefault="00F92130" w:rsidP="00F92130">
      <w:pPr>
        <w:spacing w:line="360" w:lineRule="auto"/>
        <w:rPr>
          <w:rFonts w:eastAsia="Calibri" w:cs="Arial"/>
          <w:sz w:val="24"/>
          <w:szCs w:val="24"/>
        </w:rPr>
      </w:pPr>
    </w:p>
    <w:p w:rsidR="00F92130" w:rsidRPr="00F92130" w:rsidRDefault="00F92130" w:rsidP="00F92130">
      <w:pPr>
        <w:spacing w:line="360" w:lineRule="auto"/>
        <w:rPr>
          <w:rFonts w:eastAsia="Calibri" w:cs="Arial"/>
          <w:sz w:val="24"/>
          <w:szCs w:val="24"/>
        </w:rPr>
      </w:pPr>
      <w:r w:rsidRPr="00AF0A43">
        <w:rPr>
          <w:rFonts w:eastAsia="Calibri" w:cs="Arial"/>
          <w:sz w:val="24"/>
          <w:szCs w:val="24"/>
        </w:rPr>
        <w:t>El Tribunal</w:t>
      </w:r>
      <w:r>
        <w:rPr>
          <w:rFonts w:eastAsia="Calibri" w:cs="Arial"/>
          <w:sz w:val="24"/>
          <w:szCs w:val="24"/>
        </w:rPr>
        <w:t xml:space="preserve"> responsable</w:t>
      </w:r>
      <w:r w:rsidRPr="00AF0A43">
        <w:rPr>
          <w:rFonts w:eastAsia="Calibri" w:cs="Arial"/>
          <w:sz w:val="24"/>
          <w:szCs w:val="24"/>
        </w:rPr>
        <w:t xml:space="preserve">, desde mi punto de vista no incurre en una omisión de atender algún procedimiento y lo que en ese procedimiento obra, de hecho, advierte las pruebas que lo conforman, y concluye que no demostraban, de frente a lo alegado por el actor, la violación a principios constitucionales. </w:t>
      </w:r>
      <w:r>
        <w:rPr>
          <w:rFonts w:eastAsia="Calibri" w:cs="Arial"/>
          <w:sz w:val="24"/>
          <w:szCs w:val="24"/>
        </w:rPr>
        <w:t xml:space="preserve">De ahí que desde la perspectiva que guardo, reitero que en mi convicción </w:t>
      </w:r>
      <w:r w:rsidRPr="00AF0A43">
        <w:rPr>
          <w:rFonts w:eastAsia="Calibri" w:cs="Arial"/>
          <w:sz w:val="24"/>
          <w:szCs w:val="24"/>
        </w:rPr>
        <w:t>procedía exam</w:t>
      </w:r>
      <w:r>
        <w:rPr>
          <w:rFonts w:eastAsia="Calibri" w:cs="Arial"/>
          <w:sz w:val="24"/>
          <w:szCs w:val="24"/>
        </w:rPr>
        <w:t>inar</w:t>
      </w:r>
      <w:r w:rsidRPr="00AF0A43">
        <w:rPr>
          <w:rFonts w:eastAsia="Calibri" w:cs="Arial"/>
          <w:sz w:val="24"/>
          <w:szCs w:val="24"/>
        </w:rPr>
        <w:t xml:space="preserve"> </w:t>
      </w:r>
      <w:r w:rsidRPr="00F92130">
        <w:rPr>
          <w:rFonts w:eastAsia="Calibri" w:cs="Arial"/>
          <w:sz w:val="24"/>
          <w:szCs w:val="24"/>
        </w:rPr>
        <w:t xml:space="preserve">la valoración realizada. </w:t>
      </w:r>
    </w:p>
    <w:p w:rsidR="00F92130" w:rsidRPr="00F92130" w:rsidRDefault="00F92130" w:rsidP="00F92130">
      <w:pPr>
        <w:spacing w:line="360" w:lineRule="auto"/>
        <w:rPr>
          <w:rFonts w:eastAsia="Calibri" w:cs="Arial"/>
          <w:sz w:val="24"/>
          <w:szCs w:val="24"/>
        </w:rPr>
      </w:pPr>
    </w:p>
    <w:p w:rsidR="00F92130" w:rsidRPr="00F92130" w:rsidRDefault="00F92130" w:rsidP="00F92130">
      <w:pPr>
        <w:rPr>
          <w:rFonts w:cs="Arial"/>
          <w:sz w:val="24"/>
          <w:szCs w:val="24"/>
        </w:rPr>
      </w:pPr>
      <w:r w:rsidRPr="00F92130">
        <w:rPr>
          <w:rFonts w:eastAsia="Calibri" w:cs="Arial"/>
          <w:bCs/>
          <w:i/>
          <w:iCs/>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rsidR="00B91F5D" w:rsidRDefault="00B91F5D"/>
    <w:sectPr w:rsidR="00B91F5D" w:rsidSect="00B17DDF">
      <w:headerReference w:type="even" r:id="rId17"/>
      <w:headerReference w:type="default" r:id="rId18"/>
      <w:footerReference w:type="even" r:id="rId19"/>
      <w:footerReference w:type="default" r:id="rId20"/>
      <w:headerReference w:type="first" r:id="rId21"/>
      <w:pgSz w:w="12242" w:h="19301" w:code="119"/>
      <w:pgMar w:top="1985" w:right="1134" w:bottom="1985"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4F" w:rsidRDefault="0088144F" w:rsidP="00880110">
      <w:r>
        <w:separator/>
      </w:r>
    </w:p>
  </w:endnote>
  <w:endnote w:type="continuationSeparator" w:id="0">
    <w:p w:rsidR="0088144F" w:rsidRDefault="0088144F" w:rsidP="0088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A62" w:rsidRDefault="0088144F">
    <w:pPr>
      <w:pStyle w:val="Piedepgina"/>
    </w:pPr>
  </w:p>
  <w:p w:rsidR="00984A62" w:rsidRDefault="008814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A62" w:rsidRDefault="0088144F">
    <w:pPr>
      <w:pStyle w:val="Piedepgina"/>
      <w:jc w:val="right"/>
    </w:pPr>
  </w:p>
  <w:p w:rsidR="00984A62" w:rsidRDefault="008814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4F" w:rsidRDefault="0088144F" w:rsidP="00880110">
      <w:r>
        <w:separator/>
      </w:r>
    </w:p>
  </w:footnote>
  <w:footnote w:type="continuationSeparator" w:id="0">
    <w:p w:rsidR="0088144F" w:rsidRDefault="0088144F" w:rsidP="00880110">
      <w:r>
        <w:continuationSeparator/>
      </w:r>
    </w:p>
  </w:footnote>
  <w:footnote w:id="1">
    <w:p w:rsidR="00880110" w:rsidRPr="00880110" w:rsidRDefault="00880110" w:rsidP="00880110">
      <w:pPr>
        <w:rPr>
          <w:rFonts w:cs="Arial"/>
          <w:szCs w:val="16"/>
          <w:shd w:val="clear" w:color="auto" w:fill="FFFFFF"/>
        </w:rPr>
      </w:pPr>
      <w:r w:rsidRPr="00880110">
        <w:rPr>
          <w:rStyle w:val="Refdenotaalpie"/>
          <w:rFonts w:cs="Arial"/>
          <w:szCs w:val="16"/>
          <w:lang w:val="es-ES"/>
        </w:rPr>
        <w:footnoteRef/>
      </w:r>
      <w:r w:rsidRPr="00880110">
        <w:rPr>
          <w:rFonts w:cs="Arial"/>
          <w:bCs/>
          <w:szCs w:val="16"/>
        </w:rPr>
        <w:t xml:space="preserve"> Lo anterior de conformidad los artículos </w:t>
      </w:r>
      <w:r w:rsidRPr="00880110">
        <w:rPr>
          <w:rFonts w:cs="Arial"/>
          <w:szCs w:val="16"/>
        </w:rPr>
        <w:t>166, fracción III, inciso c), y 176, fracciones III y IV de la Ley Orgánica del Poder Judicial de la Federación, así como 83 párrafo 1, inciso b) y 87, párrafo 1, inciso b), de la Ley de Medios de Impugnación.</w:t>
      </w:r>
    </w:p>
  </w:footnote>
  <w:footnote w:id="2">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Lo anterior, de conformidad con los numerales 180, fracción XI, de la Ley Orgánica del Poder Judicial de la Federación; 31 de la Ley de Medios, y 79 del Reglamento Interno del Tribunal Electoral del Poder Judicial de la Federación.</w:t>
      </w:r>
    </w:p>
  </w:footnote>
  <w:footnote w:id="3">
    <w:p w:rsidR="00880110" w:rsidRPr="00880110" w:rsidRDefault="00880110" w:rsidP="00880110">
      <w:pPr>
        <w:rPr>
          <w:rFonts w:cs="Arial"/>
          <w:szCs w:val="16"/>
          <w:lang w:val="es-ES_tradnl"/>
        </w:rPr>
      </w:pPr>
      <w:r w:rsidRPr="00880110">
        <w:rPr>
          <w:rStyle w:val="Refdenotaalpie"/>
          <w:rFonts w:cs="Arial"/>
          <w:szCs w:val="16"/>
        </w:rPr>
        <w:footnoteRef/>
      </w:r>
      <w:r w:rsidRPr="00880110">
        <w:rPr>
          <w:rFonts w:cs="Arial"/>
          <w:szCs w:val="16"/>
        </w:rPr>
        <w:t xml:space="preserve"> </w:t>
      </w:r>
      <w:r w:rsidRPr="00880110">
        <w:rPr>
          <w:rFonts w:cs="Arial"/>
          <w:bCs/>
          <w:szCs w:val="16"/>
        </w:rPr>
        <w:t xml:space="preserve">Hechos relevantes </w:t>
      </w:r>
      <w:r w:rsidRPr="00880110">
        <w:rPr>
          <w:rFonts w:cs="Arial"/>
          <w:szCs w:val="16"/>
        </w:rPr>
        <w:t>que se advierten de las constancias de autos y afirmaciones realizadas por las partes.</w:t>
      </w:r>
    </w:p>
  </w:footnote>
  <w:footnote w:id="4">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La denuncia se presentó originalmente ante el Consejo Municipal Electoral del Municipio de San Felipe, Guanajuato, quien se declaró incompetente para conocer de los hechos denunciados y remitió la denuncia al INE.</w:t>
      </w:r>
    </w:p>
  </w:footnote>
  <w:footnote w:id="5">
    <w:p w:rsidR="00880110" w:rsidRPr="00880110" w:rsidRDefault="00880110" w:rsidP="00880110">
      <w:pPr>
        <w:pStyle w:val="Textonotapie"/>
        <w:rPr>
          <w:rFonts w:ascii="Arial" w:hAnsi="Arial" w:cs="Arial"/>
          <w:sz w:val="16"/>
          <w:szCs w:val="16"/>
          <w:lang w:val="es-ES"/>
        </w:rPr>
      </w:pPr>
      <w:r w:rsidRPr="00880110">
        <w:rPr>
          <w:rStyle w:val="Refdenotaalpie"/>
          <w:rFonts w:ascii="Arial" w:hAnsi="Arial" w:cs="Arial"/>
          <w:sz w:val="16"/>
          <w:szCs w:val="16"/>
        </w:rPr>
        <w:footnoteRef/>
      </w:r>
      <w:r w:rsidRPr="00880110">
        <w:rPr>
          <w:rFonts w:ascii="Arial" w:hAnsi="Arial" w:cs="Arial"/>
          <w:sz w:val="16"/>
          <w:szCs w:val="16"/>
        </w:rPr>
        <w:t xml:space="preserve"> El 13 de julio, el impugnante presentó juicio ciudadano. El 19 de julio, se recibió en esta Sala Monterrey, y el Magistrado Presidente ordenó integrar el expediente y, por turno, lo remitió a la ponencia a su cargo. En su oportunidad, lo radicó, admitió y, al no existir trámite pendiente por realizar, cerró instrucción.</w:t>
      </w:r>
    </w:p>
  </w:footnote>
  <w:footnote w:id="6">
    <w:p w:rsidR="00880110" w:rsidRPr="00880110" w:rsidRDefault="00880110" w:rsidP="00880110">
      <w:pPr>
        <w:pStyle w:val="Default"/>
        <w:rPr>
          <w:szCs w:val="16"/>
        </w:rPr>
      </w:pPr>
      <w:r w:rsidRPr="00880110">
        <w:rPr>
          <w:rStyle w:val="Refdenotaalpie"/>
          <w:rFonts w:cs="Arial"/>
          <w:szCs w:val="16"/>
        </w:rPr>
        <w:footnoteRef/>
      </w:r>
      <w:r w:rsidRPr="00880110">
        <w:rPr>
          <w:szCs w:val="16"/>
        </w:rPr>
        <w:t xml:space="preserve"> Artículo 420. En todo caso, los medios de impugnación se entenderán como notoriamente improcedentes, y por tanto serán desechados de plano, cuando:</w:t>
      </w:r>
    </w:p>
    <w:p w:rsidR="00880110" w:rsidRPr="00880110" w:rsidRDefault="00880110" w:rsidP="00880110">
      <w:pPr>
        <w:pStyle w:val="Default"/>
        <w:rPr>
          <w:szCs w:val="16"/>
        </w:rPr>
      </w:pPr>
      <w:r w:rsidRPr="00880110">
        <w:rPr>
          <w:szCs w:val="16"/>
        </w:rPr>
        <w:t>I. No sean firmados por el promovente;</w:t>
      </w:r>
    </w:p>
    <w:p w:rsidR="00880110" w:rsidRPr="00880110" w:rsidRDefault="00880110" w:rsidP="00880110">
      <w:pPr>
        <w:pStyle w:val="Default"/>
        <w:rPr>
          <w:szCs w:val="16"/>
        </w:rPr>
      </w:pPr>
      <w:r w:rsidRPr="00880110">
        <w:rPr>
          <w:szCs w:val="16"/>
        </w:rPr>
        <w:t>II. Se hayan consentido expresa o tácitamente el acto o resolución impugnados. Se entiende que hubo consentimiento tácito cuando el medio de impugnación se presente ante el órgano electoral competente fuera de los plazos que para tal efecto señala esta Ley;</w:t>
      </w:r>
    </w:p>
    <w:p w:rsidR="00880110" w:rsidRPr="00880110" w:rsidRDefault="00880110" w:rsidP="00880110">
      <w:pPr>
        <w:pStyle w:val="Default"/>
        <w:rPr>
          <w:szCs w:val="16"/>
        </w:rPr>
      </w:pPr>
      <w:r w:rsidRPr="00880110">
        <w:rPr>
          <w:szCs w:val="16"/>
        </w:rPr>
        <w:t>III. El acto o resolución impugnados no afecten el interés jurídico del promovente;</w:t>
      </w:r>
    </w:p>
    <w:p w:rsidR="00880110" w:rsidRPr="00880110" w:rsidRDefault="00880110" w:rsidP="00880110">
      <w:pPr>
        <w:pStyle w:val="Default"/>
        <w:rPr>
          <w:szCs w:val="16"/>
        </w:rPr>
      </w:pPr>
      <w:r w:rsidRPr="00880110">
        <w:rPr>
          <w:szCs w:val="16"/>
        </w:rPr>
        <w:t>IV. Se hayan consumado de manera irreparable los efectos del acto o resolución impugnados. Tratándose de medios de impugnación interpuestos en contra de los actos o resoluciones dictados durante el desarrollo de un proceso electoral, sólo se considerarán irreparablemente consumados los efectos de dichos actos o resoluciones, cuando se advierta que al resolverse las violaciones alegadas, se afecte un acto o resolución sobrevenidos que no tengan ninguna relación de causalidad con el acto o resolución impugnados, de manera que la ilegalidad de éstos no traiga aparejada la irregularidad de aquéllos;</w:t>
      </w:r>
    </w:p>
    <w:p w:rsidR="00880110" w:rsidRPr="00880110" w:rsidRDefault="00880110" w:rsidP="00880110">
      <w:pPr>
        <w:pStyle w:val="Default"/>
        <w:rPr>
          <w:szCs w:val="16"/>
        </w:rPr>
      </w:pPr>
      <w:r w:rsidRPr="00880110">
        <w:rPr>
          <w:szCs w:val="16"/>
        </w:rPr>
        <w:t>V. Se acredite que el promovente carece de la personería con que se ostentó;</w:t>
      </w:r>
    </w:p>
    <w:p w:rsidR="00880110" w:rsidRPr="00880110" w:rsidRDefault="00880110" w:rsidP="00880110">
      <w:pPr>
        <w:pStyle w:val="Default"/>
        <w:rPr>
          <w:szCs w:val="16"/>
        </w:rPr>
      </w:pPr>
      <w:r w:rsidRPr="00880110">
        <w:rPr>
          <w:szCs w:val="16"/>
        </w:rPr>
        <w:t>[…]</w:t>
      </w:r>
    </w:p>
    <w:p w:rsidR="00880110" w:rsidRPr="00880110" w:rsidRDefault="00880110" w:rsidP="00880110">
      <w:pPr>
        <w:pStyle w:val="Textonotapie"/>
        <w:rPr>
          <w:rFonts w:ascii="Arial" w:hAnsi="Arial" w:cs="Arial"/>
          <w:sz w:val="16"/>
          <w:szCs w:val="16"/>
        </w:rPr>
      </w:pPr>
    </w:p>
  </w:footnote>
  <w:footnote w:id="7">
    <w:p w:rsidR="00880110" w:rsidRPr="00880110" w:rsidRDefault="00880110" w:rsidP="00880110">
      <w:pPr>
        <w:pStyle w:val="Textonotapie"/>
        <w:rPr>
          <w:rFonts w:ascii="Arial" w:hAnsi="Arial" w:cs="Arial"/>
          <w:bCs/>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w:t>
      </w:r>
      <w:r w:rsidRPr="00880110">
        <w:rPr>
          <w:rFonts w:ascii="Arial" w:hAnsi="Arial" w:cs="Arial"/>
          <w:bCs/>
          <w:sz w:val="16"/>
          <w:szCs w:val="16"/>
        </w:rPr>
        <w:t>Artículo 396. El recurso de revisión podrá ser promovido por los partidos políticos y, en su caso, por los candidatos independientes con interés jurídico, y tendrá como efecto la anulación, revocación, modificación o confirmación de la resolución impugnada y procede en los siguientes casos: […]</w:t>
      </w:r>
    </w:p>
  </w:footnote>
  <w:footnote w:id="8">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Artículo 89. La persona titular de la Presidencia del Comité Ejecutivo Nacional</w:t>
      </w:r>
    </w:p>
    <w:p w:rsidR="00880110" w:rsidRPr="00880110" w:rsidRDefault="00880110" w:rsidP="00880110">
      <w:pPr>
        <w:pStyle w:val="Textonotapie"/>
        <w:rPr>
          <w:rFonts w:ascii="Arial" w:hAnsi="Arial" w:cs="Arial"/>
          <w:sz w:val="16"/>
          <w:szCs w:val="16"/>
        </w:rPr>
      </w:pPr>
      <w:r w:rsidRPr="00880110">
        <w:rPr>
          <w:rFonts w:ascii="Arial" w:hAnsi="Arial" w:cs="Arial"/>
          <w:sz w:val="16"/>
          <w:szCs w:val="16"/>
        </w:rPr>
        <w:t>tendrá las facultades siguientes:</w:t>
      </w:r>
    </w:p>
    <w:p w:rsidR="00880110" w:rsidRPr="00880110" w:rsidRDefault="00880110" w:rsidP="00880110">
      <w:pPr>
        <w:pStyle w:val="Textonotapie"/>
        <w:rPr>
          <w:rFonts w:ascii="Arial" w:hAnsi="Arial" w:cs="Arial"/>
          <w:sz w:val="16"/>
          <w:szCs w:val="16"/>
        </w:rPr>
      </w:pPr>
      <w:r w:rsidRPr="00880110">
        <w:rPr>
          <w:rFonts w:ascii="Arial" w:hAnsi="Arial" w:cs="Arial"/>
          <w:sz w:val="16"/>
          <w:szCs w:val="16"/>
        </w:rPr>
        <w:t>[…]</w:t>
      </w:r>
    </w:p>
    <w:p w:rsidR="00880110" w:rsidRPr="00880110" w:rsidRDefault="00880110" w:rsidP="00880110">
      <w:pPr>
        <w:pStyle w:val="Textonotapie"/>
        <w:rPr>
          <w:rFonts w:ascii="Arial" w:hAnsi="Arial" w:cs="Arial"/>
          <w:sz w:val="16"/>
          <w:szCs w:val="16"/>
        </w:rPr>
      </w:pPr>
      <w:r w:rsidRPr="00880110">
        <w:rPr>
          <w:rFonts w:ascii="Arial" w:hAnsi="Arial" w:cs="Arial"/>
          <w:sz w:val="16"/>
          <w:szCs w:val="16"/>
        </w:rPr>
        <w:t>VIII. Designar a las comisionadas y los comisionados, así como a representantes del Partido ante los organismos políticos electorales que correspondan y autorizar la realización de esas designaciones a los Comités Directivos de las entidades federativas, cuando proceda;</w:t>
      </w:r>
    </w:p>
  </w:footnote>
  <w:footnote w:id="9">
    <w:p w:rsidR="00880110" w:rsidRPr="00880110" w:rsidRDefault="00880110" w:rsidP="00880110">
      <w:pPr>
        <w:pStyle w:val="Textonotapie"/>
        <w:rPr>
          <w:rFonts w:ascii="Arial" w:hAnsi="Arial" w:cs="Arial"/>
          <w:bCs/>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w:t>
      </w:r>
      <w:r w:rsidRPr="00880110">
        <w:rPr>
          <w:rFonts w:ascii="Arial" w:hAnsi="Arial" w:cs="Arial"/>
          <w:bCs/>
          <w:sz w:val="16"/>
          <w:szCs w:val="16"/>
        </w:rPr>
        <w:t>Artículo 136. Los Comités Directivos de las entidades federativas tienen a su cargo la representación y dirección política del Partido en la entidad correspondiente y desarrollarán las tareas de coordinación y vinculación para la operación política de los programas locales que apruebe el Consejo Político de la entidad federativa, así como las acciones que acuerde el Comité Ejecutivo Nacional</w:t>
      </w:r>
      <w:r w:rsidRPr="00880110">
        <w:rPr>
          <w:rFonts w:ascii="Arial" w:hAnsi="Arial" w:cs="Arial"/>
          <w:sz w:val="16"/>
          <w:szCs w:val="16"/>
        </w:rPr>
        <w:t>.</w:t>
      </w:r>
    </w:p>
  </w:footnote>
  <w:footnote w:id="10">
    <w:p w:rsidR="00880110" w:rsidRPr="00880110" w:rsidRDefault="00880110" w:rsidP="00880110">
      <w:pPr>
        <w:pStyle w:val="Textonotapie"/>
        <w:rPr>
          <w:rFonts w:ascii="Arial" w:hAnsi="Arial" w:cs="Arial"/>
          <w:bCs/>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w:t>
      </w:r>
      <w:r w:rsidRPr="00880110">
        <w:rPr>
          <w:rFonts w:ascii="Arial" w:hAnsi="Arial" w:cs="Arial"/>
          <w:bCs/>
          <w:sz w:val="16"/>
          <w:szCs w:val="16"/>
        </w:rPr>
        <w:t>Artículo 137. Los Comités Directivos de las entidades federativas estarán integrados por:</w:t>
      </w:r>
    </w:p>
    <w:p w:rsidR="00880110" w:rsidRPr="00880110" w:rsidRDefault="00880110" w:rsidP="00880110">
      <w:pPr>
        <w:pStyle w:val="Textonotapie"/>
        <w:rPr>
          <w:rFonts w:ascii="Arial" w:hAnsi="Arial" w:cs="Arial"/>
          <w:bCs/>
          <w:sz w:val="16"/>
          <w:szCs w:val="16"/>
        </w:rPr>
      </w:pPr>
      <w:r w:rsidRPr="00880110">
        <w:rPr>
          <w:rFonts w:ascii="Arial" w:hAnsi="Arial" w:cs="Arial"/>
          <w:bCs/>
          <w:sz w:val="16"/>
          <w:szCs w:val="16"/>
        </w:rPr>
        <w:t>I. Una Presidencia;</w:t>
      </w:r>
    </w:p>
    <w:p w:rsidR="00880110" w:rsidRPr="00880110" w:rsidRDefault="00880110" w:rsidP="00880110">
      <w:pPr>
        <w:pStyle w:val="Textonotapie"/>
        <w:rPr>
          <w:rFonts w:ascii="Arial" w:hAnsi="Arial" w:cs="Arial"/>
          <w:sz w:val="16"/>
          <w:szCs w:val="16"/>
        </w:rPr>
      </w:pPr>
      <w:r w:rsidRPr="00880110">
        <w:rPr>
          <w:rFonts w:ascii="Arial" w:hAnsi="Arial" w:cs="Arial"/>
          <w:bCs/>
          <w:sz w:val="16"/>
          <w:szCs w:val="16"/>
        </w:rPr>
        <w:t xml:space="preserve">II. Una Secretaría General; </w:t>
      </w:r>
      <w:r w:rsidRPr="00880110">
        <w:rPr>
          <w:rFonts w:ascii="Arial" w:hAnsi="Arial" w:cs="Arial"/>
          <w:sz w:val="16"/>
          <w:szCs w:val="16"/>
        </w:rPr>
        <w:t>[…]</w:t>
      </w:r>
    </w:p>
    <w:p w:rsidR="00880110" w:rsidRPr="00880110" w:rsidRDefault="00880110" w:rsidP="00880110">
      <w:pPr>
        <w:pStyle w:val="Textonotapie"/>
        <w:rPr>
          <w:rFonts w:ascii="Arial" w:hAnsi="Arial" w:cs="Arial"/>
          <w:sz w:val="16"/>
          <w:szCs w:val="16"/>
        </w:rPr>
      </w:pPr>
      <w:r w:rsidRPr="00880110">
        <w:rPr>
          <w:rFonts w:ascii="Arial" w:hAnsi="Arial" w:cs="Arial"/>
          <w:bCs/>
          <w:sz w:val="16"/>
          <w:szCs w:val="16"/>
        </w:rPr>
        <w:t>Artículo 81.</w:t>
      </w:r>
      <w:r w:rsidRPr="00880110">
        <w:rPr>
          <w:rFonts w:ascii="Arial" w:hAnsi="Arial" w:cs="Arial"/>
          <w:sz w:val="16"/>
          <w:szCs w:val="16"/>
        </w:rPr>
        <w:t xml:space="preserve"> La o el Presidente/a del Comité Directivo Estatal o de la Ciudad de México distribuirá entre los miembros del mismo las atribuciones y deberes atendiendo a la naturaleza de los cargos que ocupan; para ello, serán aplicables en lo conducente las disposiciones relativas a las y los integrantes del Comité Directivo Nacional, las que tendrán las y los integrantes de los Comités Directivos Estatales y de la Ciudad de México, un sentido fundamental de conducción, programación y control de su actividad política de dirigencia.</w:t>
      </w:r>
    </w:p>
  </w:footnote>
  <w:footnote w:id="11">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Artículo 63. Las dirigencias del Partido tienen, además, las obligaciones siguientes:</w:t>
      </w:r>
    </w:p>
    <w:p w:rsidR="00880110" w:rsidRPr="00880110" w:rsidRDefault="00880110" w:rsidP="00880110">
      <w:pPr>
        <w:pStyle w:val="Textonotapie"/>
        <w:rPr>
          <w:rFonts w:ascii="Arial" w:hAnsi="Arial" w:cs="Arial"/>
          <w:sz w:val="16"/>
          <w:szCs w:val="16"/>
        </w:rPr>
      </w:pPr>
      <w:r w:rsidRPr="00880110">
        <w:rPr>
          <w:rFonts w:ascii="Arial" w:hAnsi="Arial" w:cs="Arial"/>
          <w:sz w:val="16"/>
          <w:szCs w:val="16"/>
        </w:rPr>
        <w:t>[…]</w:t>
      </w:r>
    </w:p>
    <w:p w:rsidR="00880110" w:rsidRPr="00880110" w:rsidRDefault="00880110" w:rsidP="00880110">
      <w:pPr>
        <w:pStyle w:val="Textonotapie"/>
        <w:rPr>
          <w:rFonts w:ascii="Arial" w:hAnsi="Arial" w:cs="Arial"/>
          <w:sz w:val="16"/>
          <w:szCs w:val="16"/>
        </w:rPr>
      </w:pPr>
      <w:r w:rsidRPr="00880110">
        <w:rPr>
          <w:rFonts w:ascii="Arial" w:hAnsi="Arial" w:cs="Arial"/>
          <w:sz w:val="16"/>
          <w:szCs w:val="16"/>
        </w:rPr>
        <w:t>V. Defender jurídica y políticamente todos y cada uno de los triunfos electorales del Partido;</w:t>
      </w:r>
    </w:p>
    <w:p w:rsidR="00880110" w:rsidRPr="00880110" w:rsidRDefault="00880110" w:rsidP="00880110">
      <w:pPr>
        <w:pStyle w:val="Textonotapie"/>
        <w:rPr>
          <w:rFonts w:ascii="Arial" w:hAnsi="Arial" w:cs="Arial"/>
          <w:sz w:val="16"/>
          <w:szCs w:val="16"/>
        </w:rPr>
      </w:pPr>
      <w:r w:rsidRPr="00880110">
        <w:rPr>
          <w:rFonts w:ascii="Arial" w:hAnsi="Arial" w:cs="Arial"/>
          <w:sz w:val="16"/>
          <w:szCs w:val="16"/>
        </w:rPr>
        <w:t>[…]</w:t>
      </w:r>
    </w:p>
  </w:footnote>
  <w:footnote w:id="12">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Artículo 17. Ninguna persona podrá hacerse justicia por sí misma, ni ejercer violencia para reclamar su derecho.</w:t>
      </w:r>
    </w:p>
    <w:p w:rsidR="00880110" w:rsidRPr="00880110" w:rsidRDefault="00880110" w:rsidP="00880110">
      <w:pPr>
        <w:pStyle w:val="Textonotapie"/>
        <w:rPr>
          <w:rFonts w:ascii="Arial" w:hAnsi="Arial" w:cs="Arial"/>
          <w:sz w:val="16"/>
          <w:szCs w:val="16"/>
        </w:rPr>
      </w:pPr>
      <w:r w:rsidRPr="00880110">
        <w:rPr>
          <w:rFonts w:ascii="Arial" w:hAnsi="Arial" w:cs="Arial"/>
          <w:sz w:val="16"/>
          <w:szCs w:val="16"/>
        </w:rPr>
        <w:t>Toda persona tiene derecho a que se le administre justicia por tribunales que estarán expeditos para impartirla en los plazos y términos que fijen las leyes, emitiendo sus resoluciones de manera pronta, completa e imparcial. […]</w:t>
      </w:r>
    </w:p>
    <w:p w:rsidR="00880110" w:rsidRPr="00880110" w:rsidRDefault="00880110" w:rsidP="00880110">
      <w:pPr>
        <w:ind w:firstLine="284"/>
        <w:rPr>
          <w:rFonts w:cs="Arial"/>
          <w:szCs w:val="16"/>
        </w:rPr>
      </w:pPr>
      <w:r w:rsidRPr="00880110">
        <w:rPr>
          <w:rFonts w:cs="Arial"/>
          <w:szCs w:val="16"/>
        </w:rPr>
        <w:t xml:space="preserve">Asimismo, resulta aplicable </w:t>
      </w:r>
      <w:r w:rsidRPr="00880110">
        <w:rPr>
          <w:rFonts w:cs="Arial"/>
          <w:szCs w:val="16"/>
          <w:shd w:val="clear" w:color="auto" w:fill="FFFFFF"/>
        </w:rPr>
        <w:t>la Jurisprudencia 43/2002, de Sala Superior, de rubro y texto: PRINCIPIO DE EXHAUSTIVIDAD. LAS AUTORIDADES ELECTORALES DEBEN OBSERVARLO EN LAS RESOLUCIONES QUE EMITAN. Las autoridades electorales, tanto administrativas como jurisdiccionales, cuyas resoluciones admitan ser revisadas por virtud de la interposición de un medio de impugnación ordinario o extraordinario, están obligadas a estudiar completamente todos y cada uno de los puntos integrantes de las cuestiones o pretensiones sometidas a su conocimiento y no únicamente algún aspecto concreto, por más que lo crean suficiente para sustentar una decisión desestimatoria, pues sólo ese proceder exhaustivo asegurará el estado de certeza jurídica que las resoluciones emitidas por aquéllas deben generar, ya que si se llegaran a revisar por causa de un medio de impugnación, la revisora estaría en condiciones de fallar de una vez la totalidad de la cuestión, con lo cual se evitan los reenvíos, que obstaculizan la firmeza de los actos objeto de reparo e impide que se produzca la privación injustificada de derechos que pudiera sufrir un ciudadano o una organización política, por una tardanza en su dilucidación, ante los plazos fatales previstos en la ley para las distintas etapas y la realización de los actos de que se compone el proceso electoral. De ahí que si no se procediera de manera exhaustiva podría haber retraso en la solución de las controversias, que no sólo acarrearía incertidumbre jurídica, sino que incluso podría conducir a la privación irreparable de derechos, con la consiguiente conculcación al principio de legalidad electoral a que se refieren los artículos 41, fracción III; y 116, fracción IV, inciso b), de la Constitución Política de los Estados Unidos Mexicanos.</w:t>
      </w:r>
    </w:p>
  </w:footnote>
  <w:footnote w:id="13">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Véase la Jurisprudencia 12/2001 de rubro y texto: EXHAUSTIVIDAD EN LAS RESOLUCIONES. CÓMO SE CUMPLE.- Este principio impone a los juzgadores, una vez constatada la satisfacción de los presupuestos procesales y de las condiciones de la acción, el deber de agotar cuidadosamente en la sentencia, todos y cada uno de los planteamientos hechos por las partes durante la integración de la litis, en apoyo de sus pretensiones; si se trata de una resolución de primera o única instancia se debe hacer pronunciamiento en las consideraciones sobre los hechos constitutivos de la causa petendi, y sobre el valor de los medios de prueba aportados o allegados legalmente al proceso, como base para resolver sobre las pretensiones, y si se trata de un medio impugnativo susceptible de abrir nueva instancia o juicio para revisar la resolución de primer o siguiente grado, es preciso el análisis de todos los argumentos y razonamientos constantes en los agravios o conceptos de violación y, en su caso, de las pruebas recibidas o recabadas en ese nuevo proceso impugnativo.</w:t>
      </w:r>
    </w:p>
  </w:footnote>
  <w:footnote w:id="14">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Artículo 14.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footnote>
  <w:footnote w:id="15">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w:t>
      </w:r>
      <w:r w:rsidRPr="00880110">
        <w:rPr>
          <w:rFonts w:ascii="Arial" w:hAnsi="Arial" w:cs="Arial"/>
          <w:bCs/>
          <w:sz w:val="16"/>
          <w:szCs w:val="16"/>
        </w:rPr>
        <w:t>Artículo 16.</w:t>
      </w:r>
      <w:r w:rsidRPr="00880110">
        <w:rPr>
          <w:rFonts w:ascii="Arial" w:hAnsi="Arial" w:cs="Arial"/>
          <w:sz w:val="16"/>
          <w:szCs w:val="16"/>
        </w:rPr>
        <w:t>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footnote>
  <w:footnote w:id="16">
    <w:p w:rsidR="00880110" w:rsidRPr="00880110" w:rsidRDefault="00880110" w:rsidP="00880110">
      <w:pPr>
        <w:rPr>
          <w:rFonts w:cs="Arial"/>
          <w:color w:val="000000"/>
          <w:szCs w:val="16"/>
          <w:lang w:val="es-ES_tradnl"/>
        </w:rPr>
      </w:pPr>
      <w:r w:rsidRPr="00880110">
        <w:rPr>
          <w:rStyle w:val="Refdenotaalpie"/>
          <w:rFonts w:cs="Arial"/>
          <w:szCs w:val="16"/>
        </w:rPr>
        <w:footnoteRef/>
      </w:r>
      <w:r w:rsidRPr="00880110">
        <w:rPr>
          <w:rFonts w:cs="Arial"/>
          <w:szCs w:val="16"/>
        </w:rPr>
        <w:t xml:space="preserve"> </w:t>
      </w:r>
      <w:r w:rsidRPr="00880110">
        <w:rPr>
          <w:rFonts w:cs="Arial"/>
          <w:color w:val="000000"/>
          <w:szCs w:val="16"/>
          <w:lang w:val="es-ES_tradnl"/>
        </w:rPr>
        <w:t xml:space="preserve">Al respecto, resulta orientadora la tesis: </w:t>
      </w:r>
      <w:proofErr w:type="spellStart"/>
      <w:r w:rsidRPr="00880110">
        <w:rPr>
          <w:rFonts w:cs="Arial"/>
          <w:color w:val="000000"/>
          <w:szCs w:val="16"/>
          <w:lang w:val="es-ES_tradnl"/>
        </w:rPr>
        <w:t>1a</w:t>
      </w:r>
      <w:proofErr w:type="spellEnd"/>
      <w:r w:rsidRPr="00880110">
        <w:rPr>
          <w:rFonts w:cs="Arial"/>
          <w:color w:val="000000"/>
          <w:szCs w:val="16"/>
          <w:lang w:val="es-ES_tradnl"/>
        </w:rPr>
        <w:t>./J. 11/2014 (</w:t>
      </w:r>
      <w:proofErr w:type="spellStart"/>
      <w:r w:rsidRPr="00880110">
        <w:rPr>
          <w:rFonts w:cs="Arial"/>
          <w:color w:val="000000"/>
          <w:szCs w:val="16"/>
          <w:lang w:val="es-ES_tradnl"/>
        </w:rPr>
        <w:t>10a</w:t>
      </w:r>
      <w:proofErr w:type="spellEnd"/>
      <w:r w:rsidRPr="00880110">
        <w:rPr>
          <w:rFonts w:cs="Arial"/>
          <w:color w:val="000000"/>
          <w:szCs w:val="16"/>
          <w:lang w:val="es-ES_tradnl"/>
        </w:rPr>
        <w:t>.), de la Primera Sala de la Suprema Corte de Justicia de la Nación, cuyo texto y rubro dicen: “DERECHO AL DEBIDO PROCESO. SU CONTENIDO.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footnote>
  <w:footnote w:id="17">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Además, dicha prueba no debió valorarse de manera aislada, sino integral, pues la autoridad responsable fue omisa en estudiar de fondo la materia u objeto de la probanza, ya que ante la existencia de violaciones o vulneraciones a los derechos humanos, éstas se deben investigar, sancionar y ordenar la reparación de los mismos, lo que en el caso no sucedió; en la página 14 de la demanda, el impugnante señala [</w:t>
      </w:r>
      <w:r w:rsidRPr="00880110">
        <w:rPr>
          <w:rFonts w:ascii="Arial" w:hAnsi="Arial" w:cs="Arial"/>
          <w:i/>
          <w:sz w:val="16"/>
          <w:szCs w:val="16"/>
        </w:rPr>
        <w:t xml:space="preserve">por no aplicar el principio de exhaustividad y minuciosidad al momento de resolver de fondo la presente causa, ya que la Carta Magna determina que si hay una violación a los derechos humanos estos deben ser investigados y sancionados, como así debidamente reparados, se insiste que la causa de pedir se encuentra debidamente configurada en el correspondiente medio de impugnación] </w:t>
      </w:r>
      <w:r w:rsidRPr="00880110">
        <w:rPr>
          <w:rFonts w:ascii="Arial" w:hAnsi="Arial" w:cs="Arial"/>
          <w:sz w:val="16"/>
          <w:szCs w:val="16"/>
        </w:rPr>
        <w:t>posteriormente en la página 15 refirió</w:t>
      </w:r>
      <w:r w:rsidRPr="00880110">
        <w:rPr>
          <w:rFonts w:ascii="Arial" w:hAnsi="Arial" w:cs="Arial"/>
          <w:i/>
          <w:sz w:val="16"/>
          <w:szCs w:val="16"/>
        </w:rPr>
        <w:t xml:space="preserve"> [al decir la autoridad jurisdiccional electoral que: jamás hubo inequidad y mucho menos ilegalidad alguna al sancionar y en opinión de la resolutora no reunió los requisitos de ley, dictamen que causa duelo, por la parcialidad selectiva y aislada al momento de juzgar (…) equivocadamente, se dictamino que como, hay rechazo de uno de los procedimientos especiales sancionadores en materia de telecomunicación es motivo suficiente para no entrar al fondo del asunto, sin embargo desatiende que existe revocación a ese rechazo (…) en el sentido de que: En concepto de la Sala Superior, le asiste la razón porque el ahora recurrente señaló las circunstancias concretas en que acontecieron los hechos, efectuó la narración expresa del acto en que se basaba la denuncia y se ofrecieron pruebas con que se contaba, con lo que se advierte que,….si existen indicios suficientes para un análisis exhaustivo de los hechos denunciados y determinar la existencia o no de una posible violación a la normativa electoral. </w:t>
      </w:r>
    </w:p>
  </w:footnote>
  <w:footnote w:id="18">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Expediente UT/</w:t>
      </w:r>
      <w:proofErr w:type="spellStart"/>
      <w:r w:rsidRPr="00880110">
        <w:rPr>
          <w:rFonts w:ascii="Arial" w:hAnsi="Arial" w:cs="Arial"/>
          <w:sz w:val="16"/>
          <w:szCs w:val="16"/>
        </w:rPr>
        <w:t>SCG</w:t>
      </w:r>
      <w:proofErr w:type="spellEnd"/>
      <w:r w:rsidRPr="00880110">
        <w:rPr>
          <w:rFonts w:ascii="Arial" w:hAnsi="Arial" w:cs="Arial"/>
          <w:sz w:val="16"/>
          <w:szCs w:val="16"/>
        </w:rPr>
        <w:t>/PE/PAN/</w:t>
      </w:r>
      <w:proofErr w:type="spellStart"/>
      <w:r w:rsidRPr="00880110">
        <w:rPr>
          <w:rFonts w:ascii="Arial" w:hAnsi="Arial" w:cs="Arial"/>
          <w:sz w:val="16"/>
          <w:szCs w:val="16"/>
        </w:rPr>
        <w:t>OPLE</w:t>
      </w:r>
      <w:proofErr w:type="spellEnd"/>
      <w:r w:rsidRPr="00880110">
        <w:rPr>
          <w:rFonts w:ascii="Arial" w:hAnsi="Arial" w:cs="Arial"/>
          <w:sz w:val="16"/>
          <w:szCs w:val="16"/>
        </w:rPr>
        <w:t>/CG/281/</w:t>
      </w:r>
      <w:proofErr w:type="spellStart"/>
      <w:r w:rsidRPr="00880110">
        <w:rPr>
          <w:rFonts w:ascii="Arial" w:hAnsi="Arial" w:cs="Arial"/>
          <w:sz w:val="16"/>
          <w:szCs w:val="16"/>
        </w:rPr>
        <w:t>PEF</w:t>
      </w:r>
      <w:proofErr w:type="spellEnd"/>
      <w:r w:rsidRPr="00880110">
        <w:rPr>
          <w:rFonts w:ascii="Arial" w:hAnsi="Arial" w:cs="Arial"/>
          <w:sz w:val="16"/>
          <w:szCs w:val="16"/>
        </w:rPr>
        <w:t>/297/2021.</w:t>
      </w:r>
    </w:p>
  </w:footnote>
  <w:footnote w:id="19">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Véase constancia que obra a foja 412 del cuaderno accesorio 1 del expediente SM-JDC-856/2021. </w:t>
      </w:r>
    </w:p>
  </w:footnote>
  <w:footnote w:id="20">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Véase acuerdo que obra a foja 415 del cuaderno accesorio 1 del expediente SM-JDC-856/2021.</w:t>
      </w:r>
    </w:p>
  </w:footnote>
  <w:footnote w:id="21">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Véanse fojas 45 a 48 de la sentencia impugnada.</w:t>
      </w:r>
    </w:p>
  </w:footnote>
  <w:footnote w:id="22">
    <w:p w:rsidR="00880110" w:rsidRPr="00880110" w:rsidRDefault="00880110" w:rsidP="00880110">
      <w:pPr>
        <w:pStyle w:val="Textonotapie"/>
        <w:rPr>
          <w:rFonts w:ascii="Arial" w:hAnsi="Arial" w:cs="Arial"/>
          <w:sz w:val="16"/>
          <w:szCs w:val="16"/>
        </w:rPr>
      </w:pPr>
      <w:r w:rsidRPr="00880110">
        <w:rPr>
          <w:rStyle w:val="Refdenotaalpie"/>
          <w:rFonts w:ascii="Arial" w:hAnsi="Arial" w:cs="Arial"/>
          <w:sz w:val="16"/>
          <w:szCs w:val="16"/>
        </w:rPr>
        <w:footnoteRef/>
      </w:r>
      <w:r w:rsidRPr="00880110">
        <w:rPr>
          <w:rFonts w:ascii="Arial" w:hAnsi="Arial" w:cs="Arial"/>
          <w:sz w:val="16"/>
          <w:szCs w:val="16"/>
        </w:rPr>
        <w:t xml:space="preserve"> Primero vía correo electrónico a la cuenta </w:t>
      </w:r>
      <w:hyperlink r:id="rId1" w:history="1">
        <w:proofErr w:type="spellStart"/>
        <w:r w:rsidRPr="00880110">
          <w:rPr>
            <w:rStyle w:val="Hipervnculo"/>
            <w:rFonts w:ascii="Arial" w:hAnsi="Arial" w:cs="Arial"/>
            <w:i/>
            <w:sz w:val="16"/>
            <w:szCs w:val="16"/>
          </w:rPr>
          <w:t>cumplimientos.salamonterrey@te.gob.mx</w:t>
        </w:r>
        <w:proofErr w:type="spellEnd"/>
      </w:hyperlink>
      <w:r w:rsidRPr="00880110">
        <w:rPr>
          <w:rFonts w:ascii="Arial" w:hAnsi="Arial" w:cs="Arial"/>
          <w:sz w:val="16"/>
          <w:szCs w:val="16"/>
        </w:rPr>
        <w:t xml:space="preserve">, luego en original o copia certificada por el medio más rápido, apercibida que, en caso de incumplir lo ordenado en el plazo señalado, se aplicará alguna de las medidas de apremio a que se refiere el artículo 32 de la </w:t>
      </w:r>
      <w:r w:rsidRPr="00880110">
        <w:rPr>
          <w:rFonts w:ascii="Arial" w:hAnsi="Arial" w:cs="Arial"/>
          <w:bCs/>
          <w:sz w:val="16"/>
          <w:szCs w:val="16"/>
        </w:rPr>
        <w:t>Ley de Medios</w:t>
      </w:r>
      <w:r w:rsidRPr="00880110">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A62" w:rsidRDefault="0088144F">
    <w:pPr>
      <w:pStyle w:val="Encabezado"/>
      <w:rPr>
        <w:rFonts w:ascii="Arial" w:hAnsi="Arial" w:cs="Arial"/>
        <w:b/>
        <w:sz w:val="20"/>
      </w:rPr>
    </w:pPr>
    <w:sdt>
      <w:sdtPr>
        <w:rPr>
          <w:rFonts w:ascii="Arial" w:hAnsi="Arial" w:cs="Arial"/>
          <w:b/>
          <w:sz w:val="20"/>
        </w:rPr>
        <w:id w:val="-1991236432"/>
        <w:docPartObj>
          <w:docPartGallery w:val="Page Numbers (Margins)"/>
          <w:docPartUnique/>
        </w:docPartObj>
      </w:sdtPr>
      <w:sdtEndPr/>
      <w:sdtContent>
        <w:r w:rsidR="00175207" w:rsidRPr="00731766">
          <w:rPr>
            <w:rFonts w:ascii="Arial" w:hAnsi="Arial" w:cs="Arial"/>
            <w:b/>
            <w:noProof/>
            <w:sz w:val="20"/>
            <w:lang w:val="es-ES" w:eastAsia="es-ES"/>
          </w:rPr>
          <mc:AlternateContent>
            <mc:Choice Requires="wps">
              <w:drawing>
                <wp:anchor distT="0" distB="0" distL="114300" distR="114300" simplePos="0" relativeHeight="251655680" behindDoc="0" locked="0" layoutInCell="0" allowOverlap="1" wp14:anchorId="2D0CD5F9" wp14:editId="60797125">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52653863"/>
                              </w:sdtPr>
                              <w:sdtEndPr/>
                              <w:sdtContent>
                                <w:sdt>
                                  <w:sdtPr>
                                    <w:rPr>
                                      <w:rFonts w:asciiTheme="majorHAnsi" w:eastAsiaTheme="majorEastAsia" w:hAnsiTheme="majorHAnsi" w:cstheme="majorBidi"/>
                                      <w:sz w:val="48"/>
                                      <w:szCs w:val="48"/>
                                    </w:rPr>
                                    <w:id w:val="114877495"/>
                                  </w:sdtPr>
                                  <w:sdtEndPr/>
                                  <w:sdtContent>
                                    <w:p w:rsidR="00984A62" w:rsidRDefault="00175207">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187DC3">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D5F9" id="Rectángulo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352653863"/>
                        </w:sdtPr>
                        <w:sdtEndPr/>
                        <w:sdtContent>
                          <w:sdt>
                            <w:sdtPr>
                              <w:rPr>
                                <w:rFonts w:asciiTheme="majorHAnsi" w:eastAsiaTheme="majorEastAsia" w:hAnsiTheme="majorHAnsi" w:cstheme="majorBidi"/>
                                <w:sz w:val="48"/>
                                <w:szCs w:val="48"/>
                              </w:rPr>
                              <w:id w:val="114877495"/>
                            </w:sdtPr>
                            <w:sdtEndPr/>
                            <w:sdtContent>
                              <w:p w:rsidR="00984A62" w:rsidRDefault="00175207">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187DC3">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rsidR="00984A62" w:rsidRPr="00492B53" w:rsidRDefault="00175207">
    <w:pPr>
      <w:pStyle w:val="Encabezado"/>
      <w:rPr>
        <w:rFonts w:ascii="Arial" w:hAnsi="Arial" w:cs="Arial"/>
        <w:b/>
        <w:sz w:val="22"/>
        <w:szCs w:val="22"/>
      </w:rPr>
    </w:pPr>
    <w:r w:rsidRPr="00492B53">
      <w:rPr>
        <w:rFonts w:ascii="Arial" w:hAnsi="Arial" w:cs="Arial"/>
        <w:b/>
        <w:sz w:val="22"/>
        <w:szCs w:val="22"/>
      </w:rPr>
      <w:t>SM-J</w:t>
    </w:r>
    <w:r>
      <w:rPr>
        <w:rFonts w:ascii="Arial" w:hAnsi="Arial" w:cs="Arial"/>
        <w:b/>
        <w:sz w:val="22"/>
        <w:szCs w:val="22"/>
      </w:rPr>
      <w:t>R</w:t>
    </w:r>
    <w:r w:rsidRPr="00492B53">
      <w:rPr>
        <w:rFonts w:ascii="Arial" w:hAnsi="Arial" w:cs="Arial"/>
        <w:b/>
        <w:sz w:val="22"/>
        <w:szCs w:val="22"/>
      </w:rPr>
      <w:t>C-</w:t>
    </w:r>
    <w:r>
      <w:rPr>
        <w:rFonts w:ascii="Arial" w:hAnsi="Arial" w:cs="Arial"/>
        <w:b/>
        <w:sz w:val="22"/>
        <w:szCs w:val="22"/>
      </w:rPr>
      <w:t>216</w:t>
    </w:r>
    <w:r w:rsidRPr="00492B53">
      <w:rPr>
        <w:rFonts w:ascii="Arial" w:hAnsi="Arial" w:cs="Arial"/>
        <w:b/>
        <w:sz w:val="22"/>
        <w:szCs w:val="22"/>
      </w:rPr>
      <w:t>/2021</w:t>
    </w:r>
    <w:r>
      <w:rPr>
        <w:rFonts w:ascii="Arial" w:hAnsi="Arial" w:cs="Arial"/>
        <w:b/>
        <w:sz w:val="22"/>
        <w:szCs w:val="22"/>
      </w:rPr>
      <w:t xml:space="preserve"> Y ACUMULADOS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A62" w:rsidRDefault="00B17DDF" w:rsidP="00DD01C8">
    <w:pPr>
      <w:pStyle w:val="Encabezado"/>
      <w:jc w:val="right"/>
      <w:rPr>
        <w:rFonts w:ascii="Arial" w:hAnsi="Arial" w:cs="Arial"/>
        <w:b/>
        <w:sz w:val="20"/>
      </w:rPr>
    </w:pPr>
    <w:r>
      <w:rPr>
        <w:noProof/>
        <w:lang w:val="es-ES" w:eastAsia="es-ES"/>
      </w:rPr>
      <w:drawing>
        <wp:anchor distT="0" distB="0" distL="114300" distR="114300" simplePos="0" relativeHeight="251661824" behindDoc="0" locked="0" layoutInCell="1" allowOverlap="1" wp14:anchorId="0711E5E0" wp14:editId="54AC6F68">
          <wp:simplePos x="0" y="0"/>
          <wp:positionH relativeFrom="column">
            <wp:posOffset>-1423670</wp:posOffset>
          </wp:positionH>
          <wp:positionV relativeFrom="paragraph">
            <wp:posOffset>-349885</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rPr>
        <w:id w:val="-1242795165"/>
        <w:docPartObj>
          <w:docPartGallery w:val="Page Numbers (Margins)"/>
          <w:docPartUnique/>
        </w:docPartObj>
      </w:sdtPr>
      <w:sdtEndPr/>
      <w:sdtContent>
        <w:r w:rsidR="00175207" w:rsidRPr="00731766">
          <w:rPr>
            <w:rFonts w:ascii="Arial" w:hAnsi="Arial" w:cs="Arial"/>
            <w:b/>
            <w:noProof/>
            <w:sz w:val="20"/>
            <w:lang w:val="es-ES" w:eastAsia="es-ES"/>
          </w:rPr>
          <mc:AlternateContent>
            <mc:Choice Requires="wps">
              <w:drawing>
                <wp:anchor distT="0" distB="0" distL="114300" distR="114300" simplePos="0" relativeHeight="251656704" behindDoc="0" locked="0" layoutInCell="0" allowOverlap="1" wp14:anchorId="0DFAFD53" wp14:editId="70D4FFF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7234610"/>
                              </w:sdtPr>
                              <w:sdtEndPr>
                                <w:rPr>
                                  <w:sz w:val="36"/>
                                  <w:szCs w:val="36"/>
                                </w:rPr>
                              </w:sdtEndPr>
                              <w:sdtContent>
                                <w:p w:rsidR="00984A62" w:rsidRPr="002024C0" w:rsidRDefault="00175207">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880110" w:rsidRPr="00880110">
                                    <w:rPr>
                                      <w:rFonts w:asciiTheme="majorHAnsi" w:eastAsiaTheme="majorEastAsia" w:hAnsiTheme="majorHAnsi" w:cstheme="majorBidi"/>
                                      <w:noProof/>
                                      <w:sz w:val="48"/>
                                      <w:szCs w:val="48"/>
                                      <w:lang w:val="es-ES"/>
                                    </w:rPr>
                                    <w:t>17</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AFD53"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917234610"/>
                        </w:sdtPr>
                        <w:sdtEndPr>
                          <w:rPr>
                            <w:sz w:val="36"/>
                            <w:szCs w:val="36"/>
                          </w:rPr>
                        </w:sdtEndPr>
                        <w:sdtContent>
                          <w:p w:rsidR="00984A62" w:rsidRPr="002024C0" w:rsidRDefault="00175207">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880110" w:rsidRPr="00880110">
                              <w:rPr>
                                <w:rFonts w:asciiTheme="majorHAnsi" w:eastAsiaTheme="majorEastAsia" w:hAnsiTheme="majorHAnsi" w:cstheme="majorBidi"/>
                                <w:noProof/>
                                <w:sz w:val="48"/>
                                <w:szCs w:val="48"/>
                                <w:lang w:val="es-ES"/>
                              </w:rPr>
                              <w:t>17</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984A62" w:rsidRPr="00492B53" w:rsidRDefault="00175207" w:rsidP="00A5067F">
    <w:pPr>
      <w:pStyle w:val="Encabezado"/>
      <w:jc w:val="right"/>
      <w:rPr>
        <w:sz w:val="14"/>
        <w:szCs w:val="18"/>
      </w:rPr>
    </w:pPr>
    <w:r>
      <w:rPr>
        <w:rFonts w:ascii="Arial" w:hAnsi="Arial" w:cs="Arial"/>
        <w:b/>
        <w:sz w:val="22"/>
        <w:szCs w:val="22"/>
      </w:rPr>
      <w:t>SM-JR</w:t>
    </w:r>
    <w:r w:rsidRPr="00492B53">
      <w:rPr>
        <w:rFonts w:ascii="Arial" w:hAnsi="Arial" w:cs="Arial"/>
        <w:b/>
        <w:sz w:val="22"/>
        <w:szCs w:val="22"/>
      </w:rPr>
      <w:t>C-</w:t>
    </w:r>
    <w:r>
      <w:rPr>
        <w:rFonts w:ascii="Arial" w:hAnsi="Arial" w:cs="Arial"/>
        <w:b/>
        <w:sz w:val="22"/>
        <w:szCs w:val="22"/>
      </w:rPr>
      <w:t>216</w:t>
    </w:r>
    <w:r w:rsidRPr="00492B53">
      <w:rPr>
        <w:rFonts w:ascii="Arial" w:hAnsi="Arial" w:cs="Arial"/>
        <w:b/>
        <w:sz w:val="22"/>
        <w:szCs w:val="22"/>
      </w:rPr>
      <w:t>/2021</w:t>
    </w:r>
    <w:r>
      <w:rPr>
        <w:rFonts w:ascii="Arial" w:hAnsi="Arial" w:cs="Arial"/>
        <w:b/>
        <w:sz w:val="22"/>
        <w:szCs w:val="22"/>
      </w:rPr>
      <w:t xml:space="preserve"> Y ACUMULADOS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A62" w:rsidRDefault="00175207">
    <w:pPr>
      <w:pStyle w:val="Encabezado"/>
    </w:pPr>
    <w:r>
      <w:rPr>
        <w:noProof/>
        <w:lang w:val="es-ES" w:eastAsia="es-ES"/>
      </w:rPr>
      <w:drawing>
        <wp:anchor distT="0" distB="0" distL="114300" distR="114300" simplePos="0" relativeHeight="251657728" behindDoc="0" locked="0" layoutInCell="1" allowOverlap="1" wp14:anchorId="366C8404" wp14:editId="7C116CD5">
          <wp:simplePos x="0" y="0"/>
          <wp:positionH relativeFrom="column">
            <wp:posOffset>-1271270</wp:posOffset>
          </wp:positionH>
          <wp:positionV relativeFrom="paragraph">
            <wp:posOffset>-70181</wp:posOffset>
          </wp:positionV>
          <wp:extent cx="1377950" cy="1192530"/>
          <wp:effectExtent l="0" t="0" r="0" b="762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10"/>
    <w:rsid w:val="00175207"/>
    <w:rsid w:val="00473FE1"/>
    <w:rsid w:val="004C51D0"/>
    <w:rsid w:val="00725403"/>
    <w:rsid w:val="00880110"/>
    <w:rsid w:val="0088144F"/>
    <w:rsid w:val="009C78A7"/>
    <w:rsid w:val="00B17DDF"/>
    <w:rsid w:val="00B91F5D"/>
    <w:rsid w:val="00D11674"/>
    <w:rsid w:val="00DE1390"/>
    <w:rsid w:val="00F92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F3D8D"/>
  <w15:chartTrackingRefBased/>
  <w15:docId w15:val="{13EEC52F-55E9-4B04-8FE9-ECA90979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110"/>
    <w:pPr>
      <w:spacing w:after="0" w:line="240" w:lineRule="auto"/>
      <w:jc w:val="both"/>
    </w:pPr>
    <w:rPr>
      <w:rFonts w:ascii="Arial" w:hAnsi="Arial" w:cs="Times New Roman"/>
      <w:sz w:val="16"/>
      <w:szCs w:val="20"/>
      <w:lang w:val="es-MX"/>
    </w:rPr>
  </w:style>
  <w:style w:type="paragraph" w:styleId="Ttulo1">
    <w:name w:val="heading 1"/>
    <w:basedOn w:val="Normal"/>
    <w:next w:val="Normal"/>
    <w:link w:val="Ttulo1Car"/>
    <w:uiPriority w:val="9"/>
    <w:qFormat/>
    <w:rsid w:val="008801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801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0110"/>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rsid w:val="00880110"/>
    <w:rPr>
      <w:rFonts w:asciiTheme="majorHAnsi" w:eastAsiaTheme="majorEastAsia" w:hAnsiTheme="majorHAnsi" w:cstheme="majorBidi"/>
      <w:color w:val="2E74B5" w:themeColor="accent1" w:themeShade="BF"/>
      <w:sz w:val="26"/>
      <w:szCs w:val="26"/>
      <w:lang w:val="es-MX"/>
    </w:rPr>
  </w:style>
  <w:style w:type="paragraph" w:styleId="Encabezado">
    <w:name w:val="header"/>
    <w:basedOn w:val="Normal"/>
    <w:link w:val="EncabezadoCar"/>
    <w:uiPriority w:val="99"/>
    <w:rsid w:val="00880110"/>
    <w:pPr>
      <w:tabs>
        <w:tab w:val="center" w:pos="4419"/>
        <w:tab w:val="right" w:pos="8838"/>
      </w:tabs>
    </w:pPr>
    <w:rPr>
      <w:rFonts w:ascii="Calibri" w:eastAsia="Calibri" w:hAnsi="Calibri"/>
    </w:rPr>
  </w:style>
  <w:style w:type="character" w:customStyle="1" w:styleId="EncabezadoCar">
    <w:name w:val="Encabezado Car"/>
    <w:basedOn w:val="Fuentedeprrafopredeter"/>
    <w:link w:val="Encabezado"/>
    <w:uiPriority w:val="99"/>
    <w:rsid w:val="00880110"/>
    <w:rPr>
      <w:rFonts w:ascii="Calibri" w:eastAsia="Calibri" w:hAnsi="Calibri" w:cs="Times New Roman"/>
      <w:sz w:val="16"/>
      <w:szCs w:val="20"/>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80110"/>
    <w:rPr>
      <w:rFonts w:ascii="Calibri" w:eastAsia="Calibri" w:hAnsi="Calibri"/>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880110"/>
    <w:rPr>
      <w:rFonts w:ascii="Calibri" w:eastAsia="Calibri" w:hAnsi="Calibri" w:cs="Times New Roman"/>
      <w:sz w:val="20"/>
      <w:szCs w:val="20"/>
      <w:lang w:val="es-MX"/>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Footnote Reference"/>
    <w:link w:val="4GChar"/>
    <w:qFormat/>
    <w:rsid w:val="00880110"/>
    <w:rPr>
      <w:rFonts w:cs="Times New Roman"/>
      <w:vertAlign w:val="superscript"/>
    </w:rPr>
  </w:style>
  <w:style w:type="paragraph" w:styleId="Piedepgina">
    <w:name w:val="footer"/>
    <w:basedOn w:val="Normal"/>
    <w:link w:val="PiedepginaCar"/>
    <w:uiPriority w:val="99"/>
    <w:unhideWhenUsed/>
    <w:rsid w:val="00880110"/>
    <w:pPr>
      <w:tabs>
        <w:tab w:val="center" w:pos="4419"/>
        <w:tab w:val="right" w:pos="8838"/>
      </w:tabs>
    </w:pPr>
  </w:style>
  <w:style w:type="character" w:customStyle="1" w:styleId="PiedepginaCar">
    <w:name w:val="Pie de página Car"/>
    <w:basedOn w:val="Fuentedeprrafopredeter"/>
    <w:link w:val="Piedepgina"/>
    <w:uiPriority w:val="99"/>
    <w:rsid w:val="00880110"/>
    <w:rPr>
      <w:rFonts w:ascii="Arial" w:hAnsi="Arial" w:cs="Times New Roman"/>
      <w:sz w:val="16"/>
      <w:szCs w:val="20"/>
      <w:lang w:val="es-MX"/>
    </w:rPr>
  </w:style>
  <w:style w:type="table" w:styleId="Tablaconcuadrcula">
    <w:name w:val="Table Grid"/>
    <w:basedOn w:val="Tablanormal"/>
    <w:uiPriority w:val="39"/>
    <w:rsid w:val="00880110"/>
    <w:pPr>
      <w:spacing w:after="200" w:line="276" w:lineRule="auto"/>
      <w:jc w:val="both"/>
    </w:pPr>
    <w:rPr>
      <w:rFonts w:ascii="Calibri" w:eastAsia="Times New Roman"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Parrafo 1,Lista multicolor - Énfasis 11,Cuadrícula media 1 - Énfasis 21,Lista vistosa - Énfasis 11,List Paragraph-Thesis,Cita texto,Footnote,List Paragraph2,Colorful List - Accent 11,Listas,AB List 1,List"/>
    <w:basedOn w:val="Normal"/>
    <w:link w:val="PrrafodelistaCar"/>
    <w:uiPriority w:val="34"/>
    <w:qFormat/>
    <w:rsid w:val="00880110"/>
    <w:pPr>
      <w:ind w:left="720"/>
      <w:contextualSpacing/>
    </w:pPr>
  </w:style>
  <w:style w:type="character" w:styleId="Hipervnculo">
    <w:name w:val="Hyperlink"/>
    <w:basedOn w:val="Fuentedeprrafopredeter"/>
    <w:uiPriority w:val="99"/>
    <w:unhideWhenUsed/>
    <w:rsid w:val="00880110"/>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880110"/>
    <w:rPr>
      <w:rFonts w:asciiTheme="minorHAnsi" w:hAnsiTheme="minorHAnsi"/>
      <w:sz w:val="22"/>
      <w:szCs w:val="22"/>
      <w:vertAlign w:val="superscript"/>
      <w:lang w:val="es-ES"/>
    </w:rPr>
  </w:style>
  <w:style w:type="table" w:customStyle="1" w:styleId="Tablaconcuadrcula2">
    <w:name w:val="Tabla con cuadrícula2"/>
    <w:basedOn w:val="Tablanormal"/>
    <w:next w:val="Tablaconcuadrcula"/>
    <w:uiPriority w:val="39"/>
    <w:rsid w:val="00880110"/>
    <w:pPr>
      <w:spacing w:after="0" w:line="240" w:lineRule="auto"/>
      <w:jc w:val="both"/>
    </w:pPr>
    <w:rPr>
      <w:rFonts w:cs="Times New Roman"/>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Cuadrícula media 1 - Énfasis 21 Car,Lista vistosa - Énfasis 11 Car,List Paragraph-Thesis Car,Cita texto Car,Footnote Car,List Paragraph2 Car"/>
    <w:link w:val="Prrafodelista"/>
    <w:uiPriority w:val="34"/>
    <w:qFormat/>
    <w:locked/>
    <w:rsid w:val="00880110"/>
    <w:rPr>
      <w:rFonts w:ascii="Arial" w:hAnsi="Arial" w:cs="Times New Roman"/>
      <w:sz w:val="16"/>
      <w:szCs w:val="20"/>
      <w:lang w:val="es-MX"/>
    </w:rPr>
  </w:style>
  <w:style w:type="paragraph" w:customStyle="1" w:styleId="Normalsentencia">
    <w:name w:val="Normal sentencia"/>
    <w:basedOn w:val="Normal"/>
    <w:link w:val="NormalsentenciaCar"/>
    <w:qFormat/>
    <w:rsid w:val="00880110"/>
    <w:pPr>
      <w:spacing w:before="240" w:after="120" w:line="360" w:lineRule="auto"/>
      <w:ind w:firstLine="709"/>
    </w:pPr>
    <w:rPr>
      <w:rFonts w:eastAsia="Times New Roman"/>
      <w:sz w:val="28"/>
      <w:lang w:val="es-ES" w:eastAsia="es-ES"/>
    </w:rPr>
  </w:style>
  <w:style w:type="character" w:customStyle="1" w:styleId="NormalsentenciaCar">
    <w:name w:val="Normal sentencia Car"/>
    <w:link w:val="Normalsentencia"/>
    <w:rsid w:val="00880110"/>
    <w:rPr>
      <w:rFonts w:ascii="Arial" w:eastAsia="Times New Roman" w:hAnsi="Arial" w:cs="Times New Roman"/>
      <w:sz w:val="28"/>
      <w:szCs w:val="20"/>
      <w:lang w:eastAsia="es-ES"/>
    </w:rPr>
  </w:style>
  <w:style w:type="paragraph" w:styleId="TtuloTDC">
    <w:name w:val="TOC Heading"/>
    <w:basedOn w:val="Ttulo1"/>
    <w:next w:val="Normal"/>
    <w:uiPriority w:val="39"/>
    <w:unhideWhenUsed/>
    <w:qFormat/>
    <w:rsid w:val="00880110"/>
    <w:pPr>
      <w:spacing w:line="259" w:lineRule="auto"/>
      <w:outlineLvl w:val="9"/>
    </w:pPr>
    <w:rPr>
      <w:lang w:eastAsia="es-MX"/>
    </w:rPr>
  </w:style>
  <w:style w:type="paragraph" w:styleId="TDC1">
    <w:name w:val="toc 1"/>
    <w:basedOn w:val="Normal"/>
    <w:next w:val="Normal"/>
    <w:autoRedefine/>
    <w:uiPriority w:val="39"/>
    <w:unhideWhenUsed/>
    <w:rsid w:val="00880110"/>
    <w:pPr>
      <w:tabs>
        <w:tab w:val="right" w:leader="dot" w:pos="8546"/>
      </w:tabs>
      <w:spacing w:after="100"/>
    </w:pPr>
    <w:rPr>
      <w:rFonts w:eastAsia="Times New Roman" w:cs="Arial"/>
      <w:b/>
      <w:bCs/>
      <w:noProof/>
      <w:sz w:val="18"/>
      <w:szCs w:val="24"/>
      <w:lang w:val="es-ES" w:eastAsia="es-ES"/>
    </w:rPr>
  </w:style>
  <w:style w:type="paragraph" w:customStyle="1" w:styleId="Default">
    <w:name w:val="Default"/>
    <w:qFormat/>
    <w:rsid w:val="00880110"/>
    <w:pPr>
      <w:autoSpaceDE w:val="0"/>
      <w:autoSpaceDN w:val="0"/>
      <w:adjustRightInd w:val="0"/>
      <w:spacing w:after="0" w:line="240" w:lineRule="auto"/>
      <w:jc w:val="both"/>
    </w:pPr>
    <w:rPr>
      <w:rFonts w:ascii="Arial" w:eastAsia="Times New Roman" w:hAnsi="Arial" w:cs="Arial"/>
      <w:color w:val="000000"/>
      <w:sz w:val="16"/>
      <w:szCs w:val="24"/>
      <w:lang w:eastAsia="es-ES"/>
    </w:rPr>
  </w:style>
  <w:style w:type="paragraph" w:styleId="TDC2">
    <w:name w:val="toc 2"/>
    <w:basedOn w:val="Normal"/>
    <w:next w:val="Normal"/>
    <w:autoRedefine/>
    <w:uiPriority w:val="39"/>
    <w:unhideWhenUsed/>
    <w:rsid w:val="00880110"/>
    <w:pPr>
      <w:tabs>
        <w:tab w:val="right" w:leader="dot" w:pos="8546"/>
      </w:tabs>
      <w:ind w:left="426"/>
    </w:pPr>
    <w:rPr>
      <w:rFonts w:cs="Arial"/>
      <w:b/>
      <w:bCs/>
      <w:noProof/>
      <w:sz w:val="18"/>
      <w:szCs w:val="18"/>
      <w:u w:val="single"/>
      <w:lang w:val="es-ES_tradnl"/>
    </w:rPr>
  </w:style>
  <w:style w:type="paragraph" w:customStyle="1" w:styleId="Style5">
    <w:name w:val="Style5"/>
    <w:basedOn w:val="Normal"/>
    <w:uiPriority w:val="99"/>
    <w:qFormat/>
    <w:rsid w:val="00880110"/>
    <w:pPr>
      <w:widowControl w:val="0"/>
      <w:autoSpaceDE w:val="0"/>
      <w:autoSpaceDN w:val="0"/>
      <w:adjustRightInd w:val="0"/>
      <w:spacing w:line="278" w:lineRule="exact"/>
    </w:pPr>
    <w:rPr>
      <w:rFonts w:eastAsiaTheme="minorEastAsia"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umplimientos.salamonterrey@te.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5601</Words>
  <Characters>30811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Elizabeth Marín Díaz</dc:creator>
  <cp:keywords/>
  <dc:description/>
  <cp:lastModifiedBy>Rubén Arturo Marroquín Mitre</cp:lastModifiedBy>
  <cp:revision>10</cp:revision>
  <dcterms:created xsi:type="dcterms:W3CDTF">2021-09-06T15:13:00Z</dcterms:created>
  <dcterms:modified xsi:type="dcterms:W3CDTF">2021-09-07T17:22:00Z</dcterms:modified>
</cp:coreProperties>
</file>