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5FFC" w14:textId="77777777" w:rsidR="00F002C8" w:rsidRPr="00F84E64" w:rsidRDefault="00226A63" w:rsidP="004F03F8">
      <w:pPr>
        <w:ind w:left="3119"/>
        <w:jc w:val="both"/>
        <w:rPr>
          <w:rFonts w:ascii="Arial" w:eastAsia="Arial" w:hAnsi="Arial" w:cs="Arial"/>
          <w:b/>
        </w:rPr>
      </w:pPr>
      <w:bookmarkStart w:id="0" w:name="_Hlk76171155"/>
      <w:r w:rsidRPr="0070711C">
        <w:rPr>
          <w:rFonts w:ascii="Arial" w:eastAsia="Arial" w:hAnsi="Arial" w:cs="Arial"/>
          <w:b/>
        </w:rPr>
        <w:t>RECURSO DE RECONSIDERACIÓN</w:t>
      </w:r>
      <w:r w:rsidRPr="00F84E64">
        <w:rPr>
          <w:rFonts w:ascii="Arial" w:eastAsia="Arial" w:hAnsi="Arial" w:cs="Arial"/>
          <w:b/>
        </w:rPr>
        <w:t xml:space="preserve"> </w:t>
      </w:r>
    </w:p>
    <w:p w14:paraId="4CD31AFE" w14:textId="77777777" w:rsidR="00F002C8" w:rsidRPr="00F84E64" w:rsidRDefault="00F002C8" w:rsidP="004F03F8">
      <w:pPr>
        <w:ind w:left="3119"/>
        <w:jc w:val="both"/>
        <w:rPr>
          <w:rFonts w:ascii="Arial" w:eastAsia="Arial" w:hAnsi="Arial" w:cs="Arial"/>
          <w:b/>
        </w:rPr>
      </w:pPr>
    </w:p>
    <w:p w14:paraId="59BF50F2" w14:textId="77777777" w:rsidR="00F002C8" w:rsidRPr="00F84E64" w:rsidRDefault="00226A63" w:rsidP="004F03F8">
      <w:pPr>
        <w:ind w:left="3119"/>
        <w:jc w:val="both"/>
        <w:rPr>
          <w:rFonts w:ascii="Arial" w:eastAsia="Arial" w:hAnsi="Arial" w:cs="Arial"/>
        </w:rPr>
      </w:pPr>
      <w:r w:rsidRPr="00F84E64">
        <w:rPr>
          <w:rFonts w:ascii="Arial" w:eastAsia="Arial" w:hAnsi="Arial" w:cs="Arial"/>
          <w:b/>
        </w:rPr>
        <w:t xml:space="preserve">EXPEDIENTE: </w:t>
      </w:r>
      <w:bookmarkStart w:id="1" w:name="_Hlk67487908"/>
      <w:r w:rsidRPr="00F84E64">
        <w:rPr>
          <w:rFonts w:ascii="Arial" w:eastAsia="Arial" w:hAnsi="Arial" w:cs="Arial"/>
        </w:rPr>
        <w:t>SUP-REC-</w:t>
      </w:r>
      <w:r w:rsidR="009C3E54">
        <w:rPr>
          <w:rFonts w:ascii="Arial" w:eastAsia="Arial" w:hAnsi="Arial" w:cs="Arial"/>
        </w:rPr>
        <w:t>1487</w:t>
      </w:r>
      <w:r w:rsidRPr="00F84E64">
        <w:rPr>
          <w:rFonts w:ascii="Arial" w:eastAsia="Arial" w:hAnsi="Arial" w:cs="Arial"/>
        </w:rPr>
        <w:t>/2021</w:t>
      </w:r>
      <w:bookmarkEnd w:id="1"/>
    </w:p>
    <w:p w14:paraId="1B91497B" w14:textId="77777777" w:rsidR="00F002C8" w:rsidRPr="00F84E64" w:rsidRDefault="00F002C8" w:rsidP="004F03F8">
      <w:pPr>
        <w:ind w:left="3119"/>
        <w:jc w:val="both"/>
        <w:rPr>
          <w:rFonts w:ascii="Arial" w:eastAsia="Arial" w:hAnsi="Arial" w:cs="Arial"/>
          <w:b/>
        </w:rPr>
      </w:pPr>
    </w:p>
    <w:p w14:paraId="2FBCA6F0" w14:textId="77777777" w:rsidR="003C7DEC" w:rsidRPr="003C7DEC" w:rsidRDefault="00226A63" w:rsidP="003C7DEC">
      <w:pPr>
        <w:ind w:left="3119"/>
        <w:jc w:val="both"/>
        <w:rPr>
          <w:rFonts w:ascii="Arial" w:eastAsia="Arial" w:hAnsi="Arial" w:cs="Arial"/>
        </w:rPr>
      </w:pPr>
      <w:r w:rsidRPr="00F84E64">
        <w:rPr>
          <w:rFonts w:ascii="Arial" w:eastAsia="Arial" w:hAnsi="Arial" w:cs="Arial"/>
          <w:b/>
        </w:rPr>
        <w:t xml:space="preserve">RECURRENTE: </w:t>
      </w:r>
      <w:r w:rsidR="009C3E54" w:rsidRPr="009C3E54">
        <w:rPr>
          <w:rFonts w:ascii="Arial" w:hAnsi="Arial" w:cs="Arial"/>
          <w:bCs/>
          <w:caps/>
          <w:noProof/>
        </w:rPr>
        <w:t>LAURA GEORGINA BRIBIESCA PÉREZ</w:t>
      </w:r>
    </w:p>
    <w:p w14:paraId="735D01F4" w14:textId="77777777" w:rsidR="00604D4B" w:rsidRPr="00F84E64" w:rsidRDefault="00604D4B" w:rsidP="004F03F8">
      <w:pPr>
        <w:ind w:left="3119"/>
        <w:jc w:val="both"/>
        <w:rPr>
          <w:rFonts w:ascii="Arial" w:eastAsia="Arial" w:hAnsi="Arial" w:cs="Arial"/>
          <w:b/>
        </w:rPr>
      </w:pPr>
    </w:p>
    <w:p w14:paraId="5220D364" w14:textId="77777777" w:rsidR="00F002C8" w:rsidRPr="00F84E64" w:rsidRDefault="00226A63" w:rsidP="004F03F8">
      <w:pPr>
        <w:ind w:left="3119"/>
        <w:jc w:val="both"/>
        <w:rPr>
          <w:rFonts w:ascii="Arial" w:eastAsia="Arial" w:hAnsi="Arial" w:cs="Arial"/>
        </w:rPr>
      </w:pPr>
      <w:r w:rsidRPr="00F84E64">
        <w:rPr>
          <w:rFonts w:ascii="Arial" w:eastAsia="Arial" w:hAnsi="Arial" w:cs="Arial"/>
          <w:b/>
        </w:rPr>
        <w:t xml:space="preserve">RESPONSABLE: </w:t>
      </w:r>
      <w:r w:rsidR="009C3E54" w:rsidRPr="009C3E54">
        <w:rPr>
          <w:rFonts w:ascii="Arial" w:hAnsi="Arial" w:cs="Arial"/>
          <w:caps/>
          <w:noProof/>
        </w:rPr>
        <w:t>SALA REGIONAL DEL TRIBUNAL ELECTORAL DEL PODER JUDICIAL DE LA FEDERACIÓN, CORRESPONDIENTE A LA SEGUNDA CIRCUNSCRIPCIÓN PLURINOMINAL CON SEDE EN MONTERREY, NUEVO LEÓN</w:t>
      </w:r>
    </w:p>
    <w:p w14:paraId="505A96F1" w14:textId="77777777" w:rsidR="00F002C8" w:rsidRPr="00F84E64" w:rsidRDefault="00F002C8" w:rsidP="004F03F8">
      <w:pPr>
        <w:ind w:left="3119"/>
        <w:jc w:val="both"/>
        <w:rPr>
          <w:rFonts w:ascii="Arial" w:eastAsia="Arial" w:hAnsi="Arial" w:cs="Arial"/>
          <w:b/>
        </w:rPr>
      </w:pPr>
    </w:p>
    <w:p w14:paraId="3E5D7FCE" w14:textId="77777777" w:rsidR="00F002C8" w:rsidRPr="00F84E64" w:rsidRDefault="00226A63" w:rsidP="004F03F8">
      <w:pPr>
        <w:ind w:left="3119"/>
        <w:jc w:val="both"/>
        <w:rPr>
          <w:rFonts w:ascii="Arial" w:eastAsia="Arial" w:hAnsi="Arial" w:cs="Arial"/>
        </w:rPr>
      </w:pPr>
      <w:r w:rsidRPr="00F84E64">
        <w:rPr>
          <w:rFonts w:ascii="Arial" w:eastAsia="Arial" w:hAnsi="Arial" w:cs="Arial"/>
          <w:b/>
        </w:rPr>
        <w:t xml:space="preserve">MAGISTRADO PONENTE: </w:t>
      </w:r>
      <w:r w:rsidRPr="00F84E64">
        <w:rPr>
          <w:rFonts w:ascii="Arial" w:eastAsia="Arial" w:hAnsi="Arial" w:cs="Arial"/>
        </w:rPr>
        <w:t>FELIPE ALFREDO FUENTES BARRERA</w:t>
      </w:r>
    </w:p>
    <w:p w14:paraId="23FCDD07" w14:textId="77777777" w:rsidR="00F002C8" w:rsidRPr="00F84E64" w:rsidRDefault="00F002C8" w:rsidP="004F03F8">
      <w:pPr>
        <w:ind w:left="3119"/>
        <w:jc w:val="both"/>
        <w:rPr>
          <w:rFonts w:ascii="Arial" w:eastAsia="Arial" w:hAnsi="Arial" w:cs="Arial"/>
          <w:b/>
        </w:rPr>
      </w:pPr>
    </w:p>
    <w:p w14:paraId="36B80B31" w14:textId="77777777" w:rsidR="00F002C8" w:rsidRDefault="00226A63" w:rsidP="004F03F8">
      <w:pPr>
        <w:ind w:left="3119"/>
        <w:jc w:val="both"/>
        <w:rPr>
          <w:rFonts w:ascii="Arial" w:eastAsia="Arial" w:hAnsi="Arial" w:cs="Arial"/>
        </w:rPr>
      </w:pPr>
      <w:r w:rsidRPr="00F84E64">
        <w:rPr>
          <w:rFonts w:ascii="Arial" w:eastAsia="Arial" w:hAnsi="Arial" w:cs="Arial"/>
          <w:b/>
        </w:rPr>
        <w:t>SECRETARI</w:t>
      </w:r>
      <w:r w:rsidR="007763BC">
        <w:rPr>
          <w:rFonts w:ascii="Arial" w:eastAsia="Arial" w:hAnsi="Arial" w:cs="Arial"/>
          <w:b/>
        </w:rPr>
        <w:t>AD</w:t>
      </w:r>
      <w:r w:rsidRPr="00F84E64">
        <w:rPr>
          <w:rFonts w:ascii="Arial" w:eastAsia="Arial" w:hAnsi="Arial" w:cs="Arial"/>
          <w:b/>
        </w:rPr>
        <w:t>O:</w:t>
      </w:r>
      <w:r w:rsidR="00DA7C63">
        <w:rPr>
          <w:rFonts w:ascii="Arial" w:eastAsia="Arial" w:hAnsi="Arial" w:cs="Arial"/>
          <w:b/>
        </w:rPr>
        <w:t xml:space="preserve"> </w:t>
      </w:r>
      <w:r w:rsidR="000D4B7F">
        <w:rPr>
          <w:rFonts w:ascii="Arial" w:eastAsia="Arial" w:hAnsi="Arial" w:cs="Arial"/>
        </w:rPr>
        <w:t xml:space="preserve">FANNY AVILEZ ESCALONA Y </w:t>
      </w:r>
      <w:r w:rsidR="00721AED">
        <w:rPr>
          <w:rFonts w:ascii="Arial" w:eastAsia="Arial" w:hAnsi="Arial" w:cs="Arial"/>
        </w:rPr>
        <w:t>ÁNGEL EDUARDO ZARAZÚA ALVIZAR</w:t>
      </w:r>
    </w:p>
    <w:p w14:paraId="4D9232BD" w14:textId="77777777" w:rsidR="00801B44" w:rsidRDefault="00801B44" w:rsidP="004F03F8">
      <w:pPr>
        <w:ind w:left="3119"/>
        <w:jc w:val="both"/>
        <w:rPr>
          <w:rFonts w:ascii="Arial" w:eastAsia="Arial" w:hAnsi="Arial" w:cs="Arial"/>
        </w:rPr>
      </w:pPr>
    </w:p>
    <w:p w14:paraId="7CB151A0" w14:textId="77777777" w:rsidR="00F002C8" w:rsidRDefault="00801B44" w:rsidP="004F03F8">
      <w:pPr>
        <w:ind w:left="3119"/>
        <w:jc w:val="both"/>
        <w:rPr>
          <w:rFonts w:ascii="Arial" w:eastAsia="Arial" w:hAnsi="Arial" w:cs="Arial"/>
        </w:rPr>
      </w:pPr>
      <w:r w:rsidRPr="00B02E10">
        <w:rPr>
          <w:rFonts w:ascii="Arial" w:eastAsia="Arial" w:hAnsi="Arial" w:cs="Arial"/>
          <w:b/>
        </w:rPr>
        <w:t>COLABORÓ</w:t>
      </w:r>
      <w:r w:rsidRPr="00B02E10">
        <w:rPr>
          <w:rFonts w:ascii="Arial" w:eastAsia="Arial" w:hAnsi="Arial" w:cs="Arial"/>
        </w:rPr>
        <w:t>:</w:t>
      </w:r>
      <w:r w:rsidR="003C7DEC">
        <w:rPr>
          <w:rFonts w:ascii="Arial" w:eastAsia="Arial" w:hAnsi="Arial" w:cs="Arial"/>
        </w:rPr>
        <w:t xml:space="preserve"> </w:t>
      </w:r>
      <w:r w:rsidR="00682A0F">
        <w:rPr>
          <w:rFonts w:ascii="Arial" w:eastAsia="Arial" w:hAnsi="Arial" w:cs="Arial"/>
        </w:rPr>
        <w:t>GUSTAVO ALFONSO VILLA VALLEJO</w:t>
      </w:r>
      <w:r w:rsidR="00DA7C63">
        <w:rPr>
          <w:rFonts w:ascii="Arial" w:eastAsia="Arial" w:hAnsi="Arial" w:cs="Arial"/>
        </w:rPr>
        <w:t xml:space="preserve"> Y ALONSO CASO JACOBS</w:t>
      </w:r>
    </w:p>
    <w:p w14:paraId="39956694" w14:textId="77777777" w:rsidR="004D1589" w:rsidRPr="00F84E64" w:rsidRDefault="004D1589" w:rsidP="00125650">
      <w:pPr>
        <w:jc w:val="both"/>
        <w:rPr>
          <w:rFonts w:ascii="Arial" w:eastAsia="Arial" w:hAnsi="Arial" w:cs="Arial"/>
          <w:color w:val="000000"/>
        </w:rPr>
      </w:pPr>
    </w:p>
    <w:p w14:paraId="338D148F" w14:textId="4EEA21EB" w:rsidR="00702053" w:rsidRPr="00125650" w:rsidRDefault="00226A63" w:rsidP="00125650">
      <w:pPr>
        <w:spacing w:before="240" w:after="240" w:line="360" w:lineRule="auto"/>
        <w:jc w:val="right"/>
        <w:rPr>
          <w:rFonts w:ascii="Arial" w:eastAsia="Arial" w:hAnsi="Arial" w:cs="Arial"/>
          <w:iCs/>
          <w:color w:val="000000"/>
        </w:rPr>
      </w:pPr>
      <w:r w:rsidRPr="0011132D">
        <w:rPr>
          <w:rFonts w:ascii="Arial" w:eastAsia="Arial" w:hAnsi="Arial" w:cs="Arial"/>
          <w:iCs/>
          <w:color w:val="000000"/>
        </w:rPr>
        <w:t xml:space="preserve">Ciudad de México, </w:t>
      </w:r>
      <w:r w:rsidR="00192C00">
        <w:rPr>
          <w:rFonts w:ascii="Arial" w:eastAsia="Arial" w:hAnsi="Arial" w:cs="Arial"/>
          <w:iCs/>
          <w:color w:val="000000"/>
        </w:rPr>
        <w:t>nueve</w:t>
      </w:r>
      <w:r w:rsidR="00C5475B" w:rsidRPr="0011132D">
        <w:rPr>
          <w:rFonts w:ascii="Arial" w:eastAsia="Arial" w:hAnsi="Arial" w:cs="Arial"/>
          <w:iCs/>
          <w:color w:val="000000"/>
        </w:rPr>
        <w:t xml:space="preserve"> </w:t>
      </w:r>
      <w:r w:rsidRPr="0011132D">
        <w:rPr>
          <w:rFonts w:ascii="Arial" w:eastAsia="Arial" w:hAnsi="Arial" w:cs="Arial"/>
          <w:iCs/>
          <w:color w:val="000000"/>
        </w:rPr>
        <w:t xml:space="preserve">de </w:t>
      </w:r>
      <w:r w:rsidR="00880CFB">
        <w:rPr>
          <w:rFonts w:ascii="Arial" w:eastAsia="Arial" w:hAnsi="Arial" w:cs="Arial"/>
          <w:iCs/>
          <w:color w:val="000000"/>
        </w:rPr>
        <w:t>septiembre</w:t>
      </w:r>
      <w:r w:rsidRPr="0011132D">
        <w:rPr>
          <w:rFonts w:ascii="Arial" w:eastAsia="Arial" w:hAnsi="Arial" w:cs="Arial"/>
          <w:iCs/>
          <w:color w:val="000000"/>
        </w:rPr>
        <w:t xml:space="preserve"> de dos mil veintiuno</w:t>
      </w:r>
    </w:p>
    <w:p w14:paraId="465A6ECA" w14:textId="77777777" w:rsidR="00702053" w:rsidRPr="00B152E7" w:rsidRDefault="00702053" w:rsidP="00702053">
      <w:pPr>
        <w:spacing w:before="240" w:after="240" w:line="360" w:lineRule="auto"/>
        <w:jc w:val="both"/>
        <w:rPr>
          <w:rFonts w:ascii="Arial" w:eastAsia="Calibri" w:hAnsi="Arial" w:cs="Arial"/>
          <w:bCs/>
          <w:lang w:eastAsia="en-US"/>
        </w:rPr>
      </w:pPr>
      <w:r w:rsidRPr="00B152E7">
        <w:rPr>
          <w:rFonts w:ascii="Arial" w:eastAsia="Calibri" w:hAnsi="Arial" w:cs="Arial"/>
          <w:lang w:val="es-ES" w:eastAsia="en-US"/>
        </w:rPr>
        <w:t>Sentencia de la Sala Superior del Tribunal Electoral del Poder Judicial de la Federación</w:t>
      </w:r>
      <w:r w:rsidRPr="00B152E7">
        <w:rPr>
          <w:rFonts w:ascii="Arial" w:eastAsia="Calibri" w:hAnsi="Arial" w:cs="Arial"/>
          <w:vertAlign w:val="superscript"/>
          <w:lang w:val="es-ES" w:eastAsia="en-US"/>
        </w:rPr>
        <w:footnoteReference w:id="1"/>
      </w:r>
      <w:r w:rsidR="000D4B7F" w:rsidRPr="00B152E7">
        <w:rPr>
          <w:rFonts w:ascii="Arial" w:eastAsia="Calibri" w:hAnsi="Arial" w:cs="Arial"/>
          <w:lang w:val="es-ES" w:eastAsia="en-US"/>
        </w:rPr>
        <w:t xml:space="preserve"> </w:t>
      </w:r>
      <w:r w:rsidR="00EB41D7" w:rsidRPr="00B152E7">
        <w:rPr>
          <w:rFonts w:ascii="Arial" w:eastAsia="Calibri" w:hAnsi="Arial" w:cs="Arial"/>
          <w:lang w:val="es-ES" w:eastAsia="en-US"/>
        </w:rPr>
        <w:t xml:space="preserve">que </w:t>
      </w:r>
      <w:r w:rsidR="00A65BF0" w:rsidRPr="00B152E7">
        <w:rPr>
          <w:rFonts w:ascii="Arial" w:eastAsia="Calibri" w:hAnsi="Arial" w:cs="Arial"/>
          <w:b/>
          <w:bCs/>
          <w:lang w:val="es-ES" w:eastAsia="en-US"/>
        </w:rPr>
        <w:t>confirma</w:t>
      </w:r>
      <w:r w:rsidR="00EB41D7" w:rsidRPr="00B152E7">
        <w:rPr>
          <w:rFonts w:ascii="Arial" w:eastAsia="Calibri" w:hAnsi="Arial" w:cs="Arial"/>
          <w:lang w:val="es-ES" w:eastAsia="en-US"/>
        </w:rPr>
        <w:t xml:space="preserve"> </w:t>
      </w:r>
      <w:r w:rsidRPr="00B152E7">
        <w:rPr>
          <w:rFonts w:ascii="Arial" w:eastAsia="Calibri" w:hAnsi="Arial" w:cs="Arial"/>
          <w:lang w:val="es-ES" w:eastAsia="en-US"/>
        </w:rPr>
        <w:t xml:space="preserve">la sentencia dictada por la Sala Regional de la </w:t>
      </w:r>
      <w:r w:rsidR="009C3E54" w:rsidRPr="00B152E7">
        <w:rPr>
          <w:rFonts w:ascii="Arial" w:eastAsia="Calibri" w:hAnsi="Arial" w:cs="Arial"/>
          <w:lang w:val="es-ES" w:eastAsia="en-US"/>
        </w:rPr>
        <w:t>Segunda</w:t>
      </w:r>
      <w:r w:rsidRPr="00B152E7">
        <w:rPr>
          <w:rFonts w:ascii="Arial" w:eastAsia="Calibri" w:hAnsi="Arial" w:cs="Arial"/>
          <w:lang w:val="es-ES" w:eastAsia="en-US"/>
        </w:rPr>
        <w:t xml:space="preserve"> </w:t>
      </w:r>
      <w:r w:rsidR="002C01DD" w:rsidRPr="00B152E7">
        <w:rPr>
          <w:rFonts w:ascii="Arial" w:eastAsia="Calibri" w:hAnsi="Arial" w:cs="Arial"/>
          <w:lang w:val="es-ES" w:eastAsia="en-US"/>
        </w:rPr>
        <w:t>C</w:t>
      </w:r>
      <w:r w:rsidRPr="00B152E7">
        <w:rPr>
          <w:rFonts w:ascii="Arial" w:eastAsia="Calibri" w:hAnsi="Arial" w:cs="Arial"/>
          <w:lang w:val="es-ES" w:eastAsia="en-US"/>
        </w:rPr>
        <w:t xml:space="preserve">ircunscripción plurinominal del Tribunal Electoral del Poder Judicial de la Federación, con sede en </w:t>
      </w:r>
      <w:r w:rsidR="009C3E54" w:rsidRPr="00B152E7">
        <w:rPr>
          <w:rFonts w:ascii="Arial" w:eastAsia="Calibri" w:hAnsi="Arial" w:cs="Arial"/>
          <w:lang w:val="es-ES" w:eastAsia="en-US"/>
        </w:rPr>
        <w:t>Monterrey</w:t>
      </w:r>
      <w:r w:rsidRPr="00B152E7">
        <w:rPr>
          <w:rFonts w:ascii="Arial" w:eastAsia="Calibri" w:hAnsi="Arial" w:cs="Arial"/>
          <w:lang w:val="es-ES" w:eastAsia="en-US"/>
        </w:rPr>
        <w:t xml:space="preserve">, </w:t>
      </w:r>
      <w:r w:rsidR="009C3E54" w:rsidRPr="00B152E7">
        <w:rPr>
          <w:rFonts w:ascii="Arial" w:eastAsia="Calibri" w:hAnsi="Arial" w:cs="Arial"/>
          <w:lang w:val="es-ES" w:eastAsia="en-US"/>
        </w:rPr>
        <w:t>Nuevo León</w:t>
      </w:r>
      <w:r w:rsidRPr="00B152E7">
        <w:rPr>
          <w:rFonts w:ascii="Arial" w:eastAsia="Calibri" w:hAnsi="Arial" w:cs="Arial"/>
          <w:bCs/>
          <w:lang w:eastAsia="en-US"/>
        </w:rPr>
        <w:t>,</w:t>
      </w:r>
      <w:r w:rsidRPr="00B152E7">
        <w:rPr>
          <w:rFonts w:ascii="Arial" w:eastAsia="Calibri" w:hAnsi="Arial" w:cs="Arial"/>
          <w:bCs/>
          <w:vertAlign w:val="superscript"/>
          <w:lang w:eastAsia="en-US"/>
        </w:rPr>
        <w:footnoteReference w:id="2"/>
      </w:r>
      <w:r w:rsidRPr="00B152E7">
        <w:rPr>
          <w:rFonts w:ascii="Arial" w:eastAsia="Calibri" w:hAnsi="Arial" w:cs="Arial"/>
          <w:bCs/>
          <w:lang w:eastAsia="en-US"/>
        </w:rPr>
        <w:t xml:space="preserve"> en el juicio </w:t>
      </w:r>
      <w:r w:rsidR="009C3E54" w:rsidRPr="00B152E7">
        <w:rPr>
          <w:rFonts w:ascii="Arial" w:eastAsia="Calibri" w:hAnsi="Arial" w:cs="Arial"/>
          <w:bCs/>
          <w:lang w:eastAsia="en-US"/>
        </w:rPr>
        <w:t xml:space="preserve">SM-JDC-828/2021 y </w:t>
      </w:r>
      <w:r w:rsidR="00024026" w:rsidRPr="00B152E7">
        <w:rPr>
          <w:rFonts w:ascii="Arial" w:eastAsia="Calibri" w:hAnsi="Arial" w:cs="Arial"/>
          <w:bCs/>
          <w:lang w:eastAsia="en-US"/>
        </w:rPr>
        <w:t>a</w:t>
      </w:r>
      <w:r w:rsidR="009C3E54" w:rsidRPr="00B152E7">
        <w:rPr>
          <w:rFonts w:ascii="Arial" w:eastAsia="Calibri" w:hAnsi="Arial" w:cs="Arial"/>
          <w:bCs/>
          <w:lang w:eastAsia="en-US"/>
        </w:rPr>
        <w:t>cumulado.</w:t>
      </w:r>
    </w:p>
    <w:p w14:paraId="1659281B" w14:textId="77777777" w:rsidR="00030A3D" w:rsidRPr="00B152E7" w:rsidRDefault="00ED4E59" w:rsidP="004F03F8">
      <w:pPr>
        <w:keepNext/>
        <w:spacing w:before="240" w:after="240" w:line="360" w:lineRule="auto"/>
        <w:jc w:val="center"/>
        <w:outlineLvl w:val="0"/>
        <w:rPr>
          <w:rFonts w:ascii="Arial" w:eastAsia="Calibri" w:hAnsi="Arial" w:cs="Arial"/>
          <w:b/>
        </w:rPr>
      </w:pPr>
      <w:bookmarkStart w:id="2" w:name="_gjdgxs" w:colFirst="0" w:colLast="0"/>
      <w:bookmarkEnd w:id="2"/>
      <w:r w:rsidRPr="00B152E7">
        <w:rPr>
          <w:rFonts w:ascii="Arial" w:eastAsia="Calibri" w:hAnsi="Arial" w:cs="Arial"/>
          <w:b/>
        </w:rPr>
        <w:t xml:space="preserve">I. </w:t>
      </w:r>
      <w:r w:rsidR="00030A3D" w:rsidRPr="00B152E7">
        <w:rPr>
          <w:rFonts w:ascii="Arial" w:eastAsia="Calibri" w:hAnsi="Arial" w:cs="Arial"/>
          <w:b/>
        </w:rPr>
        <w:t xml:space="preserve">ASPECTOS GENERALES </w:t>
      </w:r>
    </w:p>
    <w:p w14:paraId="75645CC9" w14:textId="77777777" w:rsidR="009C3E54" w:rsidRPr="00B152E7" w:rsidRDefault="00221D1E" w:rsidP="008D211A">
      <w:pPr>
        <w:spacing w:after="240" w:line="360" w:lineRule="auto"/>
        <w:jc w:val="both"/>
        <w:rPr>
          <w:rFonts w:ascii="Arial" w:eastAsia="Calibri" w:hAnsi="Arial" w:cs="Arial"/>
          <w:lang w:eastAsia="en-US"/>
        </w:rPr>
      </w:pPr>
      <w:r w:rsidRPr="00B152E7">
        <w:rPr>
          <w:rFonts w:ascii="Arial" w:eastAsia="Calibri" w:hAnsi="Arial" w:cs="Arial"/>
          <w:lang w:eastAsia="en-US"/>
        </w:rPr>
        <w:t xml:space="preserve">El asunto tiene su origen en la resolución emitida por </w:t>
      </w:r>
      <w:r w:rsidR="0021443C" w:rsidRPr="00B152E7">
        <w:rPr>
          <w:rFonts w:ascii="Arial" w:eastAsia="Calibri" w:hAnsi="Arial" w:cs="Arial"/>
          <w:lang w:eastAsia="en-US"/>
        </w:rPr>
        <w:t xml:space="preserve">la Sala </w:t>
      </w:r>
      <w:r w:rsidR="009C3E54" w:rsidRPr="00B152E7">
        <w:rPr>
          <w:rFonts w:ascii="Arial" w:eastAsia="Calibri" w:hAnsi="Arial" w:cs="Arial"/>
          <w:lang w:eastAsia="en-US"/>
        </w:rPr>
        <w:t>Monterrey</w:t>
      </w:r>
      <w:r w:rsidRPr="00B152E7">
        <w:rPr>
          <w:rFonts w:ascii="Arial" w:eastAsia="Calibri" w:hAnsi="Arial" w:cs="Arial"/>
          <w:lang w:eastAsia="en-US"/>
        </w:rPr>
        <w:t xml:space="preserve"> en el expediente </w:t>
      </w:r>
      <w:r w:rsidR="009C3E54" w:rsidRPr="00B152E7">
        <w:rPr>
          <w:rFonts w:ascii="Arial" w:eastAsia="Calibri" w:hAnsi="Arial" w:cs="Arial"/>
          <w:bCs/>
          <w:lang w:eastAsia="en-US"/>
        </w:rPr>
        <w:t xml:space="preserve">SM-JDC-828/2021 y </w:t>
      </w:r>
      <w:r w:rsidR="00BB30E4" w:rsidRPr="00B152E7">
        <w:rPr>
          <w:rFonts w:ascii="Arial" w:eastAsia="Calibri" w:hAnsi="Arial" w:cs="Arial"/>
          <w:bCs/>
          <w:lang w:eastAsia="en-US"/>
        </w:rPr>
        <w:t>a</w:t>
      </w:r>
      <w:r w:rsidR="009C3E54" w:rsidRPr="00B152E7">
        <w:rPr>
          <w:rFonts w:ascii="Arial" w:eastAsia="Calibri" w:hAnsi="Arial" w:cs="Arial"/>
          <w:bCs/>
          <w:lang w:eastAsia="en-US"/>
        </w:rPr>
        <w:t>cumulado</w:t>
      </w:r>
      <w:r w:rsidRPr="00B152E7">
        <w:rPr>
          <w:rFonts w:ascii="Arial" w:eastAsia="Calibri" w:hAnsi="Arial" w:cs="Arial"/>
          <w:lang w:eastAsia="en-US"/>
        </w:rPr>
        <w:t xml:space="preserve">, </w:t>
      </w:r>
      <w:r w:rsidR="00BD56B2" w:rsidRPr="00B152E7">
        <w:rPr>
          <w:rFonts w:ascii="Arial" w:eastAsia="Calibri" w:hAnsi="Arial" w:cs="Arial"/>
          <w:lang w:eastAsia="en-US"/>
        </w:rPr>
        <w:t>en la</w:t>
      </w:r>
      <w:r w:rsidRPr="00B152E7">
        <w:rPr>
          <w:rFonts w:ascii="Arial" w:eastAsia="Calibri" w:hAnsi="Arial" w:cs="Arial"/>
          <w:lang w:eastAsia="en-US"/>
        </w:rPr>
        <w:t xml:space="preserve"> que se </w:t>
      </w:r>
      <w:r w:rsidR="00B56184" w:rsidRPr="00B152E7">
        <w:rPr>
          <w:rFonts w:ascii="Arial" w:eastAsia="Calibri" w:hAnsi="Arial" w:cs="Arial"/>
          <w:lang w:eastAsia="en-US"/>
        </w:rPr>
        <w:t>confirmó la diver</w:t>
      </w:r>
      <w:r w:rsidR="001550A7" w:rsidRPr="00B152E7">
        <w:rPr>
          <w:rFonts w:ascii="Arial" w:eastAsia="Calibri" w:hAnsi="Arial" w:cs="Arial"/>
          <w:lang w:eastAsia="en-US"/>
        </w:rPr>
        <w:t>sa</w:t>
      </w:r>
      <w:r w:rsidR="00303E27" w:rsidRPr="00B152E7">
        <w:rPr>
          <w:rFonts w:ascii="Arial" w:eastAsia="Calibri" w:hAnsi="Arial" w:cs="Arial"/>
          <w:lang w:eastAsia="en-US"/>
        </w:rPr>
        <w:t xml:space="preserve"> </w:t>
      </w:r>
      <w:r w:rsidR="00755003" w:rsidRPr="00B152E7">
        <w:rPr>
          <w:rFonts w:ascii="Arial" w:eastAsia="Calibri" w:hAnsi="Arial" w:cs="Arial"/>
          <w:lang w:eastAsia="en-US"/>
        </w:rPr>
        <w:t xml:space="preserve">dictada por el </w:t>
      </w:r>
      <w:r w:rsidR="009C3E54" w:rsidRPr="00B152E7">
        <w:rPr>
          <w:rFonts w:ascii="Arial" w:eastAsia="Calibri" w:hAnsi="Arial" w:cs="Arial"/>
          <w:lang w:eastAsia="en-US"/>
        </w:rPr>
        <w:t>Tribunal Estatal Electoral de Guanajuato</w:t>
      </w:r>
      <w:r w:rsidR="00262F64" w:rsidRPr="00B152E7">
        <w:rPr>
          <w:rStyle w:val="Refdenotaalpie"/>
          <w:rFonts w:ascii="Arial" w:eastAsia="Calibri" w:hAnsi="Arial" w:cs="Arial"/>
          <w:lang w:eastAsia="en-US"/>
        </w:rPr>
        <w:footnoteReference w:id="3"/>
      </w:r>
      <w:r w:rsidR="00C523FD" w:rsidRPr="00B152E7">
        <w:rPr>
          <w:rFonts w:ascii="Arial" w:eastAsia="Calibri" w:hAnsi="Arial" w:cs="Arial"/>
          <w:lang w:eastAsia="en-US"/>
        </w:rPr>
        <w:t xml:space="preserve"> en </w:t>
      </w:r>
      <w:r w:rsidR="009C3E54" w:rsidRPr="00B152E7">
        <w:rPr>
          <w:rFonts w:ascii="Arial" w:eastAsia="Calibri" w:hAnsi="Arial" w:cs="Arial"/>
          <w:lang w:eastAsia="en-US"/>
        </w:rPr>
        <w:t xml:space="preserve">los juicios ciudadanos </w:t>
      </w:r>
      <w:r w:rsidR="006105F6" w:rsidRPr="00B152E7">
        <w:rPr>
          <w:rFonts w:ascii="Arial" w:eastAsia="Calibri" w:hAnsi="Arial" w:cs="Arial"/>
          <w:lang w:eastAsia="en-US"/>
        </w:rPr>
        <w:t>TEEG-</w:t>
      </w:r>
      <w:r w:rsidR="009C3E54" w:rsidRPr="00B152E7">
        <w:rPr>
          <w:rFonts w:ascii="Arial" w:eastAsia="Calibri" w:hAnsi="Arial" w:cs="Arial"/>
          <w:lang w:eastAsia="en-US"/>
        </w:rPr>
        <w:t>JPDC-226/2021 y acumulado</w:t>
      </w:r>
      <w:r w:rsidR="00FB6B92" w:rsidRPr="00B152E7">
        <w:rPr>
          <w:rFonts w:ascii="Arial" w:eastAsia="Calibri" w:hAnsi="Arial" w:cs="Arial"/>
          <w:lang w:eastAsia="en-US"/>
        </w:rPr>
        <w:t xml:space="preserve">, promovido por </w:t>
      </w:r>
      <w:r w:rsidR="009C3E54" w:rsidRPr="00B152E7">
        <w:rPr>
          <w:rFonts w:ascii="Arial" w:eastAsia="Calibri" w:hAnsi="Arial" w:cs="Arial"/>
          <w:lang w:eastAsia="en-US"/>
        </w:rPr>
        <w:t>la recurrente y Marcelino Elizarrarás Cervantes</w:t>
      </w:r>
      <w:r w:rsidR="00FB6B92" w:rsidRPr="00B152E7">
        <w:rPr>
          <w:rFonts w:ascii="Arial" w:eastAsia="Calibri" w:hAnsi="Arial" w:cs="Arial"/>
          <w:lang w:eastAsia="en-US"/>
        </w:rPr>
        <w:t xml:space="preserve"> en contra de </w:t>
      </w:r>
      <w:r w:rsidR="00BB30E4" w:rsidRPr="00B152E7">
        <w:rPr>
          <w:rFonts w:ascii="Arial" w:eastAsia="Calibri" w:hAnsi="Arial" w:cs="Arial"/>
          <w:lang w:eastAsia="en-US"/>
        </w:rPr>
        <w:t xml:space="preserve">la </w:t>
      </w:r>
      <w:r w:rsidR="009C3E54" w:rsidRPr="00B152E7">
        <w:rPr>
          <w:rFonts w:ascii="Arial" w:eastAsia="Calibri" w:hAnsi="Arial" w:cs="Arial"/>
          <w:lang w:eastAsia="en-US"/>
        </w:rPr>
        <w:t xml:space="preserve">asignación de </w:t>
      </w:r>
      <w:r w:rsidR="009C3E54" w:rsidRPr="00B152E7">
        <w:rPr>
          <w:rFonts w:ascii="Arial" w:eastAsia="Calibri" w:hAnsi="Arial" w:cs="Arial"/>
          <w:lang w:eastAsia="en-US"/>
        </w:rPr>
        <w:lastRenderedPageBreak/>
        <w:t xml:space="preserve">las regidurías de representación proporcional del </w:t>
      </w:r>
      <w:r w:rsidR="00BB30E4" w:rsidRPr="00B152E7">
        <w:rPr>
          <w:rFonts w:ascii="Arial" w:eastAsia="Calibri" w:hAnsi="Arial" w:cs="Arial"/>
          <w:lang w:eastAsia="en-US"/>
        </w:rPr>
        <w:t>a</w:t>
      </w:r>
      <w:r w:rsidR="009C3E54" w:rsidRPr="00B152E7">
        <w:rPr>
          <w:rFonts w:ascii="Arial" w:eastAsia="Calibri" w:hAnsi="Arial" w:cs="Arial"/>
          <w:lang w:eastAsia="en-US"/>
        </w:rPr>
        <w:t>yuntamiento de Pénjamo, Guanajuato.</w:t>
      </w:r>
    </w:p>
    <w:p w14:paraId="26488814" w14:textId="77777777" w:rsidR="00221D1E" w:rsidRPr="00B152E7" w:rsidRDefault="00221D1E" w:rsidP="008D211A">
      <w:pPr>
        <w:spacing w:after="240" w:line="360" w:lineRule="auto"/>
        <w:jc w:val="both"/>
        <w:rPr>
          <w:rFonts w:ascii="Arial" w:eastAsia="Calibri" w:hAnsi="Arial" w:cs="Arial"/>
          <w:lang w:eastAsia="en-US"/>
        </w:rPr>
      </w:pPr>
      <w:r w:rsidRPr="00B152E7">
        <w:rPr>
          <w:rFonts w:ascii="Arial" w:eastAsia="Calibri" w:hAnsi="Arial" w:cs="Arial"/>
          <w:lang w:eastAsia="en-US"/>
        </w:rPr>
        <w:t xml:space="preserve">En dicha resolución, </w:t>
      </w:r>
      <w:r w:rsidR="00552C4A" w:rsidRPr="00B152E7">
        <w:rPr>
          <w:rFonts w:ascii="Arial" w:eastAsia="Calibri" w:hAnsi="Arial" w:cs="Arial"/>
          <w:lang w:eastAsia="en-US"/>
        </w:rPr>
        <w:t>la responsable</w:t>
      </w:r>
      <w:r w:rsidRPr="00B152E7">
        <w:rPr>
          <w:rFonts w:ascii="Arial" w:eastAsia="Calibri" w:hAnsi="Arial" w:cs="Arial"/>
          <w:lang w:eastAsia="en-US"/>
        </w:rPr>
        <w:t xml:space="preserve"> determinó que </w:t>
      </w:r>
      <w:r w:rsidR="008D211A" w:rsidRPr="00B152E7">
        <w:rPr>
          <w:rFonts w:ascii="Arial" w:eastAsia="Calibri" w:hAnsi="Arial" w:cs="Arial"/>
          <w:lang w:eastAsia="en-US"/>
        </w:rPr>
        <w:t xml:space="preserve">los agravios planteados por </w:t>
      </w:r>
      <w:r w:rsidR="00F1361D" w:rsidRPr="00B152E7">
        <w:rPr>
          <w:rFonts w:ascii="Arial" w:eastAsia="Calibri" w:hAnsi="Arial" w:cs="Arial"/>
          <w:lang w:eastAsia="en-US"/>
        </w:rPr>
        <w:t>los entonces actores</w:t>
      </w:r>
      <w:r w:rsidR="008D211A" w:rsidRPr="00B152E7">
        <w:rPr>
          <w:rFonts w:ascii="Arial" w:eastAsia="Calibri" w:hAnsi="Arial" w:cs="Arial"/>
          <w:lang w:eastAsia="en-US"/>
        </w:rPr>
        <w:t xml:space="preserve"> eran </w:t>
      </w:r>
      <w:bookmarkStart w:id="3" w:name="_Hlk81229541"/>
      <w:r w:rsidR="00BE44BB" w:rsidRPr="00B152E7">
        <w:rPr>
          <w:rFonts w:ascii="Arial" w:eastAsia="Calibri" w:hAnsi="Arial" w:cs="Arial"/>
          <w:lang w:eastAsia="en-US"/>
        </w:rPr>
        <w:t>ineficaces</w:t>
      </w:r>
      <w:bookmarkEnd w:id="3"/>
      <w:r w:rsidR="00F1361D" w:rsidRPr="00B152E7">
        <w:rPr>
          <w:rFonts w:ascii="Arial" w:eastAsia="Calibri" w:hAnsi="Arial" w:cs="Arial"/>
          <w:lang w:eastAsia="en-US"/>
        </w:rPr>
        <w:t>,</w:t>
      </w:r>
      <w:r w:rsidR="00BE44BB" w:rsidRPr="00B152E7">
        <w:rPr>
          <w:rFonts w:ascii="Arial" w:eastAsia="Calibri" w:hAnsi="Arial" w:cs="Arial"/>
          <w:lang w:eastAsia="en-US"/>
        </w:rPr>
        <w:t xml:space="preserve"> pues consideró que el Tribunal local sí fundó y motivó su resolución, además de ser exhaustivo, al confirmar la asignación de regidurías por el principio de representación proporcional.</w:t>
      </w:r>
    </w:p>
    <w:p w14:paraId="479920E3" w14:textId="77777777" w:rsidR="00F002C8" w:rsidRPr="00B152E7" w:rsidRDefault="00ED4E59" w:rsidP="000B3764">
      <w:pPr>
        <w:pStyle w:val="Ttulo1"/>
        <w:spacing w:before="240" w:after="240" w:line="360" w:lineRule="auto"/>
        <w:jc w:val="center"/>
        <w:rPr>
          <w:rFonts w:ascii="Arial" w:eastAsia="Arial" w:hAnsi="Arial" w:cs="Arial"/>
          <w:b/>
          <w:sz w:val="24"/>
          <w:szCs w:val="24"/>
        </w:rPr>
      </w:pPr>
      <w:r w:rsidRPr="00B152E7">
        <w:rPr>
          <w:rFonts w:ascii="Arial" w:eastAsia="Arial" w:hAnsi="Arial" w:cs="Arial"/>
          <w:b/>
          <w:sz w:val="24"/>
          <w:szCs w:val="24"/>
        </w:rPr>
        <w:t>I</w:t>
      </w:r>
      <w:r w:rsidR="00A1496B" w:rsidRPr="00B152E7">
        <w:rPr>
          <w:rFonts w:ascii="Arial" w:eastAsia="Arial" w:hAnsi="Arial" w:cs="Arial"/>
          <w:b/>
          <w:sz w:val="24"/>
          <w:szCs w:val="24"/>
        </w:rPr>
        <w:t>I</w:t>
      </w:r>
      <w:r w:rsidR="003629DC" w:rsidRPr="00B152E7">
        <w:rPr>
          <w:rFonts w:ascii="Arial" w:eastAsia="Arial" w:hAnsi="Arial" w:cs="Arial"/>
          <w:b/>
          <w:sz w:val="24"/>
          <w:szCs w:val="24"/>
        </w:rPr>
        <w:t>. ANTECEDENTES</w:t>
      </w:r>
    </w:p>
    <w:p w14:paraId="588F7217" w14:textId="77777777" w:rsidR="00A66BA9" w:rsidRPr="00B152E7" w:rsidRDefault="00A66BA9" w:rsidP="00A66BA9">
      <w:pPr>
        <w:pStyle w:val="Prrafodelista"/>
        <w:tabs>
          <w:tab w:val="left" w:pos="284"/>
          <w:tab w:val="left" w:pos="3261"/>
        </w:tabs>
        <w:spacing w:before="200" w:after="200" w:line="360" w:lineRule="auto"/>
        <w:ind w:left="0"/>
        <w:contextualSpacing w:val="0"/>
        <w:jc w:val="both"/>
        <w:rPr>
          <w:rFonts w:ascii="Arial" w:hAnsi="Arial" w:cs="Arial"/>
        </w:rPr>
      </w:pPr>
      <w:bookmarkStart w:id="4" w:name="_Hlk65842458"/>
      <w:r w:rsidRPr="00B152E7">
        <w:rPr>
          <w:rFonts w:ascii="Arial" w:hAnsi="Arial" w:cs="Arial"/>
        </w:rPr>
        <w:t>De lo narrado por la parte recurrente y de las constancias que obran en el expediente, se advierten los siguientes hechos:</w:t>
      </w:r>
    </w:p>
    <w:p w14:paraId="1218BD17" w14:textId="77777777" w:rsidR="00BE44BB" w:rsidRPr="00B152E7" w:rsidRDefault="00A66BA9" w:rsidP="000D5E96">
      <w:pPr>
        <w:pStyle w:val="Prrafodelista"/>
        <w:tabs>
          <w:tab w:val="left" w:pos="284"/>
          <w:tab w:val="left" w:pos="3261"/>
        </w:tabs>
        <w:spacing w:before="200" w:after="200" w:line="360" w:lineRule="auto"/>
        <w:ind w:left="0"/>
        <w:contextualSpacing w:val="0"/>
        <w:jc w:val="both"/>
        <w:rPr>
          <w:rFonts w:ascii="Arial" w:hAnsi="Arial" w:cs="Arial"/>
          <w:b/>
          <w:bCs/>
        </w:rPr>
      </w:pPr>
      <w:r w:rsidRPr="00B152E7">
        <w:rPr>
          <w:rFonts w:ascii="Arial" w:hAnsi="Arial" w:cs="Arial"/>
          <w:b/>
          <w:bCs/>
        </w:rPr>
        <w:t xml:space="preserve">1. </w:t>
      </w:r>
      <w:r w:rsidR="00BE44BB" w:rsidRPr="00B152E7">
        <w:rPr>
          <w:rFonts w:ascii="Arial" w:hAnsi="Arial" w:cs="Arial"/>
          <w:b/>
          <w:bCs/>
        </w:rPr>
        <w:t xml:space="preserve">Inicio del proceso electoral. </w:t>
      </w:r>
      <w:r w:rsidR="00BE44BB" w:rsidRPr="00B152E7">
        <w:rPr>
          <w:rFonts w:ascii="Arial" w:hAnsi="Arial" w:cs="Arial"/>
        </w:rPr>
        <w:t>El siete de septiembre de dos mil veinte, se declaró el inicio del proceso electoral 2020-2021, para la renovación de los cargos a diputaciones y ayuntamientos del Estado de Guanajuato.</w:t>
      </w:r>
    </w:p>
    <w:p w14:paraId="5A1AE1F0" w14:textId="77777777" w:rsidR="004D445D" w:rsidRPr="00B152E7" w:rsidRDefault="00BE44BB" w:rsidP="000D5E96">
      <w:pPr>
        <w:pStyle w:val="Prrafodelista"/>
        <w:tabs>
          <w:tab w:val="left" w:pos="284"/>
          <w:tab w:val="left" w:pos="3261"/>
        </w:tabs>
        <w:spacing w:before="200" w:after="200" w:line="360" w:lineRule="auto"/>
        <w:ind w:left="0"/>
        <w:contextualSpacing w:val="0"/>
        <w:jc w:val="both"/>
        <w:rPr>
          <w:rFonts w:ascii="Arial" w:hAnsi="Arial" w:cs="Arial"/>
        </w:rPr>
      </w:pPr>
      <w:r w:rsidRPr="00B152E7">
        <w:rPr>
          <w:rFonts w:ascii="Arial" w:hAnsi="Arial" w:cs="Arial"/>
          <w:b/>
          <w:bCs/>
        </w:rPr>
        <w:t>2. Registro</w:t>
      </w:r>
      <w:r w:rsidR="005575CE" w:rsidRPr="00B152E7">
        <w:rPr>
          <w:rFonts w:ascii="Arial" w:hAnsi="Arial" w:cs="Arial"/>
          <w:b/>
          <w:bCs/>
        </w:rPr>
        <w:t xml:space="preserve"> (CGIEEG/099/2021 y CGIEEG/124/2021)</w:t>
      </w:r>
      <w:r w:rsidR="000D5E96" w:rsidRPr="00B152E7">
        <w:rPr>
          <w:rFonts w:ascii="Arial" w:hAnsi="Arial" w:cs="Arial"/>
          <w:b/>
          <w:bCs/>
        </w:rPr>
        <w:t>.</w:t>
      </w:r>
      <w:r w:rsidR="000D5E96" w:rsidRPr="00B152E7">
        <w:rPr>
          <w:rFonts w:ascii="Arial" w:hAnsi="Arial" w:cs="Arial"/>
        </w:rPr>
        <w:t xml:space="preserve"> </w:t>
      </w:r>
      <w:bookmarkStart w:id="5" w:name="_Hlk79001764"/>
      <w:r w:rsidR="005575CE" w:rsidRPr="00B152E7">
        <w:rPr>
          <w:rFonts w:ascii="Arial" w:hAnsi="Arial" w:cs="Arial"/>
        </w:rPr>
        <w:t>El cuatro y siete de abril de dos mil veinte, el Consejo General del Instituto Electoral del Estado de Guanajuato</w:t>
      </w:r>
      <w:r w:rsidR="005575CE" w:rsidRPr="00B152E7">
        <w:rPr>
          <w:rStyle w:val="Refdenotaalpie"/>
          <w:rFonts w:ascii="Arial" w:hAnsi="Arial" w:cs="Arial"/>
        </w:rPr>
        <w:footnoteReference w:id="4"/>
      </w:r>
      <w:r w:rsidR="005575CE" w:rsidRPr="00B152E7">
        <w:rPr>
          <w:rFonts w:ascii="Arial" w:hAnsi="Arial" w:cs="Arial"/>
        </w:rPr>
        <w:t xml:space="preserve"> emitió acuerdos por los cuales se registraron las planillas de candidaturas propuestas por el Partido Revolucionario Institucional</w:t>
      </w:r>
      <w:r w:rsidR="005575CE" w:rsidRPr="00B152E7">
        <w:rPr>
          <w:rStyle w:val="Refdenotaalpie"/>
          <w:rFonts w:ascii="Arial" w:hAnsi="Arial" w:cs="Arial"/>
        </w:rPr>
        <w:footnoteReference w:id="5"/>
      </w:r>
      <w:r w:rsidR="005575CE" w:rsidRPr="00B152E7">
        <w:rPr>
          <w:rFonts w:ascii="Arial" w:hAnsi="Arial" w:cs="Arial"/>
        </w:rPr>
        <w:t xml:space="preserve"> y Mo</w:t>
      </w:r>
      <w:r w:rsidR="00DD4C2A" w:rsidRPr="00B152E7">
        <w:rPr>
          <w:rFonts w:ascii="Arial" w:hAnsi="Arial" w:cs="Arial"/>
        </w:rPr>
        <w:t>rena</w:t>
      </w:r>
      <w:r w:rsidR="005575CE" w:rsidRPr="00B152E7">
        <w:rPr>
          <w:rFonts w:ascii="Arial" w:hAnsi="Arial" w:cs="Arial"/>
        </w:rPr>
        <w:t xml:space="preserve"> para la renovación del ayuntamiento de Pénjamo, Guanajuato.</w:t>
      </w:r>
    </w:p>
    <w:bookmarkEnd w:id="5"/>
    <w:p w14:paraId="545A9212" w14:textId="77777777" w:rsidR="005575CE" w:rsidRPr="00B152E7" w:rsidRDefault="005575CE" w:rsidP="00A66BA9">
      <w:pPr>
        <w:pStyle w:val="Prrafodelista"/>
        <w:tabs>
          <w:tab w:val="left" w:pos="284"/>
          <w:tab w:val="left" w:pos="3261"/>
        </w:tabs>
        <w:spacing w:before="200" w:after="200" w:line="360" w:lineRule="auto"/>
        <w:ind w:left="0"/>
        <w:contextualSpacing w:val="0"/>
        <w:jc w:val="both"/>
        <w:rPr>
          <w:rFonts w:ascii="Arial" w:hAnsi="Arial" w:cs="Arial"/>
          <w:b/>
          <w:bCs/>
        </w:rPr>
      </w:pPr>
      <w:r w:rsidRPr="00B152E7">
        <w:rPr>
          <w:rFonts w:ascii="Arial" w:hAnsi="Arial" w:cs="Arial"/>
          <w:b/>
          <w:bCs/>
        </w:rPr>
        <w:t>3</w:t>
      </w:r>
      <w:r w:rsidR="00A66BA9" w:rsidRPr="00B152E7">
        <w:rPr>
          <w:rFonts w:ascii="Arial" w:hAnsi="Arial" w:cs="Arial"/>
          <w:b/>
          <w:bCs/>
        </w:rPr>
        <w:t>.</w:t>
      </w:r>
      <w:r w:rsidRPr="00B152E7">
        <w:rPr>
          <w:rFonts w:ascii="Arial" w:hAnsi="Arial" w:cs="Arial"/>
          <w:b/>
          <w:bCs/>
        </w:rPr>
        <w:t xml:space="preserve"> Jornada electoral. </w:t>
      </w:r>
      <w:r w:rsidRPr="00B152E7">
        <w:rPr>
          <w:rFonts w:ascii="Arial" w:hAnsi="Arial" w:cs="Arial"/>
        </w:rPr>
        <w:t>El seis de junio</w:t>
      </w:r>
      <w:r w:rsidR="007C5B42" w:rsidRPr="00B152E7">
        <w:rPr>
          <w:rFonts w:ascii="Arial" w:hAnsi="Arial" w:cs="Arial"/>
        </w:rPr>
        <w:t xml:space="preserve"> de dos mil veintiuno</w:t>
      </w:r>
      <w:r w:rsidRPr="00B152E7">
        <w:rPr>
          <w:rFonts w:ascii="Arial" w:hAnsi="Arial" w:cs="Arial"/>
        </w:rPr>
        <w:t>,</w:t>
      </w:r>
      <w:r w:rsidR="007C5B42" w:rsidRPr="00B152E7">
        <w:rPr>
          <w:rStyle w:val="Refdenotaalpie"/>
          <w:rFonts w:ascii="Arial" w:eastAsia="Calibri" w:hAnsi="Arial" w:cs="Arial"/>
          <w:lang w:eastAsia="en-US"/>
        </w:rPr>
        <w:footnoteReference w:id="6"/>
      </w:r>
      <w:r w:rsidRPr="00B152E7">
        <w:rPr>
          <w:rFonts w:ascii="Arial" w:hAnsi="Arial" w:cs="Arial"/>
        </w:rPr>
        <w:t xml:space="preserve"> se llevó a cabo la jornada electoral para la elección de diputaciones del Congreso Local del Estado de Guanajuato por los principios de mayoría relativa y representación proporcional, así como </w:t>
      </w:r>
      <w:r w:rsidR="007C5B42" w:rsidRPr="00B152E7">
        <w:rPr>
          <w:rFonts w:ascii="Arial" w:hAnsi="Arial" w:cs="Arial"/>
        </w:rPr>
        <w:t>a</w:t>
      </w:r>
      <w:r w:rsidRPr="00B152E7">
        <w:rPr>
          <w:rFonts w:ascii="Arial" w:hAnsi="Arial" w:cs="Arial"/>
        </w:rPr>
        <w:t>yuntamientos.</w:t>
      </w:r>
    </w:p>
    <w:p w14:paraId="31A2AD3B" w14:textId="77777777" w:rsidR="005575CE" w:rsidRPr="00B152E7" w:rsidRDefault="005575CE" w:rsidP="005575CE">
      <w:pPr>
        <w:pStyle w:val="Prrafodelista"/>
        <w:tabs>
          <w:tab w:val="left" w:pos="284"/>
          <w:tab w:val="left" w:pos="3261"/>
        </w:tabs>
        <w:spacing w:before="200" w:after="200" w:line="360" w:lineRule="auto"/>
        <w:ind w:left="0"/>
        <w:contextualSpacing w:val="0"/>
        <w:jc w:val="both"/>
        <w:rPr>
          <w:rFonts w:ascii="Arial" w:hAnsi="Arial" w:cs="Arial"/>
          <w:lang w:val="es-ES_tradnl"/>
        </w:rPr>
      </w:pPr>
      <w:r w:rsidRPr="00B152E7">
        <w:rPr>
          <w:rFonts w:ascii="Arial" w:hAnsi="Arial" w:cs="Arial"/>
          <w:b/>
          <w:bCs/>
        </w:rPr>
        <w:t>4.</w:t>
      </w:r>
      <w:r w:rsidR="003F3DC7" w:rsidRPr="00B152E7">
        <w:rPr>
          <w:rFonts w:ascii="Arial" w:hAnsi="Arial" w:cs="Arial"/>
          <w:b/>
          <w:bCs/>
        </w:rPr>
        <w:t xml:space="preserve"> </w:t>
      </w:r>
      <w:r w:rsidR="00474972" w:rsidRPr="00B152E7">
        <w:rPr>
          <w:rFonts w:ascii="Arial" w:hAnsi="Arial" w:cs="Arial"/>
          <w:b/>
          <w:bCs/>
        </w:rPr>
        <w:t>C</w:t>
      </w:r>
      <w:r w:rsidR="008D589F" w:rsidRPr="00B152E7">
        <w:rPr>
          <w:rFonts w:ascii="Arial" w:hAnsi="Arial" w:cs="Arial"/>
          <w:b/>
          <w:bCs/>
        </w:rPr>
        <w:t>ómputo municipal</w:t>
      </w:r>
      <w:r w:rsidRPr="00B152E7">
        <w:rPr>
          <w:rFonts w:ascii="Arial" w:hAnsi="Arial" w:cs="Arial"/>
          <w:b/>
          <w:bCs/>
        </w:rPr>
        <w:t xml:space="preserve"> y declaración de validez</w:t>
      </w:r>
      <w:r w:rsidR="00A66BA9" w:rsidRPr="00B152E7">
        <w:rPr>
          <w:rFonts w:ascii="Arial" w:hAnsi="Arial" w:cs="Arial"/>
          <w:b/>
          <w:bCs/>
        </w:rPr>
        <w:t>.</w:t>
      </w:r>
      <w:r w:rsidR="00CC6FB0" w:rsidRPr="00B152E7">
        <w:rPr>
          <w:rFonts w:ascii="Arial" w:hAnsi="Arial" w:cs="Arial"/>
          <w:b/>
          <w:bCs/>
        </w:rPr>
        <w:t xml:space="preserve"> </w:t>
      </w:r>
      <w:r w:rsidRPr="00B152E7">
        <w:rPr>
          <w:rFonts w:ascii="Arial" w:hAnsi="Arial" w:cs="Arial"/>
          <w:lang w:val="es-ES_tradnl"/>
        </w:rPr>
        <w:t xml:space="preserve">El nueve de junio, en sesión especial el Consejo Municipal Electoral de Pénjamo del Instituto </w:t>
      </w:r>
      <w:r w:rsidR="00124C12" w:rsidRPr="00B152E7">
        <w:rPr>
          <w:rFonts w:ascii="Arial" w:hAnsi="Arial" w:cs="Arial"/>
          <w:lang w:val="es-ES_tradnl"/>
        </w:rPr>
        <w:t>local</w:t>
      </w:r>
      <w:r w:rsidRPr="00B152E7">
        <w:rPr>
          <w:rStyle w:val="Refdenotaalpie"/>
          <w:rFonts w:ascii="Arial" w:hAnsi="Arial" w:cs="Arial"/>
          <w:lang w:val="es-ES_tradnl"/>
        </w:rPr>
        <w:footnoteReference w:id="7"/>
      </w:r>
      <w:r w:rsidRPr="00B152E7">
        <w:rPr>
          <w:rFonts w:ascii="Arial" w:hAnsi="Arial" w:cs="Arial"/>
          <w:lang w:val="es-ES_tradnl"/>
        </w:rPr>
        <w:t xml:space="preserve"> llevó a</w:t>
      </w:r>
      <w:r w:rsidR="00124C12" w:rsidRPr="00B152E7">
        <w:rPr>
          <w:rFonts w:ascii="Arial" w:hAnsi="Arial" w:cs="Arial"/>
          <w:lang w:val="es-ES_tradnl"/>
        </w:rPr>
        <w:t xml:space="preserve"> </w:t>
      </w:r>
      <w:r w:rsidRPr="00B152E7">
        <w:rPr>
          <w:rFonts w:ascii="Arial" w:hAnsi="Arial" w:cs="Arial"/>
          <w:lang w:val="es-ES_tradnl"/>
        </w:rPr>
        <w:t xml:space="preserve">cabo el cómputo para la renovación del </w:t>
      </w:r>
      <w:r w:rsidR="007C5B42" w:rsidRPr="00B152E7">
        <w:rPr>
          <w:rFonts w:ascii="Arial" w:hAnsi="Arial" w:cs="Arial"/>
          <w:lang w:val="es-ES_tradnl"/>
        </w:rPr>
        <w:t>a</w:t>
      </w:r>
      <w:r w:rsidRPr="00B152E7">
        <w:rPr>
          <w:rFonts w:ascii="Arial" w:hAnsi="Arial" w:cs="Arial"/>
          <w:lang w:val="es-ES_tradnl"/>
        </w:rPr>
        <w:t xml:space="preserve">yuntamiento de Pénjamo, </w:t>
      </w:r>
      <w:r w:rsidRPr="00B152E7">
        <w:rPr>
          <w:rFonts w:ascii="Arial" w:hAnsi="Arial" w:cs="Arial"/>
        </w:rPr>
        <w:t>Guanajuato</w:t>
      </w:r>
      <w:r w:rsidRPr="00B152E7">
        <w:rPr>
          <w:rFonts w:ascii="Arial" w:hAnsi="Arial" w:cs="Arial"/>
          <w:lang w:val="es-ES_tradnl"/>
        </w:rPr>
        <w:t xml:space="preserve">; concluyendo el diez siguiente </w:t>
      </w:r>
      <w:r w:rsidRPr="00B152E7">
        <w:rPr>
          <w:rFonts w:ascii="Arial" w:hAnsi="Arial" w:cs="Arial"/>
          <w:bCs/>
          <w:lang w:val="es-ES_tradnl"/>
        </w:rPr>
        <w:t xml:space="preserve">con la declaración de </w:t>
      </w:r>
      <w:r w:rsidRPr="00B152E7">
        <w:rPr>
          <w:rFonts w:ascii="Arial" w:hAnsi="Arial" w:cs="Arial"/>
          <w:bCs/>
          <w:lang w:val="es-ES_tradnl"/>
        </w:rPr>
        <w:lastRenderedPageBreak/>
        <w:t>validez de la elección y la entrega de la constancia de mayoría a la fórmula de candidaturas ganadoras postuladas por el Partido Acción Nacional.</w:t>
      </w:r>
      <w:r w:rsidRPr="00B152E7">
        <w:rPr>
          <w:rStyle w:val="Refdenotaalpie"/>
          <w:rFonts w:ascii="Arial" w:hAnsi="Arial" w:cs="Arial"/>
          <w:bCs/>
          <w:lang w:val="es-ES_tradnl"/>
        </w:rPr>
        <w:footnoteReference w:id="8"/>
      </w:r>
    </w:p>
    <w:tbl>
      <w:tblPr>
        <w:tblStyle w:val="Tablaconcuadrcula1"/>
        <w:tblW w:w="0" w:type="auto"/>
        <w:jc w:val="center"/>
        <w:tblLook w:val="04A0" w:firstRow="1" w:lastRow="0" w:firstColumn="1" w:lastColumn="0" w:noHBand="0" w:noVBand="1"/>
      </w:tblPr>
      <w:tblGrid>
        <w:gridCol w:w="1050"/>
        <w:gridCol w:w="1922"/>
        <w:gridCol w:w="1171"/>
        <w:gridCol w:w="1561"/>
      </w:tblGrid>
      <w:tr w:rsidR="005575CE" w:rsidRPr="00B152E7" w14:paraId="50C564AF" w14:textId="77777777" w:rsidTr="005575CE">
        <w:trPr>
          <w:trHeight w:val="465"/>
          <w:jc w:val="center"/>
        </w:trPr>
        <w:tc>
          <w:tcPr>
            <w:tcW w:w="5704" w:type="dxa"/>
            <w:gridSpan w:val="4"/>
            <w:tcBorders>
              <w:top w:val="single" w:sz="4" w:space="0" w:color="auto"/>
              <w:left w:val="single" w:sz="4" w:space="0" w:color="auto"/>
              <w:bottom w:val="single" w:sz="4" w:space="0" w:color="auto"/>
              <w:right w:val="single" w:sz="4" w:space="0" w:color="auto"/>
            </w:tcBorders>
            <w:shd w:val="clear" w:color="auto" w:fill="D5DCE4"/>
          </w:tcPr>
          <w:p w14:paraId="48DC9177" w14:textId="77777777" w:rsidR="005575CE" w:rsidRPr="00B152E7" w:rsidRDefault="005575CE" w:rsidP="005575CE">
            <w:pPr>
              <w:jc w:val="center"/>
              <w:rPr>
                <w:b/>
                <w:bCs/>
                <w:szCs w:val="16"/>
                <w:lang w:val="es-ES_tradnl"/>
              </w:rPr>
            </w:pPr>
            <w:r w:rsidRPr="00B152E7">
              <w:rPr>
                <w:b/>
                <w:bCs/>
                <w:szCs w:val="16"/>
                <w:lang w:val="es-ES_tradnl"/>
              </w:rPr>
              <w:t>Resultados del cómputo para el Ayuntamiento-Pénjamo, Guanaju</w:t>
            </w:r>
            <w:r w:rsidRPr="00B152E7">
              <w:rPr>
                <w:b/>
                <w:bCs/>
                <w:lang w:val="es-ES_tradnl"/>
              </w:rPr>
              <w:t>ato</w:t>
            </w:r>
          </w:p>
        </w:tc>
      </w:tr>
      <w:tr w:rsidR="005575CE" w:rsidRPr="00B152E7" w14:paraId="3FDB77E9" w14:textId="77777777" w:rsidTr="005575CE">
        <w:trPr>
          <w:trHeight w:val="231"/>
          <w:jc w:val="center"/>
        </w:trPr>
        <w:tc>
          <w:tcPr>
            <w:tcW w:w="1050" w:type="dxa"/>
            <w:tcBorders>
              <w:top w:val="single" w:sz="4" w:space="0" w:color="auto"/>
              <w:left w:val="single" w:sz="4" w:space="0" w:color="auto"/>
              <w:bottom w:val="single" w:sz="4" w:space="0" w:color="auto"/>
              <w:right w:val="single" w:sz="4" w:space="0" w:color="auto"/>
            </w:tcBorders>
            <w:shd w:val="clear" w:color="auto" w:fill="D5DCE4"/>
          </w:tcPr>
          <w:p w14:paraId="3FB48157" w14:textId="77777777" w:rsidR="005575CE" w:rsidRPr="00B152E7" w:rsidRDefault="005575CE" w:rsidP="005575CE">
            <w:pPr>
              <w:jc w:val="center"/>
              <w:rPr>
                <w:b/>
                <w:bCs/>
                <w:szCs w:val="16"/>
                <w:lang w:val="es-ES_tradnl"/>
              </w:rPr>
            </w:pPr>
            <w:r w:rsidRPr="00B152E7">
              <w:rPr>
                <w:b/>
                <w:bCs/>
                <w:szCs w:val="16"/>
                <w:lang w:val="es-ES_tradnl"/>
              </w:rPr>
              <w:t>Posición</w:t>
            </w:r>
          </w:p>
        </w:tc>
        <w:tc>
          <w:tcPr>
            <w:tcW w:w="1922"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AD2B270" w14:textId="77777777" w:rsidR="005575CE" w:rsidRPr="00B152E7" w:rsidRDefault="005575CE" w:rsidP="005575CE">
            <w:pPr>
              <w:jc w:val="center"/>
              <w:rPr>
                <w:b/>
                <w:bCs/>
                <w:szCs w:val="16"/>
                <w:lang w:val="es-ES_tradnl"/>
              </w:rPr>
            </w:pPr>
            <w:r w:rsidRPr="00B152E7">
              <w:rPr>
                <w:b/>
                <w:bCs/>
                <w:szCs w:val="16"/>
                <w:lang w:val="es-ES_tradnl"/>
              </w:rPr>
              <w:t>Partido Político</w:t>
            </w:r>
          </w:p>
        </w:tc>
        <w:tc>
          <w:tcPr>
            <w:tcW w:w="117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0141F45" w14:textId="77777777" w:rsidR="005575CE" w:rsidRPr="00B152E7" w:rsidRDefault="005575CE" w:rsidP="005575CE">
            <w:pPr>
              <w:jc w:val="center"/>
              <w:rPr>
                <w:b/>
                <w:bCs/>
                <w:szCs w:val="16"/>
                <w:lang w:val="es-ES_tradnl"/>
              </w:rPr>
            </w:pPr>
            <w:r w:rsidRPr="00B152E7">
              <w:rPr>
                <w:b/>
                <w:bCs/>
                <w:szCs w:val="16"/>
                <w:lang w:val="es-ES_tradnl"/>
              </w:rPr>
              <w:t>Votos</w:t>
            </w:r>
          </w:p>
        </w:tc>
        <w:tc>
          <w:tcPr>
            <w:tcW w:w="15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F0076D4" w14:textId="77777777" w:rsidR="005575CE" w:rsidRPr="00B152E7" w:rsidRDefault="005575CE" w:rsidP="005575CE">
            <w:pPr>
              <w:jc w:val="center"/>
              <w:rPr>
                <w:b/>
                <w:bCs/>
                <w:szCs w:val="16"/>
                <w:lang w:val="es-ES_tradnl"/>
              </w:rPr>
            </w:pPr>
            <w:r w:rsidRPr="00B152E7">
              <w:rPr>
                <w:b/>
                <w:bCs/>
                <w:szCs w:val="16"/>
                <w:lang w:val="es-ES_tradnl"/>
              </w:rPr>
              <w:t>Porcentaje</w:t>
            </w:r>
          </w:p>
        </w:tc>
      </w:tr>
      <w:tr w:rsidR="005575CE" w:rsidRPr="00B152E7" w14:paraId="78BC1FEC" w14:textId="77777777" w:rsidTr="00FE1A56">
        <w:trPr>
          <w:trHeight w:val="302"/>
          <w:jc w:val="center"/>
        </w:trPr>
        <w:tc>
          <w:tcPr>
            <w:tcW w:w="1050" w:type="dxa"/>
            <w:tcBorders>
              <w:top w:val="single" w:sz="4" w:space="0" w:color="auto"/>
              <w:left w:val="single" w:sz="4" w:space="0" w:color="auto"/>
              <w:bottom w:val="single" w:sz="4" w:space="0" w:color="auto"/>
              <w:right w:val="single" w:sz="4" w:space="0" w:color="auto"/>
            </w:tcBorders>
          </w:tcPr>
          <w:p w14:paraId="6193F7C4" w14:textId="77777777" w:rsidR="005575CE" w:rsidRPr="00B152E7" w:rsidRDefault="005575CE" w:rsidP="005575CE">
            <w:pPr>
              <w:jc w:val="center"/>
              <w:rPr>
                <w:b/>
                <w:bCs/>
                <w:szCs w:val="16"/>
                <w:lang w:val="es-ES_tradnl"/>
              </w:rPr>
            </w:pPr>
            <w:r w:rsidRPr="00B152E7">
              <w:rPr>
                <w:b/>
                <w:bCs/>
                <w:szCs w:val="16"/>
                <w:lang w:val="es-ES_tradnl"/>
              </w:rPr>
              <w:t>1°</w:t>
            </w:r>
          </w:p>
        </w:tc>
        <w:tc>
          <w:tcPr>
            <w:tcW w:w="1922" w:type="dxa"/>
            <w:tcBorders>
              <w:top w:val="single" w:sz="4" w:space="0" w:color="auto"/>
              <w:left w:val="single" w:sz="4" w:space="0" w:color="auto"/>
              <w:bottom w:val="single" w:sz="4" w:space="0" w:color="auto"/>
              <w:right w:val="single" w:sz="4" w:space="0" w:color="auto"/>
            </w:tcBorders>
            <w:vAlign w:val="center"/>
            <w:hideMark/>
          </w:tcPr>
          <w:p w14:paraId="0494F70B" w14:textId="77777777" w:rsidR="005575CE" w:rsidRPr="00B152E7" w:rsidRDefault="005575CE" w:rsidP="005575CE">
            <w:pPr>
              <w:jc w:val="center"/>
              <w:rPr>
                <w:szCs w:val="16"/>
                <w:lang w:val="es-ES_tradnl"/>
              </w:rPr>
            </w:pPr>
            <w:r w:rsidRPr="00B152E7">
              <w:rPr>
                <w:noProof/>
                <w:szCs w:val="16"/>
                <w:lang w:val="es-ES_tradnl"/>
              </w:rPr>
              <w:drawing>
                <wp:inline distT="0" distB="0" distL="0" distR="0" wp14:anchorId="15569E83" wp14:editId="370BBEC7">
                  <wp:extent cx="238760" cy="238760"/>
                  <wp:effectExtent l="0" t="0" r="889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61D6167E" w14:textId="77777777" w:rsidR="005575CE" w:rsidRPr="00B152E7" w:rsidRDefault="005575CE" w:rsidP="005575CE">
            <w:pPr>
              <w:jc w:val="center"/>
              <w:rPr>
                <w:b/>
                <w:szCs w:val="16"/>
                <w:lang w:val="es-ES_tradnl"/>
              </w:rPr>
            </w:pPr>
            <w:r w:rsidRPr="00B152E7">
              <w:rPr>
                <w:b/>
                <w:bCs/>
                <w:color w:val="212529"/>
                <w:sz w:val="19"/>
                <w:szCs w:val="19"/>
                <w:shd w:val="clear" w:color="auto" w:fill="F9F9F9"/>
                <w:lang w:val="es-ES_tradnl"/>
              </w:rPr>
              <w:t>16,517</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D29D422" w14:textId="77777777" w:rsidR="005575CE" w:rsidRPr="00B152E7" w:rsidRDefault="005575CE" w:rsidP="005575CE">
            <w:pPr>
              <w:jc w:val="center"/>
              <w:rPr>
                <w:b/>
                <w:szCs w:val="16"/>
                <w:lang w:val="es-ES_tradnl"/>
              </w:rPr>
            </w:pPr>
            <w:r w:rsidRPr="00B152E7">
              <w:rPr>
                <w:b/>
                <w:bCs/>
                <w:color w:val="212529"/>
                <w:sz w:val="19"/>
                <w:szCs w:val="19"/>
                <w:shd w:val="clear" w:color="auto" w:fill="F9F9F9"/>
                <w:lang w:val="es-ES_tradnl"/>
              </w:rPr>
              <w:t>36.89</w:t>
            </w:r>
            <w:r w:rsidRPr="00B152E7">
              <w:rPr>
                <w:b/>
                <w:szCs w:val="16"/>
                <w:lang w:val="es-ES_tradnl"/>
              </w:rPr>
              <w:t>%</w:t>
            </w:r>
          </w:p>
        </w:tc>
      </w:tr>
      <w:tr w:rsidR="005575CE" w:rsidRPr="00B152E7" w14:paraId="7C4A7F45" w14:textId="77777777" w:rsidTr="00FE1A56">
        <w:trPr>
          <w:trHeight w:val="336"/>
          <w:jc w:val="center"/>
        </w:trPr>
        <w:tc>
          <w:tcPr>
            <w:tcW w:w="1050" w:type="dxa"/>
            <w:tcBorders>
              <w:top w:val="single" w:sz="4" w:space="0" w:color="auto"/>
              <w:left w:val="single" w:sz="4" w:space="0" w:color="auto"/>
              <w:bottom w:val="single" w:sz="4" w:space="0" w:color="auto"/>
              <w:right w:val="single" w:sz="4" w:space="0" w:color="auto"/>
            </w:tcBorders>
            <w:vAlign w:val="center"/>
          </w:tcPr>
          <w:p w14:paraId="64219F70" w14:textId="77777777" w:rsidR="005575CE" w:rsidRPr="00B152E7" w:rsidRDefault="005575CE" w:rsidP="005575CE">
            <w:pPr>
              <w:jc w:val="center"/>
              <w:rPr>
                <w:szCs w:val="16"/>
                <w:lang w:val="es-ES_tradnl"/>
              </w:rPr>
            </w:pPr>
            <w:r w:rsidRPr="00B152E7">
              <w:rPr>
                <w:szCs w:val="16"/>
                <w:lang w:val="es-ES_tradnl"/>
              </w:rPr>
              <w:t>2°</w:t>
            </w:r>
          </w:p>
        </w:tc>
        <w:tc>
          <w:tcPr>
            <w:tcW w:w="1922" w:type="dxa"/>
            <w:tcBorders>
              <w:top w:val="single" w:sz="4" w:space="0" w:color="auto"/>
              <w:left w:val="single" w:sz="4" w:space="0" w:color="auto"/>
              <w:bottom w:val="single" w:sz="4" w:space="0" w:color="auto"/>
              <w:right w:val="single" w:sz="4" w:space="0" w:color="auto"/>
            </w:tcBorders>
            <w:vAlign w:val="center"/>
          </w:tcPr>
          <w:p w14:paraId="78EE6B85" w14:textId="77777777" w:rsidR="005575CE" w:rsidRPr="00B152E7" w:rsidRDefault="005575CE" w:rsidP="005575CE">
            <w:pPr>
              <w:jc w:val="center"/>
              <w:rPr>
                <w:szCs w:val="16"/>
                <w:lang w:val="es-ES_tradnl"/>
              </w:rPr>
            </w:pPr>
            <w:r w:rsidRPr="00B152E7">
              <w:rPr>
                <w:noProof/>
                <w:szCs w:val="16"/>
                <w:lang w:val="es-ES_tradnl"/>
              </w:rPr>
              <w:drawing>
                <wp:inline distT="0" distB="0" distL="0" distR="0" wp14:anchorId="58A29672" wp14:editId="707273C5">
                  <wp:extent cx="334010" cy="198755"/>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tcPr>
          <w:p w14:paraId="6D9FB35E" w14:textId="77777777" w:rsidR="005575CE" w:rsidRPr="00B152E7" w:rsidRDefault="005575CE" w:rsidP="005575CE">
            <w:pPr>
              <w:jc w:val="center"/>
              <w:rPr>
                <w:szCs w:val="16"/>
                <w:lang w:val="es-ES_tradnl"/>
              </w:rPr>
            </w:pPr>
            <w:r w:rsidRPr="00B152E7">
              <w:rPr>
                <w:szCs w:val="16"/>
                <w:lang w:val="es-ES_tradnl"/>
              </w:rPr>
              <w:t>12,603</w:t>
            </w:r>
          </w:p>
        </w:tc>
        <w:tc>
          <w:tcPr>
            <w:tcW w:w="1561" w:type="dxa"/>
            <w:tcBorders>
              <w:top w:val="single" w:sz="4" w:space="0" w:color="auto"/>
              <w:left w:val="single" w:sz="4" w:space="0" w:color="auto"/>
              <w:bottom w:val="single" w:sz="4" w:space="0" w:color="auto"/>
              <w:right w:val="single" w:sz="4" w:space="0" w:color="auto"/>
            </w:tcBorders>
            <w:vAlign w:val="center"/>
          </w:tcPr>
          <w:p w14:paraId="22B10646" w14:textId="77777777" w:rsidR="005575CE" w:rsidRPr="00B152E7" w:rsidRDefault="005575CE" w:rsidP="005575CE">
            <w:pPr>
              <w:jc w:val="center"/>
              <w:rPr>
                <w:szCs w:val="16"/>
                <w:lang w:val="es-ES_tradnl"/>
              </w:rPr>
            </w:pPr>
            <w:r w:rsidRPr="00B152E7">
              <w:rPr>
                <w:szCs w:val="16"/>
                <w:lang w:val="es-ES_tradnl"/>
              </w:rPr>
              <w:t>28.15%</w:t>
            </w:r>
          </w:p>
        </w:tc>
      </w:tr>
      <w:tr w:rsidR="005575CE" w:rsidRPr="00B152E7" w14:paraId="28C1B9C7" w14:textId="77777777" w:rsidTr="00FE1A56">
        <w:trPr>
          <w:trHeight w:val="336"/>
          <w:jc w:val="center"/>
        </w:trPr>
        <w:tc>
          <w:tcPr>
            <w:tcW w:w="1050" w:type="dxa"/>
            <w:tcBorders>
              <w:top w:val="single" w:sz="4" w:space="0" w:color="auto"/>
              <w:left w:val="single" w:sz="4" w:space="0" w:color="auto"/>
              <w:bottom w:val="single" w:sz="4" w:space="0" w:color="auto"/>
              <w:right w:val="single" w:sz="4" w:space="0" w:color="auto"/>
            </w:tcBorders>
            <w:vAlign w:val="center"/>
          </w:tcPr>
          <w:p w14:paraId="51018415" w14:textId="77777777" w:rsidR="005575CE" w:rsidRPr="00B152E7" w:rsidRDefault="005575CE" w:rsidP="005575CE">
            <w:pPr>
              <w:jc w:val="center"/>
              <w:rPr>
                <w:szCs w:val="16"/>
                <w:lang w:val="es-ES_tradnl"/>
              </w:rPr>
            </w:pPr>
            <w:r w:rsidRPr="00B152E7">
              <w:rPr>
                <w:szCs w:val="16"/>
                <w:lang w:val="es-ES_tradnl"/>
              </w:rPr>
              <w:t>3°</w:t>
            </w:r>
          </w:p>
        </w:tc>
        <w:tc>
          <w:tcPr>
            <w:tcW w:w="1922" w:type="dxa"/>
            <w:tcBorders>
              <w:top w:val="single" w:sz="4" w:space="0" w:color="auto"/>
              <w:left w:val="single" w:sz="4" w:space="0" w:color="auto"/>
              <w:bottom w:val="single" w:sz="4" w:space="0" w:color="auto"/>
              <w:right w:val="single" w:sz="4" w:space="0" w:color="auto"/>
            </w:tcBorders>
            <w:vAlign w:val="center"/>
            <w:hideMark/>
          </w:tcPr>
          <w:p w14:paraId="423509F2" w14:textId="77777777" w:rsidR="005575CE" w:rsidRPr="00B152E7" w:rsidRDefault="005575CE" w:rsidP="005575CE">
            <w:pPr>
              <w:jc w:val="center"/>
              <w:rPr>
                <w:szCs w:val="16"/>
                <w:lang w:val="es-ES_tradnl"/>
              </w:rPr>
            </w:pPr>
            <w:r w:rsidRPr="00B152E7">
              <w:rPr>
                <w:noProof/>
                <w:szCs w:val="16"/>
                <w:lang w:val="es-ES_tradnl"/>
              </w:rPr>
              <w:drawing>
                <wp:inline distT="0" distB="0" distL="0" distR="0" wp14:anchorId="71D03D08" wp14:editId="5CC24E78">
                  <wp:extent cx="222885" cy="222885"/>
                  <wp:effectExtent l="0" t="0" r="571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07CB6D79" w14:textId="77777777" w:rsidR="005575CE" w:rsidRPr="00B152E7" w:rsidRDefault="005575CE" w:rsidP="005575CE">
            <w:pPr>
              <w:jc w:val="center"/>
              <w:rPr>
                <w:szCs w:val="16"/>
                <w:lang w:val="es-ES_tradnl"/>
              </w:rPr>
            </w:pPr>
            <w:r w:rsidRPr="00B152E7">
              <w:rPr>
                <w:szCs w:val="16"/>
                <w:lang w:val="es-ES_tradnl"/>
              </w:rPr>
              <w:t>5,919</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233654B" w14:textId="77777777" w:rsidR="005575CE" w:rsidRPr="00B152E7" w:rsidRDefault="005575CE" w:rsidP="005575CE">
            <w:pPr>
              <w:jc w:val="center"/>
              <w:rPr>
                <w:szCs w:val="16"/>
                <w:lang w:val="es-ES_tradnl"/>
              </w:rPr>
            </w:pPr>
            <w:r w:rsidRPr="00B152E7">
              <w:rPr>
                <w:szCs w:val="16"/>
                <w:lang w:val="es-ES_tradnl"/>
              </w:rPr>
              <w:t>13.22%</w:t>
            </w:r>
          </w:p>
        </w:tc>
      </w:tr>
      <w:tr w:rsidR="005575CE" w:rsidRPr="00B152E7" w14:paraId="785A6E3E" w14:textId="77777777" w:rsidTr="00FE1A56">
        <w:trPr>
          <w:trHeight w:val="313"/>
          <w:jc w:val="center"/>
        </w:trPr>
        <w:tc>
          <w:tcPr>
            <w:tcW w:w="1050" w:type="dxa"/>
            <w:tcBorders>
              <w:top w:val="single" w:sz="4" w:space="0" w:color="auto"/>
              <w:left w:val="single" w:sz="4" w:space="0" w:color="auto"/>
              <w:bottom w:val="single" w:sz="4" w:space="0" w:color="auto"/>
              <w:right w:val="single" w:sz="4" w:space="0" w:color="auto"/>
            </w:tcBorders>
            <w:vAlign w:val="center"/>
          </w:tcPr>
          <w:p w14:paraId="2B00BE5E" w14:textId="77777777" w:rsidR="005575CE" w:rsidRPr="00B152E7" w:rsidRDefault="005575CE" w:rsidP="005575CE">
            <w:pPr>
              <w:jc w:val="center"/>
              <w:rPr>
                <w:szCs w:val="16"/>
                <w:lang w:val="es-ES_tradnl"/>
              </w:rPr>
            </w:pPr>
            <w:r w:rsidRPr="00B152E7">
              <w:rPr>
                <w:szCs w:val="16"/>
                <w:lang w:val="es-ES_tradnl"/>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693E308" w14:textId="77777777" w:rsidR="005575CE" w:rsidRPr="00B152E7" w:rsidRDefault="005575CE" w:rsidP="005575CE">
            <w:pPr>
              <w:jc w:val="center"/>
              <w:rPr>
                <w:szCs w:val="16"/>
                <w:lang w:val="es-ES_tradnl"/>
              </w:rPr>
            </w:pPr>
            <w:r w:rsidRPr="00B152E7">
              <w:rPr>
                <w:noProof/>
                <w:szCs w:val="16"/>
                <w:lang w:val="es-ES_tradnl"/>
              </w:rPr>
              <w:drawing>
                <wp:inline distT="0" distB="0" distL="0" distR="0" wp14:anchorId="25494775" wp14:editId="074722A2">
                  <wp:extent cx="238760" cy="238760"/>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02797D4E" w14:textId="77777777" w:rsidR="005575CE" w:rsidRPr="00B152E7" w:rsidRDefault="005575CE" w:rsidP="005575CE">
            <w:pPr>
              <w:jc w:val="center"/>
              <w:rPr>
                <w:szCs w:val="16"/>
                <w:lang w:val="es-ES_tradnl"/>
              </w:rPr>
            </w:pPr>
            <w:r w:rsidRPr="00B152E7">
              <w:rPr>
                <w:szCs w:val="16"/>
                <w:lang w:val="es-ES_tradnl"/>
              </w:rPr>
              <w:t>4,509</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9C8D32F" w14:textId="77777777" w:rsidR="005575CE" w:rsidRPr="00B152E7" w:rsidRDefault="005575CE" w:rsidP="005575CE">
            <w:pPr>
              <w:jc w:val="center"/>
              <w:rPr>
                <w:szCs w:val="16"/>
                <w:lang w:val="es-ES_tradnl"/>
              </w:rPr>
            </w:pPr>
            <w:r w:rsidRPr="00B152E7">
              <w:rPr>
                <w:szCs w:val="16"/>
                <w:lang w:val="es-ES_tradnl"/>
              </w:rPr>
              <w:t>10.07 %</w:t>
            </w:r>
          </w:p>
        </w:tc>
      </w:tr>
      <w:tr w:rsidR="005575CE" w:rsidRPr="00B152E7" w14:paraId="70E9B32C" w14:textId="77777777" w:rsidTr="00FE1A56">
        <w:trPr>
          <w:trHeight w:val="336"/>
          <w:jc w:val="center"/>
        </w:trPr>
        <w:tc>
          <w:tcPr>
            <w:tcW w:w="1050" w:type="dxa"/>
            <w:tcBorders>
              <w:top w:val="single" w:sz="4" w:space="0" w:color="auto"/>
              <w:left w:val="single" w:sz="4" w:space="0" w:color="auto"/>
              <w:bottom w:val="single" w:sz="4" w:space="0" w:color="auto"/>
              <w:right w:val="single" w:sz="4" w:space="0" w:color="auto"/>
            </w:tcBorders>
            <w:vAlign w:val="center"/>
          </w:tcPr>
          <w:p w14:paraId="40442BE3" w14:textId="77777777" w:rsidR="005575CE" w:rsidRPr="00B152E7" w:rsidRDefault="005575CE" w:rsidP="005575CE">
            <w:pPr>
              <w:jc w:val="center"/>
              <w:rPr>
                <w:szCs w:val="16"/>
                <w:lang w:val="es-ES_tradnl"/>
              </w:rPr>
            </w:pPr>
            <w:r w:rsidRPr="00B152E7">
              <w:rPr>
                <w:szCs w:val="16"/>
                <w:lang w:val="es-ES_tradnl"/>
              </w:rPr>
              <w:t>5°</w:t>
            </w:r>
          </w:p>
        </w:tc>
        <w:tc>
          <w:tcPr>
            <w:tcW w:w="1922" w:type="dxa"/>
            <w:tcBorders>
              <w:top w:val="single" w:sz="4" w:space="0" w:color="auto"/>
              <w:left w:val="single" w:sz="4" w:space="0" w:color="auto"/>
              <w:bottom w:val="single" w:sz="4" w:space="0" w:color="auto"/>
              <w:right w:val="single" w:sz="4" w:space="0" w:color="auto"/>
            </w:tcBorders>
            <w:vAlign w:val="center"/>
            <w:hideMark/>
          </w:tcPr>
          <w:p w14:paraId="12547943" w14:textId="77777777" w:rsidR="005575CE" w:rsidRPr="00B152E7" w:rsidRDefault="005575CE" w:rsidP="005575CE">
            <w:pPr>
              <w:jc w:val="center"/>
              <w:rPr>
                <w:szCs w:val="16"/>
                <w:lang w:val="es-ES_tradnl"/>
              </w:rPr>
            </w:pPr>
            <w:r w:rsidRPr="00B152E7">
              <w:rPr>
                <w:noProof/>
                <w:szCs w:val="16"/>
                <w:lang w:val="es-ES_tradnl"/>
              </w:rPr>
              <w:drawing>
                <wp:inline distT="0" distB="0" distL="0" distR="0" wp14:anchorId="4F084D22" wp14:editId="0C83F89B">
                  <wp:extent cx="310100" cy="310100"/>
                  <wp:effectExtent l="0" t="0" r="0" b="0"/>
                  <wp:docPr id="17" name="Imagen 1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Texto&#10;&#10;Descripción generada automá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979" cy="320979"/>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4DBCB1FE" w14:textId="77777777" w:rsidR="005575CE" w:rsidRPr="00B152E7" w:rsidRDefault="005575CE" w:rsidP="005575CE">
            <w:pPr>
              <w:jc w:val="center"/>
              <w:rPr>
                <w:szCs w:val="16"/>
                <w:lang w:val="es-ES_tradnl"/>
              </w:rPr>
            </w:pPr>
            <w:r w:rsidRPr="00B152E7">
              <w:rPr>
                <w:szCs w:val="16"/>
                <w:lang w:val="es-ES_tradnl"/>
              </w:rPr>
              <w:t>2,028</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B052F05" w14:textId="77777777" w:rsidR="005575CE" w:rsidRPr="00B152E7" w:rsidRDefault="005575CE" w:rsidP="005575CE">
            <w:pPr>
              <w:jc w:val="center"/>
              <w:rPr>
                <w:szCs w:val="16"/>
                <w:lang w:val="es-ES_tradnl"/>
              </w:rPr>
            </w:pPr>
            <w:r w:rsidRPr="00B152E7">
              <w:rPr>
                <w:szCs w:val="16"/>
                <w:lang w:val="es-ES_tradnl"/>
              </w:rPr>
              <w:t>4.53%</w:t>
            </w:r>
          </w:p>
        </w:tc>
      </w:tr>
      <w:tr w:rsidR="005575CE" w:rsidRPr="00B152E7" w14:paraId="20B9399A" w14:textId="77777777" w:rsidTr="00FE1A56">
        <w:trPr>
          <w:trHeight w:val="302"/>
          <w:jc w:val="center"/>
        </w:trPr>
        <w:tc>
          <w:tcPr>
            <w:tcW w:w="1050" w:type="dxa"/>
            <w:tcBorders>
              <w:top w:val="single" w:sz="4" w:space="0" w:color="auto"/>
              <w:left w:val="single" w:sz="4" w:space="0" w:color="auto"/>
              <w:bottom w:val="single" w:sz="4" w:space="0" w:color="auto"/>
              <w:right w:val="single" w:sz="4" w:space="0" w:color="auto"/>
            </w:tcBorders>
            <w:vAlign w:val="center"/>
          </w:tcPr>
          <w:p w14:paraId="508B8F73" w14:textId="77777777" w:rsidR="005575CE" w:rsidRPr="00B152E7" w:rsidRDefault="005575CE" w:rsidP="005575CE">
            <w:pPr>
              <w:jc w:val="center"/>
              <w:rPr>
                <w:szCs w:val="16"/>
                <w:lang w:val="es-ES_tradnl"/>
              </w:rPr>
            </w:pPr>
            <w:r w:rsidRPr="00B152E7">
              <w:rPr>
                <w:szCs w:val="16"/>
                <w:lang w:val="es-ES_tradnl"/>
              </w:rPr>
              <w:t>6°</w:t>
            </w:r>
          </w:p>
        </w:tc>
        <w:tc>
          <w:tcPr>
            <w:tcW w:w="1922" w:type="dxa"/>
            <w:tcBorders>
              <w:top w:val="single" w:sz="4" w:space="0" w:color="auto"/>
              <w:left w:val="single" w:sz="4" w:space="0" w:color="auto"/>
              <w:bottom w:val="single" w:sz="4" w:space="0" w:color="auto"/>
              <w:right w:val="single" w:sz="4" w:space="0" w:color="auto"/>
            </w:tcBorders>
            <w:vAlign w:val="center"/>
            <w:hideMark/>
          </w:tcPr>
          <w:p w14:paraId="150B2158" w14:textId="77777777" w:rsidR="005575CE" w:rsidRPr="00B152E7" w:rsidRDefault="005575CE" w:rsidP="005575CE">
            <w:pPr>
              <w:jc w:val="center"/>
              <w:rPr>
                <w:szCs w:val="16"/>
                <w:lang w:val="es-ES_tradnl"/>
              </w:rPr>
            </w:pPr>
            <w:r w:rsidRPr="00B152E7">
              <w:rPr>
                <w:noProof/>
                <w:szCs w:val="16"/>
                <w:lang w:val="es-ES_tradnl"/>
              </w:rPr>
              <w:drawing>
                <wp:inline distT="0" distB="0" distL="0" distR="0" wp14:anchorId="3DE51153" wp14:editId="17D66DC7">
                  <wp:extent cx="417023" cy="254441"/>
                  <wp:effectExtent l="0" t="0" r="0" b="0"/>
                  <wp:docPr id="9" name="Imagen 9" descr="MOVIMIENTO 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MOVIMIENTO CIUDADAN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3045" cy="258115"/>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670AFC64" w14:textId="77777777" w:rsidR="005575CE" w:rsidRPr="00B152E7" w:rsidRDefault="005575CE" w:rsidP="005575CE">
            <w:pPr>
              <w:jc w:val="center"/>
              <w:rPr>
                <w:szCs w:val="16"/>
                <w:lang w:val="es-ES_tradnl"/>
              </w:rPr>
            </w:pPr>
            <w:r w:rsidRPr="00B152E7">
              <w:rPr>
                <w:szCs w:val="16"/>
                <w:lang w:val="es-ES_tradnl"/>
              </w:rPr>
              <w:t>762</w:t>
            </w:r>
          </w:p>
        </w:tc>
        <w:tc>
          <w:tcPr>
            <w:tcW w:w="1561" w:type="dxa"/>
            <w:tcBorders>
              <w:top w:val="single" w:sz="4" w:space="0" w:color="auto"/>
              <w:left w:val="single" w:sz="4" w:space="0" w:color="auto"/>
              <w:bottom w:val="single" w:sz="4" w:space="0" w:color="auto"/>
              <w:right w:val="single" w:sz="4" w:space="0" w:color="auto"/>
            </w:tcBorders>
            <w:vAlign w:val="center"/>
          </w:tcPr>
          <w:p w14:paraId="2B8176D9" w14:textId="77777777" w:rsidR="005575CE" w:rsidRPr="00B152E7" w:rsidRDefault="005575CE" w:rsidP="005575CE">
            <w:pPr>
              <w:jc w:val="center"/>
              <w:rPr>
                <w:szCs w:val="16"/>
                <w:lang w:val="es-ES_tradnl"/>
              </w:rPr>
            </w:pPr>
            <w:r w:rsidRPr="00B152E7">
              <w:rPr>
                <w:szCs w:val="16"/>
                <w:lang w:val="es-ES_tradnl"/>
              </w:rPr>
              <w:t>1.70%</w:t>
            </w:r>
          </w:p>
        </w:tc>
      </w:tr>
      <w:tr w:rsidR="005575CE" w:rsidRPr="00B152E7" w14:paraId="01EEB914" w14:textId="77777777" w:rsidTr="00FE1A56">
        <w:trPr>
          <w:trHeight w:val="336"/>
          <w:jc w:val="center"/>
        </w:trPr>
        <w:tc>
          <w:tcPr>
            <w:tcW w:w="1050" w:type="dxa"/>
            <w:tcBorders>
              <w:top w:val="single" w:sz="4" w:space="0" w:color="auto"/>
              <w:left w:val="single" w:sz="4" w:space="0" w:color="auto"/>
              <w:bottom w:val="single" w:sz="4" w:space="0" w:color="auto"/>
              <w:right w:val="single" w:sz="4" w:space="0" w:color="auto"/>
            </w:tcBorders>
            <w:vAlign w:val="center"/>
          </w:tcPr>
          <w:p w14:paraId="7CE38975" w14:textId="77777777" w:rsidR="005575CE" w:rsidRPr="00B152E7" w:rsidRDefault="005575CE" w:rsidP="005575CE">
            <w:pPr>
              <w:jc w:val="center"/>
              <w:rPr>
                <w:szCs w:val="16"/>
                <w:lang w:val="es-ES_tradnl"/>
              </w:rPr>
            </w:pPr>
            <w:r w:rsidRPr="00B152E7">
              <w:rPr>
                <w:szCs w:val="16"/>
                <w:lang w:val="es-ES_tradnl"/>
              </w:rPr>
              <w:t>7°</w:t>
            </w:r>
          </w:p>
        </w:tc>
        <w:tc>
          <w:tcPr>
            <w:tcW w:w="1922" w:type="dxa"/>
            <w:tcBorders>
              <w:top w:val="single" w:sz="4" w:space="0" w:color="auto"/>
              <w:left w:val="single" w:sz="4" w:space="0" w:color="auto"/>
              <w:bottom w:val="single" w:sz="4" w:space="0" w:color="auto"/>
              <w:right w:val="single" w:sz="4" w:space="0" w:color="auto"/>
            </w:tcBorders>
            <w:vAlign w:val="center"/>
            <w:hideMark/>
          </w:tcPr>
          <w:p w14:paraId="401D3667" w14:textId="77777777" w:rsidR="005575CE" w:rsidRPr="00B152E7" w:rsidRDefault="005575CE" w:rsidP="005575CE">
            <w:pPr>
              <w:jc w:val="center"/>
              <w:rPr>
                <w:szCs w:val="16"/>
                <w:lang w:val="es-ES_tradnl"/>
              </w:rPr>
            </w:pPr>
            <w:r w:rsidRPr="00B152E7">
              <w:rPr>
                <w:noProof/>
                <w:szCs w:val="16"/>
                <w:lang w:val="es-ES_tradnl"/>
              </w:rPr>
              <w:drawing>
                <wp:inline distT="0" distB="0" distL="0" distR="0" wp14:anchorId="183E2FDB" wp14:editId="24BE9FC1">
                  <wp:extent cx="278295" cy="278295"/>
                  <wp:effectExtent l="0" t="0" r="7620" b="7620"/>
                  <wp:docPr id="16" name="Imagen 16"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cono&#10;&#10;Descripción generada automáticamente con confianza me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898" cy="286898"/>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3BBCF2A6" w14:textId="77777777" w:rsidR="005575CE" w:rsidRPr="00B152E7" w:rsidRDefault="005575CE" w:rsidP="005575CE">
            <w:pPr>
              <w:jc w:val="center"/>
              <w:rPr>
                <w:szCs w:val="16"/>
                <w:lang w:val="es-ES_tradnl"/>
              </w:rPr>
            </w:pPr>
            <w:r w:rsidRPr="00B152E7">
              <w:rPr>
                <w:szCs w:val="16"/>
                <w:lang w:val="es-ES_tradnl"/>
              </w:rPr>
              <w:t>548</w:t>
            </w:r>
          </w:p>
        </w:tc>
        <w:tc>
          <w:tcPr>
            <w:tcW w:w="1561" w:type="dxa"/>
            <w:tcBorders>
              <w:top w:val="single" w:sz="4" w:space="0" w:color="auto"/>
              <w:left w:val="single" w:sz="4" w:space="0" w:color="auto"/>
              <w:bottom w:val="single" w:sz="4" w:space="0" w:color="auto"/>
              <w:right w:val="single" w:sz="4" w:space="0" w:color="auto"/>
            </w:tcBorders>
            <w:vAlign w:val="center"/>
          </w:tcPr>
          <w:p w14:paraId="5AB58CFD" w14:textId="77777777" w:rsidR="005575CE" w:rsidRPr="00B152E7" w:rsidRDefault="005575CE" w:rsidP="005575CE">
            <w:pPr>
              <w:jc w:val="center"/>
              <w:rPr>
                <w:szCs w:val="16"/>
                <w:lang w:val="es-ES_tradnl"/>
              </w:rPr>
            </w:pPr>
            <w:r w:rsidRPr="00B152E7">
              <w:rPr>
                <w:szCs w:val="16"/>
                <w:lang w:val="es-ES_tradnl"/>
              </w:rPr>
              <w:t>1.22%</w:t>
            </w:r>
          </w:p>
        </w:tc>
      </w:tr>
      <w:tr w:rsidR="005575CE" w:rsidRPr="00B152E7" w14:paraId="0E8C2C92" w14:textId="77777777" w:rsidTr="00FE1A56">
        <w:trPr>
          <w:trHeight w:val="313"/>
          <w:jc w:val="center"/>
        </w:trPr>
        <w:tc>
          <w:tcPr>
            <w:tcW w:w="1050" w:type="dxa"/>
            <w:tcBorders>
              <w:top w:val="single" w:sz="4" w:space="0" w:color="auto"/>
              <w:left w:val="single" w:sz="4" w:space="0" w:color="auto"/>
              <w:bottom w:val="single" w:sz="4" w:space="0" w:color="auto"/>
              <w:right w:val="single" w:sz="4" w:space="0" w:color="auto"/>
            </w:tcBorders>
            <w:vAlign w:val="center"/>
          </w:tcPr>
          <w:p w14:paraId="3E3EEEB6" w14:textId="77777777" w:rsidR="005575CE" w:rsidRPr="00B152E7" w:rsidRDefault="005575CE" w:rsidP="005575CE">
            <w:pPr>
              <w:jc w:val="center"/>
              <w:rPr>
                <w:szCs w:val="16"/>
                <w:lang w:val="es-ES_tradnl"/>
              </w:rPr>
            </w:pPr>
            <w:r w:rsidRPr="00B152E7">
              <w:rPr>
                <w:szCs w:val="16"/>
                <w:lang w:val="es-ES_tradnl"/>
              </w:rPr>
              <w:t>8°</w:t>
            </w:r>
          </w:p>
        </w:tc>
        <w:tc>
          <w:tcPr>
            <w:tcW w:w="1922" w:type="dxa"/>
            <w:tcBorders>
              <w:top w:val="single" w:sz="4" w:space="0" w:color="auto"/>
              <w:left w:val="single" w:sz="4" w:space="0" w:color="auto"/>
              <w:bottom w:val="single" w:sz="4" w:space="0" w:color="auto"/>
              <w:right w:val="single" w:sz="4" w:space="0" w:color="auto"/>
            </w:tcBorders>
            <w:vAlign w:val="center"/>
            <w:hideMark/>
          </w:tcPr>
          <w:p w14:paraId="0F5889AC" w14:textId="77777777" w:rsidR="005575CE" w:rsidRPr="00B152E7" w:rsidRDefault="005575CE" w:rsidP="005575CE">
            <w:pPr>
              <w:jc w:val="center"/>
              <w:rPr>
                <w:szCs w:val="16"/>
                <w:lang w:val="es-ES_tradnl"/>
              </w:rPr>
            </w:pPr>
            <w:r w:rsidRPr="00B152E7">
              <w:rPr>
                <w:noProof/>
                <w:szCs w:val="16"/>
                <w:lang w:val="es-ES_tradnl"/>
              </w:rPr>
              <w:drawing>
                <wp:inline distT="0" distB="0" distL="0" distR="0" wp14:anchorId="4003759F" wp14:editId="5FC42BAD">
                  <wp:extent cx="207010" cy="207010"/>
                  <wp:effectExtent l="0" t="0" r="254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52A655E3" w14:textId="77777777" w:rsidR="005575CE" w:rsidRPr="00B152E7" w:rsidRDefault="005575CE" w:rsidP="005575CE">
            <w:pPr>
              <w:jc w:val="center"/>
              <w:rPr>
                <w:szCs w:val="16"/>
                <w:lang w:val="es-ES_tradnl"/>
              </w:rPr>
            </w:pPr>
            <w:r w:rsidRPr="00B152E7">
              <w:rPr>
                <w:szCs w:val="16"/>
                <w:lang w:val="es-ES_tradnl"/>
              </w:rPr>
              <w:t>512</w:t>
            </w:r>
          </w:p>
        </w:tc>
        <w:tc>
          <w:tcPr>
            <w:tcW w:w="1561" w:type="dxa"/>
            <w:tcBorders>
              <w:top w:val="single" w:sz="4" w:space="0" w:color="auto"/>
              <w:left w:val="single" w:sz="4" w:space="0" w:color="auto"/>
              <w:bottom w:val="single" w:sz="4" w:space="0" w:color="auto"/>
              <w:right w:val="single" w:sz="4" w:space="0" w:color="auto"/>
            </w:tcBorders>
            <w:vAlign w:val="center"/>
          </w:tcPr>
          <w:p w14:paraId="5239CD77" w14:textId="77777777" w:rsidR="005575CE" w:rsidRPr="00B152E7" w:rsidRDefault="005575CE" w:rsidP="005575CE">
            <w:pPr>
              <w:jc w:val="center"/>
              <w:rPr>
                <w:szCs w:val="16"/>
                <w:lang w:val="es-ES_tradnl"/>
              </w:rPr>
            </w:pPr>
            <w:r w:rsidRPr="00B152E7">
              <w:rPr>
                <w:szCs w:val="16"/>
                <w:lang w:val="es-ES_tradnl"/>
              </w:rPr>
              <w:t>1.14%</w:t>
            </w:r>
          </w:p>
        </w:tc>
      </w:tr>
      <w:tr w:rsidR="005575CE" w:rsidRPr="00B152E7" w14:paraId="08BDF40F" w14:textId="77777777" w:rsidTr="00FE1A56">
        <w:trPr>
          <w:trHeight w:val="371"/>
          <w:jc w:val="center"/>
        </w:trPr>
        <w:tc>
          <w:tcPr>
            <w:tcW w:w="1050" w:type="dxa"/>
            <w:tcBorders>
              <w:top w:val="single" w:sz="4" w:space="0" w:color="auto"/>
              <w:left w:val="single" w:sz="4" w:space="0" w:color="auto"/>
              <w:bottom w:val="single" w:sz="4" w:space="0" w:color="auto"/>
              <w:right w:val="single" w:sz="4" w:space="0" w:color="auto"/>
            </w:tcBorders>
            <w:vAlign w:val="center"/>
          </w:tcPr>
          <w:p w14:paraId="32968474" w14:textId="77777777" w:rsidR="005575CE" w:rsidRPr="00B152E7" w:rsidRDefault="005575CE" w:rsidP="005575CE">
            <w:pPr>
              <w:jc w:val="center"/>
              <w:rPr>
                <w:szCs w:val="16"/>
                <w:lang w:val="es-ES_tradnl"/>
              </w:rPr>
            </w:pPr>
            <w:r w:rsidRPr="00B152E7">
              <w:rPr>
                <w:szCs w:val="16"/>
                <w:lang w:val="es-ES_tradnl"/>
              </w:rPr>
              <w:t>9°</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3641E72" w14:textId="77777777" w:rsidR="005575CE" w:rsidRPr="00B152E7" w:rsidRDefault="005575CE" w:rsidP="005575CE">
            <w:pPr>
              <w:jc w:val="center"/>
              <w:rPr>
                <w:b/>
                <w:bCs/>
                <w:szCs w:val="16"/>
                <w:lang w:val="es-ES_tradnl"/>
              </w:rPr>
            </w:pPr>
            <w:r w:rsidRPr="00B152E7">
              <w:rPr>
                <w:b/>
                <w:noProof/>
                <w:szCs w:val="16"/>
                <w:lang w:val="es-ES_tradnl"/>
              </w:rPr>
              <w:drawing>
                <wp:inline distT="0" distB="0" distL="0" distR="0" wp14:anchorId="03CC80AA" wp14:editId="5770B40D">
                  <wp:extent cx="254635" cy="254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42F0E01E" w14:textId="77777777" w:rsidR="005575CE" w:rsidRPr="00B152E7" w:rsidRDefault="005575CE" w:rsidP="005575CE">
            <w:pPr>
              <w:jc w:val="center"/>
              <w:rPr>
                <w:szCs w:val="16"/>
                <w:lang w:val="es-ES_tradnl"/>
              </w:rPr>
            </w:pPr>
            <w:r w:rsidRPr="00B152E7">
              <w:rPr>
                <w:szCs w:val="16"/>
                <w:lang w:val="es-ES_tradnl"/>
              </w:rPr>
              <w:t>172</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DD2BD89" w14:textId="77777777" w:rsidR="005575CE" w:rsidRPr="00B152E7" w:rsidRDefault="005575CE" w:rsidP="005575CE">
            <w:pPr>
              <w:jc w:val="center"/>
              <w:rPr>
                <w:szCs w:val="16"/>
                <w:lang w:val="es-ES_tradnl"/>
              </w:rPr>
            </w:pPr>
            <w:r w:rsidRPr="00B152E7">
              <w:rPr>
                <w:szCs w:val="16"/>
                <w:lang w:val="es-ES_tradnl"/>
              </w:rPr>
              <w:t>0.38%</w:t>
            </w:r>
          </w:p>
        </w:tc>
      </w:tr>
      <w:tr w:rsidR="005575CE" w:rsidRPr="00B152E7" w14:paraId="36E1AC97" w14:textId="77777777" w:rsidTr="00FE1A56">
        <w:trPr>
          <w:trHeight w:val="325"/>
          <w:jc w:val="center"/>
        </w:trPr>
        <w:tc>
          <w:tcPr>
            <w:tcW w:w="1050" w:type="dxa"/>
            <w:tcBorders>
              <w:top w:val="single" w:sz="4" w:space="0" w:color="auto"/>
              <w:left w:val="single" w:sz="4" w:space="0" w:color="auto"/>
              <w:bottom w:val="single" w:sz="4" w:space="0" w:color="auto"/>
              <w:right w:val="single" w:sz="4" w:space="0" w:color="auto"/>
            </w:tcBorders>
          </w:tcPr>
          <w:p w14:paraId="7A489B44" w14:textId="77777777" w:rsidR="005575CE" w:rsidRPr="00B152E7" w:rsidRDefault="005575CE" w:rsidP="005575CE">
            <w:pPr>
              <w:jc w:val="center"/>
              <w:rPr>
                <w:szCs w:val="16"/>
                <w:lang w:val="es-ES_tradnl"/>
              </w:rPr>
            </w:pPr>
          </w:p>
        </w:tc>
        <w:tc>
          <w:tcPr>
            <w:tcW w:w="1922" w:type="dxa"/>
            <w:tcBorders>
              <w:top w:val="single" w:sz="4" w:space="0" w:color="auto"/>
              <w:left w:val="single" w:sz="4" w:space="0" w:color="auto"/>
              <w:bottom w:val="single" w:sz="4" w:space="0" w:color="auto"/>
              <w:right w:val="single" w:sz="4" w:space="0" w:color="auto"/>
            </w:tcBorders>
            <w:vAlign w:val="center"/>
          </w:tcPr>
          <w:p w14:paraId="4E798C45" w14:textId="77777777" w:rsidR="005575CE" w:rsidRPr="00B152E7" w:rsidRDefault="005575CE" w:rsidP="005575CE">
            <w:pPr>
              <w:jc w:val="center"/>
              <w:rPr>
                <w:szCs w:val="16"/>
                <w:lang w:val="es-ES_tradnl"/>
              </w:rPr>
            </w:pPr>
            <w:r w:rsidRPr="00B152E7">
              <w:rPr>
                <w:szCs w:val="16"/>
                <w:lang w:val="es-ES_tradnl"/>
              </w:rPr>
              <w:t>Candidaturas no registradas</w:t>
            </w:r>
          </w:p>
        </w:tc>
        <w:tc>
          <w:tcPr>
            <w:tcW w:w="1171" w:type="dxa"/>
            <w:tcBorders>
              <w:top w:val="single" w:sz="4" w:space="0" w:color="auto"/>
              <w:left w:val="single" w:sz="4" w:space="0" w:color="auto"/>
              <w:bottom w:val="single" w:sz="4" w:space="0" w:color="auto"/>
              <w:right w:val="single" w:sz="4" w:space="0" w:color="auto"/>
            </w:tcBorders>
            <w:vAlign w:val="center"/>
          </w:tcPr>
          <w:p w14:paraId="2807039E" w14:textId="77777777" w:rsidR="005575CE" w:rsidRPr="00B152E7" w:rsidRDefault="005575CE" w:rsidP="005575CE">
            <w:pPr>
              <w:jc w:val="center"/>
              <w:rPr>
                <w:szCs w:val="16"/>
                <w:lang w:val="es-ES_tradnl"/>
              </w:rPr>
            </w:pPr>
            <w:r w:rsidRPr="00B152E7">
              <w:rPr>
                <w:szCs w:val="16"/>
                <w:lang w:val="es-ES_tradnl"/>
              </w:rPr>
              <w:t>11</w:t>
            </w:r>
          </w:p>
        </w:tc>
        <w:tc>
          <w:tcPr>
            <w:tcW w:w="1561" w:type="dxa"/>
            <w:tcBorders>
              <w:top w:val="single" w:sz="4" w:space="0" w:color="auto"/>
              <w:left w:val="single" w:sz="4" w:space="0" w:color="auto"/>
              <w:bottom w:val="single" w:sz="4" w:space="0" w:color="auto"/>
              <w:right w:val="single" w:sz="4" w:space="0" w:color="auto"/>
            </w:tcBorders>
            <w:vAlign w:val="center"/>
          </w:tcPr>
          <w:p w14:paraId="302281FE" w14:textId="77777777" w:rsidR="005575CE" w:rsidRPr="00B152E7" w:rsidRDefault="005575CE" w:rsidP="005575CE">
            <w:pPr>
              <w:jc w:val="center"/>
              <w:rPr>
                <w:szCs w:val="16"/>
                <w:lang w:val="es-ES_tradnl"/>
              </w:rPr>
            </w:pPr>
            <w:r w:rsidRPr="00B152E7">
              <w:rPr>
                <w:szCs w:val="16"/>
                <w:lang w:val="es-ES_tradnl"/>
              </w:rPr>
              <w:t>0.02%</w:t>
            </w:r>
          </w:p>
        </w:tc>
      </w:tr>
      <w:tr w:rsidR="005575CE" w:rsidRPr="00B152E7" w14:paraId="0FE811FA" w14:textId="77777777" w:rsidTr="00FE1A56">
        <w:trPr>
          <w:trHeight w:val="325"/>
          <w:jc w:val="center"/>
        </w:trPr>
        <w:tc>
          <w:tcPr>
            <w:tcW w:w="1050" w:type="dxa"/>
            <w:tcBorders>
              <w:top w:val="single" w:sz="4" w:space="0" w:color="auto"/>
              <w:left w:val="single" w:sz="4" w:space="0" w:color="auto"/>
              <w:bottom w:val="single" w:sz="4" w:space="0" w:color="auto"/>
              <w:right w:val="single" w:sz="4" w:space="0" w:color="auto"/>
            </w:tcBorders>
          </w:tcPr>
          <w:p w14:paraId="0AA6E2FE" w14:textId="77777777" w:rsidR="005575CE" w:rsidRPr="00B152E7" w:rsidRDefault="005575CE" w:rsidP="005575CE">
            <w:pPr>
              <w:jc w:val="center"/>
              <w:rPr>
                <w:szCs w:val="16"/>
                <w:lang w:val="es-ES_tradnl"/>
              </w:rPr>
            </w:pPr>
          </w:p>
        </w:tc>
        <w:tc>
          <w:tcPr>
            <w:tcW w:w="1922" w:type="dxa"/>
            <w:tcBorders>
              <w:top w:val="single" w:sz="4" w:space="0" w:color="auto"/>
              <w:left w:val="single" w:sz="4" w:space="0" w:color="auto"/>
              <w:bottom w:val="single" w:sz="4" w:space="0" w:color="auto"/>
              <w:right w:val="single" w:sz="4" w:space="0" w:color="auto"/>
            </w:tcBorders>
            <w:vAlign w:val="center"/>
          </w:tcPr>
          <w:p w14:paraId="3F5EDE59" w14:textId="77777777" w:rsidR="005575CE" w:rsidRPr="00B152E7" w:rsidRDefault="005575CE" w:rsidP="005575CE">
            <w:pPr>
              <w:jc w:val="center"/>
              <w:rPr>
                <w:szCs w:val="16"/>
                <w:lang w:val="es-ES_tradnl"/>
              </w:rPr>
            </w:pPr>
            <w:r w:rsidRPr="00B152E7">
              <w:rPr>
                <w:szCs w:val="16"/>
                <w:lang w:val="es-ES_tradnl"/>
              </w:rPr>
              <w:t>Votos nulos</w:t>
            </w:r>
          </w:p>
        </w:tc>
        <w:tc>
          <w:tcPr>
            <w:tcW w:w="1171" w:type="dxa"/>
            <w:tcBorders>
              <w:top w:val="single" w:sz="4" w:space="0" w:color="auto"/>
              <w:left w:val="single" w:sz="4" w:space="0" w:color="auto"/>
              <w:bottom w:val="single" w:sz="4" w:space="0" w:color="auto"/>
              <w:right w:val="single" w:sz="4" w:space="0" w:color="auto"/>
            </w:tcBorders>
            <w:vAlign w:val="center"/>
          </w:tcPr>
          <w:p w14:paraId="3584DF63" w14:textId="77777777" w:rsidR="005575CE" w:rsidRPr="00B152E7" w:rsidRDefault="005575CE" w:rsidP="005575CE">
            <w:pPr>
              <w:jc w:val="center"/>
              <w:rPr>
                <w:szCs w:val="16"/>
                <w:lang w:val="es-ES_tradnl"/>
              </w:rPr>
            </w:pPr>
            <w:r w:rsidRPr="00B152E7">
              <w:rPr>
                <w:szCs w:val="16"/>
                <w:lang w:val="es-ES_tradnl"/>
              </w:rPr>
              <w:t>1,184</w:t>
            </w:r>
          </w:p>
        </w:tc>
        <w:tc>
          <w:tcPr>
            <w:tcW w:w="1561" w:type="dxa"/>
            <w:tcBorders>
              <w:top w:val="single" w:sz="4" w:space="0" w:color="auto"/>
              <w:left w:val="single" w:sz="4" w:space="0" w:color="auto"/>
              <w:bottom w:val="single" w:sz="4" w:space="0" w:color="auto"/>
              <w:right w:val="single" w:sz="4" w:space="0" w:color="auto"/>
            </w:tcBorders>
            <w:vAlign w:val="center"/>
          </w:tcPr>
          <w:p w14:paraId="457AB7C0" w14:textId="77777777" w:rsidR="005575CE" w:rsidRPr="00B152E7" w:rsidRDefault="005575CE" w:rsidP="005575CE">
            <w:pPr>
              <w:jc w:val="center"/>
              <w:rPr>
                <w:szCs w:val="16"/>
                <w:lang w:val="es-ES_tradnl"/>
              </w:rPr>
            </w:pPr>
            <w:r w:rsidRPr="00B152E7">
              <w:rPr>
                <w:szCs w:val="16"/>
                <w:lang w:val="es-ES_tradnl"/>
              </w:rPr>
              <w:t>2, 64%</w:t>
            </w:r>
          </w:p>
        </w:tc>
      </w:tr>
      <w:tr w:rsidR="005575CE" w:rsidRPr="00B152E7" w14:paraId="6E784880" w14:textId="77777777" w:rsidTr="00FE1A56">
        <w:trPr>
          <w:trHeight w:val="231"/>
          <w:jc w:val="center"/>
        </w:trPr>
        <w:tc>
          <w:tcPr>
            <w:tcW w:w="1050" w:type="dxa"/>
            <w:tcBorders>
              <w:top w:val="single" w:sz="4" w:space="0" w:color="auto"/>
              <w:left w:val="single" w:sz="4" w:space="0" w:color="auto"/>
              <w:bottom w:val="single" w:sz="4" w:space="0" w:color="auto"/>
              <w:right w:val="single" w:sz="4" w:space="0" w:color="auto"/>
            </w:tcBorders>
          </w:tcPr>
          <w:p w14:paraId="55065366" w14:textId="77777777" w:rsidR="005575CE" w:rsidRPr="00B152E7" w:rsidRDefault="005575CE" w:rsidP="005575CE">
            <w:pPr>
              <w:jc w:val="right"/>
              <w:rPr>
                <w:b/>
                <w:bCs/>
                <w:szCs w:val="16"/>
                <w:lang w:val="es-ES_tradnl"/>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6EBA5701" w14:textId="77777777" w:rsidR="005575CE" w:rsidRPr="00B152E7" w:rsidRDefault="005575CE" w:rsidP="005575CE">
            <w:pPr>
              <w:jc w:val="right"/>
              <w:rPr>
                <w:b/>
                <w:bCs/>
                <w:szCs w:val="16"/>
                <w:lang w:val="es-ES_tradnl"/>
              </w:rPr>
            </w:pPr>
            <w:r w:rsidRPr="00B152E7">
              <w:rPr>
                <w:b/>
                <w:bCs/>
                <w:szCs w:val="16"/>
                <w:lang w:val="es-ES_tradnl"/>
              </w:rPr>
              <w:t>TOTAL</w:t>
            </w:r>
          </w:p>
        </w:tc>
        <w:tc>
          <w:tcPr>
            <w:tcW w:w="1171" w:type="dxa"/>
            <w:tcBorders>
              <w:top w:val="single" w:sz="4" w:space="0" w:color="auto"/>
              <w:left w:val="single" w:sz="4" w:space="0" w:color="auto"/>
              <w:bottom w:val="single" w:sz="4" w:space="0" w:color="auto"/>
              <w:right w:val="single" w:sz="4" w:space="0" w:color="auto"/>
            </w:tcBorders>
            <w:vAlign w:val="center"/>
            <w:hideMark/>
          </w:tcPr>
          <w:p w14:paraId="7DA8B13A" w14:textId="77777777" w:rsidR="005575CE" w:rsidRPr="00B152E7" w:rsidRDefault="005575CE" w:rsidP="005575CE">
            <w:pPr>
              <w:jc w:val="center"/>
              <w:rPr>
                <w:b/>
                <w:szCs w:val="16"/>
                <w:lang w:val="es-ES_tradnl"/>
              </w:rPr>
            </w:pPr>
            <w:r w:rsidRPr="00B152E7">
              <w:rPr>
                <w:b/>
                <w:szCs w:val="16"/>
                <w:lang w:val="es-ES_tradnl"/>
              </w:rPr>
              <w:t>44, 765</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BA4059D" w14:textId="77777777" w:rsidR="005575CE" w:rsidRPr="00B152E7" w:rsidRDefault="005575CE" w:rsidP="005575CE">
            <w:pPr>
              <w:jc w:val="center"/>
              <w:rPr>
                <w:b/>
                <w:szCs w:val="16"/>
                <w:lang w:val="es-ES_tradnl"/>
              </w:rPr>
            </w:pPr>
            <w:r w:rsidRPr="00B152E7">
              <w:rPr>
                <w:b/>
                <w:szCs w:val="16"/>
                <w:lang w:val="es-ES_tradnl"/>
              </w:rPr>
              <w:t>100%</w:t>
            </w:r>
          </w:p>
        </w:tc>
      </w:tr>
    </w:tbl>
    <w:p w14:paraId="178248FE" w14:textId="77777777" w:rsidR="001E339C" w:rsidRPr="00B152E7" w:rsidRDefault="001E339C" w:rsidP="005575CE">
      <w:pPr>
        <w:pStyle w:val="Prrafodelista"/>
        <w:tabs>
          <w:tab w:val="left" w:pos="284"/>
          <w:tab w:val="left" w:pos="3261"/>
        </w:tabs>
        <w:spacing w:before="200" w:after="200" w:line="360" w:lineRule="auto"/>
        <w:ind w:left="0"/>
        <w:contextualSpacing w:val="0"/>
        <w:jc w:val="both"/>
        <w:rPr>
          <w:rFonts w:ascii="Arial" w:hAnsi="Arial" w:cs="Arial"/>
          <w:bCs/>
          <w:sz w:val="4"/>
          <w:szCs w:val="4"/>
          <w:lang w:val="es-ES_tradnl"/>
        </w:rPr>
      </w:pPr>
    </w:p>
    <w:p w14:paraId="7C3700BA" w14:textId="77777777" w:rsidR="005575CE" w:rsidRPr="00B152E7" w:rsidRDefault="005575CE" w:rsidP="005575CE">
      <w:pPr>
        <w:pStyle w:val="Prrafodelista"/>
        <w:tabs>
          <w:tab w:val="left" w:pos="284"/>
          <w:tab w:val="left" w:pos="3261"/>
        </w:tabs>
        <w:spacing w:before="200" w:after="200" w:line="360" w:lineRule="auto"/>
        <w:ind w:left="0"/>
        <w:contextualSpacing w:val="0"/>
        <w:jc w:val="both"/>
        <w:rPr>
          <w:rFonts w:ascii="Arial" w:hAnsi="Arial" w:cs="Arial"/>
          <w:bCs/>
          <w:lang w:val="es-ES_tradnl"/>
        </w:rPr>
      </w:pPr>
      <w:r w:rsidRPr="00B152E7">
        <w:rPr>
          <w:rFonts w:ascii="Arial" w:hAnsi="Arial" w:cs="Arial"/>
          <w:bCs/>
          <w:lang w:val="es-ES_tradnl"/>
        </w:rPr>
        <w:t>Posteriormente llev</w:t>
      </w:r>
      <w:r w:rsidR="007B7E7C" w:rsidRPr="00B152E7">
        <w:rPr>
          <w:rFonts w:ascii="Arial" w:hAnsi="Arial" w:cs="Arial"/>
          <w:bCs/>
          <w:lang w:val="es-ES_tradnl"/>
        </w:rPr>
        <w:t>ó</w:t>
      </w:r>
      <w:r w:rsidRPr="00B152E7">
        <w:rPr>
          <w:rFonts w:ascii="Arial" w:hAnsi="Arial" w:cs="Arial"/>
          <w:bCs/>
          <w:lang w:val="es-ES_tradnl"/>
        </w:rPr>
        <w:t xml:space="preserve"> a cabo la asignación de regidurías por el principio de representación proporcional de la siguiente manera:</w:t>
      </w:r>
      <w:r w:rsidR="005D5DF4" w:rsidRPr="00B152E7">
        <w:rPr>
          <w:rStyle w:val="Refdenotaalpie"/>
          <w:rFonts w:ascii="Arial" w:hAnsi="Arial" w:cs="Arial"/>
          <w:bCs/>
          <w:lang w:val="es-ES_tradnl"/>
        </w:rPr>
        <w:footnoteReference w:id="9"/>
      </w:r>
    </w:p>
    <w:tbl>
      <w:tblPr>
        <w:tblStyle w:val="Tablaconcuadrcula1"/>
        <w:tblW w:w="0" w:type="auto"/>
        <w:tblLook w:val="04A0" w:firstRow="1" w:lastRow="0" w:firstColumn="1" w:lastColumn="0" w:noHBand="0" w:noVBand="1"/>
      </w:tblPr>
      <w:tblGrid>
        <w:gridCol w:w="1331"/>
        <w:gridCol w:w="725"/>
        <w:gridCol w:w="802"/>
        <w:gridCol w:w="705"/>
        <w:gridCol w:w="722"/>
        <w:gridCol w:w="759"/>
        <w:gridCol w:w="872"/>
        <w:gridCol w:w="755"/>
        <w:gridCol w:w="689"/>
        <w:gridCol w:w="617"/>
      </w:tblGrid>
      <w:tr w:rsidR="005575CE" w:rsidRPr="00B152E7" w14:paraId="5DBCAFF6" w14:textId="77777777" w:rsidTr="005575CE">
        <w:trPr>
          <w:trHeight w:val="621"/>
        </w:trPr>
        <w:tc>
          <w:tcPr>
            <w:tcW w:w="1378" w:type="dxa"/>
            <w:shd w:val="clear" w:color="auto" w:fill="BFBFBF"/>
          </w:tcPr>
          <w:p w14:paraId="6523D235" w14:textId="77777777" w:rsidR="005575CE" w:rsidRPr="00B152E7" w:rsidRDefault="005575CE" w:rsidP="005575CE">
            <w:pPr>
              <w:spacing w:after="200" w:line="360" w:lineRule="auto"/>
              <w:outlineLvl w:val="0"/>
              <w:rPr>
                <w:rFonts w:eastAsia="Times New Roman"/>
                <w:bCs/>
                <w:lang w:val="es-ES_tradnl"/>
              </w:rPr>
            </w:pPr>
            <w:r w:rsidRPr="00B152E7">
              <w:rPr>
                <w:rFonts w:eastAsia="Times New Roman"/>
                <w:bCs/>
                <w:lang w:val="es-ES_tradnl"/>
              </w:rPr>
              <w:t>Partido</w:t>
            </w:r>
          </w:p>
        </w:tc>
        <w:tc>
          <w:tcPr>
            <w:tcW w:w="762" w:type="dxa"/>
            <w:shd w:val="clear" w:color="auto" w:fill="BFBFBF"/>
            <w:vAlign w:val="center"/>
          </w:tcPr>
          <w:p w14:paraId="2A443829" w14:textId="77777777" w:rsidR="005575CE" w:rsidRPr="00B152E7" w:rsidRDefault="005575CE" w:rsidP="005575CE">
            <w:pPr>
              <w:spacing w:after="200" w:line="360" w:lineRule="auto"/>
              <w:jc w:val="center"/>
              <w:outlineLvl w:val="0"/>
              <w:rPr>
                <w:rFonts w:eastAsia="Times New Roman"/>
                <w:bCs/>
                <w:lang w:val="es-ES_tradnl"/>
              </w:rPr>
            </w:pPr>
            <w:r w:rsidRPr="00B152E7">
              <w:rPr>
                <w:noProof/>
                <w:lang w:val="es-ES_tradnl"/>
              </w:rPr>
              <w:drawing>
                <wp:inline distT="0" distB="0" distL="0" distR="0" wp14:anchorId="19B83CB4" wp14:editId="4BFD8108">
                  <wp:extent cx="238760" cy="238760"/>
                  <wp:effectExtent l="0" t="0" r="889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817" w:type="dxa"/>
            <w:shd w:val="clear" w:color="auto" w:fill="BFBFBF"/>
          </w:tcPr>
          <w:p w14:paraId="162B4EDE" w14:textId="77777777" w:rsidR="005575CE" w:rsidRPr="00B152E7" w:rsidRDefault="005575CE" w:rsidP="005575CE">
            <w:pPr>
              <w:spacing w:after="200" w:line="360" w:lineRule="auto"/>
              <w:jc w:val="center"/>
              <w:outlineLvl w:val="0"/>
              <w:rPr>
                <w:rFonts w:eastAsia="Times New Roman"/>
                <w:bCs/>
                <w:lang w:val="es-ES_tradnl"/>
              </w:rPr>
            </w:pPr>
            <w:r w:rsidRPr="00B152E7">
              <w:rPr>
                <w:noProof/>
                <w:lang w:val="es-ES_tradnl"/>
              </w:rPr>
              <w:drawing>
                <wp:inline distT="0" distB="0" distL="0" distR="0" wp14:anchorId="574C0039" wp14:editId="19B16F43">
                  <wp:extent cx="334010" cy="198755"/>
                  <wp:effectExtent l="0" t="0" r="889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p>
        </w:tc>
        <w:tc>
          <w:tcPr>
            <w:tcW w:w="745" w:type="dxa"/>
            <w:shd w:val="clear" w:color="auto" w:fill="BFBFBF"/>
          </w:tcPr>
          <w:p w14:paraId="167D698D" w14:textId="77777777" w:rsidR="005575CE" w:rsidRPr="00B152E7" w:rsidRDefault="005575CE" w:rsidP="005575CE">
            <w:pPr>
              <w:spacing w:after="200" w:line="360" w:lineRule="auto"/>
              <w:jc w:val="center"/>
              <w:outlineLvl w:val="0"/>
              <w:rPr>
                <w:rFonts w:eastAsia="Times New Roman"/>
                <w:bCs/>
                <w:lang w:val="es-ES_tradnl"/>
              </w:rPr>
            </w:pPr>
            <w:r w:rsidRPr="00B152E7">
              <w:rPr>
                <w:noProof/>
                <w:lang w:val="es-ES_tradnl"/>
              </w:rPr>
              <w:drawing>
                <wp:inline distT="0" distB="0" distL="0" distR="0" wp14:anchorId="47062E0A" wp14:editId="53210129">
                  <wp:extent cx="222885" cy="222885"/>
                  <wp:effectExtent l="0" t="0" r="5715"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tc>
        <w:tc>
          <w:tcPr>
            <w:tcW w:w="758" w:type="dxa"/>
            <w:shd w:val="clear" w:color="auto" w:fill="BFBFBF"/>
          </w:tcPr>
          <w:p w14:paraId="644703F6" w14:textId="77777777" w:rsidR="005575CE" w:rsidRPr="00B152E7" w:rsidRDefault="005575CE" w:rsidP="005575CE">
            <w:pPr>
              <w:spacing w:after="200" w:line="360" w:lineRule="auto"/>
              <w:jc w:val="center"/>
              <w:outlineLvl w:val="0"/>
              <w:rPr>
                <w:rFonts w:eastAsia="Times New Roman"/>
                <w:bCs/>
                <w:lang w:val="es-ES_tradnl"/>
              </w:rPr>
            </w:pPr>
            <w:r w:rsidRPr="00B152E7">
              <w:rPr>
                <w:noProof/>
                <w:lang w:val="es-ES_tradnl"/>
              </w:rPr>
              <w:drawing>
                <wp:inline distT="0" distB="0" distL="0" distR="0" wp14:anchorId="34365F55" wp14:editId="24F406C3">
                  <wp:extent cx="238760" cy="238760"/>
                  <wp:effectExtent l="0" t="0" r="889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797" w:type="dxa"/>
            <w:shd w:val="clear" w:color="auto" w:fill="BFBFBF"/>
          </w:tcPr>
          <w:p w14:paraId="136FE7FC" w14:textId="77777777" w:rsidR="005575CE" w:rsidRPr="00B152E7" w:rsidRDefault="005575CE" w:rsidP="005575CE">
            <w:pPr>
              <w:spacing w:after="200" w:line="360" w:lineRule="auto"/>
              <w:jc w:val="center"/>
              <w:outlineLvl w:val="0"/>
              <w:rPr>
                <w:rFonts w:eastAsia="Times New Roman"/>
                <w:bCs/>
                <w:lang w:val="es-ES_tradnl"/>
              </w:rPr>
            </w:pPr>
            <w:r w:rsidRPr="00B152E7">
              <w:rPr>
                <w:noProof/>
                <w:lang w:val="es-ES_tradnl"/>
              </w:rPr>
              <w:drawing>
                <wp:inline distT="0" distB="0" distL="0" distR="0" wp14:anchorId="40B43A3C" wp14:editId="5D2AF001">
                  <wp:extent cx="257175" cy="257175"/>
                  <wp:effectExtent l="0" t="0" r="9525" b="9525"/>
                  <wp:docPr id="21" name="Imagen 2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Imagen que contiene Texto&#10;&#10;Descripción generada automá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387" cy="266387"/>
                          </a:xfrm>
                          <a:prstGeom prst="rect">
                            <a:avLst/>
                          </a:prstGeom>
                          <a:noFill/>
                          <a:ln>
                            <a:noFill/>
                          </a:ln>
                        </pic:spPr>
                      </pic:pic>
                    </a:graphicData>
                  </a:graphic>
                </wp:inline>
              </w:drawing>
            </w:r>
          </w:p>
        </w:tc>
        <w:tc>
          <w:tcPr>
            <w:tcW w:w="872" w:type="dxa"/>
            <w:shd w:val="clear" w:color="auto" w:fill="BFBFBF"/>
          </w:tcPr>
          <w:p w14:paraId="47236C70" w14:textId="77777777" w:rsidR="005575CE" w:rsidRPr="00B152E7" w:rsidRDefault="005575CE" w:rsidP="005575CE">
            <w:pPr>
              <w:spacing w:after="200" w:line="360" w:lineRule="auto"/>
              <w:jc w:val="center"/>
              <w:outlineLvl w:val="0"/>
              <w:rPr>
                <w:rFonts w:eastAsia="Times New Roman"/>
                <w:bCs/>
                <w:lang w:val="es-ES_tradnl"/>
              </w:rPr>
            </w:pPr>
            <w:r w:rsidRPr="00B152E7">
              <w:rPr>
                <w:noProof/>
                <w:lang w:val="es-ES_tradnl"/>
              </w:rPr>
              <w:drawing>
                <wp:inline distT="0" distB="0" distL="0" distR="0" wp14:anchorId="534638E5" wp14:editId="48017D8F">
                  <wp:extent cx="417023" cy="254441"/>
                  <wp:effectExtent l="0" t="0" r="0" b="0"/>
                  <wp:docPr id="22" name="Imagen 22" descr="MOVIMIENTO 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MOVIMIENTO CIUDADAN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3045" cy="258115"/>
                          </a:xfrm>
                          <a:prstGeom prst="rect">
                            <a:avLst/>
                          </a:prstGeom>
                          <a:noFill/>
                          <a:ln>
                            <a:noFill/>
                          </a:ln>
                        </pic:spPr>
                      </pic:pic>
                    </a:graphicData>
                  </a:graphic>
                </wp:inline>
              </w:drawing>
            </w:r>
          </w:p>
        </w:tc>
        <w:tc>
          <w:tcPr>
            <w:tcW w:w="783" w:type="dxa"/>
            <w:shd w:val="clear" w:color="auto" w:fill="BFBFBF"/>
          </w:tcPr>
          <w:p w14:paraId="3503DFE0" w14:textId="77777777" w:rsidR="005575CE" w:rsidRPr="00B152E7" w:rsidRDefault="005575CE" w:rsidP="005575CE">
            <w:pPr>
              <w:spacing w:after="200" w:line="360" w:lineRule="auto"/>
              <w:jc w:val="center"/>
              <w:outlineLvl w:val="0"/>
              <w:rPr>
                <w:rFonts w:eastAsia="Times New Roman"/>
                <w:bCs/>
                <w:lang w:val="es-ES_tradnl"/>
              </w:rPr>
            </w:pPr>
            <w:r w:rsidRPr="00B152E7">
              <w:rPr>
                <w:noProof/>
                <w:lang w:val="es-ES_tradnl"/>
              </w:rPr>
              <w:drawing>
                <wp:inline distT="0" distB="0" distL="0" distR="0" wp14:anchorId="7C3AC504" wp14:editId="75A52422">
                  <wp:extent cx="278295" cy="278295"/>
                  <wp:effectExtent l="0" t="0" r="7620" b="7620"/>
                  <wp:docPr id="23" name="Imagen 23"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Icono&#10;&#10;Descripción generada automáticamente con confianza me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898" cy="286898"/>
                          </a:xfrm>
                          <a:prstGeom prst="rect">
                            <a:avLst/>
                          </a:prstGeom>
                          <a:noFill/>
                          <a:ln>
                            <a:noFill/>
                          </a:ln>
                        </pic:spPr>
                      </pic:pic>
                    </a:graphicData>
                  </a:graphic>
                </wp:inline>
              </w:drawing>
            </w:r>
          </w:p>
        </w:tc>
        <w:tc>
          <w:tcPr>
            <w:tcW w:w="734" w:type="dxa"/>
            <w:shd w:val="clear" w:color="auto" w:fill="BFBFBF"/>
          </w:tcPr>
          <w:p w14:paraId="70B07062" w14:textId="77777777" w:rsidR="005575CE" w:rsidRPr="00B152E7" w:rsidRDefault="005575CE" w:rsidP="005575CE">
            <w:pPr>
              <w:spacing w:after="200" w:line="360" w:lineRule="auto"/>
              <w:jc w:val="center"/>
              <w:outlineLvl w:val="0"/>
              <w:rPr>
                <w:rFonts w:eastAsia="Times New Roman"/>
                <w:bCs/>
                <w:lang w:val="es-ES_tradnl"/>
              </w:rPr>
            </w:pPr>
            <w:r w:rsidRPr="00B152E7">
              <w:rPr>
                <w:noProof/>
                <w:lang w:val="es-ES_tradnl"/>
              </w:rPr>
              <w:drawing>
                <wp:inline distT="0" distB="0" distL="0" distR="0" wp14:anchorId="5B682BF4" wp14:editId="466B165E">
                  <wp:extent cx="207010" cy="207010"/>
                  <wp:effectExtent l="0" t="0" r="254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c>
          <w:tcPr>
            <w:tcW w:w="617" w:type="dxa"/>
            <w:shd w:val="clear" w:color="auto" w:fill="BFBFBF"/>
          </w:tcPr>
          <w:p w14:paraId="3BD461E7" w14:textId="77777777" w:rsidR="005575CE" w:rsidRPr="00B152E7" w:rsidRDefault="005575CE" w:rsidP="005575CE">
            <w:pPr>
              <w:spacing w:after="200" w:line="360" w:lineRule="auto"/>
              <w:jc w:val="center"/>
              <w:outlineLvl w:val="0"/>
              <w:rPr>
                <w:lang w:val="es-ES_tradnl"/>
              </w:rPr>
            </w:pPr>
            <w:r w:rsidRPr="00B152E7">
              <w:rPr>
                <w:b/>
                <w:noProof/>
                <w:lang w:val="es-ES_tradnl"/>
              </w:rPr>
              <w:drawing>
                <wp:inline distT="0" distB="0" distL="0" distR="0" wp14:anchorId="1545EF1D" wp14:editId="36F2F2A5">
                  <wp:extent cx="254635" cy="25463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r>
      <w:tr w:rsidR="005575CE" w:rsidRPr="00B152E7" w14:paraId="73A54EF9" w14:textId="77777777" w:rsidTr="000275DD">
        <w:tc>
          <w:tcPr>
            <w:tcW w:w="1378" w:type="dxa"/>
            <w:vAlign w:val="center"/>
          </w:tcPr>
          <w:p w14:paraId="2AB7506D" w14:textId="77777777" w:rsidR="005575CE" w:rsidRPr="00B152E7" w:rsidRDefault="005575CE" w:rsidP="00474BCC">
            <w:pPr>
              <w:spacing w:before="120" w:after="120"/>
              <w:jc w:val="center"/>
              <w:outlineLvl w:val="0"/>
              <w:rPr>
                <w:rFonts w:eastAsia="Times New Roman"/>
                <w:bCs/>
                <w:lang w:val="es-ES_tradnl"/>
              </w:rPr>
            </w:pPr>
            <w:r w:rsidRPr="00B152E7">
              <w:rPr>
                <w:rFonts w:eastAsia="Times New Roman"/>
                <w:bCs/>
                <w:lang w:val="es-ES_tradnl"/>
              </w:rPr>
              <w:t>Regidurías</w:t>
            </w:r>
            <w:r w:rsidR="00474BCC" w:rsidRPr="00B152E7">
              <w:rPr>
                <w:rFonts w:eastAsia="Times New Roman"/>
                <w:bCs/>
                <w:lang w:val="es-ES_tradnl"/>
              </w:rPr>
              <w:t xml:space="preserve"> </w:t>
            </w:r>
            <w:r w:rsidRPr="00B152E7">
              <w:rPr>
                <w:rFonts w:eastAsia="Times New Roman"/>
                <w:bCs/>
                <w:lang w:val="es-ES_tradnl"/>
              </w:rPr>
              <w:t>Asignadas</w:t>
            </w:r>
          </w:p>
        </w:tc>
        <w:tc>
          <w:tcPr>
            <w:tcW w:w="762" w:type="dxa"/>
            <w:vAlign w:val="center"/>
          </w:tcPr>
          <w:p w14:paraId="55953A31" w14:textId="77777777" w:rsidR="005575CE" w:rsidRPr="00B152E7" w:rsidRDefault="005575CE" w:rsidP="000275DD">
            <w:pPr>
              <w:spacing w:line="360" w:lineRule="auto"/>
              <w:jc w:val="center"/>
              <w:outlineLvl w:val="0"/>
              <w:rPr>
                <w:rFonts w:eastAsia="Times New Roman"/>
                <w:bCs/>
                <w:lang w:val="es-ES_tradnl"/>
              </w:rPr>
            </w:pPr>
            <w:r w:rsidRPr="00B152E7">
              <w:rPr>
                <w:rFonts w:eastAsia="Times New Roman"/>
                <w:bCs/>
                <w:lang w:val="es-ES_tradnl"/>
              </w:rPr>
              <w:t>4</w:t>
            </w:r>
          </w:p>
        </w:tc>
        <w:tc>
          <w:tcPr>
            <w:tcW w:w="817" w:type="dxa"/>
            <w:vAlign w:val="center"/>
          </w:tcPr>
          <w:p w14:paraId="58E64669" w14:textId="77777777" w:rsidR="005575CE" w:rsidRPr="00B152E7" w:rsidRDefault="005575CE" w:rsidP="000275DD">
            <w:pPr>
              <w:spacing w:line="360" w:lineRule="auto"/>
              <w:jc w:val="center"/>
              <w:outlineLvl w:val="0"/>
              <w:rPr>
                <w:rFonts w:eastAsia="Times New Roman"/>
                <w:bCs/>
                <w:lang w:val="es-ES_tradnl"/>
              </w:rPr>
            </w:pPr>
            <w:r w:rsidRPr="00B152E7">
              <w:rPr>
                <w:rFonts w:eastAsia="Times New Roman"/>
                <w:bCs/>
                <w:lang w:val="es-ES_tradnl"/>
              </w:rPr>
              <w:t>3</w:t>
            </w:r>
          </w:p>
        </w:tc>
        <w:tc>
          <w:tcPr>
            <w:tcW w:w="745" w:type="dxa"/>
            <w:vAlign w:val="center"/>
          </w:tcPr>
          <w:p w14:paraId="15281778" w14:textId="77777777" w:rsidR="005575CE" w:rsidRPr="00B152E7" w:rsidRDefault="005575CE" w:rsidP="000275DD">
            <w:pPr>
              <w:spacing w:line="360" w:lineRule="auto"/>
              <w:jc w:val="center"/>
              <w:outlineLvl w:val="0"/>
              <w:rPr>
                <w:rFonts w:eastAsia="Times New Roman"/>
                <w:bCs/>
                <w:lang w:val="es-ES_tradnl"/>
              </w:rPr>
            </w:pPr>
            <w:r w:rsidRPr="00B152E7">
              <w:rPr>
                <w:rFonts w:eastAsia="Times New Roman"/>
                <w:bCs/>
                <w:lang w:val="es-ES_tradnl"/>
              </w:rPr>
              <w:t>1</w:t>
            </w:r>
          </w:p>
        </w:tc>
        <w:tc>
          <w:tcPr>
            <w:tcW w:w="758" w:type="dxa"/>
            <w:vAlign w:val="center"/>
          </w:tcPr>
          <w:p w14:paraId="3E190A98" w14:textId="77777777" w:rsidR="005575CE" w:rsidRPr="00B152E7" w:rsidRDefault="005575CE" w:rsidP="000275DD">
            <w:pPr>
              <w:spacing w:line="360" w:lineRule="auto"/>
              <w:jc w:val="center"/>
              <w:outlineLvl w:val="0"/>
              <w:rPr>
                <w:rFonts w:eastAsia="Times New Roman"/>
                <w:bCs/>
                <w:lang w:val="es-ES_tradnl"/>
              </w:rPr>
            </w:pPr>
            <w:r w:rsidRPr="00B152E7">
              <w:rPr>
                <w:rFonts w:eastAsia="Times New Roman"/>
                <w:bCs/>
                <w:lang w:val="es-ES_tradnl"/>
              </w:rPr>
              <w:t>1</w:t>
            </w:r>
          </w:p>
        </w:tc>
        <w:tc>
          <w:tcPr>
            <w:tcW w:w="797" w:type="dxa"/>
            <w:vAlign w:val="center"/>
          </w:tcPr>
          <w:p w14:paraId="61B8454E" w14:textId="77777777" w:rsidR="005575CE" w:rsidRPr="00B152E7" w:rsidRDefault="005575CE" w:rsidP="000275DD">
            <w:pPr>
              <w:spacing w:line="360" w:lineRule="auto"/>
              <w:jc w:val="center"/>
              <w:outlineLvl w:val="0"/>
              <w:rPr>
                <w:rFonts w:eastAsia="Times New Roman"/>
                <w:bCs/>
                <w:lang w:val="es-ES_tradnl"/>
              </w:rPr>
            </w:pPr>
            <w:r w:rsidRPr="00B152E7">
              <w:rPr>
                <w:rFonts w:eastAsia="Times New Roman"/>
                <w:bCs/>
                <w:lang w:val="es-ES_tradnl"/>
              </w:rPr>
              <w:t>1</w:t>
            </w:r>
          </w:p>
        </w:tc>
        <w:tc>
          <w:tcPr>
            <w:tcW w:w="872" w:type="dxa"/>
            <w:vAlign w:val="center"/>
          </w:tcPr>
          <w:p w14:paraId="7547A43D" w14:textId="77777777" w:rsidR="005575CE" w:rsidRPr="00B152E7" w:rsidRDefault="005575CE" w:rsidP="000275DD">
            <w:pPr>
              <w:spacing w:line="360" w:lineRule="auto"/>
              <w:jc w:val="center"/>
              <w:outlineLvl w:val="0"/>
              <w:rPr>
                <w:rFonts w:eastAsia="Times New Roman"/>
                <w:bCs/>
                <w:lang w:val="es-ES_tradnl"/>
              </w:rPr>
            </w:pPr>
            <w:r w:rsidRPr="00B152E7">
              <w:rPr>
                <w:rFonts w:eastAsia="Times New Roman"/>
                <w:bCs/>
                <w:lang w:val="es-ES_tradnl"/>
              </w:rPr>
              <w:t>0</w:t>
            </w:r>
          </w:p>
        </w:tc>
        <w:tc>
          <w:tcPr>
            <w:tcW w:w="783" w:type="dxa"/>
            <w:vAlign w:val="center"/>
          </w:tcPr>
          <w:p w14:paraId="5874AF5F" w14:textId="77777777" w:rsidR="005575CE" w:rsidRPr="00B152E7" w:rsidRDefault="005575CE" w:rsidP="000275DD">
            <w:pPr>
              <w:spacing w:line="360" w:lineRule="auto"/>
              <w:jc w:val="center"/>
              <w:outlineLvl w:val="0"/>
              <w:rPr>
                <w:rFonts w:eastAsia="Times New Roman"/>
                <w:bCs/>
                <w:lang w:val="es-ES_tradnl"/>
              </w:rPr>
            </w:pPr>
            <w:r w:rsidRPr="00B152E7">
              <w:rPr>
                <w:rFonts w:eastAsia="Times New Roman"/>
                <w:bCs/>
                <w:lang w:val="es-ES_tradnl"/>
              </w:rPr>
              <w:t>0</w:t>
            </w:r>
          </w:p>
        </w:tc>
        <w:tc>
          <w:tcPr>
            <w:tcW w:w="734" w:type="dxa"/>
            <w:vAlign w:val="center"/>
          </w:tcPr>
          <w:p w14:paraId="0F78A90E" w14:textId="77777777" w:rsidR="005575CE" w:rsidRPr="00B152E7" w:rsidRDefault="005575CE" w:rsidP="000275DD">
            <w:pPr>
              <w:spacing w:line="360" w:lineRule="auto"/>
              <w:jc w:val="center"/>
              <w:outlineLvl w:val="0"/>
              <w:rPr>
                <w:rFonts w:eastAsia="Times New Roman"/>
                <w:bCs/>
                <w:lang w:val="es-ES_tradnl"/>
              </w:rPr>
            </w:pPr>
            <w:r w:rsidRPr="00B152E7">
              <w:rPr>
                <w:rFonts w:eastAsia="Times New Roman"/>
                <w:bCs/>
                <w:lang w:val="es-ES_tradnl"/>
              </w:rPr>
              <w:t>0</w:t>
            </w:r>
          </w:p>
        </w:tc>
        <w:tc>
          <w:tcPr>
            <w:tcW w:w="617" w:type="dxa"/>
            <w:vAlign w:val="center"/>
          </w:tcPr>
          <w:p w14:paraId="22FA33E3" w14:textId="77777777" w:rsidR="005575CE" w:rsidRPr="00B152E7" w:rsidRDefault="005575CE" w:rsidP="000275DD">
            <w:pPr>
              <w:spacing w:line="360" w:lineRule="auto"/>
              <w:jc w:val="center"/>
              <w:outlineLvl w:val="0"/>
              <w:rPr>
                <w:rFonts w:eastAsia="Times New Roman"/>
                <w:bCs/>
                <w:lang w:val="es-ES_tradnl"/>
              </w:rPr>
            </w:pPr>
            <w:r w:rsidRPr="00B152E7">
              <w:rPr>
                <w:rFonts w:eastAsia="Times New Roman"/>
                <w:bCs/>
                <w:lang w:val="es-ES_tradnl"/>
              </w:rPr>
              <w:t>0</w:t>
            </w:r>
          </w:p>
        </w:tc>
      </w:tr>
    </w:tbl>
    <w:p w14:paraId="27D3998C" w14:textId="77777777" w:rsidR="001E339C" w:rsidRPr="00B152E7" w:rsidRDefault="001E339C" w:rsidP="00A66BA9">
      <w:pPr>
        <w:pStyle w:val="Prrafodelista"/>
        <w:tabs>
          <w:tab w:val="left" w:pos="284"/>
          <w:tab w:val="left" w:pos="3261"/>
        </w:tabs>
        <w:spacing w:before="200" w:after="200" w:line="360" w:lineRule="auto"/>
        <w:ind w:left="0"/>
        <w:contextualSpacing w:val="0"/>
        <w:jc w:val="both"/>
        <w:rPr>
          <w:rFonts w:ascii="Arial" w:hAnsi="Arial" w:cs="Arial"/>
          <w:bCs/>
          <w:sz w:val="4"/>
          <w:szCs w:val="4"/>
        </w:rPr>
      </w:pPr>
    </w:p>
    <w:p w14:paraId="7BB669B2" w14:textId="77777777" w:rsidR="00AC7EAF" w:rsidRPr="00B152E7" w:rsidRDefault="00AC7EAF" w:rsidP="00A66BA9">
      <w:pPr>
        <w:pStyle w:val="Prrafodelista"/>
        <w:tabs>
          <w:tab w:val="left" w:pos="284"/>
          <w:tab w:val="left" w:pos="3261"/>
        </w:tabs>
        <w:spacing w:before="200" w:after="200" w:line="360" w:lineRule="auto"/>
        <w:ind w:left="0"/>
        <w:contextualSpacing w:val="0"/>
        <w:jc w:val="both"/>
        <w:rPr>
          <w:rFonts w:ascii="Arial" w:hAnsi="Arial" w:cs="Arial"/>
          <w:bCs/>
        </w:rPr>
      </w:pPr>
      <w:r w:rsidRPr="00B152E7">
        <w:rPr>
          <w:rFonts w:ascii="Arial" w:hAnsi="Arial" w:cs="Arial"/>
          <w:bCs/>
        </w:rPr>
        <w:t>Por otra parte, para lograr la integración paritaria del ayuntamiento, se aplicó un ajuste en cuanto a la regiduría correspondiente al PRI</w:t>
      </w:r>
      <w:r w:rsidR="001E339C" w:rsidRPr="00B152E7">
        <w:rPr>
          <w:rFonts w:ascii="Arial" w:hAnsi="Arial" w:cs="Arial"/>
          <w:bCs/>
        </w:rPr>
        <w:t xml:space="preserve"> el ser el partido con menor votación cuya fórmula de candidaturas a la </w:t>
      </w:r>
      <w:r w:rsidR="00731602" w:rsidRPr="00B152E7">
        <w:rPr>
          <w:rFonts w:ascii="Arial" w:hAnsi="Arial" w:cs="Arial"/>
          <w:bCs/>
        </w:rPr>
        <w:t>primera regiduría</w:t>
      </w:r>
      <w:r w:rsidR="001E339C" w:rsidRPr="00B152E7">
        <w:rPr>
          <w:rFonts w:ascii="Arial" w:hAnsi="Arial" w:cs="Arial"/>
          <w:bCs/>
        </w:rPr>
        <w:t xml:space="preserve"> estaba conformada por hombres. </w:t>
      </w:r>
      <w:r w:rsidR="00731602" w:rsidRPr="00B152E7">
        <w:rPr>
          <w:rFonts w:ascii="Arial" w:hAnsi="Arial" w:cs="Arial"/>
          <w:bCs/>
        </w:rPr>
        <w:t>Con</w:t>
      </w:r>
      <w:r w:rsidR="001E339C" w:rsidRPr="00B152E7">
        <w:rPr>
          <w:rFonts w:ascii="Arial" w:hAnsi="Arial" w:cs="Arial"/>
          <w:bCs/>
        </w:rPr>
        <w:t xml:space="preserve"> el ajuste de paridad se alcanzó la integración por seis fórmulas integradas por hombres y seis por mujeres</w:t>
      </w:r>
      <w:r w:rsidR="00B152E7">
        <w:rPr>
          <w:rFonts w:ascii="Arial" w:hAnsi="Arial" w:cs="Arial"/>
          <w:bCs/>
        </w:rPr>
        <w:t>, de la siguiente forma</w:t>
      </w:r>
      <w:r w:rsidRPr="00B152E7">
        <w:rPr>
          <w:rFonts w:ascii="Arial" w:hAnsi="Arial" w:cs="Arial"/>
          <w:bCs/>
        </w:rPr>
        <w:t>:</w:t>
      </w:r>
    </w:p>
    <w:tbl>
      <w:tblPr>
        <w:tblStyle w:val="Tablaconcuadrcula"/>
        <w:tblW w:w="8926" w:type="dxa"/>
        <w:jc w:val="center"/>
        <w:tblLook w:val="04A0" w:firstRow="1" w:lastRow="0" w:firstColumn="1" w:lastColumn="0" w:noHBand="0" w:noVBand="1"/>
      </w:tblPr>
      <w:tblGrid>
        <w:gridCol w:w="559"/>
        <w:gridCol w:w="3220"/>
        <w:gridCol w:w="3612"/>
        <w:gridCol w:w="1535"/>
      </w:tblGrid>
      <w:tr w:rsidR="00AC7EAF" w:rsidRPr="00B152E7" w14:paraId="45DFE3D6" w14:textId="77777777" w:rsidTr="001E339C">
        <w:trPr>
          <w:jc w:val="center"/>
        </w:trPr>
        <w:tc>
          <w:tcPr>
            <w:tcW w:w="3779" w:type="dxa"/>
            <w:gridSpan w:val="2"/>
            <w:shd w:val="clear" w:color="auto" w:fill="BFBFBF" w:themeFill="background1" w:themeFillShade="BF"/>
            <w:vAlign w:val="center"/>
          </w:tcPr>
          <w:p w14:paraId="2001C9B4" w14:textId="77777777" w:rsidR="00AC7EAF" w:rsidRPr="00B152E7" w:rsidRDefault="00AC7EAF" w:rsidP="005D5DF4">
            <w:pPr>
              <w:pStyle w:val="Prrafodelista"/>
              <w:tabs>
                <w:tab w:val="left" w:pos="284"/>
                <w:tab w:val="left" w:pos="3261"/>
              </w:tabs>
              <w:ind w:left="0"/>
              <w:contextualSpacing w:val="0"/>
              <w:jc w:val="center"/>
              <w:rPr>
                <w:bCs/>
              </w:rPr>
            </w:pPr>
            <w:r w:rsidRPr="00B152E7">
              <w:rPr>
                <w:bCs/>
              </w:rPr>
              <w:lastRenderedPageBreak/>
              <w:t>Presidencia</w:t>
            </w:r>
          </w:p>
        </w:tc>
        <w:tc>
          <w:tcPr>
            <w:tcW w:w="5147" w:type="dxa"/>
            <w:gridSpan w:val="2"/>
            <w:shd w:val="clear" w:color="auto" w:fill="BFBFBF" w:themeFill="background1" w:themeFillShade="BF"/>
            <w:vAlign w:val="center"/>
          </w:tcPr>
          <w:p w14:paraId="7FA3B190" w14:textId="77777777" w:rsidR="00AC7EAF" w:rsidRPr="00B152E7" w:rsidRDefault="00AC7EAF" w:rsidP="005D5DF4">
            <w:pPr>
              <w:pStyle w:val="Prrafodelista"/>
              <w:tabs>
                <w:tab w:val="left" w:pos="284"/>
                <w:tab w:val="left" w:pos="3261"/>
              </w:tabs>
              <w:ind w:left="0"/>
              <w:contextualSpacing w:val="0"/>
              <w:jc w:val="center"/>
              <w:rPr>
                <w:bCs/>
              </w:rPr>
            </w:pPr>
            <w:r w:rsidRPr="00B152E7">
              <w:rPr>
                <w:bCs/>
              </w:rPr>
              <w:t>Partido político</w:t>
            </w:r>
          </w:p>
        </w:tc>
      </w:tr>
      <w:tr w:rsidR="00AC7EAF" w:rsidRPr="00B152E7" w14:paraId="6E524D3E" w14:textId="77777777" w:rsidTr="001E339C">
        <w:trPr>
          <w:jc w:val="center"/>
        </w:trPr>
        <w:tc>
          <w:tcPr>
            <w:tcW w:w="3779" w:type="dxa"/>
            <w:gridSpan w:val="2"/>
            <w:vAlign w:val="center"/>
          </w:tcPr>
          <w:p w14:paraId="393472C4" w14:textId="77777777" w:rsidR="00AC7EAF" w:rsidRPr="00B152E7" w:rsidRDefault="00AC7EAF" w:rsidP="005D5DF4">
            <w:pPr>
              <w:pStyle w:val="Prrafodelista"/>
              <w:tabs>
                <w:tab w:val="left" w:pos="284"/>
                <w:tab w:val="left" w:pos="3261"/>
              </w:tabs>
              <w:ind w:left="0"/>
              <w:contextualSpacing w:val="0"/>
              <w:jc w:val="center"/>
              <w:rPr>
                <w:bCs/>
              </w:rPr>
            </w:pPr>
            <w:r w:rsidRPr="00B152E7">
              <w:t>Omar Gregorio Mendoza Flores</w:t>
            </w:r>
          </w:p>
        </w:tc>
        <w:tc>
          <w:tcPr>
            <w:tcW w:w="5147" w:type="dxa"/>
            <w:gridSpan w:val="2"/>
            <w:vAlign w:val="center"/>
          </w:tcPr>
          <w:p w14:paraId="2C23A3DE" w14:textId="77777777" w:rsidR="00AC7EAF" w:rsidRPr="00B152E7" w:rsidRDefault="00AC7EAF" w:rsidP="005D5DF4">
            <w:pPr>
              <w:pStyle w:val="Prrafodelista"/>
              <w:tabs>
                <w:tab w:val="left" w:pos="284"/>
                <w:tab w:val="left" w:pos="3261"/>
              </w:tabs>
              <w:ind w:left="0"/>
              <w:contextualSpacing w:val="0"/>
              <w:jc w:val="center"/>
              <w:rPr>
                <w:bCs/>
              </w:rPr>
            </w:pPr>
            <w:r w:rsidRPr="00B152E7">
              <w:rPr>
                <w:bCs/>
              </w:rPr>
              <w:t>PAN</w:t>
            </w:r>
          </w:p>
        </w:tc>
      </w:tr>
      <w:tr w:rsidR="00AC7EAF" w:rsidRPr="00B152E7" w14:paraId="1498750C" w14:textId="77777777" w:rsidTr="001E339C">
        <w:trPr>
          <w:jc w:val="center"/>
        </w:trPr>
        <w:tc>
          <w:tcPr>
            <w:tcW w:w="8926" w:type="dxa"/>
            <w:gridSpan w:val="4"/>
            <w:shd w:val="clear" w:color="auto" w:fill="BFBFBF" w:themeFill="background1" w:themeFillShade="BF"/>
            <w:vAlign w:val="center"/>
          </w:tcPr>
          <w:p w14:paraId="666A3C4E" w14:textId="77777777" w:rsidR="00AC7EAF" w:rsidRPr="00B152E7" w:rsidRDefault="00AC7EAF" w:rsidP="005D5DF4">
            <w:pPr>
              <w:pStyle w:val="Prrafodelista"/>
              <w:tabs>
                <w:tab w:val="left" w:pos="284"/>
                <w:tab w:val="left" w:pos="3261"/>
              </w:tabs>
              <w:ind w:left="0"/>
              <w:contextualSpacing w:val="0"/>
              <w:jc w:val="center"/>
              <w:rPr>
                <w:bCs/>
              </w:rPr>
            </w:pPr>
            <w:r w:rsidRPr="00B152E7">
              <w:rPr>
                <w:bCs/>
              </w:rPr>
              <w:t>Sindicaturas</w:t>
            </w:r>
          </w:p>
        </w:tc>
      </w:tr>
      <w:tr w:rsidR="00AC7EAF" w:rsidRPr="00B152E7" w14:paraId="32622605" w14:textId="77777777" w:rsidTr="001E339C">
        <w:trPr>
          <w:jc w:val="center"/>
        </w:trPr>
        <w:tc>
          <w:tcPr>
            <w:tcW w:w="3779" w:type="dxa"/>
            <w:gridSpan w:val="2"/>
            <w:shd w:val="clear" w:color="auto" w:fill="BFBFBF" w:themeFill="background1" w:themeFillShade="BF"/>
            <w:vAlign w:val="center"/>
          </w:tcPr>
          <w:p w14:paraId="37CF18BD" w14:textId="77777777" w:rsidR="00AC7EAF" w:rsidRPr="00B152E7" w:rsidRDefault="00AC7EAF" w:rsidP="005D5DF4">
            <w:pPr>
              <w:pStyle w:val="Prrafodelista"/>
              <w:tabs>
                <w:tab w:val="left" w:pos="284"/>
                <w:tab w:val="left" w:pos="3261"/>
              </w:tabs>
              <w:ind w:left="0"/>
              <w:contextualSpacing w:val="0"/>
              <w:jc w:val="center"/>
              <w:rPr>
                <w:bCs/>
              </w:rPr>
            </w:pPr>
            <w:r w:rsidRPr="00B152E7">
              <w:rPr>
                <w:bCs/>
              </w:rPr>
              <w:t>Propietario</w:t>
            </w:r>
          </w:p>
        </w:tc>
        <w:tc>
          <w:tcPr>
            <w:tcW w:w="5147" w:type="dxa"/>
            <w:gridSpan w:val="2"/>
            <w:shd w:val="clear" w:color="auto" w:fill="BFBFBF" w:themeFill="background1" w:themeFillShade="BF"/>
            <w:vAlign w:val="center"/>
          </w:tcPr>
          <w:p w14:paraId="1EF4DA29" w14:textId="77777777" w:rsidR="00AC7EAF" w:rsidRPr="00B152E7" w:rsidRDefault="00AC7EAF" w:rsidP="005D5DF4">
            <w:pPr>
              <w:pStyle w:val="Prrafodelista"/>
              <w:tabs>
                <w:tab w:val="left" w:pos="284"/>
                <w:tab w:val="left" w:pos="3261"/>
              </w:tabs>
              <w:ind w:left="0"/>
              <w:contextualSpacing w:val="0"/>
              <w:jc w:val="center"/>
              <w:rPr>
                <w:bCs/>
              </w:rPr>
            </w:pPr>
            <w:r w:rsidRPr="00B152E7">
              <w:rPr>
                <w:bCs/>
              </w:rPr>
              <w:t>Suplente</w:t>
            </w:r>
          </w:p>
        </w:tc>
      </w:tr>
      <w:tr w:rsidR="00AC7EAF" w:rsidRPr="00B152E7" w14:paraId="2B7E426E" w14:textId="77777777" w:rsidTr="001E339C">
        <w:trPr>
          <w:jc w:val="center"/>
        </w:trPr>
        <w:tc>
          <w:tcPr>
            <w:tcW w:w="3779" w:type="dxa"/>
            <w:gridSpan w:val="2"/>
            <w:vAlign w:val="center"/>
          </w:tcPr>
          <w:p w14:paraId="7A596076" w14:textId="77777777" w:rsidR="00AC7EAF" w:rsidRPr="00B152E7" w:rsidRDefault="00AC7EAF" w:rsidP="005D5DF4">
            <w:pPr>
              <w:pStyle w:val="Prrafodelista"/>
              <w:tabs>
                <w:tab w:val="left" w:pos="284"/>
                <w:tab w:val="left" w:pos="3261"/>
              </w:tabs>
              <w:ind w:left="0"/>
              <w:contextualSpacing w:val="0"/>
              <w:jc w:val="center"/>
              <w:rPr>
                <w:bCs/>
              </w:rPr>
            </w:pPr>
            <w:r w:rsidRPr="00B152E7">
              <w:t>Josefina Isabel Magaña Gutiérrez</w:t>
            </w:r>
          </w:p>
        </w:tc>
        <w:tc>
          <w:tcPr>
            <w:tcW w:w="5147" w:type="dxa"/>
            <w:gridSpan w:val="2"/>
            <w:vAlign w:val="center"/>
          </w:tcPr>
          <w:p w14:paraId="51D6761E" w14:textId="77777777" w:rsidR="00AC7EAF" w:rsidRPr="00B152E7" w:rsidRDefault="00AC7EAF" w:rsidP="005D5DF4">
            <w:pPr>
              <w:pStyle w:val="Prrafodelista"/>
              <w:tabs>
                <w:tab w:val="left" w:pos="284"/>
                <w:tab w:val="left" w:pos="3261"/>
              </w:tabs>
              <w:ind w:left="0"/>
              <w:contextualSpacing w:val="0"/>
              <w:jc w:val="center"/>
              <w:rPr>
                <w:bCs/>
              </w:rPr>
            </w:pPr>
            <w:r w:rsidRPr="00B152E7">
              <w:t>María Guadalupe Sánchez Flores</w:t>
            </w:r>
          </w:p>
        </w:tc>
      </w:tr>
      <w:tr w:rsidR="00AC7EAF" w:rsidRPr="00B152E7" w14:paraId="65429736" w14:textId="77777777" w:rsidTr="001E339C">
        <w:trPr>
          <w:jc w:val="center"/>
        </w:trPr>
        <w:tc>
          <w:tcPr>
            <w:tcW w:w="8926" w:type="dxa"/>
            <w:gridSpan w:val="4"/>
            <w:shd w:val="clear" w:color="auto" w:fill="BFBFBF" w:themeFill="background1" w:themeFillShade="BF"/>
            <w:vAlign w:val="center"/>
          </w:tcPr>
          <w:p w14:paraId="25C72E29" w14:textId="77777777" w:rsidR="00AC7EAF" w:rsidRPr="00B152E7" w:rsidRDefault="00AC7EAF" w:rsidP="005D5DF4">
            <w:pPr>
              <w:pStyle w:val="Prrafodelista"/>
              <w:tabs>
                <w:tab w:val="left" w:pos="284"/>
                <w:tab w:val="left" w:pos="3261"/>
              </w:tabs>
              <w:ind w:left="0"/>
              <w:contextualSpacing w:val="0"/>
              <w:jc w:val="center"/>
              <w:rPr>
                <w:bCs/>
              </w:rPr>
            </w:pPr>
            <w:r w:rsidRPr="00B152E7">
              <w:rPr>
                <w:bCs/>
              </w:rPr>
              <w:t>Regidurías</w:t>
            </w:r>
          </w:p>
        </w:tc>
      </w:tr>
      <w:tr w:rsidR="005D5DF4" w:rsidRPr="00B152E7" w14:paraId="3F3C5DEA" w14:textId="77777777" w:rsidTr="001E339C">
        <w:trPr>
          <w:jc w:val="center"/>
        </w:trPr>
        <w:tc>
          <w:tcPr>
            <w:tcW w:w="559" w:type="dxa"/>
            <w:shd w:val="clear" w:color="auto" w:fill="BFBFBF" w:themeFill="background1" w:themeFillShade="BF"/>
            <w:vAlign w:val="center"/>
          </w:tcPr>
          <w:p w14:paraId="46AFD4EC" w14:textId="77777777" w:rsidR="005D5DF4" w:rsidRPr="00B152E7" w:rsidRDefault="005D5DF4" w:rsidP="005D5DF4">
            <w:pPr>
              <w:pStyle w:val="Prrafodelista"/>
              <w:tabs>
                <w:tab w:val="left" w:pos="284"/>
                <w:tab w:val="left" w:pos="3261"/>
              </w:tabs>
              <w:ind w:left="0"/>
              <w:contextualSpacing w:val="0"/>
              <w:jc w:val="center"/>
              <w:rPr>
                <w:bCs/>
              </w:rPr>
            </w:pPr>
            <w:r w:rsidRPr="00B152E7">
              <w:rPr>
                <w:bCs/>
              </w:rPr>
              <w:t>No.</w:t>
            </w:r>
          </w:p>
        </w:tc>
        <w:tc>
          <w:tcPr>
            <w:tcW w:w="3220" w:type="dxa"/>
            <w:shd w:val="clear" w:color="auto" w:fill="BFBFBF" w:themeFill="background1" w:themeFillShade="BF"/>
            <w:vAlign w:val="center"/>
          </w:tcPr>
          <w:p w14:paraId="6288478F" w14:textId="77777777" w:rsidR="005D5DF4" w:rsidRPr="00B152E7" w:rsidRDefault="005D5DF4" w:rsidP="005D5DF4">
            <w:pPr>
              <w:pStyle w:val="Prrafodelista"/>
              <w:tabs>
                <w:tab w:val="left" w:pos="284"/>
                <w:tab w:val="left" w:pos="3261"/>
              </w:tabs>
              <w:ind w:left="0"/>
              <w:contextualSpacing w:val="0"/>
              <w:jc w:val="center"/>
              <w:rPr>
                <w:bCs/>
              </w:rPr>
            </w:pPr>
            <w:r w:rsidRPr="00B152E7">
              <w:rPr>
                <w:bCs/>
              </w:rPr>
              <w:t>Propietario</w:t>
            </w:r>
          </w:p>
        </w:tc>
        <w:tc>
          <w:tcPr>
            <w:tcW w:w="3612" w:type="dxa"/>
            <w:shd w:val="clear" w:color="auto" w:fill="BFBFBF" w:themeFill="background1" w:themeFillShade="BF"/>
            <w:vAlign w:val="center"/>
          </w:tcPr>
          <w:p w14:paraId="212E3362" w14:textId="77777777" w:rsidR="005D5DF4" w:rsidRPr="00B152E7" w:rsidRDefault="005D5DF4" w:rsidP="005D5DF4">
            <w:pPr>
              <w:pStyle w:val="Prrafodelista"/>
              <w:tabs>
                <w:tab w:val="left" w:pos="284"/>
                <w:tab w:val="left" w:pos="3261"/>
              </w:tabs>
              <w:ind w:left="0"/>
              <w:contextualSpacing w:val="0"/>
              <w:jc w:val="center"/>
              <w:rPr>
                <w:bCs/>
              </w:rPr>
            </w:pPr>
            <w:r w:rsidRPr="00B152E7">
              <w:rPr>
                <w:bCs/>
              </w:rPr>
              <w:t>Suplente</w:t>
            </w:r>
          </w:p>
        </w:tc>
        <w:tc>
          <w:tcPr>
            <w:tcW w:w="1535" w:type="dxa"/>
            <w:shd w:val="clear" w:color="auto" w:fill="BFBFBF" w:themeFill="background1" w:themeFillShade="BF"/>
            <w:vAlign w:val="center"/>
          </w:tcPr>
          <w:p w14:paraId="047608CD" w14:textId="77777777" w:rsidR="005D5DF4" w:rsidRPr="00B152E7" w:rsidRDefault="005D5DF4" w:rsidP="005D5DF4">
            <w:pPr>
              <w:pStyle w:val="Prrafodelista"/>
              <w:tabs>
                <w:tab w:val="left" w:pos="284"/>
                <w:tab w:val="left" w:pos="3261"/>
              </w:tabs>
              <w:ind w:left="0"/>
              <w:contextualSpacing w:val="0"/>
              <w:jc w:val="center"/>
              <w:rPr>
                <w:bCs/>
              </w:rPr>
            </w:pPr>
            <w:r w:rsidRPr="00B152E7">
              <w:rPr>
                <w:bCs/>
              </w:rPr>
              <w:t>Partido</w:t>
            </w:r>
          </w:p>
        </w:tc>
      </w:tr>
      <w:tr w:rsidR="005D5DF4" w:rsidRPr="00B152E7" w14:paraId="1526E387" w14:textId="77777777" w:rsidTr="001E339C">
        <w:trPr>
          <w:jc w:val="center"/>
        </w:trPr>
        <w:tc>
          <w:tcPr>
            <w:tcW w:w="559" w:type="dxa"/>
            <w:vAlign w:val="center"/>
          </w:tcPr>
          <w:p w14:paraId="09EBB1C1" w14:textId="77777777" w:rsidR="005D5DF4" w:rsidRPr="00B152E7" w:rsidRDefault="005D5DF4" w:rsidP="00AC7EAF">
            <w:pPr>
              <w:pStyle w:val="Prrafodelista"/>
              <w:tabs>
                <w:tab w:val="left" w:pos="284"/>
                <w:tab w:val="left" w:pos="3261"/>
              </w:tabs>
              <w:ind w:left="0"/>
              <w:contextualSpacing w:val="0"/>
              <w:jc w:val="both"/>
              <w:rPr>
                <w:bCs/>
              </w:rPr>
            </w:pPr>
            <w:r w:rsidRPr="00B152E7">
              <w:rPr>
                <w:bCs/>
              </w:rPr>
              <w:t>1</w:t>
            </w:r>
          </w:p>
        </w:tc>
        <w:tc>
          <w:tcPr>
            <w:tcW w:w="3220" w:type="dxa"/>
            <w:vAlign w:val="center"/>
          </w:tcPr>
          <w:p w14:paraId="320EE120" w14:textId="77777777" w:rsidR="005D5DF4" w:rsidRPr="00B152E7" w:rsidRDefault="005D5DF4" w:rsidP="00AC7EAF">
            <w:pPr>
              <w:pStyle w:val="Prrafodelista"/>
              <w:tabs>
                <w:tab w:val="left" w:pos="284"/>
                <w:tab w:val="left" w:pos="3261"/>
              </w:tabs>
              <w:ind w:left="0"/>
              <w:contextualSpacing w:val="0"/>
              <w:jc w:val="both"/>
              <w:rPr>
                <w:bCs/>
              </w:rPr>
            </w:pPr>
            <w:r w:rsidRPr="00B152E7">
              <w:t>José Paul Tafoya Meza</w:t>
            </w:r>
          </w:p>
        </w:tc>
        <w:tc>
          <w:tcPr>
            <w:tcW w:w="3612" w:type="dxa"/>
            <w:vAlign w:val="center"/>
          </w:tcPr>
          <w:p w14:paraId="7FDF6250" w14:textId="77777777" w:rsidR="005D5DF4" w:rsidRPr="00B152E7" w:rsidRDefault="005D5DF4" w:rsidP="00AC7EAF">
            <w:pPr>
              <w:pStyle w:val="Prrafodelista"/>
              <w:tabs>
                <w:tab w:val="left" w:pos="284"/>
                <w:tab w:val="left" w:pos="3261"/>
              </w:tabs>
              <w:ind w:left="0"/>
              <w:contextualSpacing w:val="0"/>
              <w:jc w:val="both"/>
              <w:rPr>
                <w:bCs/>
              </w:rPr>
            </w:pPr>
            <w:r w:rsidRPr="00B152E7">
              <w:t>Juan Iván Barrón Meza</w:t>
            </w:r>
          </w:p>
        </w:tc>
        <w:tc>
          <w:tcPr>
            <w:tcW w:w="1535" w:type="dxa"/>
            <w:vAlign w:val="center"/>
          </w:tcPr>
          <w:p w14:paraId="37CB8129" w14:textId="77777777" w:rsidR="005D5DF4" w:rsidRPr="00B152E7" w:rsidRDefault="005D5DF4" w:rsidP="00AC7EAF">
            <w:pPr>
              <w:pStyle w:val="Prrafodelista"/>
              <w:tabs>
                <w:tab w:val="left" w:pos="284"/>
                <w:tab w:val="left" w:pos="3261"/>
              </w:tabs>
              <w:ind w:left="0"/>
              <w:contextualSpacing w:val="0"/>
              <w:jc w:val="both"/>
              <w:rPr>
                <w:bCs/>
              </w:rPr>
            </w:pPr>
            <w:r w:rsidRPr="00B152E7">
              <w:rPr>
                <w:bCs/>
              </w:rPr>
              <w:t>PAN</w:t>
            </w:r>
          </w:p>
        </w:tc>
      </w:tr>
      <w:tr w:rsidR="005D5DF4" w:rsidRPr="00B152E7" w14:paraId="7B06A051" w14:textId="77777777" w:rsidTr="001E339C">
        <w:trPr>
          <w:jc w:val="center"/>
        </w:trPr>
        <w:tc>
          <w:tcPr>
            <w:tcW w:w="559" w:type="dxa"/>
            <w:vAlign w:val="center"/>
          </w:tcPr>
          <w:p w14:paraId="0FF37F86" w14:textId="77777777" w:rsidR="005D5DF4" w:rsidRPr="00B152E7" w:rsidRDefault="005D5DF4" w:rsidP="005D5DF4">
            <w:r w:rsidRPr="00B152E7">
              <w:rPr>
                <w:bCs/>
              </w:rPr>
              <w:t>2</w:t>
            </w:r>
          </w:p>
        </w:tc>
        <w:tc>
          <w:tcPr>
            <w:tcW w:w="3220" w:type="dxa"/>
            <w:vAlign w:val="center"/>
          </w:tcPr>
          <w:p w14:paraId="0B6FE41E" w14:textId="77777777" w:rsidR="005D5DF4" w:rsidRPr="00B152E7" w:rsidRDefault="005D5DF4" w:rsidP="005D5DF4">
            <w:pPr>
              <w:pStyle w:val="Prrafodelista"/>
              <w:tabs>
                <w:tab w:val="left" w:pos="284"/>
                <w:tab w:val="left" w:pos="3261"/>
              </w:tabs>
              <w:ind w:left="0"/>
              <w:contextualSpacing w:val="0"/>
              <w:jc w:val="both"/>
              <w:rPr>
                <w:bCs/>
              </w:rPr>
            </w:pPr>
            <w:r w:rsidRPr="00B152E7">
              <w:t>Ana Paola Olmedo Velázquez</w:t>
            </w:r>
          </w:p>
        </w:tc>
        <w:tc>
          <w:tcPr>
            <w:tcW w:w="3612" w:type="dxa"/>
            <w:vAlign w:val="center"/>
          </w:tcPr>
          <w:p w14:paraId="5E8EFB5C" w14:textId="77777777" w:rsidR="005D5DF4" w:rsidRPr="00B152E7" w:rsidRDefault="005D5DF4" w:rsidP="005D5DF4">
            <w:pPr>
              <w:pStyle w:val="Prrafodelista"/>
              <w:tabs>
                <w:tab w:val="left" w:pos="284"/>
                <w:tab w:val="left" w:pos="3261"/>
              </w:tabs>
              <w:ind w:left="0"/>
              <w:contextualSpacing w:val="0"/>
              <w:jc w:val="both"/>
              <w:rPr>
                <w:bCs/>
              </w:rPr>
            </w:pPr>
            <w:r w:rsidRPr="00B152E7">
              <w:t>Esther Arroyo Cárdenas</w:t>
            </w:r>
          </w:p>
        </w:tc>
        <w:tc>
          <w:tcPr>
            <w:tcW w:w="1535" w:type="dxa"/>
            <w:vAlign w:val="center"/>
          </w:tcPr>
          <w:p w14:paraId="2E4DD58F" w14:textId="77777777" w:rsidR="005D5DF4" w:rsidRPr="00B152E7" w:rsidRDefault="005D5DF4" w:rsidP="005D5DF4">
            <w:pPr>
              <w:pStyle w:val="Prrafodelista"/>
              <w:tabs>
                <w:tab w:val="left" w:pos="284"/>
                <w:tab w:val="left" w:pos="3261"/>
              </w:tabs>
              <w:ind w:left="0"/>
              <w:contextualSpacing w:val="0"/>
              <w:jc w:val="both"/>
              <w:rPr>
                <w:bCs/>
              </w:rPr>
            </w:pPr>
            <w:r w:rsidRPr="00B152E7">
              <w:rPr>
                <w:bCs/>
              </w:rPr>
              <w:t>PAN</w:t>
            </w:r>
          </w:p>
        </w:tc>
      </w:tr>
      <w:tr w:rsidR="005D5DF4" w:rsidRPr="00B152E7" w14:paraId="37EF57CA" w14:textId="77777777" w:rsidTr="001E339C">
        <w:trPr>
          <w:jc w:val="center"/>
        </w:trPr>
        <w:tc>
          <w:tcPr>
            <w:tcW w:w="559" w:type="dxa"/>
            <w:vAlign w:val="center"/>
          </w:tcPr>
          <w:p w14:paraId="48414DAB" w14:textId="77777777" w:rsidR="005D5DF4" w:rsidRPr="00B152E7" w:rsidRDefault="005D5DF4" w:rsidP="005D5DF4">
            <w:r w:rsidRPr="00B152E7">
              <w:rPr>
                <w:bCs/>
              </w:rPr>
              <w:t>3</w:t>
            </w:r>
          </w:p>
        </w:tc>
        <w:tc>
          <w:tcPr>
            <w:tcW w:w="3220" w:type="dxa"/>
            <w:vAlign w:val="center"/>
          </w:tcPr>
          <w:p w14:paraId="0C4D77E9" w14:textId="77777777" w:rsidR="005D5DF4" w:rsidRPr="00B152E7" w:rsidRDefault="005D5DF4" w:rsidP="005D5DF4">
            <w:pPr>
              <w:pStyle w:val="Prrafodelista"/>
              <w:tabs>
                <w:tab w:val="left" w:pos="284"/>
                <w:tab w:val="left" w:pos="3261"/>
              </w:tabs>
              <w:ind w:left="0"/>
              <w:contextualSpacing w:val="0"/>
              <w:jc w:val="both"/>
              <w:rPr>
                <w:bCs/>
              </w:rPr>
            </w:pPr>
            <w:r w:rsidRPr="00B152E7">
              <w:t>José Miguel Herrera Flores</w:t>
            </w:r>
          </w:p>
        </w:tc>
        <w:tc>
          <w:tcPr>
            <w:tcW w:w="3612" w:type="dxa"/>
            <w:vAlign w:val="center"/>
          </w:tcPr>
          <w:p w14:paraId="12FDD082" w14:textId="77777777" w:rsidR="005D5DF4" w:rsidRPr="00B152E7" w:rsidRDefault="005D5DF4" w:rsidP="005D5DF4">
            <w:pPr>
              <w:pStyle w:val="Prrafodelista"/>
              <w:tabs>
                <w:tab w:val="left" w:pos="284"/>
                <w:tab w:val="left" w:pos="3261"/>
              </w:tabs>
              <w:ind w:left="0"/>
              <w:contextualSpacing w:val="0"/>
              <w:jc w:val="both"/>
              <w:rPr>
                <w:bCs/>
              </w:rPr>
            </w:pPr>
            <w:r w:rsidRPr="00B152E7">
              <w:t>Alejandro Enríquez Montañez</w:t>
            </w:r>
          </w:p>
        </w:tc>
        <w:tc>
          <w:tcPr>
            <w:tcW w:w="1535" w:type="dxa"/>
            <w:vAlign w:val="center"/>
          </w:tcPr>
          <w:p w14:paraId="2E34BACF" w14:textId="77777777" w:rsidR="005D5DF4" w:rsidRPr="00B152E7" w:rsidRDefault="005D5DF4" w:rsidP="005D5DF4">
            <w:pPr>
              <w:pStyle w:val="Prrafodelista"/>
              <w:tabs>
                <w:tab w:val="left" w:pos="284"/>
                <w:tab w:val="left" w:pos="3261"/>
              </w:tabs>
              <w:ind w:left="0"/>
              <w:contextualSpacing w:val="0"/>
              <w:jc w:val="both"/>
              <w:rPr>
                <w:bCs/>
              </w:rPr>
            </w:pPr>
            <w:r w:rsidRPr="00B152E7">
              <w:rPr>
                <w:bCs/>
              </w:rPr>
              <w:t>PAN</w:t>
            </w:r>
          </w:p>
        </w:tc>
      </w:tr>
      <w:tr w:rsidR="005D5DF4" w:rsidRPr="00B152E7" w14:paraId="0D38DFCC" w14:textId="77777777" w:rsidTr="001E339C">
        <w:trPr>
          <w:jc w:val="center"/>
        </w:trPr>
        <w:tc>
          <w:tcPr>
            <w:tcW w:w="559" w:type="dxa"/>
            <w:vAlign w:val="center"/>
          </w:tcPr>
          <w:p w14:paraId="7407A9E2" w14:textId="77777777" w:rsidR="005D5DF4" w:rsidRPr="00B152E7" w:rsidRDefault="005D5DF4" w:rsidP="00AC7EAF">
            <w:pPr>
              <w:pStyle w:val="Prrafodelista"/>
              <w:tabs>
                <w:tab w:val="left" w:pos="284"/>
                <w:tab w:val="left" w:pos="3261"/>
              </w:tabs>
              <w:ind w:left="0"/>
              <w:contextualSpacing w:val="0"/>
              <w:jc w:val="both"/>
              <w:rPr>
                <w:bCs/>
              </w:rPr>
            </w:pPr>
            <w:r w:rsidRPr="00B152E7">
              <w:rPr>
                <w:bCs/>
              </w:rPr>
              <w:t>4</w:t>
            </w:r>
          </w:p>
        </w:tc>
        <w:tc>
          <w:tcPr>
            <w:tcW w:w="3220" w:type="dxa"/>
            <w:vAlign w:val="center"/>
          </w:tcPr>
          <w:p w14:paraId="650D4A92" w14:textId="77777777" w:rsidR="005D5DF4" w:rsidRPr="00B152E7" w:rsidRDefault="005D5DF4" w:rsidP="00AC7EAF">
            <w:pPr>
              <w:pStyle w:val="Prrafodelista"/>
              <w:tabs>
                <w:tab w:val="left" w:pos="284"/>
                <w:tab w:val="left" w:pos="3261"/>
              </w:tabs>
              <w:ind w:left="0"/>
              <w:contextualSpacing w:val="0"/>
              <w:jc w:val="both"/>
              <w:rPr>
                <w:bCs/>
              </w:rPr>
            </w:pPr>
            <w:r w:rsidRPr="00B152E7">
              <w:t>Inés Olivo Macías</w:t>
            </w:r>
          </w:p>
        </w:tc>
        <w:tc>
          <w:tcPr>
            <w:tcW w:w="3612" w:type="dxa"/>
            <w:vAlign w:val="center"/>
          </w:tcPr>
          <w:p w14:paraId="49F2AC76" w14:textId="77777777" w:rsidR="005D5DF4" w:rsidRPr="00B152E7" w:rsidRDefault="005D5DF4" w:rsidP="00AC7EAF">
            <w:pPr>
              <w:pStyle w:val="Prrafodelista"/>
              <w:tabs>
                <w:tab w:val="left" w:pos="284"/>
                <w:tab w:val="left" w:pos="3261"/>
              </w:tabs>
              <w:ind w:left="0"/>
              <w:contextualSpacing w:val="0"/>
              <w:jc w:val="both"/>
              <w:rPr>
                <w:bCs/>
              </w:rPr>
            </w:pPr>
            <w:r w:rsidRPr="00B152E7">
              <w:t>Ma. Jesús Solorio Ramírez</w:t>
            </w:r>
          </w:p>
        </w:tc>
        <w:tc>
          <w:tcPr>
            <w:tcW w:w="1535" w:type="dxa"/>
            <w:vAlign w:val="center"/>
          </w:tcPr>
          <w:p w14:paraId="7DCF1A82" w14:textId="77777777" w:rsidR="005D5DF4" w:rsidRPr="00B152E7" w:rsidRDefault="005D5DF4" w:rsidP="00AC7EAF">
            <w:pPr>
              <w:pStyle w:val="Prrafodelista"/>
              <w:tabs>
                <w:tab w:val="left" w:pos="284"/>
                <w:tab w:val="left" w:pos="3261"/>
              </w:tabs>
              <w:ind w:left="0"/>
              <w:contextualSpacing w:val="0"/>
              <w:jc w:val="both"/>
              <w:rPr>
                <w:bCs/>
              </w:rPr>
            </w:pPr>
            <w:r w:rsidRPr="00B152E7">
              <w:rPr>
                <w:bCs/>
              </w:rPr>
              <w:t>PAN</w:t>
            </w:r>
          </w:p>
        </w:tc>
      </w:tr>
      <w:tr w:rsidR="005D5DF4" w:rsidRPr="00B152E7" w14:paraId="461DD23D" w14:textId="77777777" w:rsidTr="001E339C">
        <w:trPr>
          <w:jc w:val="center"/>
        </w:trPr>
        <w:tc>
          <w:tcPr>
            <w:tcW w:w="559" w:type="dxa"/>
            <w:vAlign w:val="center"/>
          </w:tcPr>
          <w:p w14:paraId="59EE3E3E" w14:textId="77777777" w:rsidR="005D5DF4" w:rsidRPr="00B152E7" w:rsidRDefault="005D5DF4" w:rsidP="005D5DF4">
            <w:r w:rsidRPr="00B152E7">
              <w:rPr>
                <w:bCs/>
              </w:rPr>
              <w:t>5</w:t>
            </w:r>
          </w:p>
        </w:tc>
        <w:tc>
          <w:tcPr>
            <w:tcW w:w="3220" w:type="dxa"/>
            <w:vAlign w:val="center"/>
          </w:tcPr>
          <w:p w14:paraId="23D6C603" w14:textId="77777777" w:rsidR="005D5DF4" w:rsidRPr="00B152E7" w:rsidRDefault="005D5DF4" w:rsidP="005D5DF4">
            <w:pPr>
              <w:pStyle w:val="Prrafodelista"/>
              <w:tabs>
                <w:tab w:val="left" w:pos="284"/>
                <w:tab w:val="left" w:pos="3261"/>
              </w:tabs>
              <w:ind w:left="0"/>
              <w:contextualSpacing w:val="0"/>
              <w:jc w:val="both"/>
              <w:rPr>
                <w:bCs/>
              </w:rPr>
            </w:pPr>
            <w:r w:rsidRPr="00B152E7">
              <w:t>José Jesús Canchola Ramos</w:t>
            </w:r>
          </w:p>
        </w:tc>
        <w:tc>
          <w:tcPr>
            <w:tcW w:w="3612" w:type="dxa"/>
            <w:vAlign w:val="center"/>
          </w:tcPr>
          <w:p w14:paraId="017733BD" w14:textId="77777777" w:rsidR="005D5DF4" w:rsidRPr="00B152E7" w:rsidRDefault="005D5DF4" w:rsidP="005D5DF4">
            <w:pPr>
              <w:pStyle w:val="Prrafodelista"/>
              <w:tabs>
                <w:tab w:val="left" w:pos="284"/>
                <w:tab w:val="left" w:pos="3261"/>
              </w:tabs>
              <w:ind w:left="0"/>
              <w:contextualSpacing w:val="0"/>
              <w:jc w:val="both"/>
              <w:rPr>
                <w:bCs/>
              </w:rPr>
            </w:pPr>
            <w:r w:rsidRPr="00B152E7">
              <w:t>Nicolás Herrera Arriaga</w:t>
            </w:r>
          </w:p>
        </w:tc>
        <w:tc>
          <w:tcPr>
            <w:tcW w:w="1535" w:type="dxa"/>
            <w:vAlign w:val="center"/>
          </w:tcPr>
          <w:p w14:paraId="55089A8C" w14:textId="77777777" w:rsidR="005D5DF4" w:rsidRPr="00B152E7" w:rsidRDefault="005D5DF4" w:rsidP="005D5DF4">
            <w:pPr>
              <w:pStyle w:val="Prrafodelista"/>
              <w:tabs>
                <w:tab w:val="left" w:pos="284"/>
                <w:tab w:val="left" w:pos="3261"/>
              </w:tabs>
              <w:ind w:left="0"/>
              <w:contextualSpacing w:val="0"/>
              <w:jc w:val="both"/>
              <w:rPr>
                <w:bCs/>
              </w:rPr>
            </w:pPr>
            <w:r w:rsidRPr="00B152E7">
              <w:rPr>
                <w:bCs/>
              </w:rPr>
              <w:t>Morena</w:t>
            </w:r>
          </w:p>
        </w:tc>
      </w:tr>
      <w:tr w:rsidR="005D5DF4" w:rsidRPr="00B152E7" w14:paraId="2AE4DFB9" w14:textId="77777777" w:rsidTr="001E339C">
        <w:trPr>
          <w:jc w:val="center"/>
        </w:trPr>
        <w:tc>
          <w:tcPr>
            <w:tcW w:w="559" w:type="dxa"/>
            <w:vAlign w:val="center"/>
          </w:tcPr>
          <w:p w14:paraId="01174A40" w14:textId="77777777" w:rsidR="005D5DF4" w:rsidRPr="00B152E7" w:rsidRDefault="005D5DF4" w:rsidP="005D5DF4">
            <w:r w:rsidRPr="00B152E7">
              <w:rPr>
                <w:bCs/>
              </w:rPr>
              <w:t>6</w:t>
            </w:r>
          </w:p>
        </w:tc>
        <w:tc>
          <w:tcPr>
            <w:tcW w:w="3220" w:type="dxa"/>
            <w:vAlign w:val="center"/>
          </w:tcPr>
          <w:p w14:paraId="758835CA" w14:textId="77777777" w:rsidR="005D5DF4" w:rsidRPr="00B152E7" w:rsidRDefault="005D5DF4" w:rsidP="005D5DF4">
            <w:pPr>
              <w:pStyle w:val="Prrafodelista"/>
              <w:tabs>
                <w:tab w:val="left" w:pos="284"/>
                <w:tab w:val="left" w:pos="3261"/>
              </w:tabs>
              <w:ind w:left="0"/>
              <w:contextualSpacing w:val="0"/>
              <w:jc w:val="both"/>
              <w:rPr>
                <w:bCs/>
              </w:rPr>
            </w:pPr>
            <w:r w:rsidRPr="00B152E7">
              <w:t>Estela Mejía Duarte</w:t>
            </w:r>
          </w:p>
        </w:tc>
        <w:tc>
          <w:tcPr>
            <w:tcW w:w="3612" w:type="dxa"/>
            <w:vAlign w:val="center"/>
          </w:tcPr>
          <w:p w14:paraId="05847D99" w14:textId="77777777" w:rsidR="005D5DF4" w:rsidRPr="00B152E7" w:rsidRDefault="005D5DF4" w:rsidP="005D5DF4">
            <w:pPr>
              <w:pStyle w:val="Prrafodelista"/>
              <w:tabs>
                <w:tab w:val="left" w:pos="284"/>
                <w:tab w:val="left" w:pos="3261"/>
              </w:tabs>
              <w:ind w:left="0"/>
              <w:contextualSpacing w:val="0"/>
              <w:jc w:val="both"/>
              <w:rPr>
                <w:bCs/>
              </w:rPr>
            </w:pPr>
            <w:r w:rsidRPr="00B152E7">
              <w:t>Mónica Negrete Rojas</w:t>
            </w:r>
          </w:p>
        </w:tc>
        <w:tc>
          <w:tcPr>
            <w:tcW w:w="1535" w:type="dxa"/>
            <w:vAlign w:val="center"/>
          </w:tcPr>
          <w:p w14:paraId="46D3154C" w14:textId="77777777" w:rsidR="005D5DF4" w:rsidRPr="00B152E7" w:rsidRDefault="005D5DF4" w:rsidP="005D5DF4">
            <w:pPr>
              <w:pStyle w:val="Prrafodelista"/>
              <w:tabs>
                <w:tab w:val="left" w:pos="284"/>
                <w:tab w:val="left" w:pos="3261"/>
              </w:tabs>
              <w:ind w:left="0"/>
              <w:contextualSpacing w:val="0"/>
              <w:jc w:val="both"/>
              <w:rPr>
                <w:bCs/>
              </w:rPr>
            </w:pPr>
            <w:r w:rsidRPr="00B152E7">
              <w:rPr>
                <w:bCs/>
              </w:rPr>
              <w:t>Morena</w:t>
            </w:r>
          </w:p>
        </w:tc>
      </w:tr>
      <w:tr w:rsidR="005D5DF4" w:rsidRPr="00B152E7" w14:paraId="5A8ECAE1" w14:textId="77777777" w:rsidTr="001E339C">
        <w:trPr>
          <w:jc w:val="center"/>
        </w:trPr>
        <w:tc>
          <w:tcPr>
            <w:tcW w:w="559" w:type="dxa"/>
            <w:vAlign w:val="center"/>
          </w:tcPr>
          <w:p w14:paraId="29679141" w14:textId="77777777" w:rsidR="005D5DF4" w:rsidRPr="00B152E7" w:rsidRDefault="005D5DF4" w:rsidP="00AC7EAF">
            <w:pPr>
              <w:pStyle w:val="Prrafodelista"/>
              <w:tabs>
                <w:tab w:val="left" w:pos="284"/>
                <w:tab w:val="left" w:pos="3261"/>
              </w:tabs>
              <w:ind w:left="0"/>
              <w:contextualSpacing w:val="0"/>
              <w:jc w:val="both"/>
              <w:rPr>
                <w:bCs/>
              </w:rPr>
            </w:pPr>
            <w:r w:rsidRPr="00B152E7">
              <w:rPr>
                <w:bCs/>
              </w:rPr>
              <w:t>7</w:t>
            </w:r>
          </w:p>
        </w:tc>
        <w:tc>
          <w:tcPr>
            <w:tcW w:w="3220" w:type="dxa"/>
            <w:vAlign w:val="center"/>
          </w:tcPr>
          <w:p w14:paraId="053C2450" w14:textId="77777777" w:rsidR="005D5DF4" w:rsidRPr="00B152E7" w:rsidRDefault="005D5DF4" w:rsidP="00AC7EAF">
            <w:pPr>
              <w:pStyle w:val="Prrafodelista"/>
              <w:tabs>
                <w:tab w:val="left" w:pos="284"/>
                <w:tab w:val="left" w:pos="3261"/>
              </w:tabs>
              <w:ind w:left="0"/>
              <w:contextualSpacing w:val="0"/>
              <w:jc w:val="both"/>
              <w:rPr>
                <w:bCs/>
              </w:rPr>
            </w:pPr>
            <w:r w:rsidRPr="00B152E7">
              <w:t>Yone Soria Echeverría</w:t>
            </w:r>
          </w:p>
        </w:tc>
        <w:tc>
          <w:tcPr>
            <w:tcW w:w="3612" w:type="dxa"/>
            <w:vAlign w:val="center"/>
          </w:tcPr>
          <w:p w14:paraId="6F49BF4A" w14:textId="77777777" w:rsidR="005D5DF4" w:rsidRPr="00B152E7" w:rsidRDefault="005D5DF4" w:rsidP="00AC7EAF">
            <w:pPr>
              <w:pStyle w:val="Prrafodelista"/>
              <w:tabs>
                <w:tab w:val="left" w:pos="284"/>
                <w:tab w:val="left" w:pos="3261"/>
              </w:tabs>
              <w:ind w:left="0"/>
              <w:contextualSpacing w:val="0"/>
              <w:jc w:val="both"/>
              <w:rPr>
                <w:bCs/>
              </w:rPr>
            </w:pPr>
            <w:r w:rsidRPr="00B152E7">
              <w:t>Luis David Orozco Herrera</w:t>
            </w:r>
          </w:p>
        </w:tc>
        <w:tc>
          <w:tcPr>
            <w:tcW w:w="1535" w:type="dxa"/>
            <w:vAlign w:val="center"/>
          </w:tcPr>
          <w:p w14:paraId="7B3C7CDB" w14:textId="77777777" w:rsidR="005D5DF4" w:rsidRPr="00B152E7" w:rsidRDefault="005D5DF4" w:rsidP="00AC7EAF">
            <w:pPr>
              <w:pStyle w:val="Prrafodelista"/>
              <w:tabs>
                <w:tab w:val="left" w:pos="284"/>
                <w:tab w:val="left" w:pos="3261"/>
              </w:tabs>
              <w:ind w:left="0"/>
              <w:contextualSpacing w:val="0"/>
              <w:jc w:val="both"/>
              <w:rPr>
                <w:bCs/>
              </w:rPr>
            </w:pPr>
            <w:r w:rsidRPr="00B152E7">
              <w:rPr>
                <w:bCs/>
              </w:rPr>
              <w:t>Morena</w:t>
            </w:r>
          </w:p>
        </w:tc>
      </w:tr>
      <w:tr w:rsidR="005D5DF4" w:rsidRPr="00B152E7" w14:paraId="1DFB717B" w14:textId="77777777" w:rsidTr="001E339C">
        <w:trPr>
          <w:jc w:val="center"/>
        </w:trPr>
        <w:tc>
          <w:tcPr>
            <w:tcW w:w="559" w:type="dxa"/>
            <w:vAlign w:val="center"/>
          </w:tcPr>
          <w:p w14:paraId="3309F42E" w14:textId="77777777" w:rsidR="005D5DF4" w:rsidRPr="00B152E7" w:rsidRDefault="005D5DF4" w:rsidP="00AC7EAF">
            <w:pPr>
              <w:pStyle w:val="Prrafodelista"/>
              <w:tabs>
                <w:tab w:val="left" w:pos="284"/>
                <w:tab w:val="left" w:pos="3261"/>
              </w:tabs>
              <w:ind w:left="0"/>
              <w:contextualSpacing w:val="0"/>
              <w:jc w:val="both"/>
              <w:rPr>
                <w:bCs/>
              </w:rPr>
            </w:pPr>
            <w:r w:rsidRPr="00B152E7">
              <w:rPr>
                <w:bCs/>
              </w:rPr>
              <w:t>8</w:t>
            </w:r>
          </w:p>
        </w:tc>
        <w:tc>
          <w:tcPr>
            <w:tcW w:w="3220" w:type="dxa"/>
            <w:vAlign w:val="center"/>
          </w:tcPr>
          <w:p w14:paraId="1FE94568" w14:textId="77777777" w:rsidR="005D5DF4" w:rsidRPr="00B152E7" w:rsidRDefault="005D5DF4" w:rsidP="00AC7EAF">
            <w:pPr>
              <w:pStyle w:val="Prrafodelista"/>
              <w:tabs>
                <w:tab w:val="left" w:pos="284"/>
                <w:tab w:val="left" w:pos="3261"/>
              </w:tabs>
              <w:ind w:left="0"/>
              <w:contextualSpacing w:val="0"/>
              <w:jc w:val="both"/>
              <w:rPr>
                <w:bCs/>
              </w:rPr>
            </w:pPr>
            <w:r w:rsidRPr="00B152E7">
              <w:t>Alejandro Flores Razo “EL PUMA”</w:t>
            </w:r>
          </w:p>
        </w:tc>
        <w:tc>
          <w:tcPr>
            <w:tcW w:w="3612" w:type="dxa"/>
            <w:vAlign w:val="center"/>
          </w:tcPr>
          <w:p w14:paraId="53185F34" w14:textId="77777777" w:rsidR="005D5DF4" w:rsidRPr="00B152E7" w:rsidRDefault="005D5DF4" w:rsidP="00AC7EAF">
            <w:pPr>
              <w:pStyle w:val="Prrafodelista"/>
              <w:tabs>
                <w:tab w:val="left" w:pos="284"/>
                <w:tab w:val="left" w:pos="3261"/>
              </w:tabs>
              <w:ind w:left="0"/>
              <w:contextualSpacing w:val="0"/>
              <w:jc w:val="both"/>
              <w:rPr>
                <w:bCs/>
              </w:rPr>
            </w:pPr>
            <w:r w:rsidRPr="00B152E7">
              <w:t>Edgar Alfredo Chávez Ayala</w:t>
            </w:r>
          </w:p>
        </w:tc>
        <w:tc>
          <w:tcPr>
            <w:tcW w:w="1535" w:type="dxa"/>
            <w:vAlign w:val="center"/>
          </w:tcPr>
          <w:p w14:paraId="69091F1C" w14:textId="77777777" w:rsidR="005D5DF4" w:rsidRPr="00B152E7" w:rsidRDefault="005D5DF4" w:rsidP="00AC7EAF">
            <w:pPr>
              <w:pStyle w:val="Prrafodelista"/>
              <w:tabs>
                <w:tab w:val="left" w:pos="284"/>
                <w:tab w:val="left" w:pos="3261"/>
              </w:tabs>
              <w:ind w:left="0"/>
              <w:contextualSpacing w:val="0"/>
              <w:jc w:val="both"/>
              <w:rPr>
                <w:bCs/>
              </w:rPr>
            </w:pPr>
            <w:r w:rsidRPr="00B152E7">
              <w:rPr>
                <w:bCs/>
              </w:rPr>
              <w:t>PVEM</w:t>
            </w:r>
          </w:p>
        </w:tc>
      </w:tr>
      <w:tr w:rsidR="005D5DF4" w:rsidRPr="00B152E7" w14:paraId="3BD487D2" w14:textId="77777777" w:rsidTr="001E339C">
        <w:trPr>
          <w:jc w:val="center"/>
        </w:trPr>
        <w:tc>
          <w:tcPr>
            <w:tcW w:w="559" w:type="dxa"/>
            <w:vAlign w:val="center"/>
          </w:tcPr>
          <w:p w14:paraId="523D3C45" w14:textId="77777777" w:rsidR="005D5DF4" w:rsidRPr="00B152E7" w:rsidRDefault="005D5DF4" w:rsidP="00AC7EAF">
            <w:pPr>
              <w:pStyle w:val="Prrafodelista"/>
              <w:tabs>
                <w:tab w:val="left" w:pos="284"/>
                <w:tab w:val="left" w:pos="3261"/>
              </w:tabs>
              <w:ind w:left="0"/>
              <w:contextualSpacing w:val="0"/>
              <w:jc w:val="both"/>
              <w:rPr>
                <w:bCs/>
              </w:rPr>
            </w:pPr>
            <w:r w:rsidRPr="00B152E7">
              <w:rPr>
                <w:bCs/>
              </w:rPr>
              <w:t>9</w:t>
            </w:r>
          </w:p>
        </w:tc>
        <w:tc>
          <w:tcPr>
            <w:tcW w:w="3220" w:type="dxa"/>
            <w:vAlign w:val="center"/>
          </w:tcPr>
          <w:p w14:paraId="123E12F0" w14:textId="77777777" w:rsidR="005D5DF4" w:rsidRPr="00B152E7" w:rsidRDefault="005D5DF4" w:rsidP="00AC7EAF">
            <w:pPr>
              <w:pStyle w:val="Prrafodelista"/>
              <w:tabs>
                <w:tab w:val="left" w:pos="284"/>
                <w:tab w:val="left" w:pos="3261"/>
              </w:tabs>
              <w:ind w:left="0"/>
              <w:contextualSpacing w:val="0"/>
              <w:jc w:val="both"/>
              <w:rPr>
                <w:bCs/>
              </w:rPr>
            </w:pPr>
            <w:r w:rsidRPr="00B152E7">
              <w:t>Fátima Arellano Mireles</w:t>
            </w:r>
          </w:p>
        </w:tc>
        <w:tc>
          <w:tcPr>
            <w:tcW w:w="3612" w:type="dxa"/>
            <w:vAlign w:val="center"/>
          </w:tcPr>
          <w:p w14:paraId="72693BEE" w14:textId="77777777" w:rsidR="005D5DF4" w:rsidRPr="00B152E7" w:rsidRDefault="005D5DF4" w:rsidP="00AC7EAF">
            <w:pPr>
              <w:pStyle w:val="Prrafodelista"/>
              <w:tabs>
                <w:tab w:val="left" w:pos="284"/>
                <w:tab w:val="left" w:pos="3261"/>
              </w:tabs>
              <w:ind w:left="0"/>
              <w:contextualSpacing w:val="0"/>
              <w:jc w:val="both"/>
              <w:rPr>
                <w:bCs/>
              </w:rPr>
            </w:pPr>
            <w:r w:rsidRPr="00B152E7">
              <w:t>Alejandra Rodríguez Ríos</w:t>
            </w:r>
          </w:p>
        </w:tc>
        <w:tc>
          <w:tcPr>
            <w:tcW w:w="1535" w:type="dxa"/>
            <w:vAlign w:val="center"/>
          </w:tcPr>
          <w:p w14:paraId="4A2D02E2" w14:textId="77777777" w:rsidR="005D5DF4" w:rsidRPr="00B152E7" w:rsidRDefault="005D5DF4" w:rsidP="00AC7EAF">
            <w:pPr>
              <w:pStyle w:val="Prrafodelista"/>
              <w:tabs>
                <w:tab w:val="left" w:pos="284"/>
                <w:tab w:val="left" w:pos="3261"/>
              </w:tabs>
              <w:ind w:left="0"/>
              <w:contextualSpacing w:val="0"/>
              <w:jc w:val="both"/>
              <w:rPr>
                <w:bCs/>
              </w:rPr>
            </w:pPr>
            <w:r w:rsidRPr="00B152E7">
              <w:rPr>
                <w:bCs/>
              </w:rPr>
              <w:t>PRI</w:t>
            </w:r>
          </w:p>
        </w:tc>
      </w:tr>
      <w:tr w:rsidR="005D5DF4" w:rsidRPr="00B152E7" w14:paraId="7C28BDDF" w14:textId="77777777" w:rsidTr="001E339C">
        <w:trPr>
          <w:jc w:val="center"/>
        </w:trPr>
        <w:tc>
          <w:tcPr>
            <w:tcW w:w="559" w:type="dxa"/>
            <w:vAlign w:val="center"/>
          </w:tcPr>
          <w:p w14:paraId="636B5675" w14:textId="77777777" w:rsidR="005D5DF4" w:rsidRPr="00B152E7" w:rsidRDefault="005D5DF4" w:rsidP="00AC7EAF">
            <w:pPr>
              <w:pStyle w:val="Prrafodelista"/>
              <w:tabs>
                <w:tab w:val="left" w:pos="284"/>
                <w:tab w:val="left" w:pos="3261"/>
              </w:tabs>
              <w:ind w:left="0"/>
              <w:contextualSpacing w:val="0"/>
              <w:jc w:val="both"/>
              <w:rPr>
                <w:bCs/>
              </w:rPr>
            </w:pPr>
            <w:r w:rsidRPr="00B152E7">
              <w:rPr>
                <w:bCs/>
              </w:rPr>
              <w:t>10</w:t>
            </w:r>
          </w:p>
        </w:tc>
        <w:tc>
          <w:tcPr>
            <w:tcW w:w="3220" w:type="dxa"/>
            <w:vAlign w:val="center"/>
          </w:tcPr>
          <w:p w14:paraId="27E0B82C" w14:textId="77777777" w:rsidR="005D5DF4" w:rsidRPr="00B152E7" w:rsidRDefault="005D5DF4" w:rsidP="00AC7EAF">
            <w:pPr>
              <w:pStyle w:val="Prrafodelista"/>
              <w:tabs>
                <w:tab w:val="left" w:pos="284"/>
                <w:tab w:val="left" w:pos="3261"/>
              </w:tabs>
              <w:ind w:left="0"/>
              <w:contextualSpacing w:val="0"/>
              <w:jc w:val="both"/>
              <w:rPr>
                <w:bCs/>
              </w:rPr>
            </w:pPr>
            <w:r w:rsidRPr="00B152E7">
              <w:t>María del Rocío Cabrera Hinojosa</w:t>
            </w:r>
          </w:p>
        </w:tc>
        <w:tc>
          <w:tcPr>
            <w:tcW w:w="3612" w:type="dxa"/>
            <w:vAlign w:val="center"/>
          </w:tcPr>
          <w:p w14:paraId="73063883" w14:textId="77777777" w:rsidR="005D5DF4" w:rsidRPr="00B152E7" w:rsidRDefault="005D5DF4" w:rsidP="00AC7EAF">
            <w:pPr>
              <w:pStyle w:val="Prrafodelista"/>
              <w:tabs>
                <w:tab w:val="left" w:pos="284"/>
                <w:tab w:val="left" w:pos="3261"/>
              </w:tabs>
              <w:ind w:left="0"/>
              <w:contextualSpacing w:val="0"/>
              <w:jc w:val="both"/>
              <w:rPr>
                <w:bCs/>
              </w:rPr>
            </w:pPr>
            <w:r w:rsidRPr="00B152E7">
              <w:t>Montserrat Ibeth Madrigal Hernández</w:t>
            </w:r>
          </w:p>
        </w:tc>
        <w:tc>
          <w:tcPr>
            <w:tcW w:w="1535" w:type="dxa"/>
            <w:vAlign w:val="center"/>
          </w:tcPr>
          <w:p w14:paraId="50B2F333" w14:textId="77777777" w:rsidR="005D5DF4" w:rsidRPr="00B152E7" w:rsidRDefault="005D5DF4" w:rsidP="00AC7EAF">
            <w:pPr>
              <w:pStyle w:val="Prrafodelista"/>
              <w:tabs>
                <w:tab w:val="left" w:pos="284"/>
                <w:tab w:val="left" w:pos="3261"/>
              </w:tabs>
              <w:ind w:left="0"/>
              <w:contextualSpacing w:val="0"/>
              <w:jc w:val="both"/>
              <w:rPr>
                <w:bCs/>
              </w:rPr>
            </w:pPr>
            <w:r w:rsidRPr="00B152E7">
              <w:rPr>
                <w:bCs/>
              </w:rPr>
              <w:t>Nueva Alianza Guanajuato</w:t>
            </w:r>
          </w:p>
        </w:tc>
      </w:tr>
    </w:tbl>
    <w:p w14:paraId="420905C1" w14:textId="77777777" w:rsidR="001E339C" w:rsidRPr="00B152E7" w:rsidRDefault="001E339C" w:rsidP="00A66BA9">
      <w:pPr>
        <w:pStyle w:val="Prrafodelista"/>
        <w:tabs>
          <w:tab w:val="left" w:pos="284"/>
          <w:tab w:val="left" w:pos="3261"/>
        </w:tabs>
        <w:spacing w:before="200" w:after="200" w:line="360" w:lineRule="auto"/>
        <w:ind w:left="0"/>
        <w:contextualSpacing w:val="0"/>
        <w:jc w:val="both"/>
        <w:rPr>
          <w:rFonts w:ascii="Arial" w:hAnsi="Arial" w:cs="Arial"/>
          <w:b/>
          <w:bCs/>
          <w:sz w:val="4"/>
          <w:szCs w:val="4"/>
        </w:rPr>
      </w:pPr>
    </w:p>
    <w:p w14:paraId="6F2E8CC2" w14:textId="77777777" w:rsidR="00B5430D" w:rsidRPr="00B152E7" w:rsidRDefault="005575CE" w:rsidP="00A66BA9">
      <w:pPr>
        <w:pStyle w:val="Prrafodelista"/>
        <w:tabs>
          <w:tab w:val="left" w:pos="284"/>
          <w:tab w:val="left" w:pos="3261"/>
        </w:tabs>
        <w:spacing w:before="200" w:after="200" w:line="360" w:lineRule="auto"/>
        <w:ind w:left="0"/>
        <w:contextualSpacing w:val="0"/>
        <w:jc w:val="both"/>
        <w:rPr>
          <w:rFonts w:ascii="Arial" w:hAnsi="Arial" w:cs="Arial"/>
        </w:rPr>
      </w:pPr>
      <w:r w:rsidRPr="00B152E7">
        <w:rPr>
          <w:rFonts w:ascii="Arial" w:hAnsi="Arial" w:cs="Arial"/>
          <w:b/>
          <w:bCs/>
        </w:rPr>
        <w:t>5</w:t>
      </w:r>
      <w:r w:rsidR="00A66BA9" w:rsidRPr="00B152E7">
        <w:rPr>
          <w:rFonts w:ascii="Arial" w:hAnsi="Arial" w:cs="Arial"/>
          <w:b/>
          <w:bCs/>
        </w:rPr>
        <w:t xml:space="preserve">. </w:t>
      </w:r>
      <w:r w:rsidRPr="00B152E7">
        <w:rPr>
          <w:rFonts w:ascii="Arial" w:hAnsi="Arial" w:cs="Arial"/>
          <w:b/>
          <w:bCs/>
        </w:rPr>
        <w:t>Juicios ciudadanos locales (TEEG-JPDC-226/2021 y TEEG-JPDC-234/2021)</w:t>
      </w:r>
      <w:r w:rsidR="00E32A71" w:rsidRPr="00B152E7">
        <w:rPr>
          <w:rFonts w:ascii="Arial" w:hAnsi="Arial" w:cs="Arial"/>
          <w:b/>
          <w:bCs/>
        </w:rPr>
        <w:t>.</w:t>
      </w:r>
      <w:r w:rsidR="00CC6FB0" w:rsidRPr="00B152E7">
        <w:rPr>
          <w:rFonts w:ascii="Arial" w:hAnsi="Arial" w:cs="Arial"/>
          <w:b/>
          <w:bCs/>
        </w:rPr>
        <w:t xml:space="preserve"> </w:t>
      </w:r>
      <w:r w:rsidR="007C5B42" w:rsidRPr="00B152E7">
        <w:rPr>
          <w:rFonts w:ascii="Arial" w:hAnsi="Arial" w:cs="Arial"/>
        </w:rPr>
        <w:t>E</w:t>
      </w:r>
      <w:r w:rsidRPr="00B152E7">
        <w:rPr>
          <w:rFonts w:ascii="Arial" w:hAnsi="Arial" w:cs="Arial"/>
        </w:rPr>
        <w:t>l catorce de junio,</w:t>
      </w:r>
      <w:r w:rsidR="007C5B42" w:rsidRPr="00B152E7">
        <w:rPr>
          <w:rFonts w:ascii="Arial" w:hAnsi="Arial" w:cs="Arial"/>
        </w:rPr>
        <w:t xml:space="preserve"> Laura Georgina Bribiesca Pérez </w:t>
      </w:r>
      <w:r w:rsidR="00AC7EAF" w:rsidRPr="00B152E7">
        <w:rPr>
          <w:rFonts w:ascii="Arial" w:hAnsi="Arial" w:cs="Arial"/>
        </w:rPr>
        <w:t xml:space="preserve">(candidata a la cuarta regiduría propietaria por Morena) </w:t>
      </w:r>
      <w:r w:rsidR="007C5B42" w:rsidRPr="00B152E7">
        <w:rPr>
          <w:rFonts w:ascii="Arial" w:hAnsi="Arial" w:cs="Arial"/>
        </w:rPr>
        <w:t xml:space="preserve">y Marcelino Elizarrarás Cervantes </w:t>
      </w:r>
      <w:r w:rsidR="00AC7EAF" w:rsidRPr="00B152E7">
        <w:rPr>
          <w:rFonts w:ascii="Arial" w:hAnsi="Arial" w:cs="Arial"/>
        </w:rPr>
        <w:t xml:space="preserve">(candidato a la primer regiduría propietaria por el PRI) </w:t>
      </w:r>
      <w:r w:rsidRPr="00B152E7">
        <w:rPr>
          <w:rFonts w:ascii="Arial" w:hAnsi="Arial" w:cs="Arial"/>
        </w:rPr>
        <w:t xml:space="preserve">promovieron juicios ciudadanos en contra de la asignación de las regidurías de representación proporcional del </w:t>
      </w:r>
      <w:r w:rsidR="007C5B42" w:rsidRPr="00B152E7">
        <w:rPr>
          <w:rFonts w:ascii="Arial" w:hAnsi="Arial" w:cs="Arial"/>
        </w:rPr>
        <w:t>a</w:t>
      </w:r>
      <w:r w:rsidRPr="00B152E7">
        <w:rPr>
          <w:rFonts w:ascii="Arial" w:hAnsi="Arial" w:cs="Arial"/>
        </w:rPr>
        <w:t xml:space="preserve">yuntamiento de Pénjamo, Guanajuato; </w:t>
      </w:r>
      <w:r w:rsidR="00F1744E" w:rsidRPr="00B152E7">
        <w:rPr>
          <w:rFonts w:ascii="Arial" w:hAnsi="Arial" w:cs="Arial"/>
        </w:rPr>
        <w:t xml:space="preserve">los cuales </w:t>
      </w:r>
      <w:r w:rsidR="007C5B42" w:rsidRPr="00B152E7">
        <w:rPr>
          <w:rFonts w:ascii="Arial" w:hAnsi="Arial" w:cs="Arial"/>
        </w:rPr>
        <w:t>fueron resueltos</w:t>
      </w:r>
      <w:r w:rsidR="00F1744E" w:rsidRPr="00B152E7">
        <w:rPr>
          <w:rFonts w:ascii="Arial" w:hAnsi="Arial" w:cs="Arial"/>
        </w:rPr>
        <w:t xml:space="preserve"> el seis de agosto por el Tribunal local en el sentido de confirmar </w:t>
      </w:r>
      <w:r w:rsidR="007C5B42" w:rsidRPr="00B152E7">
        <w:rPr>
          <w:rFonts w:ascii="Arial" w:hAnsi="Arial" w:cs="Arial"/>
        </w:rPr>
        <w:t>l</w:t>
      </w:r>
      <w:r w:rsidR="00F1744E" w:rsidRPr="00B152E7">
        <w:rPr>
          <w:rFonts w:ascii="Arial" w:hAnsi="Arial" w:cs="Arial"/>
        </w:rPr>
        <w:t>a asignación de regidurías realizada por el Consejo Municipal.</w:t>
      </w:r>
    </w:p>
    <w:p w14:paraId="67DAF1E6" w14:textId="77777777" w:rsidR="00F6081C" w:rsidRPr="00B152E7" w:rsidRDefault="00F1744E" w:rsidP="008368AF">
      <w:pPr>
        <w:pStyle w:val="Prrafodelista"/>
        <w:tabs>
          <w:tab w:val="left" w:pos="284"/>
          <w:tab w:val="left" w:pos="3261"/>
        </w:tabs>
        <w:spacing w:before="200" w:after="200" w:line="360" w:lineRule="auto"/>
        <w:ind w:left="0"/>
        <w:contextualSpacing w:val="0"/>
        <w:jc w:val="both"/>
        <w:rPr>
          <w:rFonts w:ascii="Arial" w:hAnsi="Arial" w:cs="Arial"/>
        </w:rPr>
      </w:pPr>
      <w:r w:rsidRPr="00B152E7">
        <w:rPr>
          <w:rFonts w:ascii="Arial" w:hAnsi="Arial" w:cs="Arial"/>
          <w:b/>
          <w:bCs/>
        </w:rPr>
        <w:t>6</w:t>
      </w:r>
      <w:r w:rsidR="00854ECF" w:rsidRPr="00B152E7">
        <w:rPr>
          <w:rFonts w:ascii="Arial" w:hAnsi="Arial" w:cs="Arial"/>
          <w:b/>
          <w:bCs/>
        </w:rPr>
        <w:t xml:space="preserve">. </w:t>
      </w:r>
      <w:r w:rsidRPr="00B152E7">
        <w:rPr>
          <w:rFonts w:ascii="Arial" w:hAnsi="Arial" w:cs="Arial"/>
          <w:b/>
          <w:bCs/>
        </w:rPr>
        <w:t>Resolución impugnada</w:t>
      </w:r>
      <w:r w:rsidR="00CF2421" w:rsidRPr="00B152E7">
        <w:rPr>
          <w:rFonts w:ascii="Arial" w:hAnsi="Arial" w:cs="Arial"/>
          <w:b/>
          <w:bCs/>
        </w:rPr>
        <w:t xml:space="preserve"> </w:t>
      </w:r>
      <w:r w:rsidR="00EC5AB8" w:rsidRPr="00B152E7">
        <w:rPr>
          <w:rFonts w:ascii="Arial" w:hAnsi="Arial" w:cs="Arial"/>
          <w:b/>
          <w:bCs/>
        </w:rPr>
        <w:t>(</w:t>
      </w:r>
      <w:r w:rsidRPr="00B152E7">
        <w:rPr>
          <w:rFonts w:ascii="Arial" w:hAnsi="Arial" w:cs="Arial"/>
          <w:b/>
          <w:bCs/>
        </w:rPr>
        <w:t>SM-JDC-828/2021 y SM-JDC-829/2021</w:t>
      </w:r>
      <w:r w:rsidR="00E90172" w:rsidRPr="00B152E7">
        <w:rPr>
          <w:rFonts w:ascii="Arial" w:hAnsi="Arial" w:cs="Arial"/>
          <w:b/>
          <w:bCs/>
        </w:rPr>
        <w:t xml:space="preserve">). </w:t>
      </w:r>
      <w:r w:rsidRPr="00B152E7">
        <w:rPr>
          <w:rFonts w:ascii="Arial" w:hAnsi="Arial" w:cs="Arial"/>
        </w:rPr>
        <w:t xml:space="preserve">En desacuerdo con lo </w:t>
      </w:r>
      <w:r w:rsidR="00F6081C" w:rsidRPr="00B152E7">
        <w:rPr>
          <w:rFonts w:ascii="Arial" w:hAnsi="Arial" w:cs="Arial"/>
        </w:rPr>
        <w:t>anterior</w:t>
      </w:r>
      <w:r w:rsidRPr="00B152E7">
        <w:rPr>
          <w:rFonts w:ascii="Arial" w:hAnsi="Arial" w:cs="Arial"/>
        </w:rPr>
        <w:t xml:space="preserve">, el diez siguiente, Laura Georgina Bribiesca Pérez y Marcelino Elizarrarás Cervantes promovieron juicios </w:t>
      </w:r>
      <w:r w:rsidR="006E514E" w:rsidRPr="00B152E7">
        <w:rPr>
          <w:rFonts w:ascii="Arial" w:hAnsi="Arial" w:cs="Arial"/>
        </w:rPr>
        <w:t>de la ciudadanía</w:t>
      </w:r>
      <w:r w:rsidR="00F6081C" w:rsidRPr="00B152E7">
        <w:rPr>
          <w:rFonts w:ascii="Arial" w:hAnsi="Arial" w:cs="Arial"/>
        </w:rPr>
        <w:t>, mismos que fueron resueltos por la Sala Monterrey</w:t>
      </w:r>
      <w:r w:rsidRPr="00B152E7">
        <w:rPr>
          <w:rFonts w:ascii="Arial" w:hAnsi="Arial" w:cs="Arial"/>
        </w:rPr>
        <w:t xml:space="preserve"> el veinticinco de agosto</w:t>
      </w:r>
      <w:r w:rsidR="00F6081C" w:rsidRPr="00B152E7">
        <w:rPr>
          <w:rFonts w:ascii="Arial" w:hAnsi="Arial" w:cs="Arial"/>
        </w:rPr>
        <w:t xml:space="preserve">, </w:t>
      </w:r>
      <w:r w:rsidRPr="00B152E7">
        <w:rPr>
          <w:rFonts w:ascii="Arial" w:hAnsi="Arial" w:cs="Arial"/>
        </w:rPr>
        <w:t>confirma</w:t>
      </w:r>
      <w:r w:rsidR="00F6081C" w:rsidRPr="00B152E7">
        <w:rPr>
          <w:rFonts w:ascii="Arial" w:hAnsi="Arial" w:cs="Arial"/>
        </w:rPr>
        <w:t>ndo</w:t>
      </w:r>
      <w:r w:rsidRPr="00B152E7">
        <w:rPr>
          <w:rFonts w:ascii="Arial" w:hAnsi="Arial" w:cs="Arial"/>
        </w:rPr>
        <w:t xml:space="preserve"> lo determinado </w:t>
      </w:r>
      <w:r w:rsidR="00F6081C" w:rsidRPr="00B152E7">
        <w:rPr>
          <w:rFonts w:ascii="Arial" w:hAnsi="Arial" w:cs="Arial"/>
        </w:rPr>
        <w:t>por el Tribunal</w:t>
      </w:r>
      <w:r w:rsidRPr="00B152E7">
        <w:rPr>
          <w:rFonts w:ascii="Arial" w:hAnsi="Arial" w:cs="Arial"/>
        </w:rPr>
        <w:t xml:space="preserve"> local.</w:t>
      </w:r>
    </w:p>
    <w:p w14:paraId="557EF578" w14:textId="77777777" w:rsidR="00F6081C" w:rsidRPr="00B152E7" w:rsidRDefault="00F6081C" w:rsidP="008368AF">
      <w:pPr>
        <w:pStyle w:val="Prrafodelista"/>
        <w:tabs>
          <w:tab w:val="left" w:pos="284"/>
          <w:tab w:val="left" w:pos="3261"/>
        </w:tabs>
        <w:spacing w:before="200" w:after="200" w:line="360" w:lineRule="auto"/>
        <w:ind w:left="0"/>
        <w:contextualSpacing w:val="0"/>
        <w:jc w:val="both"/>
        <w:rPr>
          <w:rFonts w:ascii="Arial" w:hAnsi="Arial" w:cs="Arial"/>
        </w:rPr>
      </w:pPr>
      <w:r w:rsidRPr="00B152E7">
        <w:rPr>
          <w:rFonts w:ascii="Arial" w:hAnsi="Arial" w:cs="Arial"/>
        </w:rPr>
        <w:t xml:space="preserve">Dicha sentencia fue notificada a la hoy recurrente por correo electrónico el veintiséis siguiente. </w:t>
      </w:r>
    </w:p>
    <w:p w14:paraId="029BF289" w14:textId="77777777" w:rsidR="00A66BA9" w:rsidRPr="00B152E7" w:rsidRDefault="00F1744E" w:rsidP="00A66BA9">
      <w:pPr>
        <w:pStyle w:val="Prrafodelista"/>
        <w:tabs>
          <w:tab w:val="left" w:pos="284"/>
          <w:tab w:val="left" w:pos="3261"/>
        </w:tabs>
        <w:spacing w:before="200" w:after="200" w:line="360" w:lineRule="auto"/>
        <w:ind w:left="0"/>
        <w:contextualSpacing w:val="0"/>
        <w:jc w:val="both"/>
        <w:rPr>
          <w:rFonts w:ascii="Arial" w:hAnsi="Arial" w:cs="Arial"/>
        </w:rPr>
      </w:pPr>
      <w:r w:rsidRPr="00B152E7">
        <w:rPr>
          <w:rFonts w:ascii="Arial" w:hAnsi="Arial" w:cs="Arial"/>
          <w:b/>
          <w:bCs/>
          <w:lang w:val="es-ES"/>
        </w:rPr>
        <w:t>7</w:t>
      </w:r>
      <w:r w:rsidR="00D83CFA" w:rsidRPr="00B152E7">
        <w:rPr>
          <w:rFonts w:ascii="Arial" w:hAnsi="Arial" w:cs="Arial"/>
          <w:b/>
          <w:bCs/>
          <w:lang w:val="es-ES"/>
        </w:rPr>
        <w:t xml:space="preserve">. </w:t>
      </w:r>
      <w:r w:rsidR="00A66BA9" w:rsidRPr="00B152E7">
        <w:rPr>
          <w:rFonts w:ascii="Arial" w:hAnsi="Arial" w:cs="Arial"/>
          <w:b/>
          <w:bCs/>
        </w:rPr>
        <w:t>Recurso de reconsideración.</w:t>
      </w:r>
      <w:r w:rsidR="00A66BA9" w:rsidRPr="00B152E7">
        <w:rPr>
          <w:rFonts w:ascii="Arial" w:hAnsi="Arial" w:cs="Arial"/>
        </w:rPr>
        <w:t xml:space="preserve"> En contra </w:t>
      </w:r>
      <w:r w:rsidR="00D83CFA" w:rsidRPr="00B152E7">
        <w:rPr>
          <w:rFonts w:ascii="Arial" w:hAnsi="Arial" w:cs="Arial"/>
        </w:rPr>
        <w:t>de dicha determinación</w:t>
      </w:r>
      <w:r w:rsidR="00A66BA9" w:rsidRPr="00B152E7">
        <w:rPr>
          <w:rFonts w:ascii="Arial" w:hAnsi="Arial" w:cs="Arial"/>
        </w:rPr>
        <w:t xml:space="preserve">, el </w:t>
      </w:r>
      <w:r w:rsidRPr="00B152E7">
        <w:rPr>
          <w:rFonts w:ascii="Arial" w:hAnsi="Arial" w:cs="Arial"/>
        </w:rPr>
        <w:t>veintinueve</w:t>
      </w:r>
      <w:r w:rsidR="00A66BA9" w:rsidRPr="00B152E7">
        <w:rPr>
          <w:rFonts w:ascii="Arial" w:hAnsi="Arial" w:cs="Arial"/>
        </w:rPr>
        <w:t xml:space="preserve"> de </w:t>
      </w:r>
      <w:r w:rsidR="00676D2F" w:rsidRPr="00B152E7">
        <w:rPr>
          <w:rFonts w:ascii="Arial" w:hAnsi="Arial" w:cs="Arial"/>
        </w:rPr>
        <w:t>agosto</w:t>
      </w:r>
      <w:r w:rsidR="00A66BA9" w:rsidRPr="00B152E7">
        <w:rPr>
          <w:rFonts w:ascii="Arial" w:hAnsi="Arial" w:cs="Arial"/>
        </w:rPr>
        <w:t xml:space="preserve">, </w:t>
      </w:r>
      <w:r w:rsidRPr="00B152E7">
        <w:rPr>
          <w:rFonts w:ascii="Arial" w:hAnsi="Arial" w:cs="Arial"/>
        </w:rPr>
        <w:t>la</w:t>
      </w:r>
      <w:r w:rsidR="00A66BA9" w:rsidRPr="00B152E7">
        <w:rPr>
          <w:rFonts w:ascii="Arial" w:hAnsi="Arial" w:cs="Arial"/>
        </w:rPr>
        <w:t xml:space="preserve"> </w:t>
      </w:r>
      <w:r w:rsidR="00676D2F" w:rsidRPr="00B152E7">
        <w:rPr>
          <w:rFonts w:ascii="Arial" w:hAnsi="Arial" w:cs="Arial"/>
        </w:rPr>
        <w:t>recurrente</w:t>
      </w:r>
      <w:r w:rsidR="00A66BA9" w:rsidRPr="00B152E7">
        <w:rPr>
          <w:rFonts w:ascii="Arial" w:hAnsi="Arial" w:cs="Arial"/>
        </w:rPr>
        <w:t xml:space="preserve"> presentó </w:t>
      </w:r>
      <w:r w:rsidR="00676D2F" w:rsidRPr="00B152E7">
        <w:rPr>
          <w:rFonts w:ascii="Arial" w:hAnsi="Arial" w:cs="Arial"/>
        </w:rPr>
        <w:t xml:space="preserve">demanda de recurso de reconsideración ante </w:t>
      </w:r>
      <w:r w:rsidR="00A8688D" w:rsidRPr="00B152E7">
        <w:rPr>
          <w:rFonts w:ascii="Arial" w:hAnsi="Arial" w:cs="Arial"/>
        </w:rPr>
        <w:t xml:space="preserve">la </w:t>
      </w:r>
      <w:r w:rsidR="00676D2F" w:rsidRPr="00B152E7">
        <w:rPr>
          <w:rFonts w:ascii="Arial" w:hAnsi="Arial" w:cs="Arial"/>
        </w:rPr>
        <w:t xml:space="preserve">oficialía de partes de </w:t>
      </w:r>
      <w:r w:rsidR="002448A4" w:rsidRPr="00B152E7">
        <w:rPr>
          <w:rFonts w:ascii="Arial" w:hAnsi="Arial" w:cs="Arial"/>
        </w:rPr>
        <w:t xml:space="preserve">Sala </w:t>
      </w:r>
      <w:r w:rsidRPr="00B152E7">
        <w:rPr>
          <w:rFonts w:ascii="Arial" w:hAnsi="Arial" w:cs="Arial"/>
        </w:rPr>
        <w:t>Monterrey</w:t>
      </w:r>
      <w:r w:rsidR="002448A4" w:rsidRPr="00B152E7">
        <w:rPr>
          <w:rFonts w:ascii="Arial" w:hAnsi="Arial" w:cs="Arial"/>
        </w:rPr>
        <w:t>.</w:t>
      </w:r>
    </w:p>
    <w:p w14:paraId="33B42180" w14:textId="77777777" w:rsidR="001E339C" w:rsidRPr="00B152E7" w:rsidRDefault="001E339C" w:rsidP="00A66BA9">
      <w:pPr>
        <w:pStyle w:val="Prrafodelista"/>
        <w:tabs>
          <w:tab w:val="left" w:pos="284"/>
          <w:tab w:val="left" w:pos="3261"/>
        </w:tabs>
        <w:spacing w:before="200" w:after="200" w:line="360" w:lineRule="auto"/>
        <w:ind w:left="0"/>
        <w:contextualSpacing w:val="0"/>
        <w:jc w:val="both"/>
        <w:rPr>
          <w:rFonts w:ascii="Arial" w:hAnsi="Arial" w:cs="Arial"/>
        </w:rPr>
      </w:pPr>
    </w:p>
    <w:p w14:paraId="2075FA08" w14:textId="77777777" w:rsidR="00D169D3" w:rsidRPr="00B152E7" w:rsidRDefault="003B482F" w:rsidP="004F03F8">
      <w:pPr>
        <w:pStyle w:val="Ttulo1"/>
        <w:spacing w:before="240" w:after="240" w:line="360" w:lineRule="auto"/>
        <w:jc w:val="center"/>
        <w:rPr>
          <w:rFonts w:ascii="Arial" w:eastAsia="Arial" w:hAnsi="Arial" w:cs="Arial"/>
          <w:b/>
          <w:sz w:val="24"/>
          <w:szCs w:val="24"/>
        </w:rPr>
      </w:pPr>
      <w:r w:rsidRPr="00B152E7">
        <w:rPr>
          <w:rFonts w:ascii="Arial" w:eastAsia="Arial" w:hAnsi="Arial" w:cs="Arial"/>
          <w:b/>
          <w:sz w:val="24"/>
          <w:szCs w:val="24"/>
        </w:rPr>
        <w:lastRenderedPageBreak/>
        <w:t>I</w:t>
      </w:r>
      <w:r w:rsidR="005423A6" w:rsidRPr="00B152E7">
        <w:rPr>
          <w:rFonts w:ascii="Arial" w:eastAsia="Arial" w:hAnsi="Arial" w:cs="Arial"/>
          <w:b/>
          <w:sz w:val="24"/>
          <w:szCs w:val="24"/>
        </w:rPr>
        <w:t>II</w:t>
      </w:r>
      <w:r w:rsidR="00025997" w:rsidRPr="00B152E7">
        <w:rPr>
          <w:rFonts w:ascii="Arial" w:eastAsia="Arial" w:hAnsi="Arial" w:cs="Arial"/>
          <w:b/>
          <w:sz w:val="24"/>
          <w:szCs w:val="24"/>
        </w:rPr>
        <w:t xml:space="preserve">. </w:t>
      </w:r>
      <w:r w:rsidR="000E047C" w:rsidRPr="00B152E7">
        <w:rPr>
          <w:rFonts w:ascii="Arial" w:eastAsia="Arial" w:hAnsi="Arial" w:cs="Arial"/>
          <w:b/>
          <w:sz w:val="24"/>
          <w:szCs w:val="24"/>
        </w:rPr>
        <w:t>TRÁMITE</w:t>
      </w:r>
    </w:p>
    <w:p w14:paraId="6905B6CE" w14:textId="77777777" w:rsidR="00183EC5" w:rsidRPr="00B152E7" w:rsidRDefault="00183EC5" w:rsidP="00F1744E">
      <w:pPr>
        <w:pStyle w:val="Prrafodelista"/>
        <w:tabs>
          <w:tab w:val="left" w:pos="284"/>
          <w:tab w:val="left" w:pos="3261"/>
        </w:tabs>
        <w:spacing w:before="200" w:after="200" w:line="360" w:lineRule="auto"/>
        <w:ind w:left="0"/>
        <w:contextualSpacing w:val="0"/>
        <w:jc w:val="both"/>
      </w:pPr>
      <w:bookmarkStart w:id="6" w:name="_30j0zll" w:colFirst="0" w:colLast="0"/>
      <w:bookmarkEnd w:id="4"/>
      <w:bookmarkEnd w:id="6"/>
      <w:r w:rsidRPr="00B152E7">
        <w:rPr>
          <w:rFonts w:ascii="Arial" w:hAnsi="Arial"/>
          <w:b/>
          <w:bCs/>
        </w:rPr>
        <w:t xml:space="preserve">1. Turno. </w:t>
      </w:r>
      <w:r w:rsidR="00F1744E" w:rsidRPr="00B152E7">
        <w:rPr>
          <w:rFonts w:ascii="Arial" w:hAnsi="Arial"/>
          <w:bCs/>
        </w:rPr>
        <w:t>El treinta de agosto, el magistrado presidente</w:t>
      </w:r>
      <w:r w:rsidR="00F1744E" w:rsidRPr="00B152E7">
        <w:rPr>
          <w:rFonts w:ascii="Arial" w:hAnsi="Arial"/>
        </w:rPr>
        <w:t xml:space="preserve"> por ministerio de ley</w:t>
      </w:r>
      <w:r w:rsidR="00F1744E" w:rsidRPr="00B152E7">
        <w:rPr>
          <w:rFonts w:ascii="Arial" w:hAnsi="Arial"/>
          <w:bCs/>
        </w:rPr>
        <w:t xml:space="preserve"> acordó integrar </w:t>
      </w:r>
      <w:r w:rsidR="006D3255" w:rsidRPr="00B152E7">
        <w:rPr>
          <w:rFonts w:ascii="Arial" w:hAnsi="Arial"/>
          <w:bCs/>
        </w:rPr>
        <w:t>el</w:t>
      </w:r>
      <w:r w:rsidR="00F1744E" w:rsidRPr="00B152E7">
        <w:rPr>
          <w:rFonts w:ascii="Arial" w:hAnsi="Arial"/>
          <w:bCs/>
        </w:rPr>
        <w:t xml:space="preserve"> expediente SUP-REC-</w:t>
      </w:r>
      <w:r w:rsidR="006D3255" w:rsidRPr="00B152E7">
        <w:rPr>
          <w:rFonts w:ascii="Arial" w:hAnsi="Arial"/>
          <w:bCs/>
        </w:rPr>
        <w:t>1487</w:t>
      </w:r>
      <w:r w:rsidR="00F1744E" w:rsidRPr="00B152E7">
        <w:rPr>
          <w:rFonts w:ascii="Arial" w:hAnsi="Arial"/>
          <w:bCs/>
        </w:rPr>
        <w:t>/2021, y ordenó turnarlo a la ponencia a su cargo para los efectos previstos en el artículo 19 de la Ley General del Sistema de Medios de Impugnación en Materia Electoral.</w:t>
      </w:r>
      <w:r w:rsidR="00F1744E" w:rsidRPr="00B152E7">
        <w:rPr>
          <w:rFonts w:ascii="Arial" w:hAnsi="Arial"/>
          <w:vertAlign w:val="superscript"/>
        </w:rPr>
        <w:footnoteReference w:id="10"/>
      </w:r>
      <w:r w:rsidR="00F1744E" w:rsidRPr="00B152E7">
        <w:rPr>
          <w:rFonts w:ascii="Arial" w:hAnsi="Arial"/>
        </w:rPr>
        <w:t xml:space="preserve"> </w:t>
      </w:r>
    </w:p>
    <w:p w14:paraId="1B42FBFE" w14:textId="77777777" w:rsidR="000150F1" w:rsidRPr="00B152E7" w:rsidRDefault="000150F1" w:rsidP="000150F1">
      <w:pPr>
        <w:autoSpaceDE w:val="0"/>
        <w:autoSpaceDN w:val="0"/>
        <w:adjustRightInd w:val="0"/>
        <w:spacing w:before="240" w:after="240" w:line="360" w:lineRule="auto"/>
        <w:jc w:val="both"/>
        <w:rPr>
          <w:rFonts w:ascii="Arial" w:eastAsia="Calibri" w:hAnsi="Arial" w:cs="Arial"/>
          <w:bCs/>
        </w:rPr>
      </w:pPr>
      <w:bookmarkStart w:id="7" w:name="_Toc65074934"/>
      <w:bookmarkStart w:id="8" w:name="_Toc65683962"/>
      <w:r w:rsidRPr="00B152E7">
        <w:rPr>
          <w:rFonts w:ascii="Arial" w:eastAsia="Calibri" w:hAnsi="Arial" w:cs="Arial"/>
          <w:b/>
        </w:rPr>
        <w:t xml:space="preserve">2. </w:t>
      </w:r>
      <w:bookmarkEnd w:id="7"/>
      <w:bookmarkEnd w:id="8"/>
      <w:r w:rsidRPr="00B152E7">
        <w:rPr>
          <w:rFonts w:ascii="Arial" w:hAnsi="Arial" w:cs="Arial"/>
          <w:b/>
          <w:lang w:val="es-ES"/>
        </w:rPr>
        <w:t xml:space="preserve">Radicación, admisión y cierre de instrucción. </w:t>
      </w:r>
      <w:r w:rsidRPr="00B152E7">
        <w:rPr>
          <w:rFonts w:ascii="Arial" w:hAnsi="Arial" w:cs="Arial"/>
          <w:lang w:val="es-ES"/>
        </w:rPr>
        <w:t>En su oportunidad, el magistrado instructor radicó, admitió y, no habiendo diligencias pendientes por realizar, determinó el cierre de instrucción.</w:t>
      </w:r>
    </w:p>
    <w:p w14:paraId="73C9FC1D" w14:textId="77777777" w:rsidR="00F002C8" w:rsidRPr="00B152E7" w:rsidRDefault="0063580A" w:rsidP="004F03F8">
      <w:pPr>
        <w:pStyle w:val="Ttulo1"/>
        <w:spacing w:before="240" w:after="240" w:line="360" w:lineRule="auto"/>
        <w:jc w:val="center"/>
        <w:rPr>
          <w:rFonts w:ascii="Arial" w:eastAsia="Arial" w:hAnsi="Arial" w:cs="Arial"/>
          <w:b/>
          <w:sz w:val="24"/>
          <w:szCs w:val="24"/>
        </w:rPr>
      </w:pPr>
      <w:r w:rsidRPr="00B152E7">
        <w:rPr>
          <w:rFonts w:ascii="Arial" w:eastAsia="Arial" w:hAnsi="Arial" w:cs="Arial"/>
          <w:b/>
          <w:sz w:val="24"/>
          <w:szCs w:val="24"/>
        </w:rPr>
        <w:t>I</w:t>
      </w:r>
      <w:r w:rsidR="003B482F" w:rsidRPr="00B152E7">
        <w:rPr>
          <w:rFonts w:ascii="Arial" w:eastAsia="Arial" w:hAnsi="Arial" w:cs="Arial"/>
          <w:b/>
          <w:sz w:val="24"/>
          <w:szCs w:val="24"/>
        </w:rPr>
        <w:t>V</w:t>
      </w:r>
      <w:r w:rsidR="00226A63" w:rsidRPr="00B152E7">
        <w:rPr>
          <w:rFonts w:ascii="Arial" w:eastAsia="Arial" w:hAnsi="Arial" w:cs="Arial"/>
          <w:b/>
          <w:sz w:val="24"/>
          <w:szCs w:val="24"/>
        </w:rPr>
        <w:t>. COMPETENCIA</w:t>
      </w:r>
    </w:p>
    <w:p w14:paraId="26D9D142" w14:textId="77777777" w:rsidR="000062E2" w:rsidRPr="00B152E7" w:rsidRDefault="000062E2" w:rsidP="000062E2">
      <w:pPr>
        <w:spacing w:before="200" w:after="200" w:line="360" w:lineRule="auto"/>
        <w:jc w:val="both"/>
        <w:rPr>
          <w:rFonts w:ascii="Arial" w:eastAsia="Calibri" w:hAnsi="Arial" w:cs="Arial"/>
        </w:rPr>
      </w:pPr>
      <w:r w:rsidRPr="00B152E7">
        <w:rPr>
          <w:rFonts w:ascii="Arial" w:eastAsia="Calibri" w:hAnsi="Arial" w:cs="Arial"/>
        </w:rPr>
        <w:t>Esta Sala Superior es competente para conocer y resolver el medio de impugnación con fundamento en lo establecido por los artículos 41, párrafo tercero, base VI; y 99, párrafo cuarto, fracción X de la Constitución Política de los Estados Unidos Mexicanos;</w:t>
      </w:r>
      <w:r w:rsidRPr="00B152E7">
        <w:rPr>
          <w:rStyle w:val="Refdenotaalpie"/>
          <w:rFonts w:ascii="Arial" w:eastAsia="Calibri" w:hAnsi="Arial" w:cs="Arial"/>
        </w:rPr>
        <w:footnoteReference w:id="11"/>
      </w:r>
      <w:r w:rsidRPr="00B152E7">
        <w:rPr>
          <w:rFonts w:ascii="Arial" w:eastAsia="Calibri" w:hAnsi="Arial" w:cs="Arial"/>
        </w:rPr>
        <w:t xml:space="preserve"> 169, </w:t>
      </w:r>
      <w:r w:rsidR="001E56AB" w:rsidRPr="00B152E7">
        <w:rPr>
          <w:rFonts w:ascii="Arial" w:eastAsia="Calibri" w:hAnsi="Arial" w:cs="Arial"/>
        </w:rPr>
        <w:t>I, inciso b)</w:t>
      </w:r>
      <w:r w:rsidRPr="00B152E7">
        <w:rPr>
          <w:rFonts w:ascii="Arial" w:eastAsia="Calibri" w:hAnsi="Arial" w:cs="Arial"/>
        </w:rPr>
        <w:t xml:space="preserve"> de la Ley Orgánica del Poder Judicial de la Federación;</w:t>
      </w:r>
      <w:r w:rsidRPr="00B152E7">
        <w:rPr>
          <w:rStyle w:val="Refdenotaalpie"/>
          <w:rFonts w:ascii="Arial" w:eastAsia="Calibri" w:hAnsi="Arial" w:cs="Arial"/>
        </w:rPr>
        <w:footnoteReference w:id="12"/>
      </w:r>
      <w:r w:rsidRPr="00B152E7">
        <w:rPr>
          <w:rFonts w:ascii="Arial" w:eastAsia="Calibri" w:hAnsi="Arial" w:cs="Arial"/>
        </w:rPr>
        <w:t xml:space="preserve"> así como 4</w:t>
      </w:r>
      <w:r w:rsidRPr="00B152E7">
        <w:rPr>
          <w:rFonts w:ascii="Arial" w:eastAsia="Arial" w:hAnsi="Arial" w:cs="Arial"/>
        </w:rPr>
        <w:t>, 61, 62 y 64</w:t>
      </w:r>
      <w:r w:rsidRPr="00B152E7">
        <w:rPr>
          <w:rFonts w:ascii="Arial" w:eastAsia="Calibri" w:hAnsi="Arial" w:cs="Arial"/>
        </w:rPr>
        <w:t xml:space="preserve"> de la Ley de </w:t>
      </w:r>
      <w:r w:rsidR="007D778F" w:rsidRPr="00B152E7">
        <w:rPr>
          <w:rFonts w:ascii="Arial" w:eastAsia="Calibri" w:hAnsi="Arial" w:cs="Arial"/>
        </w:rPr>
        <w:t>M</w:t>
      </w:r>
      <w:r w:rsidRPr="00B152E7">
        <w:rPr>
          <w:rFonts w:ascii="Arial" w:eastAsia="Calibri" w:hAnsi="Arial" w:cs="Arial"/>
        </w:rPr>
        <w:t>edios.</w:t>
      </w:r>
    </w:p>
    <w:p w14:paraId="0D3D9A09" w14:textId="77777777" w:rsidR="002748BF" w:rsidRPr="00B152E7" w:rsidRDefault="000062E2" w:rsidP="000062E2">
      <w:pPr>
        <w:spacing w:before="200" w:after="200" w:line="360" w:lineRule="auto"/>
        <w:jc w:val="both"/>
        <w:rPr>
          <w:rFonts w:ascii="Arial" w:eastAsia="Calibri" w:hAnsi="Arial" w:cs="Arial"/>
        </w:rPr>
      </w:pPr>
      <w:r w:rsidRPr="00B152E7">
        <w:rPr>
          <w:rFonts w:ascii="Arial" w:eastAsia="Calibri" w:hAnsi="Arial" w:cs="Arial"/>
        </w:rPr>
        <w:t xml:space="preserve">Lo anterior, porque se trata de un recurso de reconsideración interpuesto para impugnar una </w:t>
      </w:r>
      <w:r w:rsidR="00B749FA" w:rsidRPr="00B152E7">
        <w:rPr>
          <w:rFonts w:ascii="Arial" w:eastAsia="Calibri" w:hAnsi="Arial" w:cs="Arial"/>
        </w:rPr>
        <w:t>resolución dictada por una sala regional de este Tribunal Electoral mediante un recurso de reconsideración, cuyo conocimiento es competencia exclusiva de este órgano jurisdiccional.</w:t>
      </w:r>
    </w:p>
    <w:p w14:paraId="0F4B0292" w14:textId="77777777" w:rsidR="00F525E1" w:rsidRPr="00B152E7" w:rsidRDefault="00F525E1" w:rsidP="004F03F8">
      <w:pPr>
        <w:pStyle w:val="Ttulo1"/>
        <w:spacing w:before="240" w:after="240" w:line="360" w:lineRule="auto"/>
        <w:jc w:val="center"/>
        <w:rPr>
          <w:rFonts w:ascii="Arial" w:eastAsia="Arial" w:hAnsi="Arial" w:cs="Arial"/>
          <w:b/>
          <w:sz w:val="24"/>
          <w:szCs w:val="24"/>
        </w:rPr>
      </w:pPr>
      <w:r w:rsidRPr="00B152E7">
        <w:rPr>
          <w:rFonts w:ascii="Arial" w:eastAsia="Arial" w:hAnsi="Arial" w:cs="Arial"/>
          <w:b/>
          <w:sz w:val="24"/>
          <w:szCs w:val="24"/>
        </w:rPr>
        <w:t xml:space="preserve">V. </w:t>
      </w:r>
      <w:r w:rsidR="0063580A" w:rsidRPr="00B152E7">
        <w:rPr>
          <w:rFonts w:ascii="Arial" w:eastAsia="Arial" w:hAnsi="Arial" w:cs="Arial"/>
          <w:b/>
          <w:color w:val="000000"/>
          <w:sz w:val="24"/>
          <w:szCs w:val="24"/>
        </w:rPr>
        <w:t>JUSTIFICACIÓN PARA RESOLVER EN SESIÓN NO PRESENCIAL</w:t>
      </w:r>
    </w:p>
    <w:p w14:paraId="4BAE5076" w14:textId="77777777" w:rsidR="00F525E1" w:rsidRPr="00B152E7" w:rsidRDefault="00F525E1" w:rsidP="004F03F8">
      <w:pPr>
        <w:spacing w:before="240" w:after="240" w:line="360" w:lineRule="auto"/>
        <w:jc w:val="both"/>
        <w:rPr>
          <w:rFonts w:ascii="Arial" w:eastAsia="Arial" w:hAnsi="Arial" w:cs="Arial"/>
        </w:rPr>
      </w:pPr>
      <w:r w:rsidRPr="00B152E7">
        <w:rPr>
          <w:rFonts w:ascii="Arial" w:eastAsia="Arial" w:hAnsi="Arial" w:cs="Arial"/>
        </w:rPr>
        <w:t>Esta Sala Superior emitió el acuerdo 8/2020</w:t>
      </w:r>
      <w:r w:rsidRPr="00B152E7">
        <w:rPr>
          <w:rFonts w:ascii="Arial" w:eastAsia="Arial" w:hAnsi="Arial" w:cs="Arial"/>
          <w:vertAlign w:val="superscript"/>
        </w:rPr>
        <w:footnoteReference w:id="13"/>
      </w:r>
      <w:r w:rsidRPr="00B152E7">
        <w:rPr>
          <w:rFonts w:ascii="Arial" w:eastAsia="Arial" w:hAnsi="Arial" w:cs="Arial"/>
        </w:rPr>
        <w:t xml:space="preserve"> en el cual, si bien reestableció la resolución de todos los medios de impugnación, en su punto de acuerdo segundo determinó que las sesiones continuarán realizándose por medio de videoconferencias, hasta que el Pleno determine alguna cuestión distinta.</w:t>
      </w:r>
    </w:p>
    <w:p w14:paraId="7951AC42" w14:textId="77777777" w:rsidR="00AC214E" w:rsidRPr="00B152E7" w:rsidRDefault="00F525E1" w:rsidP="004F03F8">
      <w:pPr>
        <w:spacing w:before="240" w:after="240" w:line="360" w:lineRule="auto"/>
        <w:jc w:val="both"/>
        <w:rPr>
          <w:rFonts w:ascii="Arial" w:hAnsi="Arial" w:cs="Arial"/>
          <w:bCs/>
          <w:lang w:val="es-ES"/>
        </w:rPr>
      </w:pPr>
      <w:r w:rsidRPr="00B152E7">
        <w:rPr>
          <w:rFonts w:ascii="Arial" w:hAnsi="Arial" w:cs="Arial"/>
          <w:bCs/>
          <w:lang w:val="es-ES"/>
        </w:rPr>
        <w:lastRenderedPageBreak/>
        <w:t xml:space="preserve">En ese sentido, se justifica la resolución </w:t>
      </w:r>
      <w:r w:rsidR="0063580A" w:rsidRPr="00B152E7">
        <w:rPr>
          <w:rFonts w:ascii="Arial" w:hAnsi="Arial" w:cs="Arial"/>
          <w:bCs/>
          <w:lang w:val="es-ES"/>
        </w:rPr>
        <w:t>del presente medio de impugnación</w:t>
      </w:r>
      <w:r w:rsidRPr="00B152E7">
        <w:rPr>
          <w:rFonts w:ascii="Arial" w:hAnsi="Arial" w:cs="Arial"/>
          <w:bCs/>
          <w:lang w:val="es-ES"/>
        </w:rPr>
        <w:t xml:space="preserve"> de manera no presencial.</w:t>
      </w:r>
    </w:p>
    <w:p w14:paraId="4D4A67AC" w14:textId="77777777" w:rsidR="00F002C8" w:rsidRPr="00B152E7" w:rsidRDefault="00793379" w:rsidP="00F1744E">
      <w:pPr>
        <w:pStyle w:val="Ttulo1"/>
        <w:spacing w:before="240" w:after="240" w:line="360" w:lineRule="auto"/>
        <w:jc w:val="center"/>
        <w:rPr>
          <w:rFonts w:ascii="Arial" w:eastAsia="Arial" w:hAnsi="Arial" w:cs="Arial"/>
          <w:b/>
          <w:sz w:val="24"/>
          <w:szCs w:val="24"/>
        </w:rPr>
      </w:pPr>
      <w:r w:rsidRPr="00B152E7">
        <w:rPr>
          <w:rFonts w:ascii="Arial" w:eastAsia="Arial" w:hAnsi="Arial" w:cs="Arial"/>
          <w:b/>
          <w:sz w:val="24"/>
          <w:szCs w:val="24"/>
        </w:rPr>
        <w:t>VI.</w:t>
      </w:r>
      <w:r w:rsidR="000150F1" w:rsidRPr="00B152E7">
        <w:rPr>
          <w:rFonts w:ascii="Arial" w:eastAsia="Arial" w:hAnsi="Arial" w:cs="Arial"/>
          <w:b/>
          <w:sz w:val="24"/>
          <w:szCs w:val="24"/>
        </w:rPr>
        <w:t xml:space="preserve"> PRESUPUESTOS PROCESALES</w:t>
      </w:r>
    </w:p>
    <w:p w14:paraId="3A780987" w14:textId="77777777" w:rsidR="000150F1" w:rsidRPr="00B152E7" w:rsidRDefault="000150F1" w:rsidP="000150F1">
      <w:pPr>
        <w:tabs>
          <w:tab w:val="left" w:pos="284"/>
          <w:tab w:val="left" w:pos="3261"/>
        </w:tabs>
        <w:spacing w:before="200" w:after="200" w:line="360" w:lineRule="auto"/>
        <w:jc w:val="both"/>
        <w:rPr>
          <w:rFonts w:ascii="Arial" w:hAnsi="Arial" w:cs="Arial"/>
        </w:rPr>
      </w:pPr>
      <w:r w:rsidRPr="00B152E7">
        <w:rPr>
          <w:rFonts w:ascii="Arial" w:eastAsia="Calibri" w:hAnsi="Arial" w:cs="Arial"/>
          <w:bCs/>
        </w:rPr>
        <w:t>El recurso cumple con los requisitos de procedencia establecidos en los artículos 7, párrafo 1; 9, párrafo 1; y 13, párrafo 1, inciso b) de la Ley de Medios tal y como se evidencia a continuación:</w:t>
      </w:r>
    </w:p>
    <w:p w14:paraId="2A1243EE" w14:textId="77777777" w:rsidR="000150F1" w:rsidRPr="00B152E7" w:rsidRDefault="000150F1" w:rsidP="000150F1">
      <w:pPr>
        <w:autoSpaceDE w:val="0"/>
        <w:autoSpaceDN w:val="0"/>
        <w:adjustRightInd w:val="0"/>
        <w:spacing w:before="240" w:after="240" w:line="360" w:lineRule="auto"/>
        <w:jc w:val="both"/>
        <w:rPr>
          <w:rFonts w:ascii="Arial" w:eastAsia="Calibri" w:hAnsi="Arial" w:cs="Arial"/>
          <w:bCs/>
        </w:rPr>
      </w:pPr>
      <w:bookmarkStart w:id="9" w:name="_Toc72255709"/>
      <w:r w:rsidRPr="00B152E7">
        <w:rPr>
          <w:rFonts w:ascii="Arial" w:eastAsia="Calibri" w:hAnsi="Arial" w:cs="Arial"/>
          <w:b/>
          <w:bCs/>
        </w:rPr>
        <w:t>1. Forma</w:t>
      </w:r>
      <w:bookmarkEnd w:id="9"/>
      <w:r w:rsidRPr="00B152E7">
        <w:rPr>
          <w:rFonts w:ascii="Arial" w:eastAsia="Calibri" w:hAnsi="Arial" w:cs="Arial"/>
          <w:b/>
          <w:bCs/>
        </w:rPr>
        <w:t>.</w:t>
      </w:r>
      <w:r w:rsidRPr="00B152E7">
        <w:rPr>
          <w:rFonts w:ascii="Arial" w:eastAsia="Calibri" w:hAnsi="Arial" w:cs="Arial"/>
          <w:bCs/>
        </w:rPr>
        <w:t xml:space="preserve"> La demanda se presentó por escrito ante la Sala Monterrey, quien a su vez la envió a esta Sala Superior, en la cual se hizo constar el nombre y firma de la recurrente, la identificación del acto impugnado, los hechos en que sustenta su impugnación, los agravios que considera le causan el acto reclamado y los preceptos que estima violados.</w:t>
      </w:r>
    </w:p>
    <w:p w14:paraId="19C4CAAB" w14:textId="77777777" w:rsidR="000150F1" w:rsidRPr="00B152E7" w:rsidRDefault="000150F1" w:rsidP="000150F1">
      <w:pPr>
        <w:autoSpaceDE w:val="0"/>
        <w:autoSpaceDN w:val="0"/>
        <w:adjustRightInd w:val="0"/>
        <w:spacing w:before="240" w:after="240" w:line="360" w:lineRule="auto"/>
        <w:jc w:val="both"/>
        <w:rPr>
          <w:rFonts w:ascii="Arial" w:eastAsia="Calibri" w:hAnsi="Arial" w:cs="Arial"/>
          <w:bCs/>
          <w:u w:val="single"/>
        </w:rPr>
      </w:pPr>
      <w:bookmarkStart w:id="10" w:name="_Toc72255710"/>
      <w:r w:rsidRPr="00B152E7">
        <w:rPr>
          <w:rFonts w:ascii="Arial" w:eastAsia="Calibri" w:hAnsi="Arial" w:cs="Arial"/>
          <w:b/>
          <w:bCs/>
        </w:rPr>
        <w:t>2. Oportunidad</w:t>
      </w:r>
      <w:bookmarkEnd w:id="10"/>
      <w:r w:rsidRPr="00B152E7">
        <w:rPr>
          <w:rFonts w:ascii="Arial" w:eastAsia="Calibri" w:hAnsi="Arial" w:cs="Arial"/>
          <w:b/>
          <w:bCs/>
        </w:rPr>
        <w:t>.</w:t>
      </w:r>
      <w:r w:rsidRPr="00B152E7">
        <w:rPr>
          <w:rFonts w:ascii="Arial" w:eastAsia="Calibri" w:hAnsi="Arial" w:cs="Arial"/>
          <w:bCs/>
        </w:rPr>
        <w:t xml:space="preserve"> De las constancias del expediente se desprende que la sentencia reclamada fue notificada a la recurrente el </w:t>
      </w:r>
      <w:r w:rsidR="00DE515A" w:rsidRPr="00B152E7">
        <w:rPr>
          <w:rFonts w:ascii="Arial" w:eastAsia="Calibri" w:hAnsi="Arial" w:cs="Arial"/>
          <w:bCs/>
        </w:rPr>
        <w:t>veintiséis</w:t>
      </w:r>
      <w:r w:rsidRPr="00B152E7">
        <w:rPr>
          <w:rFonts w:ascii="Arial" w:eastAsia="Calibri" w:hAnsi="Arial" w:cs="Arial"/>
          <w:bCs/>
        </w:rPr>
        <w:t xml:space="preserve"> de </w:t>
      </w:r>
      <w:r w:rsidR="00DE515A" w:rsidRPr="00B152E7">
        <w:rPr>
          <w:rFonts w:ascii="Arial" w:eastAsia="Calibri" w:hAnsi="Arial" w:cs="Arial"/>
          <w:bCs/>
        </w:rPr>
        <w:t>agosto</w:t>
      </w:r>
      <w:r w:rsidRPr="00B152E7">
        <w:rPr>
          <w:rFonts w:ascii="Arial" w:eastAsia="Calibri" w:hAnsi="Arial" w:cs="Arial"/>
          <w:bCs/>
        </w:rPr>
        <w:t>, vía el correo electrónico señalado y autorizado para tal efecto, por lo que</w:t>
      </w:r>
      <w:r w:rsidR="006D3255" w:rsidRPr="00B152E7">
        <w:rPr>
          <w:rFonts w:ascii="Arial" w:eastAsia="Calibri" w:hAnsi="Arial" w:cs="Arial"/>
          <w:bCs/>
        </w:rPr>
        <w:t>,</w:t>
      </w:r>
      <w:r w:rsidRPr="00B152E7">
        <w:rPr>
          <w:rFonts w:ascii="Arial" w:eastAsia="Calibri" w:hAnsi="Arial" w:cs="Arial"/>
          <w:bCs/>
        </w:rPr>
        <w:t xml:space="preserve"> si la demanda se presentó el </w:t>
      </w:r>
      <w:r w:rsidR="00DE515A" w:rsidRPr="00B152E7">
        <w:rPr>
          <w:rFonts w:ascii="Arial" w:eastAsia="Calibri" w:hAnsi="Arial" w:cs="Arial"/>
          <w:bCs/>
        </w:rPr>
        <w:t>veintinueve</w:t>
      </w:r>
      <w:r w:rsidRPr="00B152E7">
        <w:rPr>
          <w:rFonts w:ascii="Arial" w:eastAsia="Calibri" w:hAnsi="Arial" w:cs="Arial"/>
          <w:bCs/>
        </w:rPr>
        <w:t xml:space="preserve"> de </w:t>
      </w:r>
      <w:r w:rsidR="00DE515A" w:rsidRPr="00B152E7">
        <w:rPr>
          <w:rFonts w:ascii="Arial" w:eastAsia="Calibri" w:hAnsi="Arial" w:cs="Arial"/>
          <w:bCs/>
        </w:rPr>
        <w:t>agosto</w:t>
      </w:r>
      <w:r w:rsidRPr="00B152E7">
        <w:rPr>
          <w:rFonts w:ascii="Arial" w:eastAsia="Calibri" w:hAnsi="Arial" w:cs="Arial"/>
          <w:bCs/>
        </w:rPr>
        <w:t xml:space="preserve">, se entiende que se hizo de manera oportuna, es decir, dentro del plazo de tres días </w:t>
      </w:r>
      <w:r w:rsidR="00DE515A" w:rsidRPr="00B152E7">
        <w:rPr>
          <w:rFonts w:ascii="Arial" w:eastAsia="Calibri" w:hAnsi="Arial" w:cs="Arial"/>
          <w:bCs/>
        </w:rPr>
        <w:t>previsto</w:t>
      </w:r>
      <w:r w:rsidRPr="00B152E7">
        <w:rPr>
          <w:rFonts w:ascii="Arial" w:eastAsia="Calibri" w:hAnsi="Arial" w:cs="Arial"/>
          <w:bCs/>
        </w:rPr>
        <w:t xml:space="preserve"> en la Ley de Medios. </w:t>
      </w:r>
    </w:p>
    <w:p w14:paraId="2D9FC75B" w14:textId="77777777" w:rsidR="00ED337C" w:rsidRPr="00B152E7" w:rsidRDefault="000150F1" w:rsidP="00AF1AE9">
      <w:pPr>
        <w:pStyle w:val="NormalWeb"/>
        <w:shd w:val="clear" w:color="auto" w:fill="FFFFFF"/>
        <w:spacing w:before="280" w:after="280" w:line="360" w:lineRule="auto"/>
        <w:jc w:val="both"/>
        <w:rPr>
          <w:rFonts w:ascii="Arial" w:eastAsia="Calibri" w:hAnsi="Arial" w:cs="Arial"/>
          <w:bCs/>
          <w:lang w:eastAsia="es-MX"/>
        </w:rPr>
      </w:pPr>
      <w:bookmarkStart w:id="11" w:name="_Toc72255711"/>
      <w:r w:rsidRPr="00B152E7">
        <w:rPr>
          <w:rFonts w:ascii="Arial" w:eastAsia="Calibri" w:hAnsi="Arial" w:cs="Arial"/>
          <w:b/>
          <w:bCs/>
        </w:rPr>
        <w:t xml:space="preserve">3. Legitimación e interés </w:t>
      </w:r>
      <w:bookmarkEnd w:id="11"/>
      <w:r w:rsidRPr="00B152E7">
        <w:rPr>
          <w:rFonts w:ascii="Arial" w:eastAsia="Calibri" w:hAnsi="Arial" w:cs="Arial"/>
          <w:b/>
          <w:bCs/>
        </w:rPr>
        <w:t>jurídico.</w:t>
      </w:r>
      <w:r w:rsidRPr="00B152E7">
        <w:rPr>
          <w:rFonts w:ascii="Arial" w:eastAsia="Calibri" w:hAnsi="Arial" w:cs="Arial"/>
          <w:bCs/>
        </w:rPr>
        <w:t xml:space="preserve"> </w:t>
      </w:r>
      <w:bookmarkStart w:id="12" w:name="_Toc72255712"/>
      <w:r w:rsidR="00ED337C" w:rsidRPr="00B152E7">
        <w:rPr>
          <w:rFonts w:ascii="Arial" w:eastAsia="Calibri" w:hAnsi="Arial" w:cs="Arial"/>
          <w:bCs/>
          <w:lang w:eastAsia="es-MX"/>
        </w:rPr>
        <w:t>Se cumplen los requisitos, porque el recurso lo promueve una ciudadana, en contra de una determinación que</w:t>
      </w:r>
      <w:r w:rsidR="00610638" w:rsidRPr="00B152E7">
        <w:rPr>
          <w:rFonts w:ascii="Arial" w:eastAsia="Calibri" w:hAnsi="Arial" w:cs="Arial"/>
          <w:bCs/>
          <w:lang w:eastAsia="es-MX"/>
        </w:rPr>
        <w:t xml:space="preserve"> </w:t>
      </w:r>
      <w:r w:rsidR="00ED337C" w:rsidRPr="00B152E7">
        <w:rPr>
          <w:rFonts w:ascii="Arial" w:eastAsia="Calibri" w:hAnsi="Arial" w:cs="Arial"/>
          <w:bCs/>
          <w:lang w:eastAsia="es-MX"/>
        </w:rPr>
        <w:t>le</w:t>
      </w:r>
      <w:r w:rsidR="00610638" w:rsidRPr="00B152E7">
        <w:rPr>
          <w:rFonts w:ascii="Arial" w:eastAsia="Calibri" w:hAnsi="Arial" w:cs="Arial"/>
          <w:bCs/>
          <w:lang w:eastAsia="es-MX"/>
        </w:rPr>
        <w:t xml:space="preserve"> </w:t>
      </w:r>
      <w:r w:rsidR="00ED337C" w:rsidRPr="00B152E7">
        <w:rPr>
          <w:rFonts w:ascii="Arial" w:eastAsia="Calibri" w:hAnsi="Arial" w:cs="Arial"/>
          <w:bCs/>
          <w:lang w:eastAsia="es-MX"/>
        </w:rPr>
        <w:t>genera una afectación a sus derechos.</w:t>
      </w:r>
    </w:p>
    <w:p w14:paraId="65AFC19A" w14:textId="77777777" w:rsidR="00AF1AE9" w:rsidRPr="00B152E7" w:rsidRDefault="00ED337C" w:rsidP="00AF1AE9">
      <w:pPr>
        <w:shd w:val="clear" w:color="auto" w:fill="FFFFFF"/>
        <w:spacing w:before="280" w:after="280" w:line="360" w:lineRule="auto"/>
        <w:jc w:val="both"/>
        <w:rPr>
          <w:rFonts w:ascii="Arial" w:eastAsia="Calibri" w:hAnsi="Arial" w:cs="Arial"/>
          <w:bCs/>
        </w:rPr>
      </w:pPr>
      <w:r w:rsidRPr="00B152E7">
        <w:rPr>
          <w:rFonts w:ascii="Arial" w:eastAsia="Calibri" w:hAnsi="Arial" w:cs="Arial"/>
          <w:bCs/>
        </w:rPr>
        <w:t>La sentencia emitida por la Sala Regional</w:t>
      </w:r>
      <w:r w:rsidR="00610638" w:rsidRPr="00B152E7">
        <w:rPr>
          <w:rFonts w:ascii="Arial" w:eastAsia="Calibri" w:hAnsi="Arial" w:cs="Arial"/>
          <w:bCs/>
        </w:rPr>
        <w:t xml:space="preserve"> </w:t>
      </w:r>
      <w:r w:rsidR="00AF1AE9" w:rsidRPr="00B152E7">
        <w:rPr>
          <w:rFonts w:ascii="Arial" w:eastAsia="Calibri" w:hAnsi="Arial" w:cs="Arial"/>
          <w:bCs/>
        </w:rPr>
        <w:t xml:space="preserve">confirmó la modificación en las asignaciones del ayuntamiento para existir una integración paritaria que realizó el Tribunal local, </w:t>
      </w:r>
      <w:r w:rsidRPr="00B152E7">
        <w:rPr>
          <w:rFonts w:ascii="Arial" w:eastAsia="Calibri" w:hAnsi="Arial" w:cs="Arial"/>
          <w:bCs/>
        </w:rPr>
        <w:t>lo cual genera una afectación directa en la esfera jurídica de</w:t>
      </w:r>
      <w:r w:rsidR="00AF1AE9" w:rsidRPr="00B152E7">
        <w:rPr>
          <w:rFonts w:ascii="Arial" w:eastAsia="Calibri" w:hAnsi="Arial" w:cs="Arial"/>
          <w:bCs/>
        </w:rPr>
        <w:t xml:space="preserve"> la</w:t>
      </w:r>
      <w:r w:rsidRPr="00B152E7">
        <w:rPr>
          <w:rFonts w:ascii="Arial" w:eastAsia="Calibri" w:hAnsi="Arial" w:cs="Arial"/>
          <w:bCs/>
        </w:rPr>
        <w:t xml:space="preserve"> </w:t>
      </w:r>
      <w:r w:rsidR="00AF1AE9" w:rsidRPr="00B152E7">
        <w:rPr>
          <w:rFonts w:ascii="Arial" w:eastAsia="Calibri" w:hAnsi="Arial" w:cs="Arial"/>
          <w:bCs/>
        </w:rPr>
        <w:t>recurrente</w:t>
      </w:r>
      <w:r w:rsidRPr="00B152E7">
        <w:rPr>
          <w:rFonts w:ascii="Arial" w:eastAsia="Calibri" w:hAnsi="Arial" w:cs="Arial"/>
          <w:bCs/>
        </w:rPr>
        <w:t>, de forma que se tiene satisfecho este requisito.</w:t>
      </w:r>
    </w:p>
    <w:p w14:paraId="22A31F18" w14:textId="77777777" w:rsidR="008738BC" w:rsidRPr="00B152E7" w:rsidRDefault="000150F1" w:rsidP="000150F1">
      <w:pPr>
        <w:autoSpaceDE w:val="0"/>
        <w:autoSpaceDN w:val="0"/>
        <w:adjustRightInd w:val="0"/>
        <w:spacing w:before="240" w:after="240" w:line="360" w:lineRule="auto"/>
        <w:jc w:val="both"/>
        <w:rPr>
          <w:rFonts w:ascii="Arial" w:eastAsia="Calibri" w:hAnsi="Arial" w:cs="Arial"/>
          <w:bCs/>
        </w:rPr>
      </w:pPr>
      <w:r w:rsidRPr="00B152E7">
        <w:rPr>
          <w:rFonts w:ascii="Arial" w:eastAsia="Calibri" w:hAnsi="Arial" w:cs="Arial"/>
          <w:b/>
          <w:bCs/>
        </w:rPr>
        <w:t>4. Definitividad</w:t>
      </w:r>
      <w:bookmarkEnd w:id="12"/>
      <w:r w:rsidRPr="00B152E7">
        <w:rPr>
          <w:rFonts w:ascii="Arial" w:eastAsia="Calibri" w:hAnsi="Arial" w:cs="Arial"/>
          <w:b/>
          <w:bCs/>
        </w:rPr>
        <w:t>.</w:t>
      </w:r>
      <w:r w:rsidRPr="00B152E7">
        <w:rPr>
          <w:rFonts w:ascii="Arial" w:eastAsia="Calibri" w:hAnsi="Arial" w:cs="Arial"/>
          <w:bCs/>
        </w:rPr>
        <w:t xml:space="preserve"> Se </w:t>
      </w:r>
      <w:r w:rsidR="008738BC" w:rsidRPr="00B152E7">
        <w:rPr>
          <w:rFonts w:ascii="Arial" w:eastAsia="Calibri" w:hAnsi="Arial" w:cs="Arial"/>
          <w:bCs/>
        </w:rPr>
        <w:t>cumple con este requisito porque el recurso se interpone contra la sentencia emitida por la Sala Monterrey en los medios de impugnación de su competencia, la cual no admite ser controvertida por otro medio de impugnación.</w:t>
      </w:r>
    </w:p>
    <w:p w14:paraId="66EC8FA4" w14:textId="77777777" w:rsidR="000150F1" w:rsidRPr="00B152E7" w:rsidRDefault="000150F1" w:rsidP="000150F1">
      <w:pPr>
        <w:autoSpaceDE w:val="0"/>
        <w:autoSpaceDN w:val="0"/>
        <w:adjustRightInd w:val="0"/>
        <w:spacing w:before="240" w:after="240" w:line="360" w:lineRule="auto"/>
        <w:jc w:val="both"/>
        <w:rPr>
          <w:rFonts w:ascii="Arial" w:eastAsia="Calibri" w:hAnsi="Arial" w:cs="Arial"/>
          <w:bCs/>
        </w:rPr>
      </w:pPr>
      <w:r w:rsidRPr="00B152E7">
        <w:rPr>
          <w:rFonts w:ascii="Arial" w:eastAsia="Calibri" w:hAnsi="Arial" w:cs="Arial"/>
          <w:b/>
        </w:rPr>
        <w:lastRenderedPageBreak/>
        <w:t>5. Requisito especial de procedencia.</w:t>
      </w:r>
      <w:r w:rsidRPr="00B152E7">
        <w:rPr>
          <w:rFonts w:ascii="Arial" w:eastAsia="Calibri" w:hAnsi="Arial" w:cs="Arial"/>
          <w:bCs/>
        </w:rPr>
        <w:t xml:space="preserve"> Dentro de la gama de medios de impugnación existentes en materia electoral, el recurso de reconsideración posee una naturaleza dual ya que, por un lado, se trata de un medio ordinario para impugnar las resoluciones de las Salas Regionales referidas en el artículo 61, numeral 1, inciso a) de la Ley de Medios y, por otro, se trata de un medio extraordinario a través del cual esta Sala Superior opera como un órgano de control de la regularidad constitucional. </w:t>
      </w:r>
    </w:p>
    <w:p w14:paraId="1C4F8210" w14:textId="77777777" w:rsidR="000150F1" w:rsidRPr="00B152E7" w:rsidRDefault="000150F1" w:rsidP="000150F1">
      <w:pPr>
        <w:spacing w:before="360" w:after="360" w:line="360" w:lineRule="auto"/>
        <w:jc w:val="both"/>
        <w:rPr>
          <w:rFonts w:ascii="Arial" w:hAnsi="Arial" w:cs="Arial"/>
          <w:bCs/>
        </w:rPr>
      </w:pPr>
      <w:r w:rsidRPr="00B152E7">
        <w:rPr>
          <w:rFonts w:ascii="Arial" w:hAnsi="Arial" w:cs="Arial"/>
          <w:bCs/>
        </w:rPr>
        <w:t>Así, por regla general, las sentencias pronunciadas por las Salas Regionales son definitivas e inatacables; sin embargo, serán susceptibles de impugnarse a través del recurso de reconsideración, cuando se refieren a juicios de inconformidad en los supuestos del artículo 62 de la Ley de Medios, o cuando dichos órganos jurisdiccionales se pronuncien sobre temas propiamente de constitucionalidad, en los demás medios de impugnación.</w:t>
      </w:r>
    </w:p>
    <w:p w14:paraId="313D607A" w14:textId="77777777" w:rsidR="000150F1" w:rsidRPr="00B152E7" w:rsidRDefault="000150F1" w:rsidP="000150F1">
      <w:pPr>
        <w:autoSpaceDE w:val="0"/>
        <w:autoSpaceDN w:val="0"/>
        <w:adjustRightInd w:val="0"/>
        <w:spacing w:before="240" w:after="240" w:line="360" w:lineRule="auto"/>
        <w:jc w:val="both"/>
        <w:rPr>
          <w:rFonts w:ascii="Arial" w:eastAsia="Calibri" w:hAnsi="Arial" w:cs="Arial"/>
        </w:rPr>
      </w:pPr>
      <w:r w:rsidRPr="00B152E7">
        <w:rPr>
          <w:rFonts w:ascii="Arial" w:hAnsi="Arial" w:cs="Arial"/>
          <w:bCs/>
        </w:rPr>
        <w:t xml:space="preserve">Esto último, porque el recurso de reconsideración no constituye una ulterior instancia, sino una de carácter constitucional extraordinaria conforme a la cual la Sala Superior ejerce un auténtico control de constitucionalidad de las sentencias pronunciadas por las Salas Regionales. </w:t>
      </w:r>
    </w:p>
    <w:p w14:paraId="1AAAF8CC" w14:textId="77777777" w:rsidR="000150F1" w:rsidRPr="00B152E7" w:rsidRDefault="000150F1" w:rsidP="000150F1">
      <w:pPr>
        <w:spacing w:before="360" w:after="360" w:line="360" w:lineRule="auto"/>
        <w:jc w:val="both"/>
        <w:rPr>
          <w:rFonts w:ascii="Arial" w:hAnsi="Arial" w:cs="Arial"/>
          <w:bCs/>
        </w:rPr>
      </w:pPr>
      <w:r w:rsidRPr="00B152E7">
        <w:rPr>
          <w:rFonts w:ascii="Arial" w:hAnsi="Arial" w:cs="Arial"/>
          <w:bCs/>
        </w:rPr>
        <w:t>Por esta razón, y dada la naturaleza extraordinaria del medio de impugnación que se estudia, conforme al criterio reiterado de esta Sala Superior, se ha ampliado la procedencia del recurso de reconsideración en aras de garantizar debidamente el derecho humano de acceso a la justicia, contenido en el artículo 17 de la Constitución general.</w:t>
      </w:r>
    </w:p>
    <w:p w14:paraId="2C1760BC" w14:textId="77777777" w:rsidR="000150F1" w:rsidRPr="00B152E7" w:rsidRDefault="000150F1" w:rsidP="000150F1">
      <w:pPr>
        <w:autoSpaceDE w:val="0"/>
        <w:autoSpaceDN w:val="0"/>
        <w:adjustRightInd w:val="0"/>
        <w:spacing w:before="240" w:after="240" w:line="360" w:lineRule="auto"/>
        <w:jc w:val="both"/>
        <w:rPr>
          <w:rFonts w:ascii="Arial" w:eastAsia="Calibri" w:hAnsi="Arial" w:cs="Arial"/>
          <w:strike/>
        </w:rPr>
      </w:pPr>
      <w:r w:rsidRPr="00B152E7">
        <w:rPr>
          <w:rFonts w:ascii="Arial" w:hAnsi="Arial" w:cs="Arial"/>
          <w:bCs/>
        </w:rPr>
        <w:t xml:space="preserve">Al respecto, a partir de la interpretación sistemática y funcional de los artículos 17, 41 y 99 de la Constitución general, así como de los artículos 3, 61 y 62 de la Ley de Medios, se ha determinado que el recurso de reconsideración también es procedente, entre otros casos, respecto de </w:t>
      </w:r>
      <w:r w:rsidRPr="00B152E7">
        <w:rPr>
          <w:rFonts w:ascii="Arial" w:eastAsia="Calibri" w:hAnsi="Arial" w:cs="Arial"/>
          <w:lang w:eastAsia="es-ES"/>
        </w:rPr>
        <w:lastRenderedPageBreak/>
        <w:t>sentencias que omitan el estudio o declaren inoperantes los agravios relacionados con la inconstitucionalidad de normas electorales.</w:t>
      </w:r>
      <w:r w:rsidRPr="00B152E7">
        <w:rPr>
          <w:rStyle w:val="Refdenotaalpie"/>
          <w:rFonts w:ascii="Arial" w:eastAsia="Calibri" w:hAnsi="Arial" w:cs="Arial"/>
          <w:lang w:eastAsia="es-ES"/>
        </w:rPr>
        <w:footnoteReference w:id="14"/>
      </w:r>
      <w:r w:rsidRPr="00B152E7">
        <w:rPr>
          <w:rFonts w:ascii="Arial" w:hAnsi="Arial" w:cs="Arial"/>
          <w:bCs/>
        </w:rPr>
        <w:t xml:space="preserve"> </w:t>
      </w:r>
    </w:p>
    <w:p w14:paraId="17E6CFBC" w14:textId="77777777" w:rsidR="000150F1" w:rsidRPr="00B152E7" w:rsidRDefault="000150F1" w:rsidP="000150F1">
      <w:pPr>
        <w:autoSpaceDE w:val="0"/>
        <w:autoSpaceDN w:val="0"/>
        <w:adjustRightInd w:val="0"/>
        <w:spacing w:before="240" w:after="240" w:line="360" w:lineRule="auto"/>
        <w:jc w:val="both"/>
        <w:rPr>
          <w:rFonts w:ascii="Arial" w:hAnsi="Arial" w:cs="Arial"/>
          <w:bCs/>
        </w:rPr>
      </w:pPr>
      <w:r w:rsidRPr="00B152E7">
        <w:rPr>
          <w:rFonts w:ascii="Arial" w:hAnsi="Arial" w:cs="Arial"/>
          <w:bCs/>
        </w:rPr>
        <w:t>Al respecto, el objeto de la jurisprudencia se relaciona con la trascendencia del análisis de la constitucionalidad de las normas cuestionadas y cuyo estudio se omitió o se declaró inoperante, esto con el propósito de garantizar el derecho de acceso a la justicia, así como el de verificar la regularidad constitucional de los actos de autoridad en materia electoral.</w:t>
      </w:r>
    </w:p>
    <w:p w14:paraId="0CBC250F" w14:textId="77777777" w:rsidR="000150F1" w:rsidRPr="00B152E7" w:rsidRDefault="000150F1" w:rsidP="002C62B3">
      <w:pPr>
        <w:autoSpaceDE w:val="0"/>
        <w:autoSpaceDN w:val="0"/>
        <w:adjustRightInd w:val="0"/>
        <w:spacing w:before="240" w:after="240" w:line="360" w:lineRule="auto"/>
        <w:jc w:val="both"/>
        <w:rPr>
          <w:rFonts w:ascii="Arial" w:hAnsi="Arial" w:cs="Arial"/>
          <w:bCs/>
        </w:rPr>
      </w:pPr>
      <w:r w:rsidRPr="00B152E7">
        <w:rPr>
          <w:rFonts w:ascii="Arial" w:hAnsi="Arial" w:cs="Arial"/>
          <w:bCs/>
        </w:rPr>
        <w:t xml:space="preserve">En el caso concreto, el recurrente señala que la Sala </w:t>
      </w:r>
      <w:r w:rsidR="008738BC" w:rsidRPr="00B152E7">
        <w:rPr>
          <w:rFonts w:ascii="Arial" w:hAnsi="Arial" w:cs="Arial"/>
          <w:bCs/>
        </w:rPr>
        <w:t xml:space="preserve">Monterrey </w:t>
      </w:r>
      <w:r w:rsidR="008738BC" w:rsidRPr="00B152E7">
        <w:rPr>
          <w:rFonts w:ascii="Arial" w:hAnsi="Arial" w:cs="Arial"/>
          <w:b/>
          <w:bCs/>
        </w:rPr>
        <w:t xml:space="preserve">declaró </w:t>
      </w:r>
      <w:r w:rsidR="002C62B3" w:rsidRPr="00B152E7">
        <w:rPr>
          <w:rFonts w:ascii="Arial" w:eastAsia="Calibri" w:hAnsi="Arial" w:cs="Arial"/>
          <w:b/>
          <w:lang w:val="es-ES_tradnl" w:eastAsia="es-ES"/>
        </w:rPr>
        <w:t>ineficaz el planteamiento en el que la hoy recurrente solicitó la inaplicación del artículo 240, fracción III, párrafo segundo</w:t>
      </w:r>
      <w:r w:rsidR="002C62B3" w:rsidRPr="00B152E7">
        <w:rPr>
          <w:rFonts w:ascii="Arial" w:eastAsia="Calibri" w:hAnsi="Arial" w:cs="Arial"/>
          <w:lang w:val="es-ES_tradnl" w:eastAsia="es-ES"/>
        </w:rPr>
        <w:t>, de la Ley de Instituciones y Procedimientos Electorales para el Estado de Guanajuato,</w:t>
      </w:r>
      <w:r w:rsidR="002C62B3" w:rsidRPr="00B152E7">
        <w:rPr>
          <w:rStyle w:val="Refdenotaalpie"/>
          <w:rFonts w:ascii="Arial" w:eastAsia="Calibri" w:hAnsi="Arial" w:cs="Arial"/>
          <w:lang w:val="es-ES_tradnl" w:eastAsia="es-ES"/>
        </w:rPr>
        <w:footnoteReference w:id="15"/>
      </w:r>
      <w:r w:rsidR="002C62B3" w:rsidRPr="00B152E7">
        <w:rPr>
          <w:rFonts w:ascii="Arial" w:eastAsia="Calibri" w:hAnsi="Arial" w:cs="Arial"/>
          <w:lang w:val="es-ES_tradnl" w:eastAsia="es-ES"/>
        </w:rPr>
        <w:t xml:space="preserve"> al estimar que no</w:t>
      </w:r>
      <w:r w:rsidR="002C62B3" w:rsidRPr="00B152E7">
        <w:rPr>
          <w:rFonts w:ascii="Arial" w:eastAsia="Calibri" w:hAnsi="Arial" w:cs="Arial"/>
          <w:lang w:val="es-ES" w:eastAsia="es-ES"/>
        </w:rPr>
        <w:t xml:space="preserve"> </w:t>
      </w:r>
      <w:r w:rsidR="002C62B3" w:rsidRPr="00B152E7">
        <w:rPr>
          <w:rFonts w:ascii="Arial" w:eastAsia="Calibri" w:hAnsi="Arial" w:cs="Arial"/>
          <w:lang w:val="es-ES_tradnl" w:eastAsia="es-ES"/>
        </w:rPr>
        <w:t xml:space="preserve">se </w:t>
      </w:r>
      <w:r w:rsidR="002C62B3" w:rsidRPr="00B152E7">
        <w:rPr>
          <w:rFonts w:ascii="Arial" w:eastAsia="Calibri" w:hAnsi="Arial" w:cs="Arial"/>
          <w:lang w:val="es-ES" w:eastAsia="es-ES"/>
        </w:rPr>
        <w:t xml:space="preserve">controvirtieron las razones por las cuales el Tribunal local tuvo por inoperante e infundado su agravio, </w:t>
      </w:r>
      <w:r w:rsidR="002C62B3" w:rsidRPr="00B152E7">
        <w:rPr>
          <w:rFonts w:ascii="Arial" w:eastAsia="Calibri" w:hAnsi="Arial" w:cs="Arial"/>
          <w:lang w:val="es-ES_tradnl" w:eastAsia="es-ES"/>
        </w:rPr>
        <w:t>en donde igualmente planteó la inconstitucionalidad de la porción normativa de mérito</w:t>
      </w:r>
      <w:r w:rsidR="002C62B3" w:rsidRPr="00B152E7">
        <w:rPr>
          <w:rFonts w:ascii="Arial" w:hAnsi="Arial" w:cs="Arial"/>
          <w:bCs/>
        </w:rPr>
        <w:t>;</w:t>
      </w:r>
      <w:r w:rsidRPr="00B152E7">
        <w:rPr>
          <w:rFonts w:ascii="Arial" w:hAnsi="Arial" w:cs="Arial"/>
          <w:bCs/>
        </w:rPr>
        <w:t xml:space="preserve"> siendo esta razón suficiente para que se actualice la procedencia del presente medio de impugnación.</w:t>
      </w:r>
    </w:p>
    <w:p w14:paraId="28E6680C" w14:textId="77777777" w:rsidR="002C62B3" w:rsidRPr="00B152E7" w:rsidRDefault="002C62B3" w:rsidP="00824A35">
      <w:pPr>
        <w:pStyle w:val="Ttulo1"/>
        <w:spacing w:before="240" w:after="240" w:line="360" w:lineRule="auto"/>
        <w:jc w:val="center"/>
        <w:rPr>
          <w:rFonts w:ascii="Arial" w:eastAsia="Arial" w:hAnsi="Arial" w:cs="Arial"/>
          <w:b/>
          <w:sz w:val="24"/>
          <w:szCs w:val="24"/>
        </w:rPr>
      </w:pPr>
      <w:r w:rsidRPr="00B152E7">
        <w:rPr>
          <w:rFonts w:ascii="Arial" w:eastAsia="Arial" w:hAnsi="Arial" w:cs="Arial"/>
          <w:b/>
          <w:sz w:val="24"/>
          <w:szCs w:val="24"/>
        </w:rPr>
        <w:t>VII. CONSIDERACIONES DE LA RESPONSABLE</w:t>
      </w:r>
    </w:p>
    <w:p w14:paraId="2A3265A9" w14:textId="77777777" w:rsidR="00DD7508" w:rsidRPr="00B152E7" w:rsidRDefault="00DD7508" w:rsidP="00DD7508">
      <w:pPr>
        <w:spacing w:before="160" w:after="100" w:afterAutospacing="1" w:line="360" w:lineRule="auto"/>
        <w:jc w:val="both"/>
        <w:rPr>
          <w:rFonts w:ascii="Arial" w:eastAsia="Calibri" w:hAnsi="Arial" w:cs="Arial"/>
          <w:bCs/>
          <w:lang w:val="es-ES" w:eastAsia="es-ES"/>
        </w:rPr>
      </w:pPr>
      <w:r w:rsidRPr="00B152E7">
        <w:rPr>
          <w:rFonts w:ascii="Arial" w:eastAsia="Calibri" w:hAnsi="Arial" w:cs="Arial"/>
          <w:bCs/>
          <w:lang w:val="es-ES" w:eastAsia="es-ES"/>
        </w:rPr>
        <w:t xml:space="preserve">La </w:t>
      </w:r>
      <w:r w:rsidR="00F6081C" w:rsidRPr="00B152E7">
        <w:rPr>
          <w:rFonts w:ascii="Arial" w:eastAsia="Calibri" w:hAnsi="Arial" w:cs="Arial"/>
          <w:bCs/>
          <w:lang w:val="es-ES" w:eastAsia="es-ES"/>
        </w:rPr>
        <w:t>responsable</w:t>
      </w:r>
      <w:r w:rsidRPr="00B152E7">
        <w:rPr>
          <w:rFonts w:ascii="Arial" w:eastAsia="Calibri" w:hAnsi="Arial" w:cs="Arial"/>
          <w:bCs/>
          <w:lang w:val="es-ES" w:eastAsia="es-ES"/>
        </w:rPr>
        <w:t xml:space="preserve"> confirmó la sentencia del Tribunal local con base en las siguientes consideraciones: </w:t>
      </w:r>
    </w:p>
    <w:p w14:paraId="6A72BAF1" w14:textId="77777777" w:rsidR="00F6081C" w:rsidRPr="00B152E7" w:rsidRDefault="00D45834" w:rsidP="00F6081C">
      <w:pPr>
        <w:numPr>
          <w:ilvl w:val="0"/>
          <w:numId w:val="32"/>
        </w:numPr>
        <w:spacing w:before="160" w:after="100" w:afterAutospacing="1" w:line="360" w:lineRule="auto"/>
        <w:contextualSpacing/>
        <w:jc w:val="both"/>
        <w:rPr>
          <w:rFonts w:ascii="Arial" w:eastAsia="Calibri" w:hAnsi="Arial" w:cs="Arial"/>
          <w:lang w:eastAsia="es-ES"/>
        </w:rPr>
      </w:pPr>
      <w:r w:rsidRPr="00B152E7">
        <w:rPr>
          <w:rFonts w:ascii="Arial" w:eastAsia="Calibri" w:hAnsi="Arial" w:cs="Arial"/>
          <w:lang w:val="es-ES" w:eastAsia="es-ES"/>
        </w:rPr>
        <w:t>Declaró como</w:t>
      </w:r>
      <w:r w:rsidRPr="00B152E7">
        <w:rPr>
          <w:rFonts w:ascii="Arial" w:eastAsiaTheme="minorHAnsi" w:hAnsi="Arial" w:cs="Arial"/>
          <w:color w:val="000000" w:themeColor="text1"/>
          <w:lang w:val="es-ES_tradnl" w:eastAsia="en-US"/>
        </w:rPr>
        <w:t xml:space="preserve"> </w:t>
      </w:r>
      <w:r w:rsidRPr="00B152E7">
        <w:rPr>
          <w:rFonts w:ascii="Arial" w:eastAsia="Calibri" w:hAnsi="Arial" w:cs="Arial"/>
          <w:b/>
          <w:lang w:val="es-ES_tradnl" w:eastAsia="es-ES"/>
        </w:rPr>
        <w:t>ineficaz</w:t>
      </w:r>
      <w:r w:rsidRPr="00B152E7">
        <w:rPr>
          <w:rFonts w:ascii="Arial" w:eastAsia="Calibri" w:hAnsi="Arial" w:cs="Arial"/>
          <w:lang w:val="es-ES_tradnl" w:eastAsia="es-ES"/>
        </w:rPr>
        <w:t xml:space="preserve"> el planteamiento en el </w:t>
      </w:r>
      <w:r w:rsidR="00F6081C" w:rsidRPr="00B152E7">
        <w:rPr>
          <w:rFonts w:ascii="Arial" w:eastAsia="Calibri" w:hAnsi="Arial" w:cs="Arial"/>
          <w:lang w:val="es-ES_tradnl" w:eastAsia="es-ES"/>
        </w:rPr>
        <w:t xml:space="preserve">que la </w:t>
      </w:r>
      <w:r w:rsidR="00E70577" w:rsidRPr="00B152E7">
        <w:rPr>
          <w:rFonts w:ascii="Arial" w:eastAsia="Calibri" w:hAnsi="Arial" w:cs="Arial"/>
          <w:lang w:val="es-ES_tradnl" w:eastAsia="es-ES"/>
        </w:rPr>
        <w:t>ahora recurrente</w:t>
      </w:r>
      <w:r w:rsidR="00AF17B9" w:rsidRPr="00B152E7">
        <w:rPr>
          <w:rFonts w:ascii="Arial" w:eastAsia="Calibri" w:hAnsi="Arial" w:cs="Arial"/>
          <w:lang w:val="es-ES_tradnl" w:eastAsia="es-ES"/>
        </w:rPr>
        <w:t xml:space="preserve"> </w:t>
      </w:r>
      <w:r w:rsidRPr="00B152E7">
        <w:rPr>
          <w:rFonts w:ascii="Arial" w:eastAsia="Calibri" w:hAnsi="Arial" w:cs="Arial"/>
          <w:lang w:val="es-ES_tradnl" w:eastAsia="es-ES"/>
        </w:rPr>
        <w:t>solicitó la inaplicación</w:t>
      </w:r>
      <w:r w:rsidR="00AF17B9" w:rsidRPr="00B152E7">
        <w:rPr>
          <w:rFonts w:ascii="Arial" w:eastAsia="Calibri" w:hAnsi="Arial" w:cs="Arial"/>
          <w:lang w:val="es-ES_tradnl" w:eastAsia="es-ES"/>
        </w:rPr>
        <w:t xml:space="preserve"> </w:t>
      </w:r>
      <w:r w:rsidRPr="00B152E7">
        <w:rPr>
          <w:rFonts w:ascii="Arial" w:eastAsia="Calibri" w:hAnsi="Arial" w:cs="Arial"/>
          <w:lang w:val="es-ES_tradnl" w:eastAsia="es-ES"/>
        </w:rPr>
        <w:t xml:space="preserve">del artículo 240, fracción III, párrafo segundo, de la Ley Electoral </w:t>
      </w:r>
      <w:r w:rsidR="002C62B3" w:rsidRPr="00B152E7">
        <w:rPr>
          <w:rFonts w:ascii="Arial" w:eastAsia="Calibri" w:hAnsi="Arial" w:cs="Arial"/>
          <w:lang w:val="es-ES_tradnl" w:eastAsia="es-ES"/>
        </w:rPr>
        <w:t>local,</w:t>
      </w:r>
      <w:r w:rsidRPr="00B152E7">
        <w:rPr>
          <w:rFonts w:ascii="Arial" w:eastAsia="Calibri" w:hAnsi="Arial" w:cs="Arial"/>
          <w:lang w:val="es-ES_tradnl" w:eastAsia="es-ES"/>
        </w:rPr>
        <w:t xml:space="preserve"> </w:t>
      </w:r>
      <w:r w:rsidR="00F6081C" w:rsidRPr="00B152E7">
        <w:rPr>
          <w:rFonts w:ascii="Arial" w:eastAsia="Calibri" w:hAnsi="Arial" w:cs="Arial"/>
          <w:lang w:val="es-ES_tradnl" w:eastAsia="es-ES"/>
        </w:rPr>
        <w:t xml:space="preserve">al estimar que </w:t>
      </w:r>
      <w:r w:rsidRPr="00B152E7">
        <w:rPr>
          <w:rFonts w:ascii="Arial" w:eastAsia="Calibri" w:hAnsi="Arial" w:cs="Arial"/>
          <w:lang w:val="es-ES_tradnl" w:eastAsia="es-ES"/>
        </w:rPr>
        <w:t>no</w:t>
      </w:r>
      <w:r w:rsidR="00C80830" w:rsidRPr="00B152E7">
        <w:rPr>
          <w:rFonts w:ascii="Arial" w:eastAsia="Calibri" w:hAnsi="Arial" w:cs="Arial"/>
          <w:lang w:val="es-ES" w:eastAsia="es-ES"/>
        </w:rPr>
        <w:t xml:space="preserve"> </w:t>
      </w:r>
      <w:r w:rsidR="00AF17B9" w:rsidRPr="00B152E7">
        <w:rPr>
          <w:rFonts w:ascii="Arial" w:eastAsia="Calibri" w:hAnsi="Arial" w:cs="Arial"/>
          <w:lang w:val="es-ES_tradnl" w:eastAsia="es-ES"/>
        </w:rPr>
        <w:t xml:space="preserve">se </w:t>
      </w:r>
      <w:r w:rsidR="00C80830" w:rsidRPr="00B152E7">
        <w:rPr>
          <w:rFonts w:ascii="Arial" w:eastAsia="Calibri" w:hAnsi="Arial" w:cs="Arial"/>
          <w:lang w:val="es-ES" w:eastAsia="es-ES"/>
        </w:rPr>
        <w:t>controvirti</w:t>
      </w:r>
      <w:r w:rsidR="00F6081C" w:rsidRPr="00B152E7">
        <w:rPr>
          <w:rFonts w:ascii="Arial" w:eastAsia="Calibri" w:hAnsi="Arial" w:cs="Arial"/>
          <w:lang w:val="es-ES" w:eastAsia="es-ES"/>
        </w:rPr>
        <w:t>eron</w:t>
      </w:r>
      <w:r w:rsidR="00C80830" w:rsidRPr="00B152E7">
        <w:rPr>
          <w:rFonts w:ascii="Arial" w:eastAsia="Calibri" w:hAnsi="Arial" w:cs="Arial"/>
          <w:lang w:val="es-ES" w:eastAsia="es-ES"/>
        </w:rPr>
        <w:t xml:space="preserve"> las razones por las cuales el Tribunal local tuvo por inoperante e infundado su agravio</w:t>
      </w:r>
      <w:r w:rsidRPr="00B152E7">
        <w:rPr>
          <w:rFonts w:ascii="Arial" w:eastAsia="Calibri" w:hAnsi="Arial" w:cs="Arial"/>
          <w:lang w:val="es-ES" w:eastAsia="es-ES"/>
        </w:rPr>
        <w:t xml:space="preserve">, </w:t>
      </w:r>
      <w:r w:rsidRPr="00B152E7">
        <w:rPr>
          <w:rFonts w:ascii="Arial" w:eastAsia="Calibri" w:hAnsi="Arial" w:cs="Arial"/>
          <w:lang w:val="es-ES_tradnl" w:eastAsia="es-ES"/>
        </w:rPr>
        <w:t>en donde igualmente planteó la inconstitucionalidad de la porción normativa de mérito.</w:t>
      </w:r>
    </w:p>
    <w:p w14:paraId="4E7A9261" w14:textId="77777777" w:rsidR="00EA48C9" w:rsidRPr="00B152E7" w:rsidRDefault="00EA48C9" w:rsidP="00EA48C9">
      <w:pPr>
        <w:numPr>
          <w:ilvl w:val="0"/>
          <w:numId w:val="32"/>
        </w:numPr>
        <w:spacing w:before="160" w:after="100" w:afterAutospacing="1" w:line="360" w:lineRule="auto"/>
        <w:contextualSpacing/>
        <w:jc w:val="both"/>
        <w:rPr>
          <w:rFonts w:ascii="Arial" w:eastAsia="Calibri" w:hAnsi="Arial" w:cs="Arial"/>
          <w:lang w:eastAsia="es-ES"/>
        </w:rPr>
      </w:pPr>
      <w:r w:rsidRPr="00B152E7">
        <w:rPr>
          <w:rFonts w:ascii="Arial" w:eastAsia="Calibri" w:hAnsi="Arial" w:cs="Arial"/>
          <w:lang w:eastAsia="es-ES"/>
        </w:rPr>
        <w:lastRenderedPageBreak/>
        <w:t>En esa misma tesitura</w:t>
      </w:r>
      <w:r w:rsidR="00E70577" w:rsidRPr="00B152E7">
        <w:rPr>
          <w:rFonts w:ascii="Arial" w:eastAsia="Calibri" w:hAnsi="Arial" w:cs="Arial"/>
          <w:lang w:eastAsia="es-ES"/>
        </w:rPr>
        <w:t xml:space="preserve">, la responsable </w:t>
      </w:r>
      <w:r w:rsidRPr="00B152E7">
        <w:rPr>
          <w:rFonts w:ascii="Arial" w:eastAsia="Calibri" w:hAnsi="Arial" w:cs="Arial"/>
          <w:lang w:eastAsia="es-ES"/>
        </w:rPr>
        <w:t xml:space="preserve">estimó </w:t>
      </w:r>
      <w:r w:rsidRPr="00B152E7">
        <w:rPr>
          <w:rFonts w:ascii="Arial" w:eastAsia="Calibri" w:hAnsi="Arial" w:cs="Arial"/>
          <w:b/>
          <w:lang w:eastAsia="es-ES"/>
        </w:rPr>
        <w:t>ineficaz</w:t>
      </w:r>
      <w:r w:rsidR="00200978" w:rsidRPr="00B152E7">
        <w:rPr>
          <w:rFonts w:ascii="Arial" w:eastAsia="Calibri" w:hAnsi="Arial" w:cs="Arial"/>
          <w:lang w:eastAsia="es-ES"/>
        </w:rPr>
        <w:t xml:space="preserve"> el agravio relativo a que no era aplicable </w:t>
      </w:r>
      <w:r w:rsidRPr="00B152E7">
        <w:rPr>
          <w:rFonts w:ascii="Arial" w:eastAsia="Calibri" w:hAnsi="Arial" w:cs="Arial"/>
          <w:lang w:eastAsia="es-ES"/>
        </w:rPr>
        <w:t xml:space="preserve">la acción de inconstitucionalidad 63/2017 al no tener similitud en cuanto al tema de asignación de regidurías de un ayuntamiento; </w:t>
      </w:r>
      <w:r w:rsidR="00200978" w:rsidRPr="00B152E7">
        <w:rPr>
          <w:rFonts w:ascii="Arial" w:eastAsia="Calibri" w:hAnsi="Arial" w:cs="Arial"/>
          <w:lang w:eastAsia="es-ES"/>
        </w:rPr>
        <w:t xml:space="preserve">lo anterior, </w:t>
      </w:r>
      <w:r w:rsidRPr="00B152E7">
        <w:rPr>
          <w:rFonts w:ascii="Arial" w:eastAsia="Calibri" w:hAnsi="Arial" w:cs="Arial"/>
          <w:lang w:eastAsia="es-ES"/>
        </w:rPr>
        <w:t>ya que no controvirtió el razonamiento de que la hoy recurrente no se encontraba en el supuesto normativo de ajuste de género.</w:t>
      </w:r>
    </w:p>
    <w:p w14:paraId="4F4E837B" w14:textId="77777777" w:rsidR="00F6081C" w:rsidRPr="00B152E7" w:rsidRDefault="00F6081C" w:rsidP="005C1FF2">
      <w:pPr>
        <w:numPr>
          <w:ilvl w:val="0"/>
          <w:numId w:val="32"/>
        </w:numPr>
        <w:spacing w:before="160" w:after="100" w:afterAutospacing="1" w:line="360" w:lineRule="auto"/>
        <w:contextualSpacing/>
        <w:jc w:val="both"/>
        <w:rPr>
          <w:rFonts w:ascii="Arial" w:eastAsia="Calibri" w:hAnsi="Arial" w:cs="Arial"/>
          <w:lang w:eastAsia="es-ES"/>
        </w:rPr>
      </w:pPr>
      <w:r w:rsidRPr="00B152E7">
        <w:rPr>
          <w:rFonts w:ascii="Arial" w:eastAsia="Calibri" w:hAnsi="Arial" w:cs="Arial"/>
          <w:lang w:eastAsia="es-ES"/>
        </w:rPr>
        <w:t>Calificó</w:t>
      </w:r>
      <w:r w:rsidR="005C1FF2" w:rsidRPr="00B152E7">
        <w:rPr>
          <w:rFonts w:ascii="Arial" w:eastAsia="Calibri" w:hAnsi="Arial" w:cs="Arial"/>
          <w:lang w:eastAsia="es-ES"/>
        </w:rPr>
        <w:t xml:space="preserve"> como</w:t>
      </w:r>
      <w:r w:rsidRPr="00B152E7">
        <w:rPr>
          <w:rFonts w:ascii="Arial" w:eastAsia="Calibri" w:hAnsi="Arial" w:cs="Arial"/>
          <w:lang w:eastAsia="es-ES"/>
        </w:rPr>
        <w:t xml:space="preserve"> </w:t>
      </w:r>
      <w:r w:rsidRPr="00B152E7">
        <w:rPr>
          <w:rFonts w:ascii="Arial" w:eastAsia="Calibri" w:hAnsi="Arial" w:cs="Arial"/>
          <w:b/>
          <w:lang w:eastAsia="es-ES"/>
        </w:rPr>
        <w:t>ineficaces</w:t>
      </w:r>
      <w:r w:rsidRPr="00B152E7">
        <w:rPr>
          <w:rFonts w:ascii="Arial" w:eastAsia="Calibri" w:hAnsi="Arial" w:cs="Arial"/>
          <w:lang w:eastAsia="es-ES"/>
        </w:rPr>
        <w:t xml:space="preserve"> los agravios relativos a la omisión de realizar los ajustes correspondientes con base en la votación obtenida una vez llegada la fase de asignación </w:t>
      </w:r>
      <w:r w:rsidR="00200978" w:rsidRPr="00B152E7">
        <w:rPr>
          <w:rFonts w:ascii="Arial" w:eastAsia="Calibri" w:hAnsi="Arial" w:cs="Arial"/>
          <w:lang w:eastAsia="es-ES"/>
        </w:rPr>
        <w:t>por</w:t>
      </w:r>
      <w:r w:rsidRPr="00B152E7">
        <w:rPr>
          <w:rFonts w:ascii="Arial" w:eastAsia="Calibri" w:hAnsi="Arial" w:cs="Arial"/>
          <w:lang w:eastAsia="es-ES"/>
        </w:rPr>
        <w:t xml:space="preserve"> resto mayor, así como el referente a analizar y aplicar lo señalado en el recurso de reconsideración SUP-REC-112/2013</w:t>
      </w:r>
      <w:r w:rsidR="0062169C" w:rsidRPr="00B152E7">
        <w:rPr>
          <w:rFonts w:ascii="Arial" w:eastAsia="Calibri" w:hAnsi="Arial" w:cs="Arial"/>
          <w:lang w:eastAsia="es-ES"/>
        </w:rPr>
        <w:t>,</w:t>
      </w:r>
      <w:r w:rsidRPr="00B152E7">
        <w:rPr>
          <w:rFonts w:ascii="Arial" w:eastAsia="Calibri" w:hAnsi="Arial" w:cs="Arial"/>
          <w:lang w:eastAsia="es-ES"/>
        </w:rPr>
        <w:t xml:space="preserve"> al </w:t>
      </w:r>
      <w:r w:rsidR="0062169C" w:rsidRPr="00B152E7">
        <w:rPr>
          <w:rFonts w:ascii="Arial" w:eastAsia="Calibri" w:hAnsi="Arial" w:cs="Arial"/>
          <w:lang w:eastAsia="es-ES"/>
        </w:rPr>
        <w:t>considerar que dichas</w:t>
      </w:r>
      <w:r w:rsidRPr="00B152E7">
        <w:rPr>
          <w:rFonts w:ascii="Arial" w:eastAsia="Calibri" w:hAnsi="Arial" w:cs="Arial"/>
          <w:lang w:eastAsia="es-ES"/>
        </w:rPr>
        <w:t xml:space="preserve"> cuestiones </w:t>
      </w:r>
      <w:r w:rsidR="0062169C" w:rsidRPr="00B152E7">
        <w:rPr>
          <w:rFonts w:ascii="Arial" w:eastAsia="Calibri" w:hAnsi="Arial" w:cs="Arial"/>
          <w:lang w:eastAsia="es-ES"/>
        </w:rPr>
        <w:t xml:space="preserve">eran </w:t>
      </w:r>
      <w:r w:rsidRPr="00B152E7">
        <w:rPr>
          <w:rFonts w:ascii="Arial" w:eastAsia="Calibri" w:hAnsi="Arial" w:cs="Arial"/>
          <w:lang w:eastAsia="es-ES"/>
        </w:rPr>
        <w:t xml:space="preserve">novedosas. </w:t>
      </w:r>
    </w:p>
    <w:p w14:paraId="1216E346" w14:textId="77777777" w:rsidR="00EA48C9" w:rsidRPr="00B152E7" w:rsidRDefault="0062169C" w:rsidP="00EA48C9">
      <w:pPr>
        <w:numPr>
          <w:ilvl w:val="0"/>
          <w:numId w:val="32"/>
        </w:numPr>
        <w:spacing w:before="160" w:after="100" w:afterAutospacing="1" w:line="360" w:lineRule="auto"/>
        <w:contextualSpacing/>
        <w:jc w:val="both"/>
        <w:rPr>
          <w:rFonts w:ascii="Arial" w:eastAsia="Calibri" w:hAnsi="Arial" w:cs="Arial"/>
          <w:lang w:eastAsia="es-ES"/>
        </w:rPr>
      </w:pPr>
      <w:r w:rsidRPr="00B152E7">
        <w:rPr>
          <w:rFonts w:ascii="Arial" w:eastAsia="Calibri" w:hAnsi="Arial" w:cs="Arial"/>
          <w:lang w:eastAsia="es-ES"/>
        </w:rPr>
        <w:t xml:space="preserve">Aunado a lo anterior, estimó </w:t>
      </w:r>
      <w:r w:rsidRPr="00B152E7">
        <w:rPr>
          <w:rFonts w:ascii="Arial" w:eastAsia="Calibri" w:hAnsi="Arial" w:cs="Arial"/>
          <w:b/>
          <w:lang w:eastAsia="es-ES"/>
        </w:rPr>
        <w:t>in</w:t>
      </w:r>
      <w:r w:rsidR="00CA24E9" w:rsidRPr="00B152E7">
        <w:rPr>
          <w:rFonts w:ascii="Arial" w:eastAsia="Calibri" w:hAnsi="Arial" w:cs="Arial"/>
          <w:b/>
          <w:lang w:eastAsia="es-ES"/>
        </w:rPr>
        <w:t>fundado</w:t>
      </w:r>
      <w:r w:rsidRPr="00B152E7">
        <w:rPr>
          <w:rFonts w:ascii="Arial" w:eastAsia="Calibri" w:hAnsi="Arial" w:cs="Arial"/>
          <w:lang w:eastAsia="es-ES"/>
        </w:rPr>
        <w:t xml:space="preserve"> lo</w:t>
      </w:r>
      <w:r w:rsidR="00C80830" w:rsidRPr="00B152E7">
        <w:rPr>
          <w:rFonts w:ascii="Arial" w:eastAsia="Calibri" w:hAnsi="Arial" w:cs="Arial"/>
          <w:lang w:eastAsia="es-ES"/>
        </w:rPr>
        <w:t xml:space="preserve"> planteado respecto a que el Tribunal local fund</w:t>
      </w:r>
      <w:r w:rsidRPr="00B152E7">
        <w:rPr>
          <w:rFonts w:ascii="Arial" w:eastAsia="Calibri" w:hAnsi="Arial" w:cs="Arial"/>
          <w:lang w:eastAsia="es-ES"/>
        </w:rPr>
        <w:t>ament</w:t>
      </w:r>
      <w:r w:rsidR="00EA48C9" w:rsidRPr="00B152E7">
        <w:rPr>
          <w:rFonts w:ascii="Arial" w:eastAsia="Calibri" w:hAnsi="Arial" w:cs="Arial"/>
          <w:lang w:eastAsia="es-ES"/>
        </w:rPr>
        <w:t>ó</w:t>
      </w:r>
      <w:r w:rsidRPr="00B152E7">
        <w:rPr>
          <w:rFonts w:ascii="Arial" w:eastAsia="Calibri" w:hAnsi="Arial" w:cs="Arial"/>
          <w:lang w:eastAsia="es-ES"/>
        </w:rPr>
        <w:t xml:space="preserve"> y motivó</w:t>
      </w:r>
      <w:r w:rsidR="00C80830" w:rsidRPr="00B152E7">
        <w:rPr>
          <w:rFonts w:ascii="Arial" w:eastAsia="Calibri" w:hAnsi="Arial" w:cs="Arial"/>
          <w:lang w:eastAsia="es-ES"/>
        </w:rPr>
        <w:t xml:space="preserve"> incorrectamente su resolución</w:t>
      </w:r>
      <w:r w:rsidR="00EA48C9" w:rsidRPr="00B152E7">
        <w:rPr>
          <w:rFonts w:ascii="Arial" w:eastAsia="Calibri" w:hAnsi="Arial" w:cs="Arial"/>
          <w:lang w:eastAsia="es-ES"/>
        </w:rPr>
        <w:t xml:space="preserve"> ya que</w:t>
      </w:r>
      <w:r w:rsidR="00200978" w:rsidRPr="00B152E7">
        <w:rPr>
          <w:rFonts w:ascii="Arial" w:eastAsia="Calibri" w:hAnsi="Arial" w:cs="Arial"/>
          <w:lang w:eastAsia="es-ES"/>
        </w:rPr>
        <w:t>,</w:t>
      </w:r>
      <w:r w:rsidR="00EA48C9" w:rsidRPr="00B152E7">
        <w:rPr>
          <w:rFonts w:ascii="Arial" w:eastAsia="Calibri" w:hAnsi="Arial" w:cs="Arial"/>
          <w:lang w:eastAsia="es-ES"/>
        </w:rPr>
        <w:t xml:space="preserve"> a consideración de los entonces actores</w:t>
      </w:r>
      <w:r w:rsidR="00200978" w:rsidRPr="00B152E7">
        <w:rPr>
          <w:rFonts w:ascii="Arial" w:eastAsia="Calibri" w:hAnsi="Arial" w:cs="Arial"/>
          <w:lang w:eastAsia="es-ES"/>
        </w:rPr>
        <w:t>,</w:t>
      </w:r>
      <w:r w:rsidR="00EA48C9" w:rsidRPr="00B152E7">
        <w:rPr>
          <w:rFonts w:ascii="Arial" w:eastAsia="Calibri" w:hAnsi="Arial" w:cs="Arial"/>
          <w:lang w:eastAsia="es-ES"/>
        </w:rPr>
        <w:t xml:space="preserve"> fue incorrecto que</w:t>
      </w:r>
      <w:r w:rsidR="00CA24E9" w:rsidRPr="00B152E7">
        <w:rPr>
          <w:rFonts w:ascii="Arial" w:eastAsia="Calibri" w:hAnsi="Arial" w:cs="Arial"/>
          <w:lang w:eastAsia="es-ES"/>
        </w:rPr>
        <w:t xml:space="preserve"> el Tribunal local </w:t>
      </w:r>
      <w:r w:rsidR="00EA48C9" w:rsidRPr="00B152E7">
        <w:rPr>
          <w:rFonts w:ascii="Arial" w:eastAsia="Calibri" w:hAnsi="Arial" w:cs="Arial"/>
          <w:lang w:eastAsia="es-ES"/>
        </w:rPr>
        <w:t>verificara y realizara los ajustes para alcanzar la integración paritaria del ayuntamiento una vez concluido el procedimiento de asignación, por lo que debió efectuarse en la etapa de cociente natural, y no hasta concluir la fase de resto mayor.</w:t>
      </w:r>
    </w:p>
    <w:p w14:paraId="1319A2E3" w14:textId="77777777" w:rsidR="00CA24E9" w:rsidRPr="00B152E7" w:rsidRDefault="00CA24E9" w:rsidP="00DD7508">
      <w:pPr>
        <w:numPr>
          <w:ilvl w:val="0"/>
          <w:numId w:val="32"/>
        </w:numPr>
        <w:spacing w:before="160" w:after="100" w:afterAutospacing="1" w:line="360" w:lineRule="auto"/>
        <w:contextualSpacing/>
        <w:jc w:val="both"/>
        <w:rPr>
          <w:rFonts w:ascii="Arial" w:eastAsia="Calibri" w:hAnsi="Arial" w:cs="Arial"/>
          <w:lang w:eastAsia="es-ES"/>
        </w:rPr>
      </w:pPr>
      <w:r w:rsidRPr="00B152E7">
        <w:rPr>
          <w:rFonts w:ascii="Arial" w:eastAsia="Calibri" w:hAnsi="Arial" w:cs="Arial"/>
          <w:lang w:eastAsia="es-ES"/>
        </w:rPr>
        <w:t>Al respecto, en cuanto a que los entonces actores solicitaron</w:t>
      </w:r>
      <w:r w:rsidR="00884E0D" w:rsidRPr="00B152E7">
        <w:rPr>
          <w:rFonts w:ascii="Arial" w:eastAsia="Calibri" w:hAnsi="Arial" w:cs="Arial"/>
          <w:lang w:eastAsia="es-ES"/>
        </w:rPr>
        <w:t xml:space="preserve"> </w:t>
      </w:r>
      <w:r w:rsidRPr="00B152E7">
        <w:rPr>
          <w:rFonts w:ascii="Arial" w:eastAsia="Calibri" w:hAnsi="Arial" w:cs="Arial"/>
          <w:lang w:eastAsia="es-ES"/>
        </w:rPr>
        <w:t>q</w:t>
      </w:r>
      <w:r w:rsidR="00884E0D" w:rsidRPr="00B152E7">
        <w:rPr>
          <w:rFonts w:ascii="Arial" w:eastAsia="Calibri" w:hAnsi="Arial" w:cs="Arial"/>
          <w:lang w:eastAsia="es-ES"/>
        </w:rPr>
        <w:t xml:space="preserve">ue se hicieran suyos los argumentos </w:t>
      </w:r>
      <w:r w:rsidRPr="00B152E7">
        <w:rPr>
          <w:rFonts w:ascii="Arial" w:eastAsia="Calibri" w:hAnsi="Arial" w:cs="Arial"/>
          <w:lang w:eastAsia="es-ES"/>
        </w:rPr>
        <w:t>del voto particular de una magistrada del Tribunal local, la Sala responsable estimó que</w:t>
      </w:r>
      <w:r w:rsidR="00884E0D" w:rsidRPr="00B152E7">
        <w:rPr>
          <w:rFonts w:ascii="Arial" w:eastAsia="Calibri" w:hAnsi="Arial" w:cs="Arial"/>
          <w:lang w:eastAsia="es-ES"/>
        </w:rPr>
        <w:t xml:space="preserve"> no </w:t>
      </w:r>
      <w:r w:rsidRPr="00B152E7">
        <w:rPr>
          <w:rFonts w:ascii="Arial" w:eastAsia="Calibri" w:hAnsi="Arial" w:cs="Arial"/>
          <w:lang w:eastAsia="es-ES"/>
        </w:rPr>
        <w:t>era posible ya que les correspondía como impugnantes controvertir lo argumentado en la sentencia entonces impugnada.</w:t>
      </w:r>
    </w:p>
    <w:p w14:paraId="598AA99E" w14:textId="77777777" w:rsidR="00CD047C" w:rsidRPr="00B152E7" w:rsidRDefault="00CA24E9" w:rsidP="00CD047C">
      <w:pPr>
        <w:numPr>
          <w:ilvl w:val="0"/>
          <w:numId w:val="32"/>
        </w:numPr>
        <w:spacing w:before="160" w:after="100" w:afterAutospacing="1" w:line="360" w:lineRule="auto"/>
        <w:contextualSpacing/>
        <w:jc w:val="both"/>
        <w:rPr>
          <w:rFonts w:ascii="Arial" w:eastAsia="Calibri" w:hAnsi="Arial" w:cs="Arial"/>
          <w:lang w:eastAsia="es-ES"/>
        </w:rPr>
      </w:pPr>
      <w:r w:rsidRPr="00B152E7">
        <w:rPr>
          <w:rFonts w:ascii="Arial" w:eastAsia="Calibri" w:hAnsi="Arial" w:cs="Arial"/>
          <w:lang w:eastAsia="es-ES"/>
        </w:rPr>
        <w:t xml:space="preserve">Por otro lado, la Sala Monterrey estimó que </w:t>
      </w:r>
      <w:r w:rsidR="00CD047C" w:rsidRPr="00B152E7">
        <w:rPr>
          <w:rFonts w:ascii="Arial" w:eastAsia="Calibri" w:hAnsi="Arial" w:cs="Arial"/>
          <w:lang w:eastAsia="es-ES"/>
        </w:rPr>
        <w:t>las asignaciones de las regidurías con base en el principio de paridad de género fueron realizadas correctamente, ya que fue correcto que el Tribunal local verificara la conformación paritaria una vez realizada la asignación de regidurías que obtuvo cada partido político de acuerdo con su lista registrada y no en una previa como pretendían los impugnantes.</w:t>
      </w:r>
    </w:p>
    <w:p w14:paraId="3799F35B" w14:textId="77777777" w:rsidR="00CD047C" w:rsidRPr="00B152E7" w:rsidRDefault="00884E0D" w:rsidP="00CD047C">
      <w:pPr>
        <w:numPr>
          <w:ilvl w:val="0"/>
          <w:numId w:val="32"/>
        </w:numPr>
        <w:spacing w:before="160" w:after="100" w:afterAutospacing="1" w:line="360" w:lineRule="auto"/>
        <w:contextualSpacing/>
        <w:jc w:val="both"/>
        <w:rPr>
          <w:rFonts w:ascii="Arial" w:eastAsia="Calibri" w:hAnsi="Arial" w:cs="Arial"/>
          <w:lang w:eastAsia="es-ES"/>
        </w:rPr>
      </w:pPr>
      <w:r w:rsidRPr="00B152E7">
        <w:rPr>
          <w:rFonts w:ascii="Arial" w:eastAsia="Calibri" w:hAnsi="Arial" w:cs="Arial"/>
          <w:lang w:eastAsia="es-ES"/>
        </w:rPr>
        <w:t xml:space="preserve">Lo anterior pues, </w:t>
      </w:r>
      <w:r w:rsidR="00CD047C" w:rsidRPr="00B152E7">
        <w:rPr>
          <w:rFonts w:ascii="Arial" w:eastAsia="Calibri" w:hAnsi="Arial" w:cs="Arial"/>
          <w:lang w:eastAsia="es-ES"/>
        </w:rPr>
        <w:t xml:space="preserve">ha sido criterio reiterado de la Sala responsable que antes de efectuar algún ajuste para lograr la paridad de género en la integración de los órganos de gobierno, se debe asignar cada lugar </w:t>
      </w:r>
      <w:r w:rsidR="00CD047C" w:rsidRPr="00B152E7">
        <w:rPr>
          <w:rFonts w:ascii="Arial" w:eastAsia="Calibri" w:hAnsi="Arial" w:cs="Arial"/>
          <w:lang w:eastAsia="es-ES"/>
        </w:rPr>
        <w:lastRenderedPageBreak/>
        <w:t>respetando el orden de prelación propuesto por los partidos políticos y, una vez efectuado lo anterior, analizar si es necesario llevar a cabo alguna medida reparadora.</w:t>
      </w:r>
    </w:p>
    <w:p w14:paraId="2819C58C" w14:textId="77777777" w:rsidR="00CD047C" w:rsidRPr="00B152E7" w:rsidRDefault="00CD047C" w:rsidP="00CD047C">
      <w:pPr>
        <w:numPr>
          <w:ilvl w:val="0"/>
          <w:numId w:val="32"/>
        </w:numPr>
        <w:spacing w:before="160" w:after="100" w:afterAutospacing="1" w:line="360" w:lineRule="auto"/>
        <w:contextualSpacing/>
        <w:jc w:val="both"/>
        <w:rPr>
          <w:rFonts w:ascii="Arial" w:eastAsia="Calibri" w:hAnsi="Arial" w:cs="Arial"/>
          <w:lang w:eastAsia="es-ES"/>
        </w:rPr>
      </w:pPr>
      <w:r w:rsidRPr="00B152E7">
        <w:rPr>
          <w:rFonts w:ascii="Arial" w:eastAsia="Calibri" w:hAnsi="Arial" w:cs="Arial"/>
          <w:lang w:eastAsia="es-ES"/>
        </w:rPr>
        <w:t xml:space="preserve">Además de estimar que ello posibilita hacer los ajustes necesarios respecto a la integración total del órgano colegiado y no respecto a un número incompleto que pueda resultar insuficiente para alcanzar una integración paritaria, obligando hacer diversas verificaciones y ajustes, que generaría incertidumbre. </w:t>
      </w:r>
    </w:p>
    <w:p w14:paraId="7FBC5D61" w14:textId="77777777" w:rsidR="00CD047C" w:rsidRPr="00B152E7" w:rsidRDefault="00CD047C" w:rsidP="00CD047C">
      <w:pPr>
        <w:numPr>
          <w:ilvl w:val="0"/>
          <w:numId w:val="32"/>
        </w:numPr>
        <w:spacing w:before="160" w:after="100" w:afterAutospacing="1" w:line="360" w:lineRule="auto"/>
        <w:contextualSpacing/>
        <w:jc w:val="both"/>
        <w:rPr>
          <w:rFonts w:ascii="Arial" w:eastAsia="Calibri" w:hAnsi="Arial" w:cs="Arial"/>
          <w:lang w:eastAsia="es-ES"/>
        </w:rPr>
      </w:pPr>
      <w:r w:rsidRPr="00B152E7">
        <w:rPr>
          <w:rFonts w:ascii="Arial" w:eastAsia="Calibri" w:hAnsi="Arial" w:cs="Arial"/>
          <w:lang w:eastAsia="es-ES"/>
        </w:rPr>
        <w:t>Por ello, al no existir una integración paritaria en el ayuntamiento, estimó correcto que el Tribunal local realizara las modificaciones en las asignaciones conforme al segundo párrafo, de la fracción III, del artículo 240, de la Ley Electoral local, es decir, comenzando con el partido político que</w:t>
      </w:r>
      <w:r w:rsidR="0019184D" w:rsidRPr="00B152E7">
        <w:rPr>
          <w:rFonts w:ascii="Arial" w:eastAsia="Calibri" w:hAnsi="Arial" w:cs="Arial"/>
          <w:lang w:eastAsia="es-ES"/>
        </w:rPr>
        <w:t xml:space="preserve">, </w:t>
      </w:r>
      <w:r w:rsidRPr="00B152E7">
        <w:rPr>
          <w:rFonts w:ascii="Arial" w:eastAsia="Calibri" w:hAnsi="Arial" w:cs="Arial"/>
          <w:lang w:eastAsia="es-ES"/>
        </w:rPr>
        <w:t>habiendo alcanzado regidurías, haya obtenido la menor votación, hasta lograr la integración paritaria.</w:t>
      </w:r>
    </w:p>
    <w:p w14:paraId="7857440D" w14:textId="77777777" w:rsidR="002C62B3" w:rsidRPr="00B152E7" w:rsidRDefault="0019184D" w:rsidP="002C62B3">
      <w:pPr>
        <w:numPr>
          <w:ilvl w:val="0"/>
          <w:numId w:val="32"/>
        </w:numPr>
        <w:spacing w:before="160" w:after="100" w:afterAutospacing="1" w:line="360" w:lineRule="auto"/>
        <w:contextualSpacing/>
        <w:jc w:val="both"/>
        <w:rPr>
          <w:rFonts w:ascii="Arial" w:eastAsia="Calibri" w:hAnsi="Arial" w:cs="Arial"/>
          <w:lang w:eastAsia="es-ES"/>
        </w:rPr>
      </w:pPr>
      <w:r w:rsidRPr="00B152E7">
        <w:rPr>
          <w:rFonts w:ascii="Arial" w:eastAsia="Calibri" w:hAnsi="Arial" w:cs="Arial"/>
          <w:lang w:eastAsia="es-ES"/>
        </w:rPr>
        <w:t>En razón de lo anterior, la Sala Monterrey concluyó que el Tribunal local fue exhaustivo, fundó y motivó debidamente su resolución.</w:t>
      </w:r>
    </w:p>
    <w:p w14:paraId="46DAA3A1" w14:textId="77777777" w:rsidR="002C62B3" w:rsidRPr="00B152E7" w:rsidRDefault="002C62B3" w:rsidP="002C62B3">
      <w:pPr>
        <w:pStyle w:val="Ttulo1"/>
        <w:spacing w:before="240" w:after="240" w:line="360" w:lineRule="auto"/>
        <w:jc w:val="center"/>
        <w:rPr>
          <w:rFonts w:ascii="Arial" w:eastAsia="Arial" w:hAnsi="Arial" w:cs="Arial"/>
          <w:b/>
          <w:sz w:val="24"/>
          <w:szCs w:val="24"/>
        </w:rPr>
      </w:pPr>
      <w:r w:rsidRPr="00B152E7">
        <w:rPr>
          <w:rFonts w:ascii="Arial" w:eastAsia="Arial" w:hAnsi="Arial" w:cs="Arial"/>
          <w:b/>
          <w:sz w:val="24"/>
          <w:szCs w:val="24"/>
        </w:rPr>
        <w:t>VIII. PLANTEAMIENTOS DE LA RECURRENTE</w:t>
      </w:r>
    </w:p>
    <w:p w14:paraId="4CC42989" w14:textId="77777777" w:rsidR="00074A62" w:rsidRPr="00B152E7" w:rsidRDefault="00074A62" w:rsidP="00074A62">
      <w:pPr>
        <w:spacing w:before="240" w:after="240" w:line="360" w:lineRule="auto"/>
        <w:jc w:val="both"/>
        <w:rPr>
          <w:rFonts w:ascii="Arial" w:hAnsi="Arial" w:cs="Arial"/>
          <w:lang w:val="es-ES" w:eastAsia="es-ES"/>
        </w:rPr>
      </w:pPr>
      <w:r w:rsidRPr="00B152E7">
        <w:rPr>
          <w:rFonts w:ascii="Arial" w:hAnsi="Arial" w:cs="Arial"/>
          <w:lang w:val="es-ES" w:eastAsia="es-ES"/>
        </w:rPr>
        <w:t xml:space="preserve">Ahora bien, </w:t>
      </w:r>
      <w:r w:rsidR="008F77B6" w:rsidRPr="00B152E7">
        <w:rPr>
          <w:rFonts w:ascii="Arial" w:hAnsi="Arial" w:cs="Arial"/>
          <w:lang w:val="es-ES" w:eastAsia="es-ES"/>
        </w:rPr>
        <w:t xml:space="preserve">la </w:t>
      </w:r>
      <w:r w:rsidRPr="00B152E7">
        <w:rPr>
          <w:rFonts w:ascii="Arial" w:hAnsi="Arial" w:cs="Arial"/>
          <w:lang w:val="es-ES" w:eastAsia="es-ES"/>
        </w:rPr>
        <w:t xml:space="preserve">recurrente en su escrito de demanda </w:t>
      </w:r>
      <w:r w:rsidR="00C6725D" w:rsidRPr="00B152E7">
        <w:rPr>
          <w:rFonts w:ascii="Arial" w:hAnsi="Arial" w:cs="Arial"/>
          <w:lang w:val="es-ES" w:eastAsia="es-ES"/>
        </w:rPr>
        <w:t>manifiesta</w:t>
      </w:r>
      <w:r w:rsidRPr="00B152E7">
        <w:rPr>
          <w:rFonts w:ascii="Arial" w:hAnsi="Arial" w:cs="Arial"/>
          <w:lang w:val="es-ES" w:eastAsia="es-ES"/>
        </w:rPr>
        <w:t xml:space="preserve"> l</w:t>
      </w:r>
      <w:r w:rsidR="006C11C8" w:rsidRPr="00B152E7">
        <w:rPr>
          <w:rFonts w:ascii="Arial" w:hAnsi="Arial" w:cs="Arial"/>
          <w:lang w:val="es-ES" w:eastAsia="es-ES"/>
        </w:rPr>
        <w:t>a</w:t>
      </w:r>
      <w:r w:rsidRPr="00B152E7">
        <w:rPr>
          <w:rFonts w:ascii="Arial" w:hAnsi="Arial" w:cs="Arial"/>
          <w:lang w:val="es-ES" w:eastAsia="es-ES"/>
        </w:rPr>
        <w:t xml:space="preserve">s siguientes </w:t>
      </w:r>
      <w:r w:rsidR="006C11C8" w:rsidRPr="00B152E7">
        <w:rPr>
          <w:rFonts w:ascii="Arial" w:hAnsi="Arial" w:cs="Arial"/>
          <w:lang w:val="es-ES" w:eastAsia="es-ES"/>
        </w:rPr>
        <w:t>inconformidades</w:t>
      </w:r>
      <w:r w:rsidRPr="00B152E7">
        <w:rPr>
          <w:rFonts w:ascii="Arial" w:hAnsi="Arial" w:cs="Arial"/>
          <w:lang w:val="es-ES" w:eastAsia="es-ES"/>
        </w:rPr>
        <w:t>:</w:t>
      </w:r>
    </w:p>
    <w:p w14:paraId="1C7A42A4" w14:textId="77777777" w:rsidR="00CA75B3" w:rsidRPr="00B152E7" w:rsidRDefault="002C5EC4" w:rsidP="00F41DC4">
      <w:pPr>
        <w:pStyle w:val="NormalWeb"/>
        <w:numPr>
          <w:ilvl w:val="0"/>
          <w:numId w:val="28"/>
        </w:numPr>
        <w:shd w:val="clear" w:color="auto" w:fill="FFFFFF"/>
        <w:spacing w:before="280" w:after="0" w:line="360" w:lineRule="auto"/>
        <w:ind w:left="714" w:hanging="357"/>
        <w:contextualSpacing/>
        <w:jc w:val="both"/>
        <w:rPr>
          <w:rFonts w:ascii="Arial" w:hAnsi="Arial" w:cs="Arial"/>
        </w:rPr>
      </w:pPr>
      <w:r w:rsidRPr="00B152E7">
        <w:rPr>
          <w:rFonts w:ascii="Arial" w:hAnsi="Arial" w:cs="Arial"/>
        </w:rPr>
        <w:t xml:space="preserve">La </w:t>
      </w:r>
      <w:r w:rsidR="00174A50" w:rsidRPr="00B152E7">
        <w:rPr>
          <w:rFonts w:ascii="Arial" w:hAnsi="Arial" w:cs="Arial"/>
        </w:rPr>
        <w:t xml:space="preserve">sentencia impugnada carece de una debida </w:t>
      </w:r>
      <w:r w:rsidRPr="00B152E7">
        <w:rPr>
          <w:rFonts w:ascii="Arial" w:hAnsi="Arial" w:cs="Arial"/>
        </w:rPr>
        <w:t xml:space="preserve">fundamentación y motivación pues es incongruente al referir que los agravios planteados </w:t>
      </w:r>
      <w:r w:rsidR="0008533D" w:rsidRPr="00B152E7">
        <w:rPr>
          <w:rFonts w:ascii="Arial" w:hAnsi="Arial" w:cs="Arial"/>
        </w:rPr>
        <w:t>no combaten</w:t>
      </w:r>
      <w:r w:rsidRPr="00B152E7">
        <w:rPr>
          <w:rFonts w:ascii="Arial" w:hAnsi="Arial" w:cs="Arial"/>
        </w:rPr>
        <w:t xml:space="preserve"> los argumentos jurídicos en que se </w:t>
      </w:r>
      <w:r w:rsidR="00D45834" w:rsidRPr="00B152E7">
        <w:rPr>
          <w:rFonts w:ascii="Arial" w:hAnsi="Arial" w:cs="Arial"/>
        </w:rPr>
        <w:t>basó</w:t>
      </w:r>
      <w:r w:rsidRPr="00B152E7">
        <w:rPr>
          <w:rFonts w:ascii="Arial" w:hAnsi="Arial" w:cs="Arial"/>
        </w:rPr>
        <w:t xml:space="preserve"> el Tribunal local al emitir su resolución; y por otra parte refiere que los agravios son inatendibles por ser novedosos.</w:t>
      </w:r>
    </w:p>
    <w:p w14:paraId="195B4733" w14:textId="77777777" w:rsidR="00174A50" w:rsidRPr="00B152E7" w:rsidRDefault="00174A50" w:rsidP="00F41DC4">
      <w:pPr>
        <w:pStyle w:val="NormalWeb"/>
        <w:numPr>
          <w:ilvl w:val="0"/>
          <w:numId w:val="28"/>
        </w:numPr>
        <w:shd w:val="clear" w:color="auto" w:fill="FFFFFF"/>
        <w:spacing w:before="280" w:after="0" w:line="360" w:lineRule="auto"/>
        <w:ind w:left="714" w:hanging="357"/>
        <w:contextualSpacing/>
        <w:jc w:val="both"/>
        <w:rPr>
          <w:rFonts w:ascii="Arial" w:hAnsi="Arial" w:cs="Arial"/>
        </w:rPr>
      </w:pPr>
      <w:r w:rsidRPr="00B152E7">
        <w:rPr>
          <w:rFonts w:ascii="Arial" w:hAnsi="Arial" w:cs="Arial"/>
        </w:rPr>
        <w:t xml:space="preserve">Contrario a lo resuelto por la responsable, los agravios no son novedosos pues los mismos fueron expresados para controvertir la fundamentación y motivación del Tribunal local; ello a través de una </w:t>
      </w:r>
      <w:r w:rsidR="00923F35" w:rsidRPr="00B152E7">
        <w:rPr>
          <w:rFonts w:ascii="Arial" w:hAnsi="Arial" w:cs="Arial"/>
        </w:rPr>
        <w:t>comparativa</w:t>
      </w:r>
      <w:r w:rsidRPr="00B152E7">
        <w:rPr>
          <w:rFonts w:ascii="Arial" w:hAnsi="Arial" w:cs="Arial"/>
        </w:rPr>
        <w:t xml:space="preserve"> de la norma de la Ciudad de México y la Ley </w:t>
      </w:r>
      <w:r w:rsidR="003829AA" w:rsidRPr="00B152E7">
        <w:rPr>
          <w:rFonts w:ascii="Arial" w:hAnsi="Arial" w:cs="Arial"/>
        </w:rPr>
        <w:t>Electoral local</w:t>
      </w:r>
      <w:r w:rsidRPr="00B152E7">
        <w:rPr>
          <w:rFonts w:ascii="Arial" w:hAnsi="Arial" w:cs="Arial"/>
        </w:rPr>
        <w:t xml:space="preserve">. </w:t>
      </w:r>
    </w:p>
    <w:p w14:paraId="5DC73D27" w14:textId="77777777" w:rsidR="002C5EC4" w:rsidRPr="00B152E7" w:rsidRDefault="00174A50" w:rsidP="00F41DC4">
      <w:pPr>
        <w:pStyle w:val="NormalWeb"/>
        <w:numPr>
          <w:ilvl w:val="0"/>
          <w:numId w:val="28"/>
        </w:numPr>
        <w:shd w:val="clear" w:color="auto" w:fill="FFFFFF"/>
        <w:spacing w:before="280" w:after="0" w:line="360" w:lineRule="auto"/>
        <w:ind w:left="714" w:hanging="357"/>
        <w:contextualSpacing/>
        <w:jc w:val="both"/>
        <w:rPr>
          <w:rFonts w:ascii="Arial" w:hAnsi="Arial" w:cs="Arial"/>
        </w:rPr>
      </w:pPr>
      <w:r w:rsidRPr="00B152E7">
        <w:rPr>
          <w:rFonts w:ascii="Arial" w:hAnsi="Arial" w:cs="Arial"/>
        </w:rPr>
        <w:t xml:space="preserve">Evidenciando con lo anterior </w:t>
      </w:r>
      <w:r w:rsidR="002C5EC4" w:rsidRPr="00B152E7">
        <w:rPr>
          <w:rFonts w:ascii="Arial" w:hAnsi="Arial" w:cs="Arial"/>
        </w:rPr>
        <w:t>que la norma de la Ciudad de México refiere el momento pr</w:t>
      </w:r>
      <w:bookmarkStart w:id="13" w:name="_GoBack"/>
      <w:bookmarkEnd w:id="13"/>
      <w:r w:rsidR="002C5EC4" w:rsidRPr="00B152E7">
        <w:rPr>
          <w:rFonts w:ascii="Arial" w:hAnsi="Arial" w:cs="Arial"/>
        </w:rPr>
        <w:t xml:space="preserve">eciso en que se debe hacer el ajuste de género </w:t>
      </w:r>
      <w:r w:rsidR="002C5EC4" w:rsidRPr="00B152E7">
        <w:rPr>
          <w:rFonts w:ascii="Arial" w:hAnsi="Arial" w:cs="Arial"/>
        </w:rPr>
        <w:lastRenderedPageBreak/>
        <w:t>a diferencia de la norma electoral en Guanajuato</w:t>
      </w:r>
      <w:r w:rsidRPr="00B152E7">
        <w:rPr>
          <w:rFonts w:ascii="Arial" w:hAnsi="Arial" w:cs="Arial"/>
        </w:rPr>
        <w:t>; misma situación que fue expresada por una Magistrada del Tribunal local.</w:t>
      </w:r>
    </w:p>
    <w:p w14:paraId="3F81E1E7" w14:textId="77777777" w:rsidR="00174A50" w:rsidRPr="00B152E7" w:rsidRDefault="00174A50" w:rsidP="00F41DC4">
      <w:pPr>
        <w:pStyle w:val="NormalWeb"/>
        <w:numPr>
          <w:ilvl w:val="0"/>
          <w:numId w:val="28"/>
        </w:numPr>
        <w:shd w:val="clear" w:color="auto" w:fill="FFFFFF"/>
        <w:spacing w:before="280" w:after="0" w:line="360" w:lineRule="auto"/>
        <w:ind w:left="714" w:hanging="357"/>
        <w:contextualSpacing/>
        <w:jc w:val="both"/>
        <w:rPr>
          <w:rFonts w:ascii="Arial" w:hAnsi="Arial" w:cs="Arial"/>
        </w:rPr>
      </w:pPr>
      <w:r w:rsidRPr="00B152E7">
        <w:rPr>
          <w:rFonts w:ascii="Arial" w:hAnsi="Arial" w:cs="Arial"/>
        </w:rPr>
        <w:t>En ese sentido argumenta que no pueden ser considerados como novedosos sus agravios pues se tratan de consideraciones expresadas por la Magistrada, lo que significa que esa parte de la resolución ya forma parte de la litis; por lo que</w:t>
      </w:r>
      <w:r w:rsidR="00E936B8" w:rsidRPr="00B152E7">
        <w:rPr>
          <w:rFonts w:ascii="Arial" w:hAnsi="Arial" w:cs="Arial"/>
        </w:rPr>
        <w:t>,</w:t>
      </w:r>
      <w:r w:rsidRPr="00B152E7">
        <w:rPr>
          <w:rFonts w:ascii="Arial" w:hAnsi="Arial" w:cs="Arial"/>
        </w:rPr>
        <w:t xml:space="preserve"> al no haberse analizado dicha cuestión por la responsable, </w:t>
      </w:r>
      <w:r w:rsidR="00E936B8" w:rsidRPr="00B152E7">
        <w:rPr>
          <w:rFonts w:ascii="Arial" w:hAnsi="Arial" w:cs="Arial"/>
        </w:rPr>
        <w:t xml:space="preserve">implica una violación a su derecho de acceso a la justicia efectiva. </w:t>
      </w:r>
    </w:p>
    <w:p w14:paraId="74C4217F" w14:textId="77777777" w:rsidR="002C62B3" w:rsidRPr="00B152E7" w:rsidRDefault="002C5EC4" w:rsidP="002C62B3">
      <w:pPr>
        <w:pStyle w:val="NormalWeb"/>
        <w:numPr>
          <w:ilvl w:val="0"/>
          <w:numId w:val="28"/>
        </w:numPr>
        <w:shd w:val="clear" w:color="auto" w:fill="FFFFFF"/>
        <w:spacing w:before="280" w:after="0" w:line="360" w:lineRule="auto"/>
        <w:ind w:left="714" w:hanging="357"/>
        <w:contextualSpacing/>
        <w:jc w:val="both"/>
        <w:rPr>
          <w:rFonts w:ascii="Arial" w:hAnsi="Arial" w:cs="Arial"/>
        </w:rPr>
      </w:pPr>
      <w:r w:rsidRPr="00B152E7">
        <w:rPr>
          <w:rFonts w:ascii="Arial" w:hAnsi="Arial" w:cs="Arial"/>
        </w:rPr>
        <w:t xml:space="preserve">Aduce que </w:t>
      </w:r>
      <w:r w:rsidR="00E936B8" w:rsidRPr="00B152E7">
        <w:rPr>
          <w:rFonts w:ascii="Arial" w:hAnsi="Arial" w:cs="Arial"/>
        </w:rPr>
        <w:t xml:space="preserve">contrario a lo resuelto por la </w:t>
      </w:r>
      <w:r w:rsidRPr="00B152E7">
        <w:rPr>
          <w:rFonts w:ascii="Arial" w:hAnsi="Arial" w:cs="Arial"/>
        </w:rPr>
        <w:t>Sala Monterrey</w:t>
      </w:r>
      <w:r w:rsidR="00E936B8" w:rsidRPr="00B152E7">
        <w:rPr>
          <w:rFonts w:ascii="Arial" w:hAnsi="Arial" w:cs="Arial"/>
        </w:rPr>
        <w:t>,</w:t>
      </w:r>
      <w:r w:rsidRPr="00B152E7">
        <w:rPr>
          <w:rFonts w:ascii="Arial" w:hAnsi="Arial" w:cs="Arial"/>
        </w:rPr>
        <w:t xml:space="preserve"> los agravios planteados siempre han sido en el sentido de demostrar la inconstitucionalidad del artículo 240, fracción III, párrafo segundo de la </w:t>
      </w:r>
      <w:r w:rsidR="00BA1295" w:rsidRPr="00B152E7">
        <w:rPr>
          <w:rFonts w:ascii="Arial" w:hAnsi="Arial" w:cs="Arial"/>
        </w:rPr>
        <w:t xml:space="preserve">Ley </w:t>
      </w:r>
      <w:r w:rsidR="003829AA" w:rsidRPr="00B152E7">
        <w:rPr>
          <w:rFonts w:ascii="Arial" w:hAnsi="Arial" w:cs="Arial"/>
        </w:rPr>
        <w:t>Electoral local</w:t>
      </w:r>
      <w:r w:rsidR="00BA1295" w:rsidRPr="00B152E7">
        <w:rPr>
          <w:rFonts w:ascii="Arial" w:hAnsi="Arial" w:cs="Arial"/>
        </w:rPr>
        <w:t>.</w:t>
      </w:r>
    </w:p>
    <w:p w14:paraId="23460963" w14:textId="77777777" w:rsidR="002C62B3" w:rsidRPr="00B152E7" w:rsidRDefault="002C62B3" w:rsidP="00824A35">
      <w:pPr>
        <w:pStyle w:val="Ttulo1"/>
        <w:spacing w:before="240" w:after="240" w:line="360" w:lineRule="auto"/>
        <w:jc w:val="center"/>
        <w:rPr>
          <w:rFonts w:ascii="Arial" w:eastAsia="Arial" w:hAnsi="Arial" w:cs="Arial"/>
          <w:b/>
          <w:sz w:val="24"/>
          <w:szCs w:val="24"/>
        </w:rPr>
      </w:pPr>
      <w:r w:rsidRPr="00B152E7">
        <w:rPr>
          <w:rFonts w:ascii="Arial" w:eastAsia="Arial" w:hAnsi="Arial" w:cs="Arial"/>
          <w:b/>
          <w:sz w:val="24"/>
          <w:szCs w:val="24"/>
        </w:rPr>
        <w:t>IX. PLANTEAMIENTOS DEL CASO</w:t>
      </w:r>
    </w:p>
    <w:p w14:paraId="50E2E55E" w14:textId="77777777" w:rsidR="0055084D" w:rsidRPr="00B152E7" w:rsidRDefault="0055084D" w:rsidP="00942B3C">
      <w:pPr>
        <w:pStyle w:val="Ttulo2"/>
        <w:spacing w:before="240" w:after="240"/>
        <w:ind w:firstLine="0"/>
        <w:rPr>
          <w:sz w:val="24"/>
          <w:szCs w:val="24"/>
        </w:rPr>
      </w:pPr>
      <w:r w:rsidRPr="00B152E7">
        <w:rPr>
          <w:sz w:val="24"/>
          <w:szCs w:val="24"/>
        </w:rPr>
        <w:t xml:space="preserve">1. </w:t>
      </w:r>
      <w:r w:rsidR="002C62B3" w:rsidRPr="00B152E7">
        <w:rPr>
          <w:sz w:val="24"/>
          <w:szCs w:val="24"/>
        </w:rPr>
        <w:t>Pretensión y causa de pedir</w:t>
      </w:r>
    </w:p>
    <w:p w14:paraId="2B862F27" w14:textId="77777777" w:rsidR="008F398D" w:rsidRPr="00B152E7" w:rsidRDefault="002C62B3" w:rsidP="008F398D">
      <w:pPr>
        <w:autoSpaceDE w:val="0"/>
        <w:autoSpaceDN w:val="0"/>
        <w:adjustRightInd w:val="0"/>
        <w:spacing w:before="240" w:after="240" w:line="360" w:lineRule="auto"/>
        <w:jc w:val="both"/>
        <w:rPr>
          <w:rFonts w:ascii="Arial" w:hAnsi="Arial" w:cs="Arial"/>
        </w:rPr>
      </w:pPr>
      <w:r w:rsidRPr="00B152E7">
        <w:rPr>
          <w:rFonts w:ascii="Arial" w:hAnsi="Arial" w:cs="Arial"/>
        </w:rPr>
        <w:t xml:space="preserve">La recurrente pretende que se revoque la sentencia impugnada y se declaren fundados los agravios relativos a </w:t>
      </w:r>
      <w:r w:rsidR="008F398D" w:rsidRPr="00B152E7">
        <w:rPr>
          <w:rFonts w:ascii="Arial" w:hAnsi="Arial" w:cs="Arial"/>
        </w:rPr>
        <w:t>la inconstitucionalidad del artículo 240, fracción III, párrafo segundo de la Ley Electoral local</w:t>
      </w:r>
      <w:r w:rsidR="0008533D" w:rsidRPr="00B152E7">
        <w:rPr>
          <w:rFonts w:ascii="Arial" w:hAnsi="Arial" w:cs="Arial"/>
        </w:rPr>
        <w:t>, que hizo valer ante la Sala Monterrey</w:t>
      </w:r>
      <w:r w:rsidR="008F398D" w:rsidRPr="00B152E7">
        <w:rPr>
          <w:rFonts w:ascii="Arial" w:hAnsi="Arial" w:cs="Arial"/>
        </w:rPr>
        <w:t>.</w:t>
      </w:r>
    </w:p>
    <w:p w14:paraId="55CBA323" w14:textId="77777777" w:rsidR="008F398D" w:rsidRPr="00B152E7" w:rsidRDefault="008F398D" w:rsidP="008F398D">
      <w:pPr>
        <w:autoSpaceDE w:val="0"/>
        <w:autoSpaceDN w:val="0"/>
        <w:adjustRightInd w:val="0"/>
        <w:spacing w:before="240" w:after="240" w:line="360" w:lineRule="auto"/>
        <w:jc w:val="both"/>
        <w:rPr>
          <w:rFonts w:ascii="Arial" w:hAnsi="Arial" w:cs="Arial"/>
        </w:rPr>
      </w:pPr>
      <w:r w:rsidRPr="00B152E7">
        <w:rPr>
          <w:rFonts w:ascii="Arial" w:hAnsi="Arial" w:cs="Arial"/>
        </w:rPr>
        <w:t>La causa de pedir la sustenta en el hecho de que la Sala Monterrey indebidamente estimó que sus agravios</w:t>
      </w:r>
      <w:r w:rsidR="002C7000" w:rsidRPr="00B152E7">
        <w:rPr>
          <w:rFonts w:ascii="Arial" w:hAnsi="Arial" w:cs="Arial"/>
        </w:rPr>
        <w:t xml:space="preserve"> sobre la inaplicación de un precepto de la Ley electoral local</w:t>
      </w:r>
      <w:r w:rsidRPr="00B152E7">
        <w:rPr>
          <w:rFonts w:ascii="Arial" w:hAnsi="Arial" w:cs="Arial"/>
        </w:rPr>
        <w:t xml:space="preserve"> eran</w:t>
      </w:r>
      <w:r w:rsidR="003E1274" w:rsidRPr="00B152E7">
        <w:rPr>
          <w:rFonts w:ascii="Arial" w:hAnsi="Arial" w:cs="Arial"/>
        </w:rPr>
        <w:t xml:space="preserve"> </w:t>
      </w:r>
      <w:r w:rsidR="0008533D" w:rsidRPr="00B152E7">
        <w:rPr>
          <w:rFonts w:ascii="Arial" w:hAnsi="Arial" w:cs="Arial"/>
        </w:rPr>
        <w:t>ineficaces</w:t>
      </w:r>
      <w:r w:rsidR="002C7000" w:rsidRPr="00B152E7">
        <w:rPr>
          <w:rFonts w:ascii="Arial" w:hAnsi="Arial" w:cs="Arial"/>
        </w:rPr>
        <w:t>, así como diversos agravios sobre la aplicación del ajuste por paridad de género en la asignación de regidurías por el principio de representación proporcional</w:t>
      </w:r>
      <w:r w:rsidRPr="00B152E7">
        <w:rPr>
          <w:rFonts w:ascii="Arial" w:hAnsi="Arial" w:cs="Arial"/>
        </w:rPr>
        <w:t xml:space="preserve"> pues </w:t>
      </w:r>
      <w:r w:rsidR="003829AA" w:rsidRPr="00B152E7">
        <w:rPr>
          <w:rFonts w:ascii="Arial" w:hAnsi="Arial" w:cs="Arial"/>
        </w:rPr>
        <w:t xml:space="preserve">considera que </w:t>
      </w:r>
      <w:r w:rsidR="003E1274" w:rsidRPr="00B152E7">
        <w:rPr>
          <w:rFonts w:ascii="Arial" w:hAnsi="Arial" w:cs="Arial"/>
        </w:rPr>
        <w:t>dichas calificaciones son contrarias entre sí e incompatibles.</w:t>
      </w:r>
      <w:r w:rsidRPr="00B152E7">
        <w:rPr>
          <w:rFonts w:ascii="Arial" w:hAnsi="Arial" w:cs="Arial"/>
        </w:rPr>
        <w:t xml:space="preserve"> </w:t>
      </w:r>
    </w:p>
    <w:p w14:paraId="003E69DC" w14:textId="77777777" w:rsidR="008F398D" w:rsidRPr="00B152E7" w:rsidRDefault="008F398D" w:rsidP="00942B3C">
      <w:pPr>
        <w:pStyle w:val="Ttulo2"/>
        <w:spacing w:before="240" w:after="240"/>
        <w:ind w:firstLine="0"/>
        <w:rPr>
          <w:sz w:val="24"/>
          <w:szCs w:val="24"/>
        </w:rPr>
      </w:pPr>
      <w:r w:rsidRPr="00B152E7">
        <w:rPr>
          <w:sz w:val="24"/>
          <w:szCs w:val="24"/>
        </w:rPr>
        <w:t xml:space="preserve">2. Controversia por resolver </w:t>
      </w:r>
    </w:p>
    <w:p w14:paraId="756FBEDD" w14:textId="77777777" w:rsidR="005E6040" w:rsidRPr="00B152E7" w:rsidRDefault="008F398D" w:rsidP="009265D8">
      <w:pPr>
        <w:autoSpaceDE w:val="0"/>
        <w:autoSpaceDN w:val="0"/>
        <w:adjustRightInd w:val="0"/>
        <w:spacing w:before="240" w:after="240" w:line="360" w:lineRule="auto"/>
        <w:jc w:val="both"/>
        <w:rPr>
          <w:rFonts w:ascii="Arial" w:hAnsi="Arial" w:cs="Arial"/>
        </w:rPr>
      </w:pPr>
      <w:r w:rsidRPr="00B152E7">
        <w:rPr>
          <w:rFonts w:ascii="Arial" w:hAnsi="Arial" w:cs="Arial"/>
        </w:rPr>
        <w:t xml:space="preserve">La controversia por resolver consiste en determinar si fue correcto el razonamiento de la Sala Monterrey por </w:t>
      </w:r>
      <w:r w:rsidR="003829AA" w:rsidRPr="00B152E7">
        <w:rPr>
          <w:rFonts w:ascii="Arial" w:hAnsi="Arial" w:cs="Arial"/>
        </w:rPr>
        <w:t>el</w:t>
      </w:r>
      <w:r w:rsidRPr="00B152E7">
        <w:rPr>
          <w:rFonts w:ascii="Arial" w:hAnsi="Arial" w:cs="Arial"/>
        </w:rPr>
        <w:t xml:space="preserve"> que </w:t>
      </w:r>
      <w:r w:rsidR="003E1274" w:rsidRPr="00B152E7">
        <w:rPr>
          <w:rFonts w:ascii="Arial" w:hAnsi="Arial" w:cs="Arial"/>
        </w:rPr>
        <w:t xml:space="preserve">confirmó la resolución del Tribunal local, al estimar </w:t>
      </w:r>
      <w:r w:rsidRPr="00B152E7">
        <w:rPr>
          <w:rFonts w:ascii="Arial" w:hAnsi="Arial" w:cs="Arial"/>
        </w:rPr>
        <w:t>que los agravios de la hoy recurrente eran ineficaces</w:t>
      </w:r>
      <w:r w:rsidR="0008533D" w:rsidRPr="00B152E7">
        <w:rPr>
          <w:rFonts w:ascii="Arial" w:hAnsi="Arial" w:cs="Arial"/>
        </w:rPr>
        <w:t>, al no controvertir las consideraciones del Tribunal local y constituir cuestiones novedosas</w:t>
      </w:r>
      <w:r w:rsidRPr="00B152E7">
        <w:rPr>
          <w:rFonts w:ascii="Arial" w:hAnsi="Arial" w:cs="Arial"/>
        </w:rPr>
        <w:t xml:space="preserve">. </w:t>
      </w:r>
    </w:p>
    <w:p w14:paraId="5AFA08FD" w14:textId="77777777" w:rsidR="008F398D" w:rsidRPr="00B152E7" w:rsidRDefault="008F398D" w:rsidP="00942B3C">
      <w:pPr>
        <w:pStyle w:val="Ttulo2"/>
        <w:spacing w:before="240" w:after="240"/>
        <w:ind w:firstLine="0"/>
        <w:rPr>
          <w:sz w:val="24"/>
          <w:szCs w:val="24"/>
        </w:rPr>
      </w:pPr>
      <w:r w:rsidRPr="00B152E7">
        <w:rPr>
          <w:sz w:val="24"/>
          <w:szCs w:val="24"/>
        </w:rPr>
        <w:lastRenderedPageBreak/>
        <w:t xml:space="preserve">3. Metodología </w:t>
      </w:r>
    </w:p>
    <w:p w14:paraId="4537BEEE" w14:textId="77777777" w:rsidR="008F398D" w:rsidRPr="00B152E7" w:rsidRDefault="008F398D" w:rsidP="008F398D">
      <w:pPr>
        <w:spacing w:before="240" w:after="240" w:line="360" w:lineRule="auto"/>
        <w:jc w:val="both"/>
        <w:rPr>
          <w:rFonts w:ascii="Arial" w:hAnsi="Arial" w:cs="Arial"/>
        </w:rPr>
      </w:pPr>
      <w:r w:rsidRPr="00B152E7">
        <w:rPr>
          <w:rFonts w:ascii="Arial" w:hAnsi="Arial" w:cs="Arial"/>
        </w:rPr>
        <w:t>Se precisa que el estudio de los motivos de agravio del recurso de reconsideración se hará de forma conjunta en tanto se dirigen a controvertir</w:t>
      </w:r>
      <w:r w:rsidR="001320ED" w:rsidRPr="00B152E7">
        <w:rPr>
          <w:rFonts w:ascii="Arial" w:hAnsi="Arial" w:cs="Arial"/>
        </w:rPr>
        <w:t xml:space="preserve"> el estudio realizado por la responsable en relación con la solicitud de la recurrente de inaplicar al caso concreto </w:t>
      </w:r>
      <w:r w:rsidRPr="00B152E7">
        <w:rPr>
          <w:rFonts w:ascii="Arial" w:hAnsi="Arial" w:cs="Arial"/>
        </w:rPr>
        <w:t>el artículo 240, fracción III, párrafo segundo de la Ley Electoral local.</w:t>
      </w:r>
      <w:r w:rsidRPr="00B152E7">
        <w:rPr>
          <w:rStyle w:val="Refdenotaalpie"/>
          <w:rFonts w:ascii="Arial" w:hAnsi="Arial" w:cs="Arial"/>
        </w:rPr>
        <w:footnoteReference w:id="16"/>
      </w:r>
      <w:r w:rsidRPr="00B152E7">
        <w:rPr>
          <w:rFonts w:ascii="Arial" w:hAnsi="Arial" w:cs="Arial"/>
        </w:rPr>
        <w:t xml:space="preserve"> </w:t>
      </w:r>
    </w:p>
    <w:p w14:paraId="06A49551" w14:textId="77777777" w:rsidR="008F398D" w:rsidRPr="00B152E7" w:rsidRDefault="008F398D" w:rsidP="008F398D">
      <w:pPr>
        <w:pStyle w:val="Ttulo1"/>
        <w:spacing w:before="240" w:after="240" w:line="360" w:lineRule="auto"/>
        <w:jc w:val="center"/>
        <w:rPr>
          <w:rFonts w:ascii="Arial" w:eastAsia="Arial" w:hAnsi="Arial" w:cs="Arial"/>
          <w:b/>
          <w:sz w:val="24"/>
          <w:szCs w:val="24"/>
        </w:rPr>
      </w:pPr>
      <w:r w:rsidRPr="00B152E7">
        <w:rPr>
          <w:rFonts w:ascii="Arial" w:eastAsia="Arial" w:hAnsi="Arial" w:cs="Arial"/>
          <w:b/>
          <w:sz w:val="24"/>
          <w:szCs w:val="24"/>
        </w:rPr>
        <w:t>X. DECISIÓN</w:t>
      </w:r>
    </w:p>
    <w:p w14:paraId="73010AA1" w14:textId="77777777" w:rsidR="008F398D" w:rsidRPr="00B152E7" w:rsidRDefault="008F398D" w:rsidP="008F398D">
      <w:pPr>
        <w:pStyle w:val="Ttulo2"/>
        <w:spacing w:before="240" w:after="240"/>
        <w:ind w:firstLine="0"/>
        <w:rPr>
          <w:b w:val="0"/>
          <w:sz w:val="24"/>
          <w:szCs w:val="24"/>
        </w:rPr>
      </w:pPr>
      <w:bookmarkStart w:id="14" w:name="_Toc73481453"/>
      <w:r w:rsidRPr="00B152E7">
        <w:rPr>
          <w:sz w:val="24"/>
          <w:szCs w:val="24"/>
        </w:rPr>
        <w:t>1. Tesis de la decisión</w:t>
      </w:r>
      <w:bookmarkEnd w:id="14"/>
    </w:p>
    <w:p w14:paraId="0A01CA43" w14:textId="77777777" w:rsidR="005E6040" w:rsidRPr="00B152E7" w:rsidRDefault="008F398D" w:rsidP="008F398D">
      <w:pPr>
        <w:spacing w:before="240" w:after="240" w:line="360" w:lineRule="auto"/>
        <w:jc w:val="both"/>
        <w:rPr>
          <w:rFonts w:ascii="Arial" w:eastAsia="Calibri" w:hAnsi="Arial" w:cs="Arial"/>
          <w:lang w:val="es-ES_tradnl" w:eastAsia="es-ES"/>
        </w:rPr>
      </w:pPr>
      <w:r w:rsidRPr="00B152E7">
        <w:rPr>
          <w:rFonts w:ascii="Arial" w:hAnsi="Arial" w:cs="Arial"/>
          <w:lang w:val="es-ES"/>
        </w:rPr>
        <w:t xml:space="preserve">Esta Sala Superior considera que resultan </w:t>
      </w:r>
      <w:r w:rsidRPr="00B152E7">
        <w:rPr>
          <w:rFonts w:ascii="Arial" w:hAnsi="Arial" w:cs="Arial"/>
          <w:b/>
          <w:bCs/>
          <w:lang w:val="es-ES"/>
        </w:rPr>
        <w:t>infundados</w:t>
      </w:r>
      <w:r w:rsidRPr="00B152E7">
        <w:rPr>
          <w:rFonts w:ascii="Arial" w:hAnsi="Arial" w:cs="Arial"/>
          <w:lang w:val="es-ES"/>
        </w:rPr>
        <w:t xml:space="preserve"> los agravios de </w:t>
      </w:r>
      <w:r w:rsidR="00E82B26" w:rsidRPr="00B152E7">
        <w:rPr>
          <w:rFonts w:ascii="Arial" w:hAnsi="Arial" w:cs="Arial"/>
          <w:lang w:val="es-ES"/>
        </w:rPr>
        <w:t>la</w:t>
      </w:r>
      <w:r w:rsidRPr="00B152E7">
        <w:rPr>
          <w:rFonts w:ascii="Arial" w:hAnsi="Arial" w:cs="Arial"/>
          <w:lang w:val="es-ES"/>
        </w:rPr>
        <w:t xml:space="preserve"> recurrente en los que afirma que </w:t>
      </w:r>
      <w:r w:rsidR="00E82B26" w:rsidRPr="00B152E7">
        <w:rPr>
          <w:rFonts w:ascii="Arial" w:hAnsi="Arial" w:cs="Arial"/>
          <w:lang w:val="es-ES"/>
        </w:rPr>
        <w:t xml:space="preserve">la Sala Monterrey indebidamente calificó de ineficaces las consideraciones relacionadas a la inaplicabilidad </w:t>
      </w:r>
      <w:r w:rsidR="001320ED" w:rsidRPr="00B152E7">
        <w:rPr>
          <w:rFonts w:ascii="Arial" w:hAnsi="Arial" w:cs="Arial"/>
          <w:lang w:val="es-ES"/>
        </w:rPr>
        <w:t xml:space="preserve">al caso concreto </w:t>
      </w:r>
      <w:r w:rsidR="00E82B26" w:rsidRPr="00B152E7">
        <w:rPr>
          <w:rFonts w:ascii="Arial" w:hAnsi="Arial" w:cs="Arial"/>
          <w:lang w:val="es-ES"/>
        </w:rPr>
        <w:t xml:space="preserve">del </w:t>
      </w:r>
      <w:r w:rsidR="00E82B26" w:rsidRPr="00B152E7">
        <w:rPr>
          <w:rFonts w:ascii="Arial" w:eastAsia="Calibri" w:hAnsi="Arial" w:cs="Arial"/>
          <w:lang w:val="es-ES_tradnl" w:eastAsia="es-ES"/>
        </w:rPr>
        <w:t>artículo 240, fracción III, párrafo segundo de la Ley Electoral local</w:t>
      </w:r>
      <w:r w:rsidR="005E6040" w:rsidRPr="00B152E7">
        <w:rPr>
          <w:rFonts w:ascii="Arial" w:eastAsia="Calibri" w:hAnsi="Arial" w:cs="Arial"/>
          <w:lang w:val="es-ES_tradnl" w:eastAsia="es-ES"/>
        </w:rPr>
        <w:t>.</w:t>
      </w:r>
    </w:p>
    <w:p w14:paraId="01B924EA" w14:textId="77777777" w:rsidR="00E82B26" w:rsidRPr="00B152E7" w:rsidRDefault="005E6040" w:rsidP="008F398D">
      <w:pPr>
        <w:spacing w:before="240" w:after="240" w:line="360" w:lineRule="auto"/>
        <w:jc w:val="both"/>
        <w:rPr>
          <w:rFonts w:ascii="Arial" w:hAnsi="Arial" w:cs="Arial"/>
          <w:lang w:val="es-ES"/>
        </w:rPr>
      </w:pPr>
      <w:r w:rsidRPr="00B152E7">
        <w:rPr>
          <w:rFonts w:ascii="Arial" w:eastAsia="Calibri" w:hAnsi="Arial" w:cs="Arial"/>
          <w:lang w:val="es-ES_tradnl" w:eastAsia="es-ES"/>
        </w:rPr>
        <w:t xml:space="preserve">Lo anterior, </w:t>
      </w:r>
      <w:r w:rsidR="00731602" w:rsidRPr="00B152E7">
        <w:rPr>
          <w:rFonts w:ascii="Arial" w:eastAsia="Calibri" w:hAnsi="Arial" w:cs="Arial"/>
          <w:lang w:val="es-ES_tradnl" w:eastAsia="es-ES"/>
        </w:rPr>
        <w:t>dado</w:t>
      </w:r>
      <w:r w:rsidR="00731602" w:rsidRPr="00B152E7">
        <w:rPr>
          <w:rFonts w:ascii="Arial" w:eastAsia="Calibri" w:hAnsi="Arial" w:cs="Arial"/>
          <w:bCs/>
        </w:rPr>
        <w:t xml:space="preserve"> que,</w:t>
      </w:r>
      <w:r w:rsidR="00AF64CC" w:rsidRPr="00B152E7">
        <w:rPr>
          <w:rFonts w:ascii="Arial" w:eastAsia="Calibri" w:hAnsi="Arial" w:cs="Arial"/>
          <w:bCs/>
        </w:rPr>
        <w:t xml:space="preserve"> </w:t>
      </w:r>
      <w:r w:rsidR="001320ED" w:rsidRPr="00B152E7">
        <w:rPr>
          <w:rFonts w:ascii="Arial" w:eastAsia="Calibri" w:hAnsi="Arial" w:cs="Arial"/>
          <w:bCs/>
        </w:rPr>
        <w:t xml:space="preserve">ante la instancia regional, </w:t>
      </w:r>
      <w:r w:rsidRPr="00B152E7">
        <w:rPr>
          <w:rFonts w:ascii="Arial" w:eastAsia="Calibri" w:hAnsi="Arial" w:cs="Arial"/>
          <w:bCs/>
        </w:rPr>
        <w:t xml:space="preserve">la ahora recurrente </w:t>
      </w:r>
      <w:r w:rsidR="00AF64CC" w:rsidRPr="00B152E7">
        <w:rPr>
          <w:rFonts w:ascii="Arial" w:eastAsia="Calibri" w:hAnsi="Arial" w:cs="Arial"/>
          <w:bCs/>
        </w:rPr>
        <w:t>omitió controvertir los razonamientos lógico-jurídicos expuestos por el Tribunal local</w:t>
      </w:r>
      <w:r w:rsidRPr="00B152E7">
        <w:rPr>
          <w:rFonts w:ascii="Arial" w:eastAsia="Calibri" w:hAnsi="Arial" w:cs="Arial"/>
          <w:bCs/>
        </w:rPr>
        <w:t xml:space="preserve"> al analizar, en sede jurisdiccional local, su pretensión de inaplicación al caso concreto de referido artículo de la legislación local</w:t>
      </w:r>
      <w:r w:rsidR="00AF64CC" w:rsidRPr="00B152E7">
        <w:rPr>
          <w:rFonts w:ascii="Arial" w:eastAsia="Calibri" w:hAnsi="Arial" w:cs="Arial"/>
          <w:bCs/>
        </w:rPr>
        <w:t>.</w:t>
      </w:r>
    </w:p>
    <w:p w14:paraId="36C9DDCE" w14:textId="77777777" w:rsidR="00E82B26" w:rsidRPr="00B152E7" w:rsidRDefault="00E82B26" w:rsidP="00E82B26">
      <w:pPr>
        <w:pStyle w:val="Ttulo2"/>
        <w:spacing w:before="240" w:after="240"/>
        <w:ind w:firstLine="0"/>
        <w:rPr>
          <w:b w:val="0"/>
          <w:sz w:val="24"/>
          <w:szCs w:val="24"/>
        </w:rPr>
      </w:pPr>
      <w:r w:rsidRPr="00B152E7">
        <w:rPr>
          <w:sz w:val="24"/>
          <w:szCs w:val="24"/>
        </w:rPr>
        <w:t>2. Consideraciones que sustentan la tesis</w:t>
      </w:r>
    </w:p>
    <w:p w14:paraId="794EF589" w14:textId="77777777" w:rsidR="005E6040" w:rsidRPr="00B152E7" w:rsidRDefault="00942B3C" w:rsidP="00942B3C">
      <w:pPr>
        <w:pStyle w:val="Ttulo3"/>
        <w:spacing w:before="240" w:after="240"/>
        <w:ind w:firstLine="0"/>
        <w:rPr>
          <w:rFonts w:ascii="Arial" w:hAnsi="Arial" w:cs="Arial"/>
          <w:sz w:val="24"/>
          <w:szCs w:val="24"/>
        </w:rPr>
      </w:pPr>
      <w:r w:rsidRPr="00B152E7">
        <w:rPr>
          <w:rFonts w:ascii="Arial" w:hAnsi="Arial" w:cs="Arial"/>
          <w:sz w:val="24"/>
          <w:szCs w:val="24"/>
        </w:rPr>
        <w:t xml:space="preserve">2.1. </w:t>
      </w:r>
      <w:r w:rsidR="00E82B26" w:rsidRPr="00B152E7">
        <w:rPr>
          <w:rFonts w:ascii="Arial" w:hAnsi="Arial" w:cs="Arial"/>
          <w:sz w:val="24"/>
          <w:szCs w:val="24"/>
        </w:rPr>
        <w:t xml:space="preserve">Agravio relacionado con la </w:t>
      </w:r>
      <w:r w:rsidR="005E6040" w:rsidRPr="00B152E7">
        <w:rPr>
          <w:rFonts w:ascii="Arial" w:hAnsi="Arial" w:cs="Arial"/>
          <w:sz w:val="24"/>
          <w:szCs w:val="24"/>
        </w:rPr>
        <w:t>calificación de ineficaces de sus agravios de constitucionalidad ante la Sala Monterrey</w:t>
      </w:r>
    </w:p>
    <w:p w14:paraId="652E8779" w14:textId="77777777" w:rsidR="00321E79" w:rsidRPr="00B152E7" w:rsidRDefault="006C3E7E" w:rsidP="00E82B26">
      <w:pPr>
        <w:autoSpaceDE w:val="0"/>
        <w:autoSpaceDN w:val="0"/>
        <w:adjustRightInd w:val="0"/>
        <w:spacing w:before="240" w:after="240" w:line="360" w:lineRule="auto"/>
        <w:jc w:val="both"/>
        <w:rPr>
          <w:rFonts w:ascii="Arial" w:eastAsia="Calibri" w:hAnsi="Arial" w:cs="Arial"/>
          <w:bCs/>
        </w:rPr>
      </w:pPr>
      <w:r w:rsidRPr="00B152E7">
        <w:rPr>
          <w:rFonts w:ascii="Arial" w:eastAsia="Calibri" w:hAnsi="Arial" w:cs="Arial"/>
          <w:bCs/>
        </w:rPr>
        <w:t>S</w:t>
      </w:r>
      <w:r w:rsidR="00E82B26" w:rsidRPr="00B152E7">
        <w:rPr>
          <w:rFonts w:ascii="Arial" w:eastAsia="Calibri" w:hAnsi="Arial" w:cs="Arial"/>
          <w:bCs/>
        </w:rPr>
        <w:t xml:space="preserve">e consideran </w:t>
      </w:r>
      <w:r w:rsidR="00E82B26" w:rsidRPr="00B152E7">
        <w:rPr>
          <w:rFonts w:ascii="Arial" w:eastAsia="Calibri" w:hAnsi="Arial" w:cs="Arial"/>
          <w:b/>
        </w:rPr>
        <w:t>infundados</w:t>
      </w:r>
      <w:r w:rsidR="00E82B26" w:rsidRPr="00B152E7">
        <w:rPr>
          <w:rFonts w:ascii="Arial" w:eastAsia="Calibri" w:hAnsi="Arial" w:cs="Arial"/>
          <w:bCs/>
        </w:rPr>
        <w:t xml:space="preserve"> los motivos de disenso que se hacen valer en contra de la declaratoria de in</w:t>
      </w:r>
      <w:r w:rsidR="00321E79" w:rsidRPr="00B152E7">
        <w:rPr>
          <w:rFonts w:ascii="Arial" w:eastAsia="Calibri" w:hAnsi="Arial" w:cs="Arial"/>
          <w:bCs/>
        </w:rPr>
        <w:t>eficacia</w:t>
      </w:r>
      <w:r w:rsidR="00E82B26" w:rsidRPr="00B152E7">
        <w:rPr>
          <w:rFonts w:ascii="Arial" w:eastAsia="Calibri" w:hAnsi="Arial" w:cs="Arial"/>
          <w:bCs/>
        </w:rPr>
        <w:t xml:space="preserve"> </w:t>
      </w:r>
      <w:r w:rsidR="00AF64CC" w:rsidRPr="00B152E7">
        <w:rPr>
          <w:rFonts w:ascii="Arial" w:eastAsia="Calibri" w:hAnsi="Arial" w:cs="Arial"/>
          <w:bCs/>
        </w:rPr>
        <w:t>de</w:t>
      </w:r>
      <w:r w:rsidR="00E82B26" w:rsidRPr="00B152E7">
        <w:rPr>
          <w:rFonts w:ascii="Arial" w:eastAsia="Calibri" w:hAnsi="Arial" w:cs="Arial"/>
          <w:bCs/>
        </w:rPr>
        <w:t xml:space="preserve"> la Sala </w:t>
      </w:r>
      <w:r w:rsidR="00321E79" w:rsidRPr="00B152E7">
        <w:rPr>
          <w:rFonts w:ascii="Arial" w:eastAsia="Calibri" w:hAnsi="Arial" w:cs="Arial"/>
          <w:bCs/>
        </w:rPr>
        <w:t>Monterrey</w:t>
      </w:r>
      <w:r w:rsidR="00E82B26" w:rsidRPr="00B152E7">
        <w:rPr>
          <w:rFonts w:ascii="Arial" w:eastAsia="Calibri" w:hAnsi="Arial" w:cs="Arial"/>
          <w:bCs/>
        </w:rPr>
        <w:t xml:space="preserve"> respecto </w:t>
      </w:r>
      <w:r w:rsidR="00AF64CC" w:rsidRPr="00B152E7">
        <w:rPr>
          <w:rFonts w:ascii="Arial" w:eastAsia="Calibri" w:hAnsi="Arial" w:cs="Arial"/>
          <w:bCs/>
        </w:rPr>
        <w:t>a los agravios relacionados con</w:t>
      </w:r>
      <w:r w:rsidR="00321E79" w:rsidRPr="00B152E7">
        <w:rPr>
          <w:rFonts w:ascii="Arial" w:eastAsia="Calibri" w:hAnsi="Arial" w:cs="Arial"/>
          <w:bCs/>
        </w:rPr>
        <w:t xml:space="preserve"> la inconstitucionalidad del multicitado artículo de la </w:t>
      </w:r>
      <w:r w:rsidR="00321E79" w:rsidRPr="00B152E7">
        <w:rPr>
          <w:rFonts w:ascii="Arial" w:hAnsi="Arial" w:cs="Arial"/>
        </w:rPr>
        <w:t xml:space="preserve">Ley </w:t>
      </w:r>
      <w:r w:rsidR="003829AA" w:rsidRPr="00B152E7">
        <w:rPr>
          <w:rFonts w:ascii="Arial" w:hAnsi="Arial" w:cs="Arial"/>
        </w:rPr>
        <w:t>Electoral local</w:t>
      </w:r>
      <w:r w:rsidR="00321E79" w:rsidRPr="00B152E7">
        <w:rPr>
          <w:rFonts w:ascii="Arial" w:hAnsi="Arial" w:cs="Arial"/>
        </w:rPr>
        <w:t xml:space="preserve">. </w:t>
      </w:r>
    </w:p>
    <w:p w14:paraId="45100CCA" w14:textId="77777777" w:rsidR="001320ED" w:rsidRPr="00B152E7" w:rsidRDefault="00321E79" w:rsidP="00AF64CC">
      <w:pPr>
        <w:autoSpaceDE w:val="0"/>
        <w:autoSpaceDN w:val="0"/>
        <w:adjustRightInd w:val="0"/>
        <w:spacing w:before="240" w:after="240" w:line="360" w:lineRule="auto"/>
        <w:jc w:val="both"/>
        <w:rPr>
          <w:rFonts w:ascii="Arial" w:hAnsi="Arial" w:cs="Arial"/>
          <w:color w:val="000000" w:themeColor="text1"/>
        </w:rPr>
      </w:pPr>
      <w:r w:rsidRPr="00B152E7">
        <w:rPr>
          <w:rFonts w:ascii="Arial" w:eastAsia="Calibri" w:hAnsi="Arial" w:cs="Arial"/>
          <w:bCs/>
        </w:rPr>
        <w:lastRenderedPageBreak/>
        <w:t>Ello</w:t>
      </w:r>
      <w:r w:rsidR="00E82B26" w:rsidRPr="00B152E7">
        <w:rPr>
          <w:rFonts w:ascii="Arial" w:eastAsia="Calibri" w:hAnsi="Arial" w:cs="Arial"/>
          <w:bCs/>
        </w:rPr>
        <w:t xml:space="preserve"> al resultar adecuada la conclusión de la responsable respecto a que </w:t>
      </w:r>
      <w:r w:rsidR="00AF64CC" w:rsidRPr="00B152E7">
        <w:rPr>
          <w:rFonts w:ascii="Arial" w:hAnsi="Arial" w:cs="Arial"/>
          <w:color w:val="000000" w:themeColor="text1"/>
        </w:rPr>
        <w:t xml:space="preserve">la recurrente no controvirtió lo razonado por el Tribunal local </w:t>
      </w:r>
      <w:r w:rsidR="001320ED" w:rsidRPr="00B152E7">
        <w:rPr>
          <w:rFonts w:ascii="Arial" w:hAnsi="Arial" w:cs="Arial"/>
          <w:color w:val="000000" w:themeColor="text1"/>
        </w:rPr>
        <w:t>en la resolución impugnada primigenia.</w:t>
      </w:r>
    </w:p>
    <w:p w14:paraId="13C78770" w14:textId="77777777" w:rsidR="005E6040" w:rsidRPr="00B152E7" w:rsidRDefault="005E6040" w:rsidP="00AF64CC">
      <w:pPr>
        <w:autoSpaceDE w:val="0"/>
        <w:autoSpaceDN w:val="0"/>
        <w:adjustRightInd w:val="0"/>
        <w:spacing w:before="240" w:after="240" w:line="360" w:lineRule="auto"/>
        <w:jc w:val="both"/>
        <w:rPr>
          <w:rFonts w:ascii="Arial" w:hAnsi="Arial" w:cs="Arial"/>
          <w:b/>
          <w:color w:val="000000" w:themeColor="text1"/>
        </w:rPr>
      </w:pPr>
      <w:r w:rsidRPr="00B152E7">
        <w:rPr>
          <w:rFonts w:ascii="Arial" w:hAnsi="Arial" w:cs="Arial"/>
          <w:b/>
          <w:color w:val="000000" w:themeColor="text1"/>
        </w:rPr>
        <w:t>a) Agravios del juicio de la ciudadanía local</w:t>
      </w:r>
    </w:p>
    <w:p w14:paraId="68A3964C" w14:textId="77777777" w:rsidR="00942B3C" w:rsidRPr="00B152E7" w:rsidRDefault="00942B3C" w:rsidP="00AF64CC">
      <w:pPr>
        <w:autoSpaceDE w:val="0"/>
        <w:autoSpaceDN w:val="0"/>
        <w:adjustRightInd w:val="0"/>
        <w:spacing w:before="240" w:after="240" w:line="360" w:lineRule="auto"/>
        <w:jc w:val="both"/>
        <w:rPr>
          <w:rFonts w:ascii="Arial" w:hAnsi="Arial" w:cs="Arial"/>
          <w:color w:val="000000" w:themeColor="text1"/>
        </w:rPr>
      </w:pPr>
      <w:r w:rsidRPr="00B152E7">
        <w:rPr>
          <w:rFonts w:ascii="Arial" w:hAnsi="Arial" w:cs="Arial"/>
          <w:color w:val="000000" w:themeColor="text1"/>
        </w:rPr>
        <w:t>Ante el Tribunal local la ahora recurrente solicitó la inaplicación al caso concreto del artículo 240, fracción III, segundo párrafo, de la Ley Electoral local</w:t>
      </w:r>
      <w:r w:rsidR="00E43452" w:rsidRPr="00B152E7">
        <w:rPr>
          <w:rStyle w:val="Refdenotaalpie"/>
          <w:rFonts w:ascii="Arial" w:hAnsi="Arial" w:cs="Arial"/>
          <w:color w:val="000000" w:themeColor="text1"/>
        </w:rPr>
        <w:footnoteReference w:id="17"/>
      </w:r>
      <w:r w:rsidR="00E43452" w:rsidRPr="00B152E7">
        <w:rPr>
          <w:rFonts w:ascii="Arial" w:hAnsi="Arial" w:cs="Arial"/>
          <w:color w:val="000000" w:themeColor="text1"/>
        </w:rPr>
        <w:t xml:space="preserve"> a partir de dos argumentos principales:</w:t>
      </w:r>
    </w:p>
    <w:p w14:paraId="66C9CDCE" w14:textId="77777777" w:rsidR="00E43452" w:rsidRPr="00B152E7" w:rsidRDefault="00E43452" w:rsidP="00E43452">
      <w:pPr>
        <w:pStyle w:val="Prrafodelista"/>
        <w:numPr>
          <w:ilvl w:val="0"/>
          <w:numId w:val="39"/>
        </w:numPr>
        <w:autoSpaceDE w:val="0"/>
        <w:autoSpaceDN w:val="0"/>
        <w:adjustRightInd w:val="0"/>
        <w:spacing w:before="240" w:after="240" w:line="360" w:lineRule="auto"/>
        <w:jc w:val="both"/>
        <w:rPr>
          <w:rFonts w:ascii="Arial" w:hAnsi="Arial" w:cs="Arial"/>
          <w:color w:val="000000" w:themeColor="text1"/>
        </w:rPr>
      </w:pPr>
      <w:r w:rsidRPr="00B152E7">
        <w:rPr>
          <w:rFonts w:ascii="Arial" w:hAnsi="Arial" w:cs="Arial"/>
          <w:color w:val="000000" w:themeColor="text1"/>
        </w:rPr>
        <w:t>Sostuvo que dicha disposición es discriminatoria y contraria a los artículos 1 y 4 de la Constitución general ya que de manera ilegal e injustificada prevé que todos los ajustes de paridad siempre se realicen en los partidos políticos que obtengan la menor votación, lo que afecta su esfera jurídica al ponerla en una desventaja sobre otras posiciones y postulaciones.</w:t>
      </w:r>
    </w:p>
    <w:p w14:paraId="66E93CC3" w14:textId="1817C571" w:rsidR="00E43452" w:rsidRDefault="00E43452" w:rsidP="00E43452">
      <w:pPr>
        <w:pStyle w:val="Prrafodelista"/>
        <w:numPr>
          <w:ilvl w:val="0"/>
          <w:numId w:val="39"/>
        </w:numPr>
        <w:autoSpaceDE w:val="0"/>
        <w:autoSpaceDN w:val="0"/>
        <w:adjustRightInd w:val="0"/>
        <w:spacing w:before="240" w:after="240" w:line="360" w:lineRule="auto"/>
        <w:jc w:val="both"/>
        <w:rPr>
          <w:rFonts w:ascii="Arial" w:hAnsi="Arial" w:cs="Arial"/>
          <w:color w:val="000000" w:themeColor="text1"/>
        </w:rPr>
      </w:pPr>
      <w:r w:rsidRPr="00B152E7">
        <w:rPr>
          <w:rFonts w:ascii="Arial" w:hAnsi="Arial" w:cs="Arial"/>
          <w:color w:val="000000" w:themeColor="text1"/>
        </w:rPr>
        <w:t>De ahí que solicita que se inaplique el artículo y los ajustes en la asignación de regidurías se realicen en los términos precisados en las resoluciones SUP-REC-1317/2018 y SM-JDC-718/2018, es decir, que una vez que se cumpla la cuota de hombres, se realicen los ajustes de género y no hasta el final de la asignación.</w:t>
      </w:r>
    </w:p>
    <w:p w14:paraId="62FE4309" w14:textId="4F5E98F2" w:rsidR="008C78BD" w:rsidRDefault="008C78BD" w:rsidP="008C78BD">
      <w:pPr>
        <w:pStyle w:val="Prrafodelista"/>
        <w:autoSpaceDE w:val="0"/>
        <w:autoSpaceDN w:val="0"/>
        <w:adjustRightInd w:val="0"/>
        <w:spacing w:before="240" w:after="240" w:line="360" w:lineRule="auto"/>
        <w:jc w:val="both"/>
        <w:rPr>
          <w:rFonts w:ascii="Arial" w:hAnsi="Arial" w:cs="Arial"/>
          <w:color w:val="000000" w:themeColor="text1"/>
        </w:rPr>
      </w:pPr>
    </w:p>
    <w:p w14:paraId="7B1E4C3C" w14:textId="77777777" w:rsidR="008C78BD" w:rsidRPr="00B152E7" w:rsidRDefault="008C78BD" w:rsidP="008C78BD">
      <w:pPr>
        <w:pStyle w:val="Prrafodelista"/>
        <w:autoSpaceDE w:val="0"/>
        <w:autoSpaceDN w:val="0"/>
        <w:adjustRightInd w:val="0"/>
        <w:spacing w:before="240" w:after="240" w:line="360" w:lineRule="auto"/>
        <w:jc w:val="both"/>
        <w:rPr>
          <w:rFonts w:ascii="Arial" w:hAnsi="Arial" w:cs="Arial"/>
          <w:color w:val="000000" w:themeColor="text1"/>
        </w:rPr>
      </w:pPr>
    </w:p>
    <w:p w14:paraId="1CCCF862" w14:textId="77777777" w:rsidR="005E6040" w:rsidRPr="00B152E7" w:rsidRDefault="005E6040" w:rsidP="005E6040">
      <w:pPr>
        <w:autoSpaceDE w:val="0"/>
        <w:autoSpaceDN w:val="0"/>
        <w:adjustRightInd w:val="0"/>
        <w:spacing w:before="240" w:after="240" w:line="360" w:lineRule="auto"/>
        <w:jc w:val="both"/>
        <w:rPr>
          <w:rFonts w:ascii="Arial" w:hAnsi="Arial" w:cs="Arial"/>
          <w:b/>
          <w:color w:val="000000" w:themeColor="text1"/>
        </w:rPr>
      </w:pPr>
      <w:r w:rsidRPr="00B152E7">
        <w:rPr>
          <w:rFonts w:ascii="Arial" w:hAnsi="Arial" w:cs="Arial"/>
          <w:b/>
          <w:color w:val="000000" w:themeColor="text1"/>
        </w:rPr>
        <w:lastRenderedPageBreak/>
        <w:t xml:space="preserve">b) Consideraciones del Tribunal local sobre inaplicación de la Ley Electoral local </w:t>
      </w:r>
    </w:p>
    <w:p w14:paraId="7E617E85" w14:textId="77777777" w:rsidR="001320ED" w:rsidRPr="00B152E7" w:rsidRDefault="001320ED" w:rsidP="00AF64CC">
      <w:pPr>
        <w:autoSpaceDE w:val="0"/>
        <w:autoSpaceDN w:val="0"/>
        <w:adjustRightInd w:val="0"/>
        <w:spacing w:before="240" w:after="240" w:line="360" w:lineRule="auto"/>
        <w:jc w:val="both"/>
        <w:rPr>
          <w:rFonts w:ascii="Arial" w:hAnsi="Arial" w:cs="Arial"/>
          <w:color w:val="000000" w:themeColor="text1"/>
        </w:rPr>
      </w:pPr>
      <w:r w:rsidRPr="00B152E7">
        <w:rPr>
          <w:rFonts w:ascii="Arial" w:hAnsi="Arial" w:cs="Arial"/>
          <w:color w:val="000000" w:themeColor="text1"/>
        </w:rPr>
        <w:t xml:space="preserve">Al </w:t>
      </w:r>
      <w:r w:rsidR="00E43452" w:rsidRPr="00B152E7">
        <w:rPr>
          <w:rFonts w:ascii="Arial" w:hAnsi="Arial" w:cs="Arial"/>
          <w:color w:val="000000" w:themeColor="text1"/>
        </w:rPr>
        <w:t>analizar esos motivos de inconformidad</w:t>
      </w:r>
      <w:r w:rsidRPr="00B152E7">
        <w:rPr>
          <w:rFonts w:ascii="Arial" w:hAnsi="Arial" w:cs="Arial"/>
          <w:color w:val="000000" w:themeColor="text1"/>
        </w:rPr>
        <w:t>, el Tribunal local expuso lo siguiente:</w:t>
      </w:r>
    </w:p>
    <w:p w14:paraId="7D3FB9FC" w14:textId="77777777" w:rsidR="00AF64CC" w:rsidRPr="00B152E7" w:rsidRDefault="005E6040" w:rsidP="001320ED">
      <w:pPr>
        <w:pStyle w:val="Prrafodelista"/>
        <w:numPr>
          <w:ilvl w:val="0"/>
          <w:numId w:val="37"/>
        </w:numPr>
        <w:autoSpaceDE w:val="0"/>
        <w:autoSpaceDN w:val="0"/>
        <w:adjustRightInd w:val="0"/>
        <w:spacing w:before="240" w:after="240" w:line="360" w:lineRule="auto"/>
        <w:jc w:val="both"/>
        <w:rPr>
          <w:rFonts w:ascii="Arial" w:eastAsia="Calibri" w:hAnsi="Arial" w:cs="Arial"/>
          <w:bCs/>
        </w:rPr>
      </w:pPr>
      <w:r w:rsidRPr="00B152E7">
        <w:rPr>
          <w:rFonts w:ascii="Arial" w:hAnsi="Arial" w:cs="Arial"/>
          <w:color w:val="000000" w:themeColor="text1"/>
        </w:rPr>
        <w:t>Consideró que la ahora recurrente</w:t>
      </w:r>
      <w:r w:rsidR="001320ED" w:rsidRPr="00B152E7">
        <w:rPr>
          <w:rFonts w:ascii="Arial" w:hAnsi="Arial" w:cs="Arial"/>
          <w:color w:val="000000" w:themeColor="text1"/>
        </w:rPr>
        <w:t xml:space="preserve"> </w:t>
      </w:r>
      <w:r w:rsidR="00AF64CC" w:rsidRPr="00B152E7">
        <w:rPr>
          <w:rFonts w:ascii="Arial" w:hAnsi="Arial" w:cs="Arial"/>
          <w:color w:val="000000" w:themeColor="text1"/>
        </w:rPr>
        <w:t>no se ubica en el supuesto</w:t>
      </w:r>
      <w:r w:rsidR="00FB149F" w:rsidRPr="00B152E7">
        <w:rPr>
          <w:rFonts w:ascii="Arial" w:hAnsi="Arial" w:cs="Arial"/>
          <w:color w:val="000000" w:themeColor="text1"/>
        </w:rPr>
        <w:t xml:space="preserve"> que alega</w:t>
      </w:r>
      <w:r w:rsidRPr="00B152E7">
        <w:rPr>
          <w:rFonts w:ascii="Arial" w:hAnsi="Arial" w:cs="Arial"/>
          <w:color w:val="000000" w:themeColor="text1"/>
        </w:rPr>
        <w:t>, al sostener que se vería beneficiada con el criterio de ajuste de paridad aplicado en otros casos. Ello</w:t>
      </w:r>
      <w:r w:rsidR="00FB149F" w:rsidRPr="00B152E7">
        <w:rPr>
          <w:rFonts w:ascii="Arial" w:hAnsi="Arial" w:cs="Arial"/>
          <w:color w:val="000000" w:themeColor="text1"/>
        </w:rPr>
        <w:t xml:space="preserve"> en tanto que </w:t>
      </w:r>
      <w:r w:rsidR="00AF64CC" w:rsidRPr="00B152E7">
        <w:rPr>
          <w:rFonts w:ascii="Arial" w:hAnsi="Arial" w:cs="Arial"/>
        </w:rPr>
        <w:t>participó como candidata de un partido que obtuvo el segundo lugar</w:t>
      </w:r>
      <w:r w:rsidR="00FB149F" w:rsidRPr="00B152E7">
        <w:rPr>
          <w:rFonts w:ascii="Arial" w:hAnsi="Arial" w:cs="Arial"/>
        </w:rPr>
        <w:t xml:space="preserve"> en la elección </w:t>
      </w:r>
      <w:r w:rsidR="00AF64CC" w:rsidRPr="00B152E7">
        <w:rPr>
          <w:rFonts w:ascii="Arial" w:hAnsi="Arial" w:cs="Arial"/>
        </w:rPr>
        <w:t xml:space="preserve">y accedió a tres regidurías en el </w:t>
      </w:r>
      <w:r w:rsidR="00C45993" w:rsidRPr="00B152E7">
        <w:rPr>
          <w:rFonts w:ascii="Arial" w:hAnsi="Arial" w:cs="Arial"/>
        </w:rPr>
        <w:t>a</w:t>
      </w:r>
      <w:r w:rsidR="00AF64CC" w:rsidRPr="00B152E7">
        <w:rPr>
          <w:rFonts w:ascii="Arial" w:hAnsi="Arial" w:cs="Arial"/>
        </w:rPr>
        <w:t>yuntamiento, por lo que no forma parte del partido supuestamente discriminado</w:t>
      </w:r>
      <w:r w:rsidR="00FB149F" w:rsidRPr="00B152E7">
        <w:rPr>
          <w:rFonts w:ascii="Arial" w:hAnsi="Arial" w:cs="Arial"/>
        </w:rPr>
        <w:t xml:space="preserve"> </w:t>
      </w:r>
      <w:r w:rsidR="001E339C" w:rsidRPr="00B152E7">
        <w:rPr>
          <w:rFonts w:ascii="Arial" w:hAnsi="Arial" w:cs="Arial"/>
        </w:rPr>
        <w:t xml:space="preserve">(que sería el de mayor votación y asignaciones por representación proporcional, el PAN) </w:t>
      </w:r>
      <w:r w:rsidR="00FB149F" w:rsidRPr="00B152E7">
        <w:rPr>
          <w:rFonts w:ascii="Arial" w:hAnsi="Arial" w:cs="Arial"/>
        </w:rPr>
        <w:t>con la disposición que establece que el ajuste de paridad se hará a partir del partido político con derecho a la asignación con la menor votación.</w:t>
      </w:r>
      <w:r w:rsidR="00AF64CC" w:rsidRPr="00B152E7">
        <w:rPr>
          <w:rFonts w:ascii="Arial" w:hAnsi="Arial" w:cs="Arial"/>
        </w:rPr>
        <w:t xml:space="preserve"> </w:t>
      </w:r>
    </w:p>
    <w:p w14:paraId="10CEFA8D" w14:textId="77777777" w:rsidR="00FB149F" w:rsidRPr="00B152E7" w:rsidRDefault="00FB149F" w:rsidP="001320ED">
      <w:pPr>
        <w:pStyle w:val="Prrafodelista"/>
        <w:numPr>
          <w:ilvl w:val="0"/>
          <w:numId w:val="37"/>
        </w:numPr>
        <w:autoSpaceDE w:val="0"/>
        <w:autoSpaceDN w:val="0"/>
        <w:adjustRightInd w:val="0"/>
        <w:spacing w:before="240" w:after="240" w:line="360" w:lineRule="auto"/>
        <w:jc w:val="both"/>
        <w:rPr>
          <w:rFonts w:ascii="Arial" w:eastAsia="Calibri" w:hAnsi="Arial" w:cs="Arial"/>
          <w:bCs/>
        </w:rPr>
      </w:pPr>
      <w:r w:rsidRPr="00B152E7">
        <w:rPr>
          <w:rFonts w:ascii="Arial" w:hAnsi="Arial" w:cs="Arial"/>
          <w:color w:val="000000" w:themeColor="text1"/>
        </w:rPr>
        <w:t xml:space="preserve">Destacó que, frente al derecho que reclama la entonces actora se debía considerar que fue registrada en la cuarta posición de las regidurías postuladas por Morena, en tanto que la fórmula cuya asignación se dio como resultado de la aplicación de la regla de ajuste, fue registrada en la posición dos de la lista postulada por el </w:t>
      </w:r>
      <w:r w:rsidR="00AC7EAF" w:rsidRPr="00B152E7">
        <w:rPr>
          <w:rFonts w:ascii="Arial" w:hAnsi="Arial" w:cs="Arial"/>
          <w:color w:val="000000" w:themeColor="text1"/>
        </w:rPr>
        <w:t>PRI</w:t>
      </w:r>
      <w:r w:rsidRPr="00B152E7">
        <w:rPr>
          <w:rFonts w:ascii="Arial" w:hAnsi="Arial" w:cs="Arial"/>
          <w:color w:val="000000" w:themeColor="text1"/>
        </w:rPr>
        <w:t xml:space="preserve">. Por lo que consideró que darle la razón a la recurrente no implica reforzar las medidas a favor del género femenino, sino la obtención de un beneficio personal. </w:t>
      </w:r>
    </w:p>
    <w:p w14:paraId="6F6EAC64" w14:textId="77777777" w:rsidR="003A5D84" w:rsidRPr="00B152E7" w:rsidRDefault="003A5D84" w:rsidP="0052741B">
      <w:pPr>
        <w:pStyle w:val="Prrafodelista"/>
        <w:numPr>
          <w:ilvl w:val="0"/>
          <w:numId w:val="38"/>
        </w:numPr>
        <w:autoSpaceDE w:val="0"/>
        <w:autoSpaceDN w:val="0"/>
        <w:adjustRightInd w:val="0"/>
        <w:spacing w:before="240" w:after="240" w:line="360" w:lineRule="auto"/>
        <w:jc w:val="both"/>
        <w:rPr>
          <w:rFonts w:ascii="Arial" w:eastAsia="Calibri" w:hAnsi="Arial" w:cs="Arial"/>
          <w:bCs/>
        </w:rPr>
      </w:pPr>
      <w:r w:rsidRPr="00B152E7">
        <w:rPr>
          <w:rFonts w:ascii="Arial" w:eastAsia="Calibri" w:hAnsi="Arial" w:cs="Arial"/>
          <w:bCs/>
        </w:rPr>
        <w:t xml:space="preserve">Por otro lado, </w:t>
      </w:r>
      <w:r w:rsidR="00DD2DFB" w:rsidRPr="00B152E7">
        <w:rPr>
          <w:rFonts w:ascii="Arial" w:eastAsia="Calibri" w:hAnsi="Arial" w:cs="Arial"/>
          <w:bCs/>
        </w:rPr>
        <w:t>calificó</w:t>
      </w:r>
      <w:r w:rsidRPr="00B152E7">
        <w:rPr>
          <w:rFonts w:ascii="Arial" w:eastAsia="Calibri" w:hAnsi="Arial" w:cs="Arial"/>
          <w:bCs/>
        </w:rPr>
        <w:t xml:space="preserve"> infundado </w:t>
      </w:r>
      <w:r w:rsidR="00DD2DFB" w:rsidRPr="00B152E7">
        <w:rPr>
          <w:rFonts w:ascii="Arial" w:eastAsia="Calibri" w:hAnsi="Arial" w:cs="Arial"/>
          <w:bCs/>
        </w:rPr>
        <w:t xml:space="preserve">el agravio </w:t>
      </w:r>
      <w:r w:rsidRPr="00B152E7">
        <w:rPr>
          <w:rFonts w:ascii="Arial" w:eastAsia="Calibri" w:hAnsi="Arial" w:cs="Arial"/>
          <w:bCs/>
        </w:rPr>
        <w:t xml:space="preserve">pues el referido numeral supera el test de proporcionalidad en los términos que ha señalado la Suprema Corte de Justicia de la Nación y que resultan congruentes con los criterios sustentados por esta Sala Superior, </w:t>
      </w:r>
      <w:r w:rsidR="00C45993" w:rsidRPr="00B152E7">
        <w:rPr>
          <w:rFonts w:ascii="Arial" w:eastAsia="Calibri" w:hAnsi="Arial" w:cs="Arial"/>
          <w:bCs/>
        </w:rPr>
        <w:t>ya que</w:t>
      </w:r>
      <w:r w:rsidRPr="00B152E7">
        <w:rPr>
          <w:rFonts w:ascii="Arial" w:eastAsia="Calibri" w:hAnsi="Arial" w:cs="Arial"/>
          <w:bCs/>
        </w:rPr>
        <w:t xml:space="preserve"> la norma persigue un fin legítimo, es idóneo, necesario y cumple con la proporcionalidad en estricto sentido. </w:t>
      </w:r>
    </w:p>
    <w:p w14:paraId="03D868E0" w14:textId="77777777" w:rsidR="003A5D84" w:rsidRPr="00B152E7" w:rsidRDefault="00787C94" w:rsidP="00DD2DFB">
      <w:pPr>
        <w:pStyle w:val="Prrafodelista"/>
        <w:numPr>
          <w:ilvl w:val="0"/>
          <w:numId w:val="38"/>
        </w:numPr>
        <w:autoSpaceDE w:val="0"/>
        <w:autoSpaceDN w:val="0"/>
        <w:adjustRightInd w:val="0"/>
        <w:spacing w:before="240" w:after="240" w:line="360" w:lineRule="auto"/>
        <w:jc w:val="both"/>
        <w:rPr>
          <w:rFonts w:ascii="Arial" w:eastAsia="Calibri" w:hAnsi="Arial" w:cs="Arial"/>
          <w:bCs/>
        </w:rPr>
      </w:pPr>
      <w:r w:rsidRPr="00B152E7">
        <w:rPr>
          <w:rFonts w:ascii="Arial" w:eastAsia="Calibri" w:hAnsi="Arial" w:cs="Arial"/>
          <w:bCs/>
        </w:rPr>
        <w:t>Máxime que dicho criterio ha sido avalado por la Suprema Corte de Justicia de la Nación al resolver la acción de inconstitucionalidad 63/2017</w:t>
      </w:r>
      <w:r w:rsidR="00C45993" w:rsidRPr="00B152E7">
        <w:rPr>
          <w:rFonts w:ascii="Arial" w:eastAsia="Calibri" w:hAnsi="Arial" w:cs="Arial"/>
          <w:bCs/>
        </w:rPr>
        <w:t>,</w:t>
      </w:r>
      <w:r w:rsidRPr="00B152E7">
        <w:rPr>
          <w:rFonts w:ascii="Arial" w:eastAsia="Calibri" w:hAnsi="Arial" w:cs="Arial"/>
          <w:bCs/>
        </w:rPr>
        <w:t xml:space="preserve"> en la que declaró la constitucionalidad de una acción afirmativa consistente en realizar ajustes para garantizar la </w:t>
      </w:r>
      <w:r w:rsidRPr="00B152E7">
        <w:rPr>
          <w:rFonts w:ascii="Arial" w:eastAsia="Calibri" w:hAnsi="Arial" w:cs="Arial"/>
          <w:bCs/>
        </w:rPr>
        <w:lastRenderedPageBreak/>
        <w:t>integración paritaria del Congreso de la Ciudad de México, iniciando por los partidos que hayan recibido los menores porcentajes de votación local emitida; de ahí que no considerara que la disposición impugnada fuera contraria a los artículos 1 y 4 de la Constitución general.</w:t>
      </w:r>
    </w:p>
    <w:p w14:paraId="203C0642" w14:textId="77777777" w:rsidR="003E1274" w:rsidRPr="00B152E7" w:rsidRDefault="00787C94" w:rsidP="00DD2DFB">
      <w:pPr>
        <w:pStyle w:val="Prrafodelista"/>
        <w:numPr>
          <w:ilvl w:val="0"/>
          <w:numId w:val="38"/>
        </w:numPr>
        <w:autoSpaceDE w:val="0"/>
        <w:autoSpaceDN w:val="0"/>
        <w:adjustRightInd w:val="0"/>
        <w:spacing w:before="240" w:after="240" w:line="360" w:lineRule="auto"/>
        <w:jc w:val="both"/>
        <w:rPr>
          <w:rFonts w:ascii="Arial" w:eastAsia="Calibri" w:hAnsi="Arial" w:cs="Arial"/>
          <w:bCs/>
        </w:rPr>
      </w:pPr>
      <w:r w:rsidRPr="00B152E7">
        <w:rPr>
          <w:rFonts w:ascii="Arial" w:eastAsia="Calibri" w:hAnsi="Arial" w:cs="Arial"/>
          <w:bCs/>
        </w:rPr>
        <w:t>En la misma tesitura estimó que si bien el establecimiento de la medida conlleva a que dependiendo de los resultados electorales, se modifique el orden de prelación de las listas de algunas candidaturas presentadas por partidos políticos o candidaturas independientes, mientras que a otros no, lo cierto es que todos los actores políticos son tratados de manera igualitaria y se desecha cualquier percepción de que la medida y su operación se realiza con el objeto de afectar o no a partidos políticos o candidaturas en lo particular.</w:t>
      </w:r>
    </w:p>
    <w:p w14:paraId="39C8E440" w14:textId="77777777" w:rsidR="00DD2DFB" w:rsidRPr="00B152E7" w:rsidRDefault="00DD2DFB" w:rsidP="00DD2DFB">
      <w:pPr>
        <w:pStyle w:val="Prrafodelista"/>
        <w:numPr>
          <w:ilvl w:val="0"/>
          <w:numId w:val="38"/>
        </w:numPr>
        <w:autoSpaceDE w:val="0"/>
        <w:autoSpaceDN w:val="0"/>
        <w:adjustRightInd w:val="0"/>
        <w:spacing w:before="240" w:after="240" w:line="360" w:lineRule="auto"/>
        <w:jc w:val="both"/>
        <w:rPr>
          <w:rFonts w:ascii="Arial" w:eastAsia="Calibri" w:hAnsi="Arial" w:cs="Arial"/>
          <w:bCs/>
        </w:rPr>
      </w:pPr>
      <w:r w:rsidRPr="00B152E7">
        <w:rPr>
          <w:rFonts w:ascii="Arial" w:eastAsia="Calibri" w:hAnsi="Arial" w:cs="Arial"/>
          <w:bCs/>
        </w:rPr>
        <w:t>En cuanto a la solicitud de aplicar los precedentes SUP-REC-1317/2018 y SM-JDC-718/2018, refirió que no era atendible dado que los mismos corresponden a la interpretación de la normativa electoral local previo a la reforma de dos mil veinte, en la que se incorporó la disposición cuya inaplicación solicita.</w:t>
      </w:r>
    </w:p>
    <w:p w14:paraId="6AE92FA8" w14:textId="77777777" w:rsidR="00DD2DFB" w:rsidRPr="00B152E7" w:rsidRDefault="00DD2DFB" w:rsidP="00DD2DFB">
      <w:pPr>
        <w:pStyle w:val="Prrafodelista"/>
        <w:numPr>
          <w:ilvl w:val="0"/>
          <w:numId w:val="38"/>
        </w:numPr>
        <w:autoSpaceDE w:val="0"/>
        <w:autoSpaceDN w:val="0"/>
        <w:adjustRightInd w:val="0"/>
        <w:spacing w:before="240" w:after="240" w:line="360" w:lineRule="auto"/>
        <w:jc w:val="both"/>
        <w:rPr>
          <w:rFonts w:ascii="Arial" w:eastAsia="Calibri" w:hAnsi="Arial" w:cs="Arial"/>
          <w:bCs/>
        </w:rPr>
      </w:pPr>
      <w:r w:rsidRPr="00B152E7">
        <w:rPr>
          <w:rFonts w:ascii="Arial" w:eastAsia="Calibri" w:hAnsi="Arial" w:cs="Arial"/>
          <w:bCs/>
        </w:rPr>
        <w:t>Además, destacó que de aplicar la interpretación que expone la ahora actora, se vulnerarían los principios de certeza y legalidad respecto de las reglas a aplicar en la asignación de regidurías por representación proporcional en el estado de Guanajuato.</w:t>
      </w:r>
    </w:p>
    <w:p w14:paraId="0ED63A05" w14:textId="77777777" w:rsidR="001E339C" w:rsidRPr="00B152E7" w:rsidRDefault="001E339C" w:rsidP="001E339C">
      <w:pPr>
        <w:autoSpaceDE w:val="0"/>
        <w:autoSpaceDN w:val="0"/>
        <w:adjustRightInd w:val="0"/>
        <w:spacing w:before="240" w:after="240" w:line="360" w:lineRule="auto"/>
        <w:jc w:val="both"/>
        <w:rPr>
          <w:rFonts w:ascii="Arial" w:hAnsi="Arial" w:cs="Arial"/>
          <w:b/>
          <w:color w:val="000000" w:themeColor="text1"/>
        </w:rPr>
      </w:pPr>
      <w:r w:rsidRPr="00B152E7">
        <w:rPr>
          <w:rFonts w:ascii="Arial" w:hAnsi="Arial" w:cs="Arial"/>
          <w:b/>
          <w:color w:val="000000" w:themeColor="text1"/>
        </w:rPr>
        <w:t xml:space="preserve">c) Agravios en juicio de la ciudadanía federal </w:t>
      </w:r>
    </w:p>
    <w:p w14:paraId="4B7C7A34" w14:textId="77777777" w:rsidR="00DD2DFB" w:rsidRPr="00B152E7" w:rsidRDefault="00DD2DFB" w:rsidP="00B672B0">
      <w:pPr>
        <w:autoSpaceDE w:val="0"/>
        <w:autoSpaceDN w:val="0"/>
        <w:adjustRightInd w:val="0"/>
        <w:spacing w:before="240" w:after="240" w:line="360" w:lineRule="auto"/>
        <w:jc w:val="both"/>
        <w:rPr>
          <w:rFonts w:ascii="Arial" w:eastAsia="Calibri" w:hAnsi="Arial" w:cs="Arial"/>
          <w:bCs/>
        </w:rPr>
      </w:pPr>
      <w:r w:rsidRPr="00B152E7">
        <w:rPr>
          <w:rFonts w:ascii="Arial" w:eastAsia="Calibri" w:hAnsi="Arial" w:cs="Arial"/>
          <w:bCs/>
        </w:rPr>
        <w:t>En la demanda de juicio de la ciudadanía interpuesta por la ahora recurrente, reiteró su solicitud de inaplicación al caso concreto del artículo 240, fracción III, párrafo segundo, de la Ley Electoral local al insistir en que en su opinión es una disposición discriminatoria por lo siguiente:</w:t>
      </w:r>
    </w:p>
    <w:p w14:paraId="0168F310" w14:textId="77777777" w:rsidR="00DD2DFB" w:rsidRPr="00B152E7" w:rsidRDefault="00DD2DFB" w:rsidP="00DD2DFB">
      <w:pPr>
        <w:pStyle w:val="Prrafodelista"/>
        <w:numPr>
          <w:ilvl w:val="0"/>
          <w:numId w:val="40"/>
        </w:numPr>
        <w:autoSpaceDE w:val="0"/>
        <w:autoSpaceDN w:val="0"/>
        <w:adjustRightInd w:val="0"/>
        <w:spacing w:before="240" w:after="240" w:line="360" w:lineRule="auto"/>
        <w:jc w:val="both"/>
        <w:rPr>
          <w:rFonts w:ascii="Arial" w:eastAsia="Calibri" w:hAnsi="Arial" w:cs="Arial"/>
          <w:bCs/>
        </w:rPr>
      </w:pPr>
      <w:r w:rsidRPr="00B152E7">
        <w:rPr>
          <w:rFonts w:ascii="Arial" w:eastAsia="Calibri" w:hAnsi="Arial" w:cs="Arial"/>
          <w:bCs/>
        </w:rPr>
        <w:t>No regula las candidaturas independientes.</w:t>
      </w:r>
    </w:p>
    <w:p w14:paraId="32415BF2" w14:textId="77777777" w:rsidR="00DD2DFB" w:rsidRPr="00B152E7" w:rsidRDefault="00DD2DFB" w:rsidP="00DD2DFB">
      <w:pPr>
        <w:pStyle w:val="Prrafodelista"/>
        <w:numPr>
          <w:ilvl w:val="0"/>
          <w:numId w:val="40"/>
        </w:numPr>
        <w:autoSpaceDE w:val="0"/>
        <w:autoSpaceDN w:val="0"/>
        <w:adjustRightInd w:val="0"/>
        <w:spacing w:before="240" w:after="240" w:line="360" w:lineRule="auto"/>
        <w:jc w:val="both"/>
        <w:rPr>
          <w:rFonts w:ascii="Arial" w:eastAsia="Calibri" w:hAnsi="Arial" w:cs="Arial"/>
          <w:bCs/>
        </w:rPr>
      </w:pPr>
      <w:r w:rsidRPr="00B152E7">
        <w:rPr>
          <w:rFonts w:ascii="Arial" w:eastAsia="Calibri" w:hAnsi="Arial" w:cs="Arial"/>
          <w:bCs/>
        </w:rPr>
        <w:t>Limita el ajuste de género a los partidos de menor votación.</w:t>
      </w:r>
    </w:p>
    <w:p w14:paraId="1071100F" w14:textId="77777777" w:rsidR="00DD2DFB" w:rsidRPr="00B152E7" w:rsidRDefault="00DD2DFB" w:rsidP="00DD2DFB">
      <w:pPr>
        <w:pStyle w:val="Prrafodelista"/>
        <w:numPr>
          <w:ilvl w:val="0"/>
          <w:numId w:val="40"/>
        </w:numPr>
        <w:autoSpaceDE w:val="0"/>
        <w:autoSpaceDN w:val="0"/>
        <w:adjustRightInd w:val="0"/>
        <w:spacing w:before="240" w:after="240" w:line="360" w:lineRule="auto"/>
        <w:jc w:val="both"/>
        <w:rPr>
          <w:rFonts w:ascii="Arial" w:eastAsia="Calibri" w:hAnsi="Arial" w:cs="Arial"/>
          <w:bCs/>
        </w:rPr>
      </w:pPr>
      <w:r w:rsidRPr="00B152E7">
        <w:rPr>
          <w:rFonts w:ascii="Arial" w:eastAsia="Calibri" w:hAnsi="Arial" w:cs="Arial"/>
          <w:bCs/>
        </w:rPr>
        <w:t>Ese modelo no es coincidente con un sistema electoral igualitario y que privilegia la participación y postulación en igual</w:t>
      </w:r>
      <w:r w:rsidR="002C7000" w:rsidRPr="00B152E7">
        <w:rPr>
          <w:rFonts w:ascii="Arial" w:eastAsia="Calibri" w:hAnsi="Arial" w:cs="Arial"/>
          <w:bCs/>
        </w:rPr>
        <w:t>.</w:t>
      </w:r>
    </w:p>
    <w:p w14:paraId="5C81D6D1" w14:textId="77777777" w:rsidR="00595CC0" w:rsidRPr="00B152E7" w:rsidRDefault="00595CC0" w:rsidP="00DD2DFB">
      <w:pPr>
        <w:pStyle w:val="Prrafodelista"/>
        <w:numPr>
          <w:ilvl w:val="0"/>
          <w:numId w:val="40"/>
        </w:numPr>
        <w:autoSpaceDE w:val="0"/>
        <w:autoSpaceDN w:val="0"/>
        <w:adjustRightInd w:val="0"/>
        <w:spacing w:before="240" w:after="240" w:line="360" w:lineRule="auto"/>
        <w:jc w:val="both"/>
        <w:rPr>
          <w:rFonts w:ascii="Arial" w:eastAsia="Calibri" w:hAnsi="Arial" w:cs="Arial"/>
          <w:bCs/>
        </w:rPr>
      </w:pPr>
      <w:r w:rsidRPr="00B152E7">
        <w:rPr>
          <w:rFonts w:ascii="Arial" w:eastAsia="Calibri" w:hAnsi="Arial" w:cs="Arial"/>
          <w:bCs/>
        </w:rPr>
        <w:lastRenderedPageBreak/>
        <w:t>Los ajustes de paridad de género debían realizarse con base en la votación obtenida una vez llegada la fase de asignación de resto mayor en aplicación del criterio contenido en el SUP-REC-112/2013.</w:t>
      </w:r>
    </w:p>
    <w:p w14:paraId="7C1AFD6E" w14:textId="77777777" w:rsidR="001E339C" w:rsidRPr="00B152E7" w:rsidRDefault="001E339C" w:rsidP="00B672B0">
      <w:pPr>
        <w:autoSpaceDE w:val="0"/>
        <w:autoSpaceDN w:val="0"/>
        <w:adjustRightInd w:val="0"/>
        <w:spacing w:before="240" w:after="240" w:line="360" w:lineRule="auto"/>
        <w:jc w:val="both"/>
        <w:rPr>
          <w:rFonts w:ascii="Arial" w:eastAsia="Calibri" w:hAnsi="Arial" w:cs="Arial"/>
          <w:b/>
          <w:bCs/>
        </w:rPr>
      </w:pPr>
      <w:r w:rsidRPr="00B152E7">
        <w:rPr>
          <w:rFonts w:ascii="Arial" w:eastAsia="Calibri" w:hAnsi="Arial" w:cs="Arial"/>
          <w:b/>
          <w:bCs/>
        </w:rPr>
        <w:t>d) Consideraciones de la Sala Monterrey</w:t>
      </w:r>
    </w:p>
    <w:p w14:paraId="327963E4" w14:textId="77777777" w:rsidR="00B672B0" w:rsidRPr="00B152E7" w:rsidRDefault="002C7000" w:rsidP="00B672B0">
      <w:pPr>
        <w:autoSpaceDE w:val="0"/>
        <w:autoSpaceDN w:val="0"/>
        <w:adjustRightInd w:val="0"/>
        <w:spacing w:before="240" w:after="240" w:line="360" w:lineRule="auto"/>
        <w:jc w:val="both"/>
        <w:rPr>
          <w:rFonts w:ascii="Arial" w:eastAsia="Calibri" w:hAnsi="Arial" w:cs="Arial"/>
          <w:bCs/>
        </w:rPr>
      </w:pPr>
      <w:r w:rsidRPr="00B152E7">
        <w:rPr>
          <w:rFonts w:ascii="Arial" w:eastAsia="Calibri" w:hAnsi="Arial" w:cs="Arial"/>
          <w:bCs/>
        </w:rPr>
        <w:t>Al respecto</w:t>
      </w:r>
      <w:r w:rsidR="003E1274" w:rsidRPr="00B152E7">
        <w:rPr>
          <w:rFonts w:ascii="Arial" w:eastAsia="Calibri" w:hAnsi="Arial" w:cs="Arial"/>
          <w:bCs/>
        </w:rPr>
        <w:t>, la Sala responsable analizó tanto lo razonado por el Tribunal local como los agravios de la actora, concluyendo que</w:t>
      </w:r>
      <w:r w:rsidR="001E339C" w:rsidRPr="00B152E7">
        <w:rPr>
          <w:rFonts w:ascii="Arial" w:eastAsia="Calibri" w:hAnsi="Arial" w:cs="Arial"/>
          <w:bCs/>
        </w:rPr>
        <w:t>,</w:t>
      </w:r>
      <w:r w:rsidR="003E1274" w:rsidRPr="00B152E7">
        <w:rPr>
          <w:rFonts w:ascii="Arial" w:eastAsia="Calibri" w:hAnsi="Arial" w:cs="Arial"/>
          <w:bCs/>
        </w:rPr>
        <w:t xml:space="preserve"> </w:t>
      </w:r>
      <w:r w:rsidR="006C3E7E" w:rsidRPr="00B152E7">
        <w:rPr>
          <w:rFonts w:ascii="Arial" w:eastAsia="Calibri" w:hAnsi="Arial" w:cs="Arial"/>
          <w:bCs/>
        </w:rPr>
        <w:t xml:space="preserve">si bien </w:t>
      </w:r>
      <w:r w:rsidR="003E1274" w:rsidRPr="00B152E7">
        <w:rPr>
          <w:rFonts w:ascii="Arial" w:eastAsia="Calibri" w:hAnsi="Arial" w:cs="Arial"/>
          <w:bCs/>
        </w:rPr>
        <w:t xml:space="preserve">solicitaba la inaplicación del artículo 240, fracción III, párrafo segundo de la Ley Electoral local al considerarlo discriminatorio; </w:t>
      </w:r>
      <w:r w:rsidR="006C3E7E" w:rsidRPr="00B152E7">
        <w:rPr>
          <w:rFonts w:ascii="Arial" w:eastAsia="Calibri" w:hAnsi="Arial" w:cs="Arial"/>
          <w:bCs/>
        </w:rPr>
        <w:t>lo cierto era que</w:t>
      </w:r>
      <w:r w:rsidR="003E1274" w:rsidRPr="00B152E7">
        <w:rPr>
          <w:rFonts w:ascii="Arial" w:eastAsia="Calibri" w:hAnsi="Arial" w:cs="Arial"/>
          <w:bCs/>
        </w:rPr>
        <w:t xml:space="preserve"> no controv</w:t>
      </w:r>
      <w:r w:rsidR="006C3E7E" w:rsidRPr="00B152E7">
        <w:rPr>
          <w:rFonts w:ascii="Arial" w:eastAsia="Calibri" w:hAnsi="Arial" w:cs="Arial"/>
          <w:bCs/>
        </w:rPr>
        <w:t>ertía</w:t>
      </w:r>
      <w:r w:rsidR="003E1274" w:rsidRPr="00B152E7">
        <w:rPr>
          <w:rFonts w:ascii="Arial" w:eastAsia="Calibri" w:hAnsi="Arial" w:cs="Arial"/>
          <w:bCs/>
        </w:rPr>
        <w:t xml:space="preserve"> las razones por las cuales el </w:t>
      </w:r>
      <w:r w:rsidR="00C45993" w:rsidRPr="00B152E7">
        <w:rPr>
          <w:rFonts w:ascii="Arial" w:eastAsia="Calibri" w:hAnsi="Arial" w:cs="Arial"/>
          <w:bCs/>
        </w:rPr>
        <w:t>entonces responsable</w:t>
      </w:r>
      <w:r w:rsidR="003E1274" w:rsidRPr="00B152E7">
        <w:rPr>
          <w:rFonts w:ascii="Arial" w:eastAsia="Calibri" w:hAnsi="Arial" w:cs="Arial"/>
          <w:bCs/>
        </w:rPr>
        <w:t xml:space="preserve"> tuvo por inoperante e infundado su agravio</w:t>
      </w:r>
      <w:r w:rsidRPr="00B152E7">
        <w:rPr>
          <w:rFonts w:ascii="Arial" w:eastAsia="Calibri" w:hAnsi="Arial" w:cs="Arial"/>
          <w:bCs/>
        </w:rPr>
        <w:t xml:space="preserve"> en la instancia local</w:t>
      </w:r>
      <w:r w:rsidR="003E1274" w:rsidRPr="00B152E7">
        <w:rPr>
          <w:rFonts w:ascii="Arial" w:eastAsia="Calibri" w:hAnsi="Arial" w:cs="Arial"/>
          <w:bCs/>
        </w:rPr>
        <w:t xml:space="preserve">, en donde igualmente planteó la inconstitucionalidad del artículo, por lo que </w:t>
      </w:r>
      <w:r w:rsidR="006C3E7E" w:rsidRPr="00B152E7">
        <w:rPr>
          <w:rFonts w:ascii="Arial" w:eastAsia="Calibri" w:hAnsi="Arial" w:cs="Arial"/>
          <w:bCs/>
        </w:rPr>
        <w:t>desestimó</w:t>
      </w:r>
      <w:r w:rsidR="003E1274" w:rsidRPr="00B152E7">
        <w:rPr>
          <w:rFonts w:ascii="Arial" w:eastAsia="Calibri" w:hAnsi="Arial" w:cs="Arial"/>
          <w:bCs/>
        </w:rPr>
        <w:t xml:space="preserve"> los planteamientos realizados.</w:t>
      </w:r>
    </w:p>
    <w:p w14:paraId="75F9F046" w14:textId="77777777" w:rsidR="00595CC0" w:rsidRPr="00B152E7" w:rsidRDefault="003E1274" w:rsidP="00B672B0">
      <w:pPr>
        <w:autoSpaceDE w:val="0"/>
        <w:autoSpaceDN w:val="0"/>
        <w:adjustRightInd w:val="0"/>
        <w:spacing w:before="240" w:after="240" w:line="360" w:lineRule="auto"/>
        <w:jc w:val="both"/>
        <w:rPr>
          <w:rFonts w:ascii="Arial" w:hAnsi="Arial" w:cs="Arial"/>
          <w:color w:val="000000" w:themeColor="text1"/>
        </w:rPr>
      </w:pPr>
      <w:r w:rsidRPr="00B152E7">
        <w:rPr>
          <w:rFonts w:ascii="Arial" w:hAnsi="Arial" w:cs="Arial"/>
          <w:color w:val="000000" w:themeColor="text1"/>
        </w:rPr>
        <w:t>En consecuencia, calificó como ineficaces sus agravios, pues de la demanda no se desprend</w:t>
      </w:r>
      <w:r w:rsidR="00C45993" w:rsidRPr="00B152E7">
        <w:rPr>
          <w:rFonts w:ascii="Arial" w:hAnsi="Arial" w:cs="Arial"/>
          <w:color w:val="000000" w:themeColor="text1"/>
        </w:rPr>
        <w:t>ía</w:t>
      </w:r>
      <w:r w:rsidRPr="00B152E7">
        <w:rPr>
          <w:rFonts w:ascii="Arial" w:hAnsi="Arial" w:cs="Arial"/>
          <w:color w:val="000000" w:themeColor="text1"/>
        </w:rPr>
        <w:t xml:space="preserve"> manifestación alguna encaminada a controvertir dichos razonamientos</w:t>
      </w:r>
      <w:r w:rsidR="00595CC0" w:rsidRPr="00B152E7">
        <w:rPr>
          <w:rFonts w:ascii="Arial" w:hAnsi="Arial" w:cs="Arial"/>
          <w:color w:val="000000" w:themeColor="text1"/>
        </w:rPr>
        <w:t>.</w:t>
      </w:r>
    </w:p>
    <w:p w14:paraId="1083B474" w14:textId="77777777" w:rsidR="00B672B0" w:rsidRPr="00B152E7" w:rsidRDefault="00595CC0" w:rsidP="00B672B0">
      <w:pPr>
        <w:autoSpaceDE w:val="0"/>
        <w:autoSpaceDN w:val="0"/>
        <w:adjustRightInd w:val="0"/>
        <w:spacing w:before="240" w:after="240" w:line="360" w:lineRule="auto"/>
        <w:jc w:val="both"/>
        <w:rPr>
          <w:rFonts w:ascii="Arial" w:hAnsi="Arial" w:cs="Arial"/>
          <w:color w:val="000000" w:themeColor="text1"/>
        </w:rPr>
      </w:pPr>
      <w:r w:rsidRPr="00B152E7">
        <w:rPr>
          <w:rFonts w:ascii="Arial" w:hAnsi="Arial" w:cs="Arial"/>
          <w:color w:val="000000" w:themeColor="text1"/>
        </w:rPr>
        <w:t>P</w:t>
      </w:r>
      <w:r w:rsidR="00B672B0" w:rsidRPr="00B152E7">
        <w:rPr>
          <w:rFonts w:ascii="Arial" w:hAnsi="Arial" w:cs="Arial"/>
          <w:color w:val="000000" w:themeColor="text1"/>
        </w:rPr>
        <w:t xml:space="preserve">or otra </w:t>
      </w:r>
      <w:r w:rsidRPr="00B152E7">
        <w:rPr>
          <w:rFonts w:ascii="Arial" w:hAnsi="Arial" w:cs="Arial"/>
          <w:color w:val="000000" w:themeColor="text1"/>
        </w:rPr>
        <w:t xml:space="preserve">parte, </w:t>
      </w:r>
      <w:r w:rsidR="006C3E7E" w:rsidRPr="00B152E7">
        <w:rPr>
          <w:rFonts w:ascii="Arial" w:hAnsi="Arial" w:cs="Arial"/>
          <w:color w:val="000000" w:themeColor="text1"/>
        </w:rPr>
        <w:t xml:space="preserve">estimó que eran </w:t>
      </w:r>
      <w:r w:rsidRPr="00B152E7">
        <w:rPr>
          <w:rFonts w:ascii="Arial" w:hAnsi="Arial" w:cs="Arial"/>
          <w:color w:val="000000" w:themeColor="text1"/>
        </w:rPr>
        <w:t xml:space="preserve">ineficaces por </w:t>
      </w:r>
      <w:r w:rsidR="00B672B0" w:rsidRPr="00B152E7">
        <w:rPr>
          <w:rFonts w:ascii="Arial" w:hAnsi="Arial" w:cs="Arial"/>
          <w:color w:val="000000" w:themeColor="text1"/>
        </w:rPr>
        <w:t>novedosos</w:t>
      </w:r>
      <w:r w:rsidRPr="00B152E7">
        <w:rPr>
          <w:rFonts w:ascii="Arial" w:hAnsi="Arial" w:cs="Arial"/>
          <w:color w:val="000000" w:themeColor="text1"/>
        </w:rPr>
        <w:t xml:space="preserve"> los agravios sobre la forma en la que tendría que aplicarse la regla de la Ley electoral local para que, en su opinión, no fuera discriminatoria al aplicar el </w:t>
      </w:r>
      <w:r w:rsidR="00B672B0" w:rsidRPr="00B152E7">
        <w:rPr>
          <w:rFonts w:ascii="Arial" w:hAnsi="Arial" w:cs="Arial"/>
          <w:color w:val="000000" w:themeColor="text1"/>
        </w:rPr>
        <w:t>SUP-REC-112/2013</w:t>
      </w:r>
      <w:r w:rsidRPr="00B152E7">
        <w:rPr>
          <w:rFonts w:ascii="Arial" w:hAnsi="Arial" w:cs="Arial"/>
          <w:color w:val="000000" w:themeColor="text1"/>
        </w:rPr>
        <w:t>; lo anterior</w:t>
      </w:r>
      <w:r w:rsidR="00B672B0" w:rsidRPr="00B152E7">
        <w:rPr>
          <w:rFonts w:ascii="Arial" w:hAnsi="Arial" w:cs="Arial"/>
          <w:color w:val="000000" w:themeColor="text1"/>
        </w:rPr>
        <w:t xml:space="preserve"> ya que dichos agravios no fueron formulados en el medio de impugnación local por lo que la entonces responsable no estuvo en aptitud de ocuparse de ellos. </w:t>
      </w:r>
    </w:p>
    <w:p w14:paraId="27AE85E8" w14:textId="77777777" w:rsidR="001E339C" w:rsidRPr="00B152E7" w:rsidRDefault="001E339C" w:rsidP="00B672B0">
      <w:pPr>
        <w:autoSpaceDE w:val="0"/>
        <w:autoSpaceDN w:val="0"/>
        <w:adjustRightInd w:val="0"/>
        <w:spacing w:before="240" w:after="240" w:line="360" w:lineRule="auto"/>
        <w:jc w:val="both"/>
        <w:rPr>
          <w:rFonts w:ascii="Arial" w:hAnsi="Arial" w:cs="Arial"/>
          <w:b/>
          <w:color w:val="000000" w:themeColor="text1"/>
        </w:rPr>
      </w:pPr>
      <w:r w:rsidRPr="00B152E7">
        <w:rPr>
          <w:rFonts w:ascii="Arial" w:hAnsi="Arial" w:cs="Arial"/>
          <w:b/>
          <w:color w:val="000000" w:themeColor="text1"/>
        </w:rPr>
        <w:t>e) Caso concreto</w:t>
      </w:r>
    </w:p>
    <w:p w14:paraId="6D53DEDC" w14:textId="77777777" w:rsidR="00B672B0" w:rsidRPr="00B152E7" w:rsidRDefault="00B672B0" w:rsidP="00B672B0">
      <w:pPr>
        <w:autoSpaceDE w:val="0"/>
        <w:autoSpaceDN w:val="0"/>
        <w:adjustRightInd w:val="0"/>
        <w:spacing w:before="240" w:after="240" w:line="360" w:lineRule="auto"/>
        <w:jc w:val="both"/>
        <w:rPr>
          <w:rFonts w:ascii="Arial" w:eastAsia="Calibri" w:hAnsi="Arial" w:cs="Arial"/>
          <w:bCs/>
        </w:rPr>
      </w:pPr>
      <w:r w:rsidRPr="00B152E7">
        <w:rPr>
          <w:rFonts w:ascii="Arial" w:hAnsi="Arial" w:cs="Arial"/>
          <w:color w:val="000000" w:themeColor="text1"/>
        </w:rPr>
        <w:t>Ahora bien, en la presente instancia la recurrente aduce esencialmente que contrario</w:t>
      </w:r>
      <w:r w:rsidRPr="00B152E7">
        <w:rPr>
          <w:rFonts w:ascii="Arial" w:hAnsi="Arial" w:cs="Arial"/>
        </w:rPr>
        <w:t xml:space="preserve"> a lo resuelto por la Sala Monterrey, los agravios planteados siempre han sido en el sentido de demostrar la inconstitucionalidad del artículo 240, fracción III, párrafo segundo de la Ley Electoral local.</w:t>
      </w:r>
    </w:p>
    <w:p w14:paraId="459985FF" w14:textId="77777777" w:rsidR="00345E6A" w:rsidRPr="00B152E7" w:rsidRDefault="00E82B26" w:rsidP="00FE1A56">
      <w:pPr>
        <w:autoSpaceDE w:val="0"/>
        <w:autoSpaceDN w:val="0"/>
        <w:adjustRightInd w:val="0"/>
        <w:spacing w:before="240" w:after="240" w:line="360" w:lineRule="auto"/>
        <w:jc w:val="both"/>
        <w:rPr>
          <w:rFonts w:ascii="Arial" w:hAnsi="Arial" w:cs="Arial"/>
        </w:rPr>
      </w:pPr>
      <w:r w:rsidRPr="00B152E7">
        <w:rPr>
          <w:rFonts w:ascii="Arial" w:eastAsia="Calibri" w:hAnsi="Arial" w:cs="Arial"/>
          <w:bCs/>
        </w:rPr>
        <w:t>Así,</w:t>
      </w:r>
      <w:r w:rsidR="00B672B0" w:rsidRPr="00B152E7">
        <w:rPr>
          <w:rFonts w:ascii="Arial" w:eastAsia="Calibri" w:hAnsi="Arial" w:cs="Arial"/>
          <w:bCs/>
        </w:rPr>
        <w:t xml:space="preserve"> tomando en consideración lo resuelto tanto por el Tribunal local</w:t>
      </w:r>
      <w:r w:rsidR="00FE1A56" w:rsidRPr="00B152E7">
        <w:rPr>
          <w:rFonts w:ascii="Arial" w:eastAsia="Calibri" w:hAnsi="Arial" w:cs="Arial"/>
          <w:bCs/>
        </w:rPr>
        <w:t xml:space="preserve"> </w:t>
      </w:r>
      <w:r w:rsidR="00B672B0" w:rsidRPr="00B152E7">
        <w:rPr>
          <w:rFonts w:ascii="Arial" w:eastAsia="Calibri" w:hAnsi="Arial" w:cs="Arial"/>
          <w:bCs/>
        </w:rPr>
        <w:t xml:space="preserve">como por la Sala Monterrey, se </w:t>
      </w:r>
      <w:r w:rsidR="00FE1A56" w:rsidRPr="00B152E7">
        <w:rPr>
          <w:rFonts w:ascii="Arial" w:eastAsia="Calibri" w:hAnsi="Arial" w:cs="Arial"/>
          <w:bCs/>
        </w:rPr>
        <w:t xml:space="preserve">estima que los agravios de la recurrente son </w:t>
      </w:r>
      <w:r w:rsidR="00FE1A56" w:rsidRPr="00B152E7">
        <w:rPr>
          <w:rFonts w:ascii="Arial" w:eastAsia="Calibri" w:hAnsi="Arial" w:cs="Arial"/>
          <w:b/>
        </w:rPr>
        <w:t xml:space="preserve">infundados </w:t>
      </w:r>
      <w:r w:rsidR="001E339C" w:rsidRPr="00B152E7">
        <w:rPr>
          <w:rFonts w:ascii="Arial" w:eastAsia="Calibri" w:hAnsi="Arial" w:cs="Arial"/>
          <w:bCs/>
        </w:rPr>
        <w:t>en tanto que fue correcta la calificación de ineficacia</w:t>
      </w:r>
      <w:r w:rsidR="00345E6A" w:rsidRPr="00B152E7">
        <w:rPr>
          <w:rFonts w:ascii="Arial" w:eastAsia="Calibri" w:hAnsi="Arial" w:cs="Arial"/>
          <w:bCs/>
        </w:rPr>
        <w:t xml:space="preserve"> dada por </w:t>
      </w:r>
      <w:r w:rsidR="00345E6A" w:rsidRPr="00B152E7">
        <w:rPr>
          <w:rFonts w:ascii="Arial" w:eastAsia="Calibri" w:hAnsi="Arial" w:cs="Arial"/>
          <w:bCs/>
        </w:rPr>
        <w:lastRenderedPageBreak/>
        <w:t>la responsable, en la medida en que en la demanda del juicio de la ciudadanía federal promovido por</w:t>
      </w:r>
      <w:r w:rsidR="00FE1A56" w:rsidRPr="00B152E7">
        <w:rPr>
          <w:rFonts w:ascii="Arial" w:eastAsia="Calibri" w:hAnsi="Arial" w:cs="Arial"/>
          <w:bCs/>
        </w:rPr>
        <w:t xml:space="preserve"> </w:t>
      </w:r>
      <w:r w:rsidR="00FE1A56" w:rsidRPr="00B152E7">
        <w:rPr>
          <w:rFonts w:ascii="Arial" w:hAnsi="Arial" w:cs="Arial"/>
        </w:rPr>
        <w:t>la hoy recurrente no combatió frontalmente los razonamientos del Tribunal local</w:t>
      </w:r>
      <w:r w:rsidR="00345E6A" w:rsidRPr="00B152E7">
        <w:rPr>
          <w:rFonts w:ascii="Arial" w:hAnsi="Arial" w:cs="Arial"/>
        </w:rPr>
        <w:t>.</w:t>
      </w:r>
    </w:p>
    <w:p w14:paraId="2DB66D04" w14:textId="77777777" w:rsidR="00FE1A56" w:rsidRPr="00B152E7" w:rsidRDefault="00345E6A" w:rsidP="00FE1A56">
      <w:pPr>
        <w:autoSpaceDE w:val="0"/>
        <w:autoSpaceDN w:val="0"/>
        <w:adjustRightInd w:val="0"/>
        <w:spacing w:before="240" w:after="240" w:line="360" w:lineRule="auto"/>
        <w:jc w:val="both"/>
        <w:rPr>
          <w:rFonts w:ascii="Arial" w:hAnsi="Arial" w:cs="Arial"/>
        </w:rPr>
      </w:pPr>
      <w:r w:rsidRPr="00B152E7">
        <w:rPr>
          <w:rFonts w:ascii="Arial" w:hAnsi="Arial" w:cs="Arial"/>
        </w:rPr>
        <w:t xml:space="preserve">Es decir, ante la Sala Monterrey, la recurrente dejó de controvertir </w:t>
      </w:r>
      <w:r w:rsidR="00595CC0" w:rsidRPr="00B152E7">
        <w:rPr>
          <w:rFonts w:ascii="Arial" w:hAnsi="Arial" w:cs="Arial"/>
        </w:rPr>
        <w:t>el test de proporcionalidad desarrollado por el tribunal local</w:t>
      </w:r>
      <w:r w:rsidRPr="00B152E7">
        <w:rPr>
          <w:rFonts w:ascii="Arial" w:hAnsi="Arial" w:cs="Arial"/>
        </w:rPr>
        <w:t>, así como el resto de las consideraciones a partir de las cuales desvirtuó la petición de inaplicación al caso concreto de la regla de ajuste de paridad en la integración de ayuntamientos, prevista en la Ley Electoral local</w:t>
      </w:r>
      <w:r w:rsidR="00FE1A56" w:rsidRPr="00B152E7">
        <w:rPr>
          <w:rFonts w:ascii="Arial" w:hAnsi="Arial" w:cs="Arial"/>
        </w:rPr>
        <w:t xml:space="preserve">. </w:t>
      </w:r>
    </w:p>
    <w:p w14:paraId="4A810313" w14:textId="77777777" w:rsidR="00345E6A" w:rsidRPr="00B152E7" w:rsidRDefault="00345E6A" w:rsidP="00FE1A56">
      <w:pPr>
        <w:autoSpaceDE w:val="0"/>
        <w:autoSpaceDN w:val="0"/>
        <w:adjustRightInd w:val="0"/>
        <w:spacing w:before="240" w:after="240" w:line="360" w:lineRule="auto"/>
        <w:jc w:val="both"/>
        <w:rPr>
          <w:rFonts w:ascii="Arial" w:hAnsi="Arial" w:cs="Arial"/>
        </w:rPr>
      </w:pPr>
      <w:r w:rsidRPr="00B152E7">
        <w:rPr>
          <w:rFonts w:ascii="Arial" w:hAnsi="Arial" w:cs="Arial"/>
        </w:rPr>
        <w:t>R</w:t>
      </w:r>
      <w:r w:rsidR="00595CC0" w:rsidRPr="00B152E7">
        <w:rPr>
          <w:rFonts w:ascii="Arial" w:hAnsi="Arial" w:cs="Arial"/>
        </w:rPr>
        <w:t>especto de la aplicabilidad de lo resuelto por la Suprema Corte de Justicia de la Nación en la acción de inconstitucionalidad 63/2017,</w:t>
      </w:r>
      <w:r w:rsidRPr="00B152E7">
        <w:rPr>
          <w:rFonts w:ascii="Arial" w:hAnsi="Arial" w:cs="Arial"/>
        </w:rPr>
        <w:t xml:space="preserve"> en su demanda de juicio de la ciudadanía federal, formuló su agravio en el sentido de</w:t>
      </w:r>
      <w:r w:rsidR="00595CC0" w:rsidRPr="00B152E7">
        <w:rPr>
          <w:rFonts w:ascii="Arial" w:hAnsi="Arial" w:cs="Arial"/>
        </w:rPr>
        <w:t xml:space="preserve"> sostener que </w:t>
      </w:r>
      <w:r w:rsidR="003D2E91" w:rsidRPr="00B152E7">
        <w:rPr>
          <w:rFonts w:ascii="Arial" w:hAnsi="Arial" w:cs="Arial"/>
        </w:rPr>
        <w:t>en la normativa de la Ciudad de México la fórmula de asignación cuenta con características específicas</w:t>
      </w:r>
      <w:r w:rsidRPr="00B152E7">
        <w:rPr>
          <w:rFonts w:ascii="Arial" w:hAnsi="Arial" w:cs="Arial"/>
        </w:rPr>
        <w:t>.</w:t>
      </w:r>
    </w:p>
    <w:p w14:paraId="525FDAD3" w14:textId="77777777" w:rsidR="00595CC0" w:rsidRPr="00B152E7" w:rsidRDefault="00345E6A" w:rsidP="00FE1A56">
      <w:pPr>
        <w:autoSpaceDE w:val="0"/>
        <w:autoSpaceDN w:val="0"/>
        <w:adjustRightInd w:val="0"/>
        <w:spacing w:before="240" w:after="240" w:line="360" w:lineRule="auto"/>
        <w:jc w:val="both"/>
        <w:rPr>
          <w:rFonts w:ascii="Arial" w:hAnsi="Arial" w:cs="Arial"/>
        </w:rPr>
      </w:pPr>
      <w:r w:rsidRPr="00B152E7">
        <w:rPr>
          <w:rFonts w:ascii="Arial" w:hAnsi="Arial" w:cs="Arial"/>
        </w:rPr>
        <w:t xml:space="preserve">Por ello, fue correcta la calificación de ineficaces que dio la Sala Monterrey, en tanto que el Tribunal local motivó su determinación a partir de lo resuelto por la Suprema Corte de Justicia de la Nación en dicha acción de inconstitucionalidad respecto del análisis de la constitucionalidad de la porción normativa que fija </w:t>
      </w:r>
      <w:r w:rsidR="003D2E91" w:rsidRPr="00B152E7">
        <w:rPr>
          <w:rFonts w:ascii="Arial" w:hAnsi="Arial" w:cs="Arial"/>
        </w:rPr>
        <w:t>la aplicación del ajuste de paridad a partir de los partidos políticos con menor votación</w:t>
      </w:r>
      <w:r w:rsidRPr="00B152E7">
        <w:rPr>
          <w:rFonts w:ascii="Arial" w:hAnsi="Arial" w:cs="Arial"/>
        </w:rPr>
        <w:t>, no por el grado de identidad en el sistema de asignación de cargos por representación proporcional entre las legislaciones de la Ciudad de México y el estado de Guanajuato.</w:t>
      </w:r>
    </w:p>
    <w:p w14:paraId="425AB236" w14:textId="77777777" w:rsidR="00345E6A" w:rsidRPr="00B152E7" w:rsidRDefault="00345E6A" w:rsidP="00FE1A56">
      <w:pPr>
        <w:autoSpaceDE w:val="0"/>
        <w:autoSpaceDN w:val="0"/>
        <w:adjustRightInd w:val="0"/>
        <w:spacing w:before="240" w:after="240" w:line="360" w:lineRule="auto"/>
        <w:jc w:val="both"/>
        <w:rPr>
          <w:rFonts w:ascii="Arial" w:hAnsi="Arial" w:cs="Arial"/>
        </w:rPr>
      </w:pPr>
      <w:r w:rsidRPr="00B152E7">
        <w:rPr>
          <w:rFonts w:ascii="Arial" w:hAnsi="Arial" w:cs="Arial"/>
        </w:rPr>
        <w:t xml:space="preserve">Es así como se comparte la calificativa dada por la sala responsable, en tanto que resultaba irrelevantes los elementos que alegó ante la Sala </w:t>
      </w:r>
      <w:r w:rsidR="00E33AAC" w:rsidRPr="00B152E7">
        <w:rPr>
          <w:rFonts w:ascii="Arial" w:hAnsi="Arial" w:cs="Arial"/>
        </w:rPr>
        <w:t>Monterrey la ahora recurrente.</w:t>
      </w:r>
      <w:r w:rsidRPr="00B152E7">
        <w:rPr>
          <w:rFonts w:ascii="Arial" w:hAnsi="Arial" w:cs="Arial"/>
        </w:rPr>
        <w:t xml:space="preserve"> </w:t>
      </w:r>
    </w:p>
    <w:p w14:paraId="2C738820" w14:textId="77777777" w:rsidR="009E4B23" w:rsidRPr="00B152E7" w:rsidRDefault="003D2E91" w:rsidP="009E4B23">
      <w:pPr>
        <w:autoSpaceDE w:val="0"/>
        <w:autoSpaceDN w:val="0"/>
        <w:adjustRightInd w:val="0"/>
        <w:spacing w:before="240" w:after="240" w:line="360" w:lineRule="auto"/>
        <w:jc w:val="both"/>
        <w:rPr>
          <w:rFonts w:ascii="Arial" w:hAnsi="Arial" w:cs="Arial"/>
        </w:rPr>
      </w:pPr>
      <w:r w:rsidRPr="00B152E7">
        <w:rPr>
          <w:rFonts w:ascii="Arial" w:hAnsi="Arial" w:cs="Arial"/>
        </w:rPr>
        <w:t xml:space="preserve">En cuanto a los agravios calificados como ineficaces por novedosos por la Sala Monterrey, se coincide con esa determinación ya que </w:t>
      </w:r>
      <w:r w:rsidR="00E33AAC" w:rsidRPr="00B152E7">
        <w:rPr>
          <w:rFonts w:ascii="Arial" w:hAnsi="Arial" w:cs="Arial"/>
        </w:rPr>
        <w:t>en la demanda del juicio de la ciudadanía federal se pretendía modificar la</w:t>
      </w:r>
      <w:r w:rsidR="00FE1A56" w:rsidRPr="00B152E7">
        <w:rPr>
          <w:rFonts w:ascii="Arial" w:hAnsi="Arial" w:cs="Arial"/>
        </w:rPr>
        <w:t xml:space="preserve"> defensa </w:t>
      </w:r>
      <w:r w:rsidRPr="00B152E7">
        <w:rPr>
          <w:rFonts w:ascii="Arial" w:hAnsi="Arial" w:cs="Arial"/>
        </w:rPr>
        <w:t xml:space="preserve">ante la instancia regional </w:t>
      </w:r>
      <w:r w:rsidR="00FE1A56" w:rsidRPr="00B152E7">
        <w:rPr>
          <w:rFonts w:ascii="Arial" w:hAnsi="Arial" w:cs="Arial"/>
        </w:rPr>
        <w:t xml:space="preserve">con el propósito de que </w:t>
      </w:r>
      <w:r w:rsidRPr="00B152E7">
        <w:rPr>
          <w:rFonts w:ascii="Arial" w:hAnsi="Arial" w:cs="Arial"/>
        </w:rPr>
        <w:t>se</w:t>
      </w:r>
      <w:r w:rsidR="00FE1A56" w:rsidRPr="00B152E7">
        <w:rPr>
          <w:rFonts w:ascii="Arial" w:hAnsi="Arial" w:cs="Arial"/>
        </w:rPr>
        <w:t xml:space="preserve"> inaplique el multicitado artículo </w:t>
      </w:r>
      <w:r w:rsidRPr="00B152E7">
        <w:rPr>
          <w:rFonts w:ascii="Arial" w:hAnsi="Arial" w:cs="Arial"/>
        </w:rPr>
        <w:t xml:space="preserve">y se </w:t>
      </w:r>
      <w:r w:rsidR="009E4B23" w:rsidRPr="00B152E7">
        <w:rPr>
          <w:rFonts w:ascii="Arial" w:hAnsi="Arial" w:cs="Arial"/>
        </w:rPr>
        <w:t xml:space="preserve">considere como menor votación la que resultara una vez llegada la fase de resto mayor, en cuyo caso, el ajuste recaería en la postulación realizada por Morena, con lo cual le sería asignada una regiduría. </w:t>
      </w:r>
    </w:p>
    <w:p w14:paraId="673A0A8A" w14:textId="77777777" w:rsidR="00E33AAC" w:rsidRPr="00B152E7" w:rsidRDefault="00E33AAC" w:rsidP="009E4B23">
      <w:pPr>
        <w:autoSpaceDE w:val="0"/>
        <w:autoSpaceDN w:val="0"/>
        <w:adjustRightInd w:val="0"/>
        <w:spacing w:before="240" w:after="240" w:line="360" w:lineRule="auto"/>
        <w:jc w:val="both"/>
        <w:rPr>
          <w:rFonts w:ascii="Arial" w:hAnsi="Arial" w:cs="Arial"/>
        </w:rPr>
      </w:pPr>
      <w:r w:rsidRPr="00B152E7">
        <w:rPr>
          <w:rFonts w:ascii="Arial" w:hAnsi="Arial" w:cs="Arial"/>
        </w:rPr>
        <w:lastRenderedPageBreak/>
        <w:t>Al respecto, ante la instancia local la actora argumentaba que la disposición relativa al ajuste de paridad discrimina a los partidos con mayor votación frente aquellos que hubieran recibido menos votos, lo que incidía en el derecho de las candidatas postuladas por partidos con mayor grado de representación en el órgano.</w:t>
      </w:r>
    </w:p>
    <w:p w14:paraId="38B344F2" w14:textId="77777777" w:rsidR="00E33AAC" w:rsidRPr="00B152E7" w:rsidRDefault="00E33AAC" w:rsidP="009E4B23">
      <w:pPr>
        <w:autoSpaceDE w:val="0"/>
        <w:autoSpaceDN w:val="0"/>
        <w:adjustRightInd w:val="0"/>
        <w:spacing w:before="240" w:after="240" w:line="360" w:lineRule="auto"/>
        <w:jc w:val="both"/>
        <w:rPr>
          <w:rFonts w:ascii="Arial" w:hAnsi="Arial" w:cs="Arial"/>
        </w:rPr>
      </w:pPr>
      <w:r w:rsidRPr="00B152E7">
        <w:rPr>
          <w:rFonts w:ascii="Arial" w:hAnsi="Arial" w:cs="Arial"/>
        </w:rPr>
        <w:t xml:space="preserve">En un segundo momento, ante la Sala Monterrey la actora planteó un esquema </w:t>
      </w:r>
      <w:r w:rsidR="00B47A86" w:rsidRPr="00B152E7">
        <w:rPr>
          <w:rFonts w:ascii="Arial" w:hAnsi="Arial" w:cs="Arial"/>
        </w:rPr>
        <w:t xml:space="preserve">distinto </w:t>
      </w:r>
      <w:r w:rsidRPr="00B152E7">
        <w:rPr>
          <w:rFonts w:ascii="Arial" w:hAnsi="Arial" w:cs="Arial"/>
        </w:rPr>
        <w:t xml:space="preserve">de ajuste a partir de las etapas de asignación de las regidurías, alegando que </w:t>
      </w:r>
      <w:r w:rsidR="00B47A86" w:rsidRPr="00B152E7">
        <w:rPr>
          <w:rFonts w:ascii="Arial" w:hAnsi="Arial" w:cs="Arial"/>
        </w:rPr>
        <w:t xml:space="preserve">debería aplicarse al momento de asignar por resto mayor, lo que evidentemente no guarda identidad con los agravios materia de estudio en la instancia local, de ahí que se comparta la calificativa que en el caso dio la responsable. </w:t>
      </w:r>
      <w:r w:rsidRPr="00B152E7">
        <w:rPr>
          <w:rFonts w:ascii="Arial" w:hAnsi="Arial" w:cs="Arial"/>
        </w:rPr>
        <w:t xml:space="preserve"> </w:t>
      </w:r>
    </w:p>
    <w:p w14:paraId="5068D892" w14:textId="77777777" w:rsidR="003D2E91" w:rsidRPr="00B152E7" w:rsidRDefault="00B47A86" w:rsidP="009E4B23">
      <w:pPr>
        <w:autoSpaceDE w:val="0"/>
        <w:autoSpaceDN w:val="0"/>
        <w:adjustRightInd w:val="0"/>
        <w:spacing w:before="240" w:after="240" w:line="360" w:lineRule="auto"/>
        <w:jc w:val="both"/>
        <w:rPr>
          <w:rFonts w:ascii="Arial" w:hAnsi="Arial" w:cs="Arial"/>
        </w:rPr>
      </w:pPr>
      <w:r w:rsidRPr="00B152E7">
        <w:rPr>
          <w:rFonts w:ascii="Arial" w:hAnsi="Arial" w:cs="Arial"/>
        </w:rPr>
        <w:t>Aunado a lo anterior</w:t>
      </w:r>
      <w:r w:rsidR="009E4B23" w:rsidRPr="00B152E7">
        <w:rPr>
          <w:rFonts w:ascii="Arial" w:hAnsi="Arial" w:cs="Arial"/>
        </w:rPr>
        <w:t xml:space="preserve">, </w:t>
      </w:r>
      <w:r w:rsidRPr="00B152E7">
        <w:rPr>
          <w:rFonts w:ascii="Arial" w:hAnsi="Arial" w:cs="Arial"/>
        </w:rPr>
        <w:t>el planteamiento sobre una diversa regla de ajuste de paridad (ya sea en los partidos de mayor votación o en alguna de las etapas de asignación)</w:t>
      </w:r>
      <w:r w:rsidR="003D2E91" w:rsidRPr="00B152E7">
        <w:rPr>
          <w:rFonts w:ascii="Arial" w:hAnsi="Arial" w:cs="Arial"/>
        </w:rPr>
        <w:t xml:space="preserve"> </w:t>
      </w:r>
      <w:r w:rsidRPr="00B152E7">
        <w:rPr>
          <w:rFonts w:ascii="Arial" w:hAnsi="Arial" w:cs="Arial"/>
        </w:rPr>
        <w:t>tampoco se</w:t>
      </w:r>
      <w:r w:rsidR="003D2E91" w:rsidRPr="00B152E7">
        <w:rPr>
          <w:rFonts w:ascii="Arial" w:hAnsi="Arial" w:cs="Arial"/>
        </w:rPr>
        <w:t xml:space="preserve"> dirige a demostrar la supuesta inconstitucionalidad, sino únicamente una interpretación diversa de la propia disposición legal de tal forma que se viera beneficiada en la designación de regidurías, aunado a que no fue planteado ante el Tribunal local, de ahí que resulte conforme a Derecho la calificativa de ineficaz que dio la Sala Monterrey al respecto.</w:t>
      </w:r>
    </w:p>
    <w:p w14:paraId="4E3500ED" w14:textId="77777777" w:rsidR="00731602" w:rsidRPr="00B152E7" w:rsidRDefault="00731602" w:rsidP="00E82B26">
      <w:pPr>
        <w:autoSpaceDE w:val="0"/>
        <w:autoSpaceDN w:val="0"/>
        <w:adjustRightInd w:val="0"/>
        <w:spacing w:before="240" w:after="240" w:line="360" w:lineRule="auto"/>
        <w:jc w:val="both"/>
        <w:rPr>
          <w:rFonts w:ascii="Arial" w:eastAsia="Calibri" w:hAnsi="Arial" w:cs="Arial"/>
          <w:bCs/>
        </w:rPr>
      </w:pPr>
      <w:r w:rsidRPr="00B152E7">
        <w:rPr>
          <w:rFonts w:ascii="Arial" w:eastAsia="Calibri" w:hAnsi="Arial" w:cs="Arial"/>
          <w:bCs/>
        </w:rPr>
        <w:t>En consecuencia</w:t>
      </w:r>
      <w:r w:rsidR="003D2E91" w:rsidRPr="00B152E7">
        <w:rPr>
          <w:rFonts w:ascii="Arial" w:eastAsia="Calibri" w:hAnsi="Arial" w:cs="Arial"/>
          <w:bCs/>
        </w:rPr>
        <w:t xml:space="preserve">, se </w:t>
      </w:r>
      <w:r w:rsidR="00E82B26" w:rsidRPr="00B152E7">
        <w:rPr>
          <w:rFonts w:ascii="Arial" w:eastAsia="Calibri" w:hAnsi="Arial" w:cs="Arial"/>
          <w:bCs/>
        </w:rPr>
        <w:t xml:space="preserve">considera adecuada la determinación de la responsable en torno a que carecía de </w:t>
      </w:r>
      <w:r w:rsidR="00813DD8" w:rsidRPr="00B152E7">
        <w:rPr>
          <w:rFonts w:ascii="Arial" w:eastAsia="Calibri" w:hAnsi="Arial" w:cs="Arial"/>
          <w:bCs/>
        </w:rPr>
        <w:t>eficacia</w:t>
      </w:r>
      <w:r w:rsidR="00E82B26" w:rsidRPr="00B152E7">
        <w:rPr>
          <w:rFonts w:ascii="Arial" w:eastAsia="Calibri" w:hAnsi="Arial" w:cs="Arial"/>
          <w:bCs/>
        </w:rPr>
        <w:t xml:space="preserve"> la pretensión de</w:t>
      </w:r>
      <w:r w:rsidR="009E4B23" w:rsidRPr="00B152E7">
        <w:rPr>
          <w:rFonts w:ascii="Arial" w:eastAsia="Calibri" w:hAnsi="Arial" w:cs="Arial"/>
          <w:bCs/>
        </w:rPr>
        <w:t xml:space="preserve"> </w:t>
      </w:r>
      <w:r w:rsidR="00E82B26" w:rsidRPr="00B152E7">
        <w:rPr>
          <w:rFonts w:ascii="Arial" w:eastAsia="Calibri" w:hAnsi="Arial" w:cs="Arial"/>
          <w:bCs/>
        </w:rPr>
        <w:t>l</w:t>
      </w:r>
      <w:r w:rsidR="009E4B23" w:rsidRPr="00B152E7">
        <w:rPr>
          <w:rFonts w:ascii="Arial" w:eastAsia="Calibri" w:hAnsi="Arial" w:cs="Arial"/>
          <w:bCs/>
        </w:rPr>
        <w:t>a</w:t>
      </w:r>
      <w:r w:rsidR="00E82B26" w:rsidRPr="00B152E7">
        <w:rPr>
          <w:rFonts w:ascii="Arial" w:eastAsia="Calibri" w:hAnsi="Arial" w:cs="Arial"/>
          <w:bCs/>
        </w:rPr>
        <w:t xml:space="preserve"> recurrente</w:t>
      </w:r>
      <w:r w:rsidR="009E4B23" w:rsidRPr="00B152E7">
        <w:rPr>
          <w:rFonts w:ascii="Arial" w:eastAsia="Calibri" w:hAnsi="Arial" w:cs="Arial"/>
          <w:bCs/>
        </w:rPr>
        <w:t xml:space="preserve"> </w:t>
      </w:r>
      <w:r w:rsidRPr="00B152E7">
        <w:rPr>
          <w:rFonts w:ascii="Arial" w:eastAsia="Calibri" w:hAnsi="Arial" w:cs="Arial"/>
          <w:bCs/>
        </w:rPr>
        <w:t>al con combatir de manera frontal en la sede regional</w:t>
      </w:r>
      <w:r w:rsidR="009E4B23" w:rsidRPr="00B152E7">
        <w:rPr>
          <w:rFonts w:ascii="Arial" w:eastAsia="Calibri" w:hAnsi="Arial" w:cs="Arial"/>
          <w:bCs/>
        </w:rPr>
        <w:t xml:space="preserve"> los razonamientos del Tribunal local por los que estimó que </w:t>
      </w:r>
      <w:r w:rsidRPr="00B152E7">
        <w:rPr>
          <w:rFonts w:ascii="Arial" w:eastAsia="Calibri" w:hAnsi="Arial" w:cs="Arial"/>
          <w:bCs/>
        </w:rPr>
        <w:t>desvirtuó su solicitud de inaplicación al caso concreto de la regla de ajuste de paridad para la integración del Congreso local.</w:t>
      </w:r>
    </w:p>
    <w:p w14:paraId="62715205" w14:textId="77777777" w:rsidR="00E82B26" w:rsidRPr="00B152E7" w:rsidRDefault="00942B3C" w:rsidP="00942B3C">
      <w:pPr>
        <w:pStyle w:val="Ttulo3"/>
        <w:spacing w:before="240" w:after="240"/>
        <w:ind w:firstLine="0"/>
        <w:rPr>
          <w:rFonts w:ascii="Arial" w:hAnsi="Arial" w:cs="Arial"/>
          <w:sz w:val="24"/>
          <w:szCs w:val="24"/>
        </w:rPr>
      </w:pPr>
      <w:r w:rsidRPr="00B152E7">
        <w:rPr>
          <w:rFonts w:ascii="Arial" w:hAnsi="Arial" w:cs="Arial"/>
          <w:sz w:val="24"/>
          <w:szCs w:val="24"/>
        </w:rPr>
        <w:t xml:space="preserve">2.2. </w:t>
      </w:r>
      <w:r w:rsidR="00E82B26" w:rsidRPr="00B152E7">
        <w:rPr>
          <w:rFonts w:ascii="Arial" w:hAnsi="Arial" w:cs="Arial"/>
          <w:sz w:val="24"/>
          <w:szCs w:val="24"/>
        </w:rPr>
        <w:t>Agravio relacionado con cuestiones de legalidad</w:t>
      </w:r>
    </w:p>
    <w:p w14:paraId="3064866C" w14:textId="77777777" w:rsidR="00E82B26" w:rsidRDefault="00E82B26" w:rsidP="00E82B26">
      <w:pPr>
        <w:autoSpaceDE w:val="0"/>
        <w:autoSpaceDN w:val="0"/>
        <w:adjustRightInd w:val="0"/>
        <w:spacing w:before="240" w:after="240" w:line="360" w:lineRule="auto"/>
        <w:jc w:val="both"/>
        <w:rPr>
          <w:rFonts w:ascii="Arial" w:eastAsia="Calibri" w:hAnsi="Arial" w:cs="Arial"/>
          <w:bCs/>
        </w:rPr>
      </w:pPr>
      <w:r w:rsidRPr="00B152E7">
        <w:rPr>
          <w:rFonts w:ascii="Arial" w:eastAsia="Calibri" w:hAnsi="Arial" w:cs="Arial"/>
          <w:bCs/>
        </w:rPr>
        <w:t xml:space="preserve">Respecto </w:t>
      </w:r>
      <w:r w:rsidR="003D2E91" w:rsidRPr="00B152E7">
        <w:rPr>
          <w:rFonts w:ascii="Arial" w:eastAsia="Calibri" w:hAnsi="Arial" w:cs="Arial"/>
          <w:bCs/>
        </w:rPr>
        <w:t>a los restantes motivo de inconformidad</w:t>
      </w:r>
      <w:r w:rsidR="00D27C84" w:rsidRPr="00B152E7">
        <w:rPr>
          <w:rFonts w:ascii="Arial" w:eastAsia="Calibri" w:hAnsi="Arial" w:cs="Arial"/>
          <w:bCs/>
        </w:rPr>
        <w:t xml:space="preserve"> relacionado</w:t>
      </w:r>
      <w:r w:rsidR="003D2E91" w:rsidRPr="00B152E7">
        <w:rPr>
          <w:rFonts w:ascii="Arial" w:eastAsia="Calibri" w:hAnsi="Arial" w:cs="Arial"/>
          <w:bCs/>
        </w:rPr>
        <w:t>s</w:t>
      </w:r>
      <w:r w:rsidR="00D27C84" w:rsidRPr="00B152E7">
        <w:rPr>
          <w:rFonts w:ascii="Arial" w:eastAsia="Calibri" w:hAnsi="Arial" w:cs="Arial"/>
          <w:bCs/>
        </w:rPr>
        <w:t xml:space="preserve"> con que lo señalado por una magistrada integrante del Tribunal local en su voto particular debe ser tomado en cuenta como parte de la litis, en aras de que su </w:t>
      </w:r>
      <w:r w:rsidR="00D27C84" w:rsidRPr="00B152E7">
        <w:rPr>
          <w:rFonts w:ascii="Arial" w:hAnsi="Arial" w:cs="Arial"/>
        </w:rPr>
        <w:t xml:space="preserve">derecho de acceso a la justicia efectiva no sea violentado; </w:t>
      </w:r>
      <w:r w:rsidRPr="00B152E7">
        <w:rPr>
          <w:rFonts w:ascii="Arial" w:eastAsia="Calibri" w:hAnsi="Arial" w:cs="Arial"/>
          <w:bCs/>
        </w:rPr>
        <w:t xml:space="preserve">resulta </w:t>
      </w:r>
      <w:r w:rsidR="00F90FCE" w:rsidRPr="00B152E7">
        <w:rPr>
          <w:rFonts w:ascii="Arial" w:eastAsia="Calibri" w:hAnsi="Arial" w:cs="Arial"/>
          <w:b/>
        </w:rPr>
        <w:t>ineficaz</w:t>
      </w:r>
      <w:r w:rsidRPr="00B152E7">
        <w:rPr>
          <w:rFonts w:ascii="Arial" w:eastAsia="Calibri" w:hAnsi="Arial" w:cs="Arial"/>
          <w:bCs/>
        </w:rPr>
        <w:t xml:space="preserve">, pues de conformidad con lo establecido en los artículos 9°, párrafo </w:t>
      </w:r>
      <w:r w:rsidRPr="00B152E7">
        <w:rPr>
          <w:rFonts w:ascii="Arial" w:eastAsia="Calibri" w:hAnsi="Arial" w:cs="Arial"/>
          <w:bCs/>
        </w:rPr>
        <w:lastRenderedPageBreak/>
        <w:t>3; 61, párrafo 1, inciso b); 62, párrafo 1, inciso a), fracción IV, y 68, párrafo 1, de la Ley de Medios, no es dable atenderlo de fondo, en el entendido que se reduce a temas de exclusiva legalidad</w:t>
      </w:r>
      <w:r w:rsidR="00D27C84" w:rsidRPr="00B152E7">
        <w:rPr>
          <w:rFonts w:ascii="Arial" w:eastAsia="Calibri" w:hAnsi="Arial" w:cs="Arial"/>
          <w:bCs/>
        </w:rPr>
        <w:t>.</w:t>
      </w:r>
    </w:p>
    <w:p w14:paraId="1B85B9B3" w14:textId="77777777" w:rsidR="00D4420B" w:rsidRPr="00F84E64" w:rsidRDefault="006D3255" w:rsidP="004F03F8">
      <w:pPr>
        <w:pStyle w:val="Ttulo1"/>
        <w:spacing w:before="240" w:after="240" w:line="360" w:lineRule="auto"/>
        <w:jc w:val="center"/>
        <w:rPr>
          <w:rFonts w:ascii="Arial" w:eastAsia="Arial" w:hAnsi="Arial" w:cs="Arial"/>
          <w:b/>
          <w:bCs/>
          <w:color w:val="000000"/>
          <w:sz w:val="24"/>
          <w:szCs w:val="24"/>
        </w:rPr>
      </w:pPr>
      <w:r>
        <w:rPr>
          <w:rFonts w:ascii="Arial" w:eastAsia="Arial" w:hAnsi="Arial" w:cs="Arial"/>
          <w:b/>
          <w:bCs/>
          <w:color w:val="000000"/>
          <w:sz w:val="24"/>
          <w:szCs w:val="24"/>
        </w:rPr>
        <w:t>X</w:t>
      </w:r>
      <w:r w:rsidR="00793379" w:rsidRPr="00F97C67">
        <w:rPr>
          <w:rFonts w:ascii="Arial" w:eastAsia="Arial" w:hAnsi="Arial" w:cs="Arial"/>
          <w:b/>
          <w:bCs/>
          <w:color w:val="000000"/>
          <w:sz w:val="24"/>
          <w:szCs w:val="24"/>
        </w:rPr>
        <w:t>I</w:t>
      </w:r>
      <w:r w:rsidR="00930DF0" w:rsidRPr="00F97C67">
        <w:rPr>
          <w:rFonts w:ascii="Arial" w:eastAsia="Arial" w:hAnsi="Arial" w:cs="Arial"/>
          <w:b/>
          <w:bCs/>
          <w:color w:val="000000"/>
          <w:sz w:val="24"/>
          <w:szCs w:val="24"/>
        </w:rPr>
        <w:t xml:space="preserve">. </w:t>
      </w:r>
      <w:r w:rsidR="00D4420B" w:rsidRPr="00F97C67">
        <w:rPr>
          <w:rFonts w:ascii="Arial" w:eastAsia="Arial" w:hAnsi="Arial" w:cs="Arial"/>
          <w:b/>
          <w:bCs/>
          <w:color w:val="000000"/>
          <w:sz w:val="24"/>
          <w:szCs w:val="24"/>
        </w:rPr>
        <w:t>RESUELVE</w:t>
      </w:r>
    </w:p>
    <w:p w14:paraId="7431C10B" w14:textId="77777777" w:rsidR="00D4420B" w:rsidRPr="00F84E64" w:rsidRDefault="004500B2" w:rsidP="004F03F8">
      <w:pPr>
        <w:pBdr>
          <w:top w:val="nil"/>
          <w:left w:val="nil"/>
          <w:bottom w:val="nil"/>
          <w:right w:val="nil"/>
          <w:between w:val="nil"/>
        </w:pBdr>
        <w:spacing w:before="240" w:after="240" w:line="360" w:lineRule="auto"/>
        <w:jc w:val="both"/>
        <w:rPr>
          <w:rFonts w:ascii="Arial" w:eastAsia="Arial" w:hAnsi="Arial" w:cs="Arial"/>
          <w:color w:val="000000"/>
        </w:rPr>
      </w:pPr>
      <w:r w:rsidRPr="00DB49BA">
        <w:rPr>
          <w:rFonts w:ascii="Arial" w:eastAsia="Arial" w:hAnsi="Arial" w:cs="Arial"/>
          <w:b/>
          <w:bCs/>
          <w:color w:val="000000"/>
        </w:rPr>
        <w:t xml:space="preserve">ÚNICO. </w:t>
      </w:r>
      <w:r w:rsidR="00D4420B" w:rsidRPr="00DB49BA">
        <w:rPr>
          <w:rFonts w:ascii="Arial" w:eastAsia="Arial" w:hAnsi="Arial" w:cs="Arial"/>
          <w:color w:val="000000"/>
        </w:rPr>
        <w:t xml:space="preserve">Se </w:t>
      </w:r>
      <w:r w:rsidR="00813DD8">
        <w:rPr>
          <w:rFonts w:ascii="Arial" w:eastAsia="Arial" w:hAnsi="Arial" w:cs="Arial"/>
          <w:b/>
          <w:bCs/>
          <w:color w:val="000000"/>
        </w:rPr>
        <w:t>confirma</w:t>
      </w:r>
      <w:r w:rsidR="00381163">
        <w:rPr>
          <w:rFonts w:ascii="Arial" w:eastAsia="Arial" w:hAnsi="Arial" w:cs="Arial"/>
          <w:b/>
          <w:bCs/>
          <w:color w:val="000000"/>
        </w:rPr>
        <w:t xml:space="preserve"> </w:t>
      </w:r>
      <w:r w:rsidR="00813DD8">
        <w:rPr>
          <w:rFonts w:ascii="Arial" w:eastAsia="Arial" w:hAnsi="Arial" w:cs="Arial"/>
          <w:color w:val="000000"/>
        </w:rPr>
        <w:t>la resolución impugnada</w:t>
      </w:r>
      <w:r w:rsidR="00D4420B" w:rsidRPr="00DB49BA">
        <w:rPr>
          <w:rFonts w:ascii="Arial" w:eastAsia="Arial" w:hAnsi="Arial" w:cs="Arial"/>
          <w:color w:val="000000"/>
        </w:rPr>
        <w:t>.</w:t>
      </w:r>
    </w:p>
    <w:p w14:paraId="33C7CBF7" w14:textId="77777777" w:rsidR="00F002C8" w:rsidRPr="00F84E64" w:rsidRDefault="00226A63" w:rsidP="004F03F8">
      <w:pPr>
        <w:pBdr>
          <w:top w:val="nil"/>
          <w:left w:val="nil"/>
          <w:bottom w:val="nil"/>
          <w:right w:val="nil"/>
          <w:between w:val="nil"/>
        </w:pBdr>
        <w:spacing w:before="240" w:after="240" w:line="360" w:lineRule="auto"/>
        <w:jc w:val="both"/>
        <w:rPr>
          <w:rFonts w:ascii="Arial" w:eastAsia="Arial" w:hAnsi="Arial" w:cs="Arial"/>
          <w:color w:val="000000"/>
        </w:rPr>
      </w:pPr>
      <w:r w:rsidRPr="00F84E64">
        <w:rPr>
          <w:rFonts w:ascii="Arial" w:eastAsia="Arial" w:hAnsi="Arial" w:cs="Arial"/>
          <w:b/>
          <w:color w:val="000000"/>
        </w:rPr>
        <w:t>NOTIFÍQUESE</w:t>
      </w:r>
      <w:r w:rsidRPr="00F84E64">
        <w:rPr>
          <w:rFonts w:ascii="Arial" w:eastAsia="Arial" w:hAnsi="Arial" w:cs="Arial"/>
          <w:color w:val="000000"/>
        </w:rPr>
        <w:t xml:space="preserve"> como en derecho corresponda. </w:t>
      </w:r>
    </w:p>
    <w:p w14:paraId="12E89E12" w14:textId="77777777" w:rsidR="00F002C8" w:rsidRPr="00F84E64" w:rsidRDefault="00226A63" w:rsidP="004F03F8">
      <w:pPr>
        <w:pBdr>
          <w:top w:val="nil"/>
          <w:left w:val="nil"/>
          <w:bottom w:val="nil"/>
          <w:right w:val="nil"/>
          <w:between w:val="nil"/>
        </w:pBdr>
        <w:spacing w:before="240" w:after="240" w:line="360" w:lineRule="auto"/>
        <w:jc w:val="both"/>
        <w:rPr>
          <w:rFonts w:ascii="Arial" w:eastAsia="Arial" w:hAnsi="Arial" w:cs="Arial"/>
          <w:color w:val="000000"/>
        </w:rPr>
      </w:pPr>
      <w:r w:rsidRPr="00F84E64">
        <w:rPr>
          <w:rFonts w:ascii="Arial" w:eastAsia="Arial" w:hAnsi="Arial" w:cs="Arial"/>
          <w:color w:val="000000"/>
        </w:rPr>
        <w:t xml:space="preserve">En su oportunidad, archívese el presente expediente como asunto concluido y, en su caso, devuélvase la </w:t>
      </w:r>
      <w:r w:rsidR="00F31618" w:rsidRPr="00F84E64">
        <w:rPr>
          <w:rFonts w:ascii="Arial" w:eastAsia="Arial" w:hAnsi="Arial" w:cs="Arial"/>
          <w:color w:val="000000"/>
        </w:rPr>
        <w:t>documentación exhibida</w:t>
      </w:r>
      <w:r w:rsidR="00F31618">
        <w:rPr>
          <w:rFonts w:ascii="Arial" w:eastAsia="Arial" w:hAnsi="Arial" w:cs="Arial"/>
          <w:color w:val="000000"/>
        </w:rPr>
        <w:t>.</w:t>
      </w:r>
    </w:p>
    <w:p w14:paraId="61E817D7" w14:textId="77777777" w:rsidR="00192C00" w:rsidRDefault="00192C00" w:rsidP="00192C00">
      <w:pPr>
        <w:pBdr>
          <w:top w:val="nil"/>
          <w:left w:val="nil"/>
          <w:bottom w:val="nil"/>
          <w:right w:val="nil"/>
          <w:between w:val="nil"/>
        </w:pBdr>
        <w:spacing w:before="240" w:after="240" w:line="360" w:lineRule="auto"/>
        <w:jc w:val="both"/>
        <w:rPr>
          <w:rFonts w:ascii="Arial" w:eastAsia="Arial" w:hAnsi="Arial" w:cs="Arial"/>
        </w:rPr>
      </w:pPr>
      <w:r w:rsidRPr="00192C00">
        <w:rPr>
          <w:rFonts w:ascii="Arial" w:eastAsia="Arial" w:hAnsi="Arial" w:cs="Arial"/>
        </w:rPr>
        <w:t xml:space="preserve">Así, por </w:t>
      </w:r>
      <w:r w:rsidRPr="00192C00">
        <w:rPr>
          <w:rFonts w:ascii="Arial" w:eastAsia="Arial" w:hAnsi="Arial" w:cs="Arial"/>
          <w:b/>
          <w:bCs/>
          <w:color w:val="000000"/>
        </w:rPr>
        <w:t>unanimidad</w:t>
      </w:r>
      <w:r w:rsidRPr="00192C00">
        <w:rPr>
          <w:rFonts w:ascii="Arial" w:eastAsia="Arial" w:hAnsi="Arial" w:cs="Arial"/>
        </w:rPr>
        <w:t xml:space="preserve"> de votos, lo resolvieron y firmaron las magistradas y los magistrados que integran la Sala Superior del Tribunal Electoral del Poder Judicial de la Federación, ante el Secretario General de Acuerdos, quien autoriza y da fe que la presente sentencia se firma de manera electrónica.</w:t>
      </w:r>
    </w:p>
    <w:p w14:paraId="327D8B52" w14:textId="1FE78B5E" w:rsidR="00F002C8" w:rsidRPr="00FB390D" w:rsidRDefault="00226A63" w:rsidP="004F03F8">
      <w:pPr>
        <w:spacing w:before="240" w:after="240"/>
        <w:jc w:val="both"/>
        <w:rPr>
          <w:rFonts w:ascii="Arial" w:eastAsia="Arial" w:hAnsi="Arial" w:cs="Arial"/>
          <w:sz w:val="22"/>
          <w:szCs w:val="22"/>
        </w:rPr>
      </w:pPr>
      <w:r w:rsidRPr="00F84E64">
        <w:rPr>
          <w:rFonts w:ascii="Arial" w:eastAsia="Arial" w:hAnsi="Arial" w:cs="Arial"/>
          <w:sz w:val="22"/>
          <w:szCs w:val="22"/>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r w:rsidRPr="00FB390D">
        <w:rPr>
          <w:rFonts w:ascii="Arial" w:eastAsia="Arial" w:hAnsi="Arial" w:cs="Arial"/>
          <w:sz w:val="22"/>
          <w:szCs w:val="22"/>
        </w:rPr>
        <w:t xml:space="preserve"> </w:t>
      </w:r>
      <w:bookmarkEnd w:id="0"/>
    </w:p>
    <w:sectPr w:rsidR="00F002C8" w:rsidRPr="00FB390D" w:rsidSect="00D9260E">
      <w:headerReference w:type="even" r:id="rId20"/>
      <w:headerReference w:type="default" r:id="rId21"/>
      <w:footerReference w:type="even" r:id="rId22"/>
      <w:footerReference w:type="default" r:id="rId23"/>
      <w:headerReference w:type="first" r:id="rId24"/>
      <w:pgSz w:w="12240" w:h="18720" w:code="14"/>
      <w:pgMar w:top="3119" w:right="1418" w:bottom="1701" w:left="2835" w:header="1985"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3FBC6" w14:textId="77777777" w:rsidR="002F049D" w:rsidRDefault="002F049D">
      <w:r>
        <w:separator/>
      </w:r>
    </w:p>
  </w:endnote>
  <w:endnote w:type="continuationSeparator" w:id="0">
    <w:p w14:paraId="34E9DC59" w14:textId="77777777" w:rsidR="002F049D" w:rsidRDefault="002F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Negrita">
    <w:altName w:val="Cambria"/>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B29" w14:textId="77777777" w:rsidR="00FE1A56" w:rsidRDefault="00FE1A56">
    <w:pPr>
      <w:pBdr>
        <w:top w:val="nil"/>
        <w:left w:val="nil"/>
        <w:bottom w:val="nil"/>
        <w:right w:val="nil"/>
        <w:between w:val="nil"/>
      </w:pBdr>
      <w:tabs>
        <w:tab w:val="center" w:pos="4419"/>
        <w:tab w:val="right" w:pos="8838"/>
      </w:tabs>
      <w:jc w:val="right"/>
      <w:rPr>
        <w:color w:val="000000"/>
      </w:rPr>
    </w:pPr>
  </w:p>
  <w:p w14:paraId="2ED2053C" w14:textId="77777777" w:rsidR="00FE1A56" w:rsidRDefault="00FE1A56">
    <w:pPr>
      <w:pBdr>
        <w:top w:val="nil"/>
        <w:left w:val="nil"/>
        <w:bottom w:val="nil"/>
        <w:right w:val="nil"/>
        <w:between w:val="nil"/>
      </w:pBdr>
      <w:tabs>
        <w:tab w:val="center" w:pos="4419"/>
        <w:tab w:val="right" w:pos="8838"/>
      </w:tabs>
      <w:jc w:val="right"/>
      <w:rPr>
        <w:rFonts w:ascii="Arial" w:eastAsia="Arial" w:hAnsi="Arial" w:cs="Arial"/>
        <w:b/>
        <w:color w:val="000000"/>
      </w:rPr>
    </w:pP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Pr>
        <w:rFonts w:ascii="Arial" w:eastAsia="Arial" w:hAnsi="Arial" w:cs="Arial"/>
        <w:b/>
        <w:noProof/>
        <w:color w:val="000000"/>
      </w:rPr>
      <w:t>2</w:t>
    </w:r>
    <w:r>
      <w:rPr>
        <w:rFonts w:ascii="Arial" w:eastAsia="Arial" w:hAnsi="Arial" w:cs="Arial"/>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E789" w14:textId="77777777" w:rsidR="00FE1A56" w:rsidRDefault="00FE1A56">
    <w:pPr>
      <w:pBdr>
        <w:top w:val="nil"/>
        <w:left w:val="nil"/>
        <w:bottom w:val="nil"/>
        <w:right w:val="nil"/>
        <w:between w:val="nil"/>
      </w:pBdr>
      <w:tabs>
        <w:tab w:val="center" w:pos="4419"/>
        <w:tab w:val="right" w:pos="8838"/>
      </w:tabs>
      <w:jc w:val="right"/>
      <w:rPr>
        <w:rFonts w:ascii="Open Sans" w:eastAsia="Open Sans" w:hAnsi="Open Sans" w:cs="Open Sans"/>
        <w:b/>
        <w:color w:val="000000"/>
      </w:rPr>
    </w:pPr>
  </w:p>
  <w:p w14:paraId="416D3A67" w14:textId="77777777" w:rsidR="00FE1A56" w:rsidRDefault="00FE1A56">
    <w:pPr>
      <w:pBdr>
        <w:top w:val="nil"/>
        <w:left w:val="nil"/>
        <w:bottom w:val="nil"/>
        <w:right w:val="nil"/>
        <w:between w:val="nil"/>
      </w:pBdr>
      <w:tabs>
        <w:tab w:val="center" w:pos="4419"/>
        <w:tab w:val="right" w:pos="8838"/>
      </w:tabs>
      <w:jc w:val="right"/>
      <w:rPr>
        <w:rFonts w:ascii="Arial" w:eastAsia="Arial" w:hAnsi="Arial" w:cs="Arial"/>
        <w:color w:val="000000"/>
      </w:rPr>
    </w:pP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Pr>
        <w:rFonts w:ascii="Arial" w:eastAsia="Arial" w:hAnsi="Arial" w:cs="Arial"/>
        <w:b/>
        <w:noProof/>
        <w:color w:val="000000"/>
      </w:rPr>
      <w:t>3</w:t>
    </w:r>
    <w:r>
      <w:rPr>
        <w:rFonts w:ascii="Arial" w:eastAsia="Arial" w:hAnsi="Arial" w:cs="Arial"/>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BDF52" w14:textId="77777777" w:rsidR="002F049D" w:rsidRDefault="002F049D">
      <w:r>
        <w:separator/>
      </w:r>
    </w:p>
  </w:footnote>
  <w:footnote w:type="continuationSeparator" w:id="0">
    <w:p w14:paraId="5D27AA98" w14:textId="77777777" w:rsidR="002F049D" w:rsidRDefault="002F049D">
      <w:r>
        <w:continuationSeparator/>
      </w:r>
    </w:p>
  </w:footnote>
  <w:footnote w:id="1">
    <w:p w14:paraId="7F1AD2C7" w14:textId="77777777" w:rsidR="00FE1A56" w:rsidRPr="00EC3DED" w:rsidRDefault="00FE1A56" w:rsidP="00EC3DED">
      <w:pPr>
        <w:pStyle w:val="Textonotapie"/>
        <w:jc w:val="both"/>
        <w:rPr>
          <w:rFonts w:ascii="Arial" w:hAnsi="Arial" w:cs="Arial"/>
        </w:rPr>
      </w:pPr>
      <w:r w:rsidRPr="00EC3DED">
        <w:rPr>
          <w:rStyle w:val="Refdenotaalpie"/>
          <w:rFonts w:ascii="Arial" w:hAnsi="Arial" w:cs="Arial"/>
        </w:rPr>
        <w:footnoteRef/>
      </w:r>
      <w:r w:rsidRPr="00EC3DED">
        <w:rPr>
          <w:rFonts w:ascii="Arial" w:hAnsi="Arial" w:cs="Arial"/>
        </w:rPr>
        <w:t xml:space="preserve"> En lo sucesivo, “Sala Superior”.</w:t>
      </w:r>
    </w:p>
  </w:footnote>
  <w:footnote w:id="2">
    <w:p w14:paraId="43152423" w14:textId="77777777" w:rsidR="00FE1A56" w:rsidRPr="00EC3DED" w:rsidRDefault="00FE1A56" w:rsidP="00EC3DED">
      <w:pPr>
        <w:pStyle w:val="Textonotapie"/>
        <w:jc w:val="both"/>
        <w:rPr>
          <w:rFonts w:ascii="Arial" w:hAnsi="Arial" w:cs="Arial"/>
        </w:rPr>
      </w:pPr>
      <w:r w:rsidRPr="00EC3DED">
        <w:rPr>
          <w:rStyle w:val="Refdenotaalpie"/>
          <w:rFonts w:ascii="Arial" w:hAnsi="Arial" w:cs="Arial"/>
        </w:rPr>
        <w:footnoteRef/>
      </w:r>
      <w:r w:rsidRPr="00EC3DED">
        <w:rPr>
          <w:rFonts w:ascii="Arial" w:hAnsi="Arial" w:cs="Arial"/>
        </w:rPr>
        <w:t xml:space="preserve"> En lo sucesivo, “Sala Monterrey o responsable”.</w:t>
      </w:r>
    </w:p>
  </w:footnote>
  <w:footnote w:id="3">
    <w:p w14:paraId="1D1838B2" w14:textId="77777777" w:rsidR="00FE1A56" w:rsidRPr="00EC3DED" w:rsidRDefault="00FE1A56" w:rsidP="00EC3DED">
      <w:pPr>
        <w:pStyle w:val="Textonotapie"/>
        <w:jc w:val="both"/>
        <w:rPr>
          <w:rFonts w:ascii="Arial" w:hAnsi="Arial" w:cs="Arial"/>
        </w:rPr>
      </w:pPr>
      <w:r w:rsidRPr="00EC3DED">
        <w:rPr>
          <w:rStyle w:val="Refdenotaalpie"/>
          <w:rFonts w:ascii="Arial" w:hAnsi="Arial" w:cs="Arial"/>
        </w:rPr>
        <w:footnoteRef/>
      </w:r>
      <w:r w:rsidRPr="00EC3DED">
        <w:rPr>
          <w:rFonts w:ascii="Arial" w:hAnsi="Arial" w:cs="Arial"/>
        </w:rPr>
        <w:t xml:space="preserve"> En lo sucesivo, “Tribunal local”.</w:t>
      </w:r>
    </w:p>
  </w:footnote>
  <w:footnote w:id="4">
    <w:p w14:paraId="4543C04F" w14:textId="77777777" w:rsidR="00FE1A56" w:rsidRPr="00EC3DED" w:rsidRDefault="00FE1A56" w:rsidP="00EC3DED">
      <w:pPr>
        <w:pStyle w:val="Textonotapie"/>
        <w:jc w:val="both"/>
        <w:rPr>
          <w:rFonts w:ascii="Arial" w:hAnsi="Arial" w:cs="Arial"/>
        </w:rPr>
      </w:pPr>
      <w:r w:rsidRPr="00EC3DED">
        <w:rPr>
          <w:rStyle w:val="Refdenotaalpie"/>
          <w:rFonts w:ascii="Arial" w:hAnsi="Arial" w:cs="Arial"/>
        </w:rPr>
        <w:footnoteRef/>
      </w:r>
      <w:r w:rsidRPr="00EC3DED">
        <w:rPr>
          <w:rFonts w:ascii="Arial" w:hAnsi="Arial" w:cs="Arial"/>
        </w:rPr>
        <w:t xml:space="preserve"> En lo sucesivo, “Instituto local”.</w:t>
      </w:r>
    </w:p>
  </w:footnote>
  <w:footnote w:id="5">
    <w:p w14:paraId="533560A7" w14:textId="77777777" w:rsidR="00FE1A56" w:rsidRPr="00EC3DED" w:rsidRDefault="00FE1A56" w:rsidP="00EC3DED">
      <w:pPr>
        <w:pStyle w:val="Textonotapie"/>
        <w:jc w:val="both"/>
        <w:rPr>
          <w:rFonts w:ascii="Arial" w:hAnsi="Arial" w:cs="Arial"/>
        </w:rPr>
      </w:pPr>
      <w:r w:rsidRPr="00EC3DED">
        <w:rPr>
          <w:rStyle w:val="Refdenotaalpie"/>
          <w:rFonts w:ascii="Arial" w:hAnsi="Arial" w:cs="Arial"/>
        </w:rPr>
        <w:footnoteRef/>
      </w:r>
      <w:r w:rsidRPr="00EC3DED">
        <w:rPr>
          <w:rFonts w:ascii="Arial" w:hAnsi="Arial" w:cs="Arial"/>
        </w:rPr>
        <w:t xml:space="preserve"> En lo sucesivo, “PRI”.</w:t>
      </w:r>
    </w:p>
  </w:footnote>
  <w:footnote w:id="6">
    <w:p w14:paraId="41C9CB39" w14:textId="77777777" w:rsidR="00FE1A56" w:rsidRPr="00EC3DED" w:rsidRDefault="00FE1A56" w:rsidP="00EC3DED">
      <w:pPr>
        <w:pStyle w:val="Textonotapie"/>
        <w:jc w:val="both"/>
        <w:rPr>
          <w:rFonts w:ascii="Arial" w:hAnsi="Arial" w:cs="Arial"/>
        </w:rPr>
      </w:pPr>
      <w:r w:rsidRPr="00EC3DED">
        <w:rPr>
          <w:rStyle w:val="Refdenotaalpie"/>
          <w:rFonts w:ascii="Arial" w:hAnsi="Arial" w:cs="Arial"/>
        </w:rPr>
        <w:footnoteRef/>
      </w:r>
      <w:r w:rsidRPr="00EC3DED">
        <w:rPr>
          <w:rFonts w:ascii="Arial" w:hAnsi="Arial" w:cs="Arial"/>
        </w:rPr>
        <w:t xml:space="preserve"> En lo consecuente las fechas corresponden al año dos mil veintiuno, salvo mención expresa. </w:t>
      </w:r>
    </w:p>
  </w:footnote>
  <w:footnote w:id="7">
    <w:p w14:paraId="75861A67" w14:textId="77777777" w:rsidR="00FE1A56" w:rsidRPr="00EC3DED" w:rsidRDefault="00FE1A56" w:rsidP="00EC3DED">
      <w:pPr>
        <w:pStyle w:val="Textonotapie"/>
        <w:jc w:val="both"/>
        <w:rPr>
          <w:rFonts w:ascii="Arial" w:hAnsi="Arial" w:cs="Arial"/>
        </w:rPr>
      </w:pPr>
      <w:r w:rsidRPr="00EC3DED">
        <w:rPr>
          <w:rStyle w:val="Refdenotaalpie"/>
          <w:rFonts w:ascii="Arial" w:hAnsi="Arial" w:cs="Arial"/>
        </w:rPr>
        <w:footnoteRef/>
      </w:r>
      <w:r w:rsidRPr="00EC3DED">
        <w:rPr>
          <w:rFonts w:ascii="Arial" w:hAnsi="Arial" w:cs="Arial"/>
        </w:rPr>
        <w:t xml:space="preserve"> En lo sucesivo, “Consejo municipal”.</w:t>
      </w:r>
    </w:p>
  </w:footnote>
  <w:footnote w:id="8">
    <w:p w14:paraId="34AFD34F" w14:textId="77777777" w:rsidR="00FE1A56" w:rsidRPr="00EC3DED" w:rsidRDefault="00FE1A56" w:rsidP="00EC3DED">
      <w:pPr>
        <w:pStyle w:val="Textonotapie"/>
        <w:jc w:val="both"/>
        <w:rPr>
          <w:rFonts w:ascii="Arial" w:hAnsi="Arial" w:cs="Arial"/>
        </w:rPr>
      </w:pPr>
      <w:r w:rsidRPr="00EC3DED">
        <w:rPr>
          <w:rStyle w:val="Refdenotaalpie"/>
          <w:rFonts w:ascii="Arial" w:hAnsi="Arial" w:cs="Arial"/>
        </w:rPr>
        <w:footnoteRef/>
      </w:r>
      <w:r w:rsidRPr="00EC3DED">
        <w:rPr>
          <w:rFonts w:ascii="Arial" w:hAnsi="Arial" w:cs="Arial"/>
        </w:rPr>
        <w:t xml:space="preserve"> En lo sucesivo, “PAN”.</w:t>
      </w:r>
    </w:p>
  </w:footnote>
  <w:footnote w:id="9">
    <w:p w14:paraId="584A5B22" w14:textId="77777777" w:rsidR="005D5DF4" w:rsidRPr="00EC3DED" w:rsidRDefault="005D5DF4" w:rsidP="00EC3DED">
      <w:pPr>
        <w:pStyle w:val="Textonotapie"/>
        <w:jc w:val="both"/>
        <w:rPr>
          <w:rFonts w:ascii="Arial" w:hAnsi="Arial" w:cs="Arial"/>
        </w:rPr>
      </w:pPr>
      <w:r w:rsidRPr="00EC3DED">
        <w:rPr>
          <w:rStyle w:val="Refdenotaalpie"/>
          <w:rFonts w:ascii="Arial" w:hAnsi="Arial" w:cs="Arial"/>
        </w:rPr>
        <w:footnoteRef/>
      </w:r>
      <w:r w:rsidRPr="00EC3DED">
        <w:rPr>
          <w:rFonts w:ascii="Arial" w:hAnsi="Arial" w:cs="Arial"/>
        </w:rPr>
        <w:t xml:space="preserve"> PAN, 3 por cociente electoral y 1 por resto mayor; Morena, 2 por cociente electoral y 1 por resto mayor; PVEM, 1 por cociente electoral; PRI, 1 por cociente electoral; Partido Nueva Alianza Guanajuato, 1 por resto mayor.</w:t>
      </w:r>
    </w:p>
  </w:footnote>
  <w:footnote w:id="10">
    <w:p w14:paraId="37971499" w14:textId="77777777" w:rsidR="00FE1A56" w:rsidRPr="00EC3DED" w:rsidRDefault="00FE1A56" w:rsidP="00EC3DED">
      <w:pPr>
        <w:pStyle w:val="Textonotapie"/>
        <w:jc w:val="both"/>
        <w:rPr>
          <w:rFonts w:ascii="Arial" w:hAnsi="Arial" w:cs="Arial"/>
          <w:highlight w:val="cyan"/>
          <w:lang w:eastAsia="en-US"/>
        </w:rPr>
      </w:pPr>
      <w:r w:rsidRPr="00EC3DED">
        <w:rPr>
          <w:rStyle w:val="Refdenotaalpie"/>
          <w:rFonts w:ascii="Arial" w:hAnsi="Arial" w:cs="Arial"/>
        </w:rPr>
        <w:footnoteRef/>
      </w:r>
      <w:r w:rsidRPr="00EC3DED">
        <w:rPr>
          <w:rFonts w:ascii="Arial" w:hAnsi="Arial" w:cs="Arial"/>
        </w:rPr>
        <w:t xml:space="preserve"> </w:t>
      </w:r>
      <w:r w:rsidRPr="00EC3DED">
        <w:rPr>
          <w:rFonts w:ascii="Arial" w:hAnsi="Arial" w:cs="Arial"/>
          <w:lang w:val="es-ES"/>
        </w:rPr>
        <w:t>En lo sucesivo, “Ley de Medios”.</w:t>
      </w:r>
    </w:p>
  </w:footnote>
  <w:footnote w:id="11">
    <w:p w14:paraId="39FE04FA" w14:textId="77777777" w:rsidR="00FE1A56" w:rsidRPr="00EC3DED" w:rsidRDefault="00FE1A56" w:rsidP="00EC3DED">
      <w:pPr>
        <w:pStyle w:val="Textonotapie"/>
        <w:jc w:val="both"/>
        <w:rPr>
          <w:rFonts w:ascii="Arial" w:hAnsi="Arial" w:cs="Arial"/>
        </w:rPr>
      </w:pPr>
      <w:r w:rsidRPr="00EC3DED">
        <w:rPr>
          <w:rStyle w:val="Refdenotaalpie"/>
          <w:rFonts w:ascii="Arial" w:hAnsi="Arial" w:cs="Arial"/>
        </w:rPr>
        <w:footnoteRef/>
      </w:r>
      <w:r w:rsidRPr="00EC3DED">
        <w:rPr>
          <w:rFonts w:ascii="Arial" w:hAnsi="Arial" w:cs="Arial"/>
        </w:rPr>
        <w:t xml:space="preserve"> En lo sucesivo, “Constitución general”.</w:t>
      </w:r>
    </w:p>
  </w:footnote>
  <w:footnote w:id="12">
    <w:p w14:paraId="6111CB07" w14:textId="77777777" w:rsidR="00FE1A56" w:rsidRPr="00EC3DED" w:rsidRDefault="00FE1A56" w:rsidP="00EC3DED">
      <w:pPr>
        <w:pStyle w:val="Textonotapie"/>
        <w:jc w:val="both"/>
        <w:rPr>
          <w:rFonts w:ascii="Arial" w:hAnsi="Arial" w:cs="Arial"/>
        </w:rPr>
      </w:pPr>
      <w:r w:rsidRPr="00EC3DED">
        <w:rPr>
          <w:rStyle w:val="Refdenotaalpie"/>
          <w:rFonts w:ascii="Arial" w:hAnsi="Arial" w:cs="Arial"/>
        </w:rPr>
        <w:footnoteRef/>
      </w:r>
      <w:r w:rsidRPr="00EC3DED">
        <w:rPr>
          <w:rFonts w:ascii="Arial" w:hAnsi="Arial" w:cs="Arial"/>
        </w:rPr>
        <w:t xml:space="preserve"> En lo sucesivo, “Ley orgánica”.</w:t>
      </w:r>
    </w:p>
  </w:footnote>
  <w:footnote w:id="13">
    <w:p w14:paraId="02A6AE14" w14:textId="77777777" w:rsidR="00FE1A56" w:rsidRPr="00EC3DED" w:rsidRDefault="00FE1A56" w:rsidP="00EC3DED">
      <w:pPr>
        <w:pBdr>
          <w:top w:val="nil"/>
          <w:left w:val="nil"/>
          <w:bottom w:val="nil"/>
          <w:right w:val="nil"/>
          <w:between w:val="nil"/>
        </w:pBdr>
        <w:jc w:val="both"/>
        <w:rPr>
          <w:rFonts w:ascii="Arial" w:eastAsia="Arial" w:hAnsi="Arial" w:cs="Arial"/>
          <w:color w:val="000000"/>
          <w:sz w:val="20"/>
          <w:szCs w:val="20"/>
        </w:rPr>
      </w:pPr>
      <w:r w:rsidRPr="00EC3DED">
        <w:rPr>
          <w:rFonts w:ascii="Arial" w:hAnsi="Arial" w:cs="Arial"/>
          <w:sz w:val="20"/>
          <w:szCs w:val="20"/>
          <w:vertAlign w:val="superscript"/>
        </w:rPr>
        <w:footnoteRef/>
      </w:r>
      <w:r w:rsidRPr="00EC3DED">
        <w:rPr>
          <w:rFonts w:ascii="Arial" w:eastAsia="Arial" w:hAnsi="Arial" w:cs="Arial"/>
          <w:color w:val="000000"/>
          <w:sz w:val="20"/>
          <w:szCs w:val="20"/>
        </w:rPr>
        <w:t xml:space="preserve"> Aprobado el uno de octubre y publicado en el Diario Oficial de la Federación del trece siguiente.</w:t>
      </w:r>
    </w:p>
  </w:footnote>
  <w:footnote w:id="14">
    <w:p w14:paraId="4F70E345" w14:textId="77777777" w:rsidR="00FE1A56" w:rsidRPr="00EC3DED" w:rsidRDefault="00FE1A56" w:rsidP="00EC3DED">
      <w:pPr>
        <w:pStyle w:val="Textonotapie"/>
        <w:jc w:val="both"/>
        <w:rPr>
          <w:rFonts w:ascii="Arial" w:hAnsi="Arial" w:cs="Arial"/>
        </w:rPr>
      </w:pPr>
      <w:r w:rsidRPr="00EC3DED">
        <w:rPr>
          <w:rStyle w:val="Refdenotaalpie"/>
          <w:rFonts w:ascii="Arial" w:hAnsi="Arial" w:cs="Arial"/>
        </w:rPr>
        <w:footnoteRef/>
      </w:r>
      <w:r w:rsidRPr="00EC3DED">
        <w:rPr>
          <w:rFonts w:ascii="Arial" w:hAnsi="Arial" w:cs="Arial"/>
        </w:rPr>
        <w:t xml:space="preserve"> Jurisprudencia 10/2011, RECONSIDERACIÓN. PROCEDE CONTRA SENTENCIAS DE LAS SALAS REGIONALES CUANDO SE OMITE EL ESTUDIO O SE DECLARAN INOPERANTES LOS AGRAVIOS RELACIONADOS CON LA INCONSTITUCIONALIDAD DE NORMAS ELECTORALES, consultable en la Compilación 1997-2013. Jurisprudencia y tesis en materia electoral. Volumen 1</w:t>
      </w:r>
      <w:r w:rsidRPr="00EC3DED">
        <w:rPr>
          <w:rFonts w:ascii="Arial" w:hAnsi="Arial" w:cs="Arial"/>
          <w:bCs/>
        </w:rPr>
        <w:t>, páginas 617 a 619</w:t>
      </w:r>
      <w:r w:rsidRPr="00EC3DED">
        <w:rPr>
          <w:rFonts w:ascii="Arial" w:hAnsi="Arial" w:cs="Arial"/>
        </w:rPr>
        <w:t>.</w:t>
      </w:r>
    </w:p>
  </w:footnote>
  <w:footnote w:id="15">
    <w:p w14:paraId="38CBBC24" w14:textId="77777777" w:rsidR="00FE1A56" w:rsidRPr="00EC3DED" w:rsidRDefault="00FE1A56" w:rsidP="00EC3DED">
      <w:pPr>
        <w:pStyle w:val="Textonotapie"/>
        <w:jc w:val="both"/>
        <w:rPr>
          <w:rFonts w:ascii="Arial" w:hAnsi="Arial" w:cs="Arial"/>
        </w:rPr>
      </w:pPr>
      <w:r w:rsidRPr="00EC3DED">
        <w:rPr>
          <w:rFonts w:ascii="Arial" w:hAnsi="Arial" w:cs="Arial"/>
          <w:vertAlign w:val="superscript"/>
        </w:rPr>
        <w:footnoteRef/>
      </w:r>
      <w:r w:rsidRPr="00EC3DED">
        <w:rPr>
          <w:rFonts w:ascii="Arial" w:hAnsi="Arial" w:cs="Arial"/>
          <w:vertAlign w:val="superscript"/>
        </w:rPr>
        <w:t xml:space="preserve"> </w:t>
      </w:r>
      <w:r w:rsidRPr="00EC3DED">
        <w:rPr>
          <w:rFonts w:ascii="Arial" w:eastAsia="Arial" w:hAnsi="Arial" w:cs="Arial"/>
        </w:rPr>
        <w:t>En consecuencia, “Ley Electoral local”.</w:t>
      </w:r>
    </w:p>
  </w:footnote>
  <w:footnote w:id="16">
    <w:p w14:paraId="7AFD7509" w14:textId="77777777" w:rsidR="00FE1A56" w:rsidRPr="00EC3DED" w:rsidRDefault="00FE1A56" w:rsidP="00EC3DED">
      <w:pPr>
        <w:pStyle w:val="Textonotapie"/>
        <w:jc w:val="both"/>
        <w:rPr>
          <w:rFonts w:ascii="Arial" w:hAnsi="Arial" w:cs="Arial"/>
        </w:rPr>
      </w:pPr>
      <w:r w:rsidRPr="00EC3DED">
        <w:rPr>
          <w:rStyle w:val="Refdenotaalpie"/>
          <w:rFonts w:ascii="Arial" w:hAnsi="Arial" w:cs="Arial"/>
        </w:rPr>
        <w:footnoteRef/>
      </w:r>
      <w:r w:rsidRPr="00EC3DED">
        <w:rPr>
          <w:rFonts w:ascii="Arial" w:hAnsi="Arial" w:cs="Arial"/>
        </w:rPr>
        <w:t xml:space="preserve"> Esta metodología de estudio no genera prejuicio alguno a los recurrentes, de acuerdo con la tesis de jurisprudencia 4/2000, AGRAVIOS, SU EXAMEN EN CONJUNTO O SEPARADO, NO CAUSA LESIÓN. </w:t>
      </w:r>
      <w:r w:rsidRPr="00EC3DED">
        <w:rPr>
          <w:rFonts w:ascii="Arial" w:hAnsi="Arial" w:cs="Arial"/>
          <w:i/>
        </w:rPr>
        <w:t>Justicia Electoral. Revista del Tribunal Electoral del Poder Judicial de la Federación</w:t>
      </w:r>
      <w:r w:rsidRPr="00EC3DED">
        <w:rPr>
          <w:rFonts w:ascii="Arial" w:hAnsi="Arial" w:cs="Arial"/>
        </w:rPr>
        <w:t>, Suplemento 4, Año 2001, páginas 5 y 6.</w:t>
      </w:r>
    </w:p>
  </w:footnote>
  <w:footnote w:id="17">
    <w:p w14:paraId="687FD0CE" w14:textId="77777777" w:rsidR="00E43452" w:rsidRPr="00EC3DED" w:rsidRDefault="00E43452" w:rsidP="00EC3DED">
      <w:pPr>
        <w:pStyle w:val="Textonotapie"/>
        <w:jc w:val="both"/>
        <w:rPr>
          <w:rFonts w:ascii="Arial" w:hAnsi="Arial" w:cs="Arial"/>
        </w:rPr>
      </w:pPr>
      <w:r w:rsidRPr="00EC3DED">
        <w:rPr>
          <w:rStyle w:val="Refdenotaalpie"/>
          <w:rFonts w:ascii="Arial" w:hAnsi="Arial" w:cs="Arial"/>
        </w:rPr>
        <w:footnoteRef/>
      </w:r>
      <w:r w:rsidRPr="00EC3DED">
        <w:rPr>
          <w:rFonts w:ascii="Arial" w:hAnsi="Arial" w:cs="Arial"/>
        </w:rPr>
        <w:t xml:space="preserve"> </w:t>
      </w:r>
      <w:r w:rsidRPr="00EC3DED">
        <w:rPr>
          <w:rFonts w:ascii="Arial" w:hAnsi="Arial" w:cs="Arial"/>
          <w:b/>
        </w:rPr>
        <w:t>Artículo 240</w:t>
      </w:r>
      <w:r w:rsidRPr="00EC3DED">
        <w:rPr>
          <w:rFonts w:ascii="Arial" w:hAnsi="Arial" w:cs="Arial"/>
        </w:rPr>
        <w:t>. El consejo municipal electoral procederá según el principio de representación proporcional a efectuar la asignación de regidores respetando el principio de paridad de género en los términos establecidos en los artículos 108 y 109 de la Constitución del Estado, observando para el efecto el siguiente procedimiento:</w:t>
      </w:r>
    </w:p>
    <w:p w14:paraId="0A7A5677" w14:textId="77777777" w:rsidR="00E43452" w:rsidRPr="00EC3DED" w:rsidRDefault="00E43452" w:rsidP="00EC3DED">
      <w:pPr>
        <w:pStyle w:val="Textonotapie"/>
        <w:jc w:val="both"/>
        <w:rPr>
          <w:rFonts w:ascii="Arial" w:hAnsi="Arial" w:cs="Arial"/>
        </w:rPr>
      </w:pPr>
      <w:r w:rsidRPr="00EC3DED">
        <w:rPr>
          <w:rFonts w:ascii="Arial" w:hAnsi="Arial" w:cs="Arial"/>
        </w:rPr>
        <w:t>…</w:t>
      </w:r>
    </w:p>
    <w:p w14:paraId="1253CEBA" w14:textId="77777777" w:rsidR="00E43452" w:rsidRPr="00EC3DED" w:rsidRDefault="00E43452" w:rsidP="00EC3DED">
      <w:pPr>
        <w:pStyle w:val="Textonotapie"/>
        <w:jc w:val="both"/>
        <w:rPr>
          <w:rFonts w:ascii="Arial" w:hAnsi="Arial" w:cs="Arial"/>
        </w:rPr>
      </w:pPr>
      <w:r w:rsidRPr="00EC3DED">
        <w:rPr>
          <w:rFonts w:ascii="Arial" w:hAnsi="Arial" w:cs="Arial"/>
        </w:rPr>
        <w:t>III. Si después de la aplicación del cociente mencionado en la fracción anterior, quedan regidurías por asignar, estas se distribuirán por el sistema de resto mayor, siguiendo el orden decreciente de los restos de votos no utilizados por cada uno de los partidos políticos y de las planillas de candidatos independientes.</w:t>
      </w:r>
    </w:p>
    <w:p w14:paraId="342E7197" w14:textId="77777777" w:rsidR="00E43452" w:rsidRPr="00EC3DED" w:rsidRDefault="00E43452" w:rsidP="00EC3DED">
      <w:pPr>
        <w:pStyle w:val="Textonotapie"/>
        <w:jc w:val="both"/>
        <w:rPr>
          <w:rFonts w:ascii="Arial" w:hAnsi="Arial" w:cs="Arial"/>
          <w:b/>
        </w:rPr>
      </w:pPr>
      <w:r w:rsidRPr="00EC3DED">
        <w:rPr>
          <w:rFonts w:ascii="Arial" w:hAnsi="Arial" w:cs="Arial"/>
          <w:b/>
        </w:rPr>
        <w:t>En caso de que el ayuntamiento no quede integrado de forma paritaria, el consejo hará las modificaciones en las asignaciones de forma ascendente comenzando con el partido político que, habiendo alcanzado regidurías, haya obtenido menor votación hasta lograr la integración paritaria.</w:t>
      </w:r>
    </w:p>
    <w:p w14:paraId="74C87449" w14:textId="77777777" w:rsidR="00E43452" w:rsidRPr="00EC3DED" w:rsidRDefault="00E43452" w:rsidP="00EC3DED">
      <w:pPr>
        <w:pStyle w:val="Textonotapie"/>
        <w:jc w:val="both"/>
        <w:rPr>
          <w:rFonts w:ascii="Arial" w:hAnsi="Arial" w:cs="Arial"/>
        </w:rPr>
      </w:pPr>
      <w:r w:rsidRPr="00EC3DED">
        <w:rPr>
          <w:rFonts w:ascii="Arial" w:hAnsi="Arial" w:cs="Arial"/>
        </w:rPr>
        <w:t>El consejo entregará las constancias de asignación a los candidatos a regidores que integrarán el ayuntamiento por el principio de representación proporcional.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1D10" w14:textId="78DF5920" w:rsidR="00FE1A56" w:rsidRPr="007B6A7D" w:rsidRDefault="00FE1A56" w:rsidP="00ED4E59">
    <w:pPr>
      <w:pBdr>
        <w:top w:val="nil"/>
        <w:left w:val="nil"/>
        <w:bottom w:val="nil"/>
        <w:right w:val="nil"/>
        <w:between w:val="nil"/>
      </w:pBdr>
      <w:tabs>
        <w:tab w:val="center" w:pos="4419"/>
        <w:tab w:val="right" w:pos="8838"/>
        <w:tab w:val="left" w:pos="3281"/>
      </w:tabs>
      <w:ind w:left="8838" w:hanging="8838"/>
      <w:jc w:val="right"/>
      <w:rPr>
        <w:rFonts w:ascii="Arial" w:eastAsia="Arial" w:hAnsi="Arial" w:cs="Arial"/>
        <w:b/>
        <w:color w:val="000000"/>
        <w:sz w:val="26"/>
        <w:szCs w:val="26"/>
      </w:rPr>
    </w:pPr>
    <w:r w:rsidRPr="007B6A7D">
      <w:rPr>
        <w:rFonts w:ascii="Arial" w:eastAsia="Arial" w:hAnsi="Arial" w:cs="Arial"/>
        <w:b/>
        <w:color w:val="000000"/>
        <w:sz w:val="26"/>
        <w:szCs w:val="26"/>
      </w:rPr>
      <w:t>SUP-REC-</w:t>
    </w:r>
    <w:r>
      <w:rPr>
        <w:rFonts w:ascii="Arial" w:eastAsia="Arial" w:hAnsi="Arial" w:cs="Arial"/>
        <w:b/>
        <w:color w:val="000000"/>
        <w:sz w:val="26"/>
        <w:szCs w:val="26"/>
      </w:rPr>
      <w:t>1487</w:t>
    </w:r>
    <w:r w:rsidRPr="007B6A7D">
      <w:rPr>
        <w:rFonts w:ascii="Arial" w:eastAsia="Arial" w:hAnsi="Arial" w:cs="Arial"/>
        <w:b/>
        <w:color w:val="000000"/>
        <w:sz w:val="26"/>
        <w:szCs w:val="26"/>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9111" w14:textId="2B6B13B7" w:rsidR="00FE1A56" w:rsidRPr="007B6A7D" w:rsidRDefault="00FE1A56">
    <w:pPr>
      <w:pBdr>
        <w:top w:val="nil"/>
        <w:left w:val="nil"/>
        <w:bottom w:val="nil"/>
        <w:right w:val="nil"/>
        <w:between w:val="nil"/>
      </w:pBdr>
      <w:tabs>
        <w:tab w:val="center" w:pos="4419"/>
        <w:tab w:val="right" w:pos="8838"/>
      </w:tabs>
      <w:jc w:val="right"/>
      <w:rPr>
        <w:rFonts w:ascii="Arial" w:eastAsia="Arial" w:hAnsi="Arial" w:cs="Arial"/>
        <w:b/>
        <w:color w:val="000000"/>
        <w:sz w:val="26"/>
        <w:szCs w:val="26"/>
      </w:rPr>
    </w:pPr>
    <w:r>
      <w:rPr>
        <w:noProof/>
        <w:color w:val="000000"/>
      </w:rPr>
      <w:drawing>
        <wp:anchor distT="0" distB="0" distL="114300" distR="114300" simplePos="0" relativeHeight="251656704" behindDoc="0" locked="0" layoutInCell="1" hidden="0" allowOverlap="1" wp14:anchorId="7FF6C616" wp14:editId="391A4908">
          <wp:simplePos x="0" y="0"/>
          <wp:positionH relativeFrom="leftMargin">
            <wp:posOffset>342900</wp:posOffset>
          </wp:positionH>
          <wp:positionV relativeFrom="page">
            <wp:posOffset>288290</wp:posOffset>
          </wp:positionV>
          <wp:extent cx="1378800" cy="11916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8800" cy="1191600"/>
                  </a:xfrm>
                  <a:prstGeom prst="rect">
                    <a:avLst/>
                  </a:prstGeom>
                  <a:ln/>
                </pic:spPr>
              </pic:pic>
            </a:graphicData>
          </a:graphic>
        </wp:anchor>
      </w:drawing>
    </w:r>
    <w:r>
      <w:rPr>
        <w:rFonts w:ascii="Arial" w:eastAsia="Arial" w:hAnsi="Arial" w:cs="Arial"/>
        <w:b/>
        <w:color w:val="000000"/>
        <w:sz w:val="22"/>
        <w:szCs w:val="22"/>
      </w:rPr>
      <w:t xml:space="preserve">  </w:t>
    </w:r>
    <w:r w:rsidRPr="007B6A7D">
      <w:rPr>
        <w:rFonts w:ascii="Arial" w:eastAsia="Arial" w:hAnsi="Arial" w:cs="Arial"/>
        <w:b/>
        <w:color w:val="000000"/>
        <w:sz w:val="26"/>
        <w:szCs w:val="26"/>
      </w:rPr>
      <w:t>SUP-REC-</w:t>
    </w:r>
    <w:r>
      <w:rPr>
        <w:rFonts w:ascii="Arial" w:eastAsia="Arial" w:hAnsi="Arial" w:cs="Arial"/>
        <w:b/>
        <w:color w:val="000000"/>
        <w:sz w:val="26"/>
        <w:szCs w:val="26"/>
      </w:rPr>
      <w:t>1487</w:t>
    </w:r>
    <w:r w:rsidRPr="007B6A7D">
      <w:rPr>
        <w:rFonts w:ascii="Arial" w:eastAsia="Arial" w:hAnsi="Arial" w:cs="Arial"/>
        <w:b/>
        <w:color w:val="000000"/>
        <w:sz w:val="26"/>
        <w:szCs w:val="26"/>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5BED" w14:textId="4F909635" w:rsidR="00FE1A56" w:rsidRDefault="00FE1A56">
    <w:pPr>
      <w:pBdr>
        <w:top w:val="nil"/>
        <w:left w:val="nil"/>
        <w:bottom w:val="nil"/>
        <w:right w:val="nil"/>
        <w:between w:val="nil"/>
      </w:pBdr>
      <w:tabs>
        <w:tab w:val="center" w:pos="4419"/>
        <w:tab w:val="right" w:pos="8838"/>
      </w:tabs>
      <w:rPr>
        <w:color w:val="000000"/>
      </w:rPr>
    </w:pPr>
    <w:r>
      <w:rPr>
        <w:noProof/>
        <w:color w:val="000000"/>
      </w:rPr>
      <w:drawing>
        <wp:anchor distT="0" distB="0" distL="114300" distR="114300" simplePos="0" relativeHeight="251655680" behindDoc="0" locked="0" layoutInCell="1" hidden="0" allowOverlap="1" wp14:anchorId="3829EE5B" wp14:editId="3BA9E09E">
          <wp:simplePos x="0" y="0"/>
          <wp:positionH relativeFrom="leftMargin">
            <wp:align>right</wp:align>
          </wp:positionH>
          <wp:positionV relativeFrom="topMargin">
            <wp:align>bottom</wp:align>
          </wp:positionV>
          <wp:extent cx="1378800" cy="11916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8800" cy="1191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756"/>
    <w:multiLevelType w:val="hybridMultilevel"/>
    <w:tmpl w:val="33D25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B6009E"/>
    <w:multiLevelType w:val="multilevel"/>
    <w:tmpl w:val="A3EE6BE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9C926E7"/>
    <w:multiLevelType w:val="hybridMultilevel"/>
    <w:tmpl w:val="69DA48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F2C5A"/>
    <w:multiLevelType w:val="hybridMultilevel"/>
    <w:tmpl w:val="62ACFBD4"/>
    <w:lvl w:ilvl="0" w:tplc="080A0001">
      <w:start w:val="1"/>
      <w:numFmt w:val="bullet"/>
      <w:lvlText w:val=""/>
      <w:lvlJc w:val="left"/>
      <w:pPr>
        <w:ind w:left="720" w:hanging="360"/>
      </w:pPr>
      <w:rPr>
        <w:rFonts w:ascii="Symbol" w:hAnsi="Symbol" w:hint="default"/>
      </w:rPr>
    </w:lvl>
    <w:lvl w:ilvl="1" w:tplc="B23C5128">
      <w:numFmt w:val="bullet"/>
      <w:lvlText w:val="-"/>
      <w:lvlJc w:val="left"/>
      <w:pPr>
        <w:ind w:left="1780" w:hanging="700"/>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F36B81"/>
    <w:multiLevelType w:val="hybridMultilevel"/>
    <w:tmpl w:val="F11ED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7C591F"/>
    <w:multiLevelType w:val="hybridMultilevel"/>
    <w:tmpl w:val="A5D45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4F5715"/>
    <w:multiLevelType w:val="multilevel"/>
    <w:tmpl w:val="18B4F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780" w:hanging="70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C22C54"/>
    <w:multiLevelType w:val="hybridMultilevel"/>
    <w:tmpl w:val="91643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013C9A"/>
    <w:multiLevelType w:val="multilevel"/>
    <w:tmpl w:val="557629A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6249DC"/>
    <w:multiLevelType w:val="hybridMultilevel"/>
    <w:tmpl w:val="7A3E3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942FB6"/>
    <w:multiLevelType w:val="hybridMultilevel"/>
    <w:tmpl w:val="B1769F6C"/>
    <w:lvl w:ilvl="0" w:tplc="93605716">
      <w:start w:val="1"/>
      <w:numFmt w:val="decimal"/>
      <w:lvlText w:val="%1."/>
      <w:lvlJc w:val="left"/>
      <w:pPr>
        <w:ind w:left="1998" w:hanging="360"/>
      </w:pPr>
      <w:rPr>
        <w:b/>
        <w:bCs/>
      </w:rPr>
    </w:lvl>
    <w:lvl w:ilvl="1" w:tplc="080A0019">
      <w:start w:val="1"/>
      <w:numFmt w:val="lowerLetter"/>
      <w:lvlText w:val="%2."/>
      <w:lvlJc w:val="left"/>
      <w:pPr>
        <w:ind w:left="2718" w:hanging="360"/>
      </w:pPr>
    </w:lvl>
    <w:lvl w:ilvl="2" w:tplc="080A001B">
      <w:start w:val="1"/>
      <w:numFmt w:val="lowerRoman"/>
      <w:lvlText w:val="%3."/>
      <w:lvlJc w:val="right"/>
      <w:pPr>
        <w:ind w:left="3438" w:hanging="180"/>
      </w:pPr>
    </w:lvl>
    <w:lvl w:ilvl="3" w:tplc="080A000F">
      <w:start w:val="1"/>
      <w:numFmt w:val="decimal"/>
      <w:lvlText w:val="%4."/>
      <w:lvlJc w:val="left"/>
      <w:pPr>
        <w:ind w:left="4158" w:hanging="360"/>
      </w:pPr>
    </w:lvl>
    <w:lvl w:ilvl="4" w:tplc="080A0019">
      <w:start w:val="1"/>
      <w:numFmt w:val="lowerLetter"/>
      <w:lvlText w:val="%5."/>
      <w:lvlJc w:val="left"/>
      <w:pPr>
        <w:ind w:left="4878" w:hanging="360"/>
      </w:pPr>
    </w:lvl>
    <w:lvl w:ilvl="5" w:tplc="080A001B">
      <w:start w:val="1"/>
      <w:numFmt w:val="lowerRoman"/>
      <w:lvlText w:val="%6."/>
      <w:lvlJc w:val="right"/>
      <w:pPr>
        <w:ind w:left="5598" w:hanging="180"/>
      </w:pPr>
    </w:lvl>
    <w:lvl w:ilvl="6" w:tplc="080A000F">
      <w:start w:val="1"/>
      <w:numFmt w:val="decimal"/>
      <w:lvlText w:val="%7."/>
      <w:lvlJc w:val="left"/>
      <w:pPr>
        <w:ind w:left="6318" w:hanging="360"/>
      </w:pPr>
    </w:lvl>
    <w:lvl w:ilvl="7" w:tplc="080A0019">
      <w:start w:val="1"/>
      <w:numFmt w:val="lowerLetter"/>
      <w:lvlText w:val="%8."/>
      <w:lvlJc w:val="left"/>
      <w:pPr>
        <w:ind w:left="7038" w:hanging="360"/>
      </w:pPr>
    </w:lvl>
    <w:lvl w:ilvl="8" w:tplc="080A001B">
      <w:start w:val="1"/>
      <w:numFmt w:val="lowerRoman"/>
      <w:lvlText w:val="%9."/>
      <w:lvlJc w:val="right"/>
      <w:pPr>
        <w:ind w:left="7758" w:hanging="180"/>
      </w:pPr>
    </w:lvl>
  </w:abstractNum>
  <w:abstractNum w:abstractNumId="11" w15:restartNumberingAfterBreak="0">
    <w:nsid w:val="1EB779D8"/>
    <w:multiLevelType w:val="hybridMultilevel"/>
    <w:tmpl w:val="8CF8714E"/>
    <w:lvl w:ilvl="0" w:tplc="552253D0">
      <w:start w:val="1"/>
      <w:numFmt w:val="decimal"/>
      <w:pStyle w:val="Normalsentencia"/>
      <w:lvlText w:val="%1."/>
      <w:lvlJc w:val="left"/>
      <w:pPr>
        <w:ind w:left="360" w:hanging="360"/>
      </w:pPr>
      <w:rPr>
        <w:b/>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891385"/>
    <w:multiLevelType w:val="hybridMultilevel"/>
    <w:tmpl w:val="91A04C6C"/>
    <w:lvl w:ilvl="0" w:tplc="EECA8134">
      <w:start w:val="1"/>
      <w:numFmt w:val="decimal"/>
      <w:pStyle w:val="NSentencia"/>
      <w:lvlText w:val="%1."/>
      <w:lvlJc w:val="left"/>
      <w:pPr>
        <w:ind w:left="0" w:firstLine="0"/>
      </w:pPr>
      <w:rPr>
        <w:rFonts w:ascii="Univers" w:hAnsi="Univers" w:hint="default"/>
        <w:b/>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453261"/>
    <w:multiLevelType w:val="hybridMultilevel"/>
    <w:tmpl w:val="B59A6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854EA"/>
    <w:multiLevelType w:val="multilevel"/>
    <w:tmpl w:val="D15C357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145AA5"/>
    <w:multiLevelType w:val="hybridMultilevel"/>
    <w:tmpl w:val="D7988E5C"/>
    <w:lvl w:ilvl="0" w:tplc="6D7465DA">
      <w:start w:val="1"/>
      <w:numFmt w:val="decimal"/>
      <w:lvlText w:val="%1"/>
      <w:lvlJc w:val="left"/>
      <w:pPr>
        <w:ind w:left="360" w:hanging="360"/>
      </w:pPr>
      <w:rPr>
        <w:rFonts w:ascii="Arial" w:hAnsi="Arial" w:cs="Arial" w:hint="default"/>
        <w:b w:val="0"/>
        <w:i w:val="0"/>
        <w:iCs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A31EA4"/>
    <w:multiLevelType w:val="hybridMultilevel"/>
    <w:tmpl w:val="4C62C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204CF3"/>
    <w:multiLevelType w:val="hybridMultilevel"/>
    <w:tmpl w:val="74D0B770"/>
    <w:lvl w:ilvl="0" w:tplc="F7344358">
      <w:start w:val="1"/>
      <w:numFmt w:val="decimal"/>
      <w:lvlText w:val="%1."/>
      <w:lvlJc w:val="left"/>
      <w:pPr>
        <w:ind w:left="1065" w:hanging="705"/>
      </w:pPr>
      <w:rPr>
        <w:rFonts w:ascii="Arial" w:eastAsia="Times New Roman" w:hAnsi="Arial" w:cs="Arial"/>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91025A"/>
    <w:multiLevelType w:val="hybridMultilevel"/>
    <w:tmpl w:val="4E928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A15EAB"/>
    <w:multiLevelType w:val="hybridMultilevel"/>
    <w:tmpl w:val="1F404A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DA45563"/>
    <w:multiLevelType w:val="multilevel"/>
    <w:tmpl w:val="E462481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752A79"/>
    <w:multiLevelType w:val="multilevel"/>
    <w:tmpl w:val="4F1C7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E887C38"/>
    <w:multiLevelType w:val="hybridMultilevel"/>
    <w:tmpl w:val="94087DE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383C64"/>
    <w:multiLevelType w:val="multilevel"/>
    <w:tmpl w:val="0FD49BD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592613"/>
    <w:multiLevelType w:val="hybridMultilevel"/>
    <w:tmpl w:val="B8D09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305C5D"/>
    <w:multiLevelType w:val="hybridMultilevel"/>
    <w:tmpl w:val="6218A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B675DF"/>
    <w:multiLevelType w:val="hybridMultilevel"/>
    <w:tmpl w:val="618E0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FC2C41"/>
    <w:multiLevelType w:val="hybridMultilevel"/>
    <w:tmpl w:val="D158B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1B1896"/>
    <w:multiLevelType w:val="multilevel"/>
    <w:tmpl w:val="E7228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1B1A03"/>
    <w:multiLevelType w:val="hybridMultilevel"/>
    <w:tmpl w:val="75969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50467D"/>
    <w:multiLevelType w:val="multilevel"/>
    <w:tmpl w:val="E1840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1456F71"/>
    <w:multiLevelType w:val="hybridMultilevel"/>
    <w:tmpl w:val="2ADC9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6C3654"/>
    <w:multiLevelType w:val="hybridMultilevel"/>
    <w:tmpl w:val="E8AA4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924BB5"/>
    <w:multiLevelType w:val="multilevel"/>
    <w:tmpl w:val="39CA622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66371143"/>
    <w:multiLevelType w:val="multilevel"/>
    <w:tmpl w:val="B2A29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491D7C"/>
    <w:multiLevelType w:val="hybridMultilevel"/>
    <w:tmpl w:val="6C4AECA0"/>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B36CBE"/>
    <w:multiLevelType w:val="hybridMultilevel"/>
    <w:tmpl w:val="1ED2A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6A0D2B"/>
    <w:multiLevelType w:val="hybridMultilevel"/>
    <w:tmpl w:val="17FC8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CD0733"/>
    <w:multiLevelType w:val="hybridMultilevel"/>
    <w:tmpl w:val="973A312A"/>
    <w:lvl w:ilvl="0" w:tplc="866A3856">
      <w:start w:val="1"/>
      <w:numFmt w:val="decimal"/>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14"/>
  </w:num>
  <w:num w:numId="4">
    <w:abstractNumId w:val="34"/>
  </w:num>
  <w:num w:numId="5">
    <w:abstractNumId w:val="8"/>
  </w:num>
  <w:num w:numId="6">
    <w:abstractNumId w:val="30"/>
  </w:num>
  <w:num w:numId="7">
    <w:abstractNumId w:val="21"/>
  </w:num>
  <w:num w:numId="8">
    <w:abstractNumId w:val="33"/>
  </w:num>
  <w:num w:numId="9">
    <w:abstractNumId w:val="28"/>
  </w:num>
  <w:num w:numId="10">
    <w:abstractNumId w:val="20"/>
  </w:num>
  <w:num w:numId="11">
    <w:abstractNumId w:val="18"/>
  </w:num>
  <w:num w:numId="12">
    <w:abstractNumId w:val="35"/>
  </w:num>
  <w:num w:numId="13">
    <w:abstractNumId w:val="3"/>
  </w:num>
  <w:num w:numId="14">
    <w:abstractNumId w:val="25"/>
  </w:num>
  <w:num w:numId="15">
    <w:abstractNumId w:val="22"/>
  </w:num>
  <w:num w:numId="16">
    <w:abstractNumId w:val="7"/>
  </w:num>
  <w:num w:numId="17">
    <w:abstractNumId w:val="31"/>
  </w:num>
  <w:num w:numId="18">
    <w:abstractNumId w:val="24"/>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23"/>
  </w:num>
  <w:num w:numId="24">
    <w:abstractNumId w:val="10"/>
  </w:num>
  <w:num w:numId="25">
    <w:abstractNumId w:val="37"/>
  </w:num>
  <w:num w:numId="26">
    <w:abstractNumId w:val="11"/>
  </w:num>
  <w:num w:numId="27">
    <w:abstractNumId w:val="5"/>
  </w:num>
  <w:num w:numId="28">
    <w:abstractNumId w:val="36"/>
  </w:num>
  <w:num w:numId="29">
    <w:abstractNumId w:val="15"/>
  </w:num>
  <w:num w:numId="30">
    <w:abstractNumId w:val="12"/>
  </w:num>
  <w:num w:numId="31">
    <w:abstractNumId w:val="26"/>
  </w:num>
  <w:num w:numId="32">
    <w:abstractNumId w:val="27"/>
  </w:num>
  <w:num w:numId="33">
    <w:abstractNumId w:val="11"/>
  </w:num>
  <w:num w:numId="34">
    <w:abstractNumId w:val="11"/>
  </w:num>
  <w:num w:numId="35">
    <w:abstractNumId w:val="2"/>
  </w:num>
  <w:num w:numId="36">
    <w:abstractNumId w:val="4"/>
  </w:num>
  <w:num w:numId="37">
    <w:abstractNumId w:val="29"/>
  </w:num>
  <w:num w:numId="38">
    <w:abstractNumId w:val="13"/>
  </w:num>
  <w:num w:numId="39">
    <w:abstractNumId w:val="32"/>
  </w:num>
  <w:num w:numId="40">
    <w:abstractNumId w:val="16"/>
  </w:num>
  <w:num w:numId="41">
    <w:abstractNumId w:val="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mirrorMargins/>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C8"/>
    <w:rsid w:val="000014FE"/>
    <w:rsid w:val="00002079"/>
    <w:rsid w:val="00002735"/>
    <w:rsid w:val="00003AC5"/>
    <w:rsid w:val="000053F6"/>
    <w:rsid w:val="000062E2"/>
    <w:rsid w:val="00010136"/>
    <w:rsid w:val="00010307"/>
    <w:rsid w:val="00014916"/>
    <w:rsid w:val="000150F1"/>
    <w:rsid w:val="00021495"/>
    <w:rsid w:val="00022228"/>
    <w:rsid w:val="00023509"/>
    <w:rsid w:val="00024026"/>
    <w:rsid w:val="00025997"/>
    <w:rsid w:val="00026EA1"/>
    <w:rsid w:val="000275DD"/>
    <w:rsid w:val="0003035B"/>
    <w:rsid w:val="00030A3D"/>
    <w:rsid w:val="00030AC6"/>
    <w:rsid w:val="00032FB5"/>
    <w:rsid w:val="000344F6"/>
    <w:rsid w:val="000346DC"/>
    <w:rsid w:val="00035045"/>
    <w:rsid w:val="00036E61"/>
    <w:rsid w:val="00042BD8"/>
    <w:rsid w:val="00042F90"/>
    <w:rsid w:val="00044E26"/>
    <w:rsid w:val="0004659A"/>
    <w:rsid w:val="0005047A"/>
    <w:rsid w:val="00051120"/>
    <w:rsid w:val="0005206E"/>
    <w:rsid w:val="0005222A"/>
    <w:rsid w:val="00053B7E"/>
    <w:rsid w:val="00057326"/>
    <w:rsid w:val="000607CF"/>
    <w:rsid w:val="00060994"/>
    <w:rsid w:val="00060AFB"/>
    <w:rsid w:val="00063AB9"/>
    <w:rsid w:val="00066DD2"/>
    <w:rsid w:val="00070AA9"/>
    <w:rsid w:val="00073D07"/>
    <w:rsid w:val="00074A62"/>
    <w:rsid w:val="00077283"/>
    <w:rsid w:val="000773C2"/>
    <w:rsid w:val="00082107"/>
    <w:rsid w:val="000825BD"/>
    <w:rsid w:val="00083772"/>
    <w:rsid w:val="0008533D"/>
    <w:rsid w:val="000857CC"/>
    <w:rsid w:val="00091BF3"/>
    <w:rsid w:val="00092D71"/>
    <w:rsid w:val="00092E09"/>
    <w:rsid w:val="00094C0F"/>
    <w:rsid w:val="000A3702"/>
    <w:rsid w:val="000A380F"/>
    <w:rsid w:val="000A3892"/>
    <w:rsid w:val="000A4375"/>
    <w:rsid w:val="000A5F3E"/>
    <w:rsid w:val="000B3764"/>
    <w:rsid w:val="000B48B7"/>
    <w:rsid w:val="000C13A8"/>
    <w:rsid w:val="000C32C0"/>
    <w:rsid w:val="000C53D6"/>
    <w:rsid w:val="000C6C45"/>
    <w:rsid w:val="000C788D"/>
    <w:rsid w:val="000D360B"/>
    <w:rsid w:val="000D36FB"/>
    <w:rsid w:val="000D4B7F"/>
    <w:rsid w:val="000D5E96"/>
    <w:rsid w:val="000D67E9"/>
    <w:rsid w:val="000E047C"/>
    <w:rsid w:val="000E1169"/>
    <w:rsid w:val="000E1707"/>
    <w:rsid w:val="000E1BC9"/>
    <w:rsid w:val="000E3860"/>
    <w:rsid w:val="000E4947"/>
    <w:rsid w:val="000E5E4E"/>
    <w:rsid w:val="000E6B14"/>
    <w:rsid w:val="000E7050"/>
    <w:rsid w:val="000F3FD1"/>
    <w:rsid w:val="000F752C"/>
    <w:rsid w:val="00100039"/>
    <w:rsid w:val="001024F0"/>
    <w:rsid w:val="00104BE3"/>
    <w:rsid w:val="00106D95"/>
    <w:rsid w:val="00106E49"/>
    <w:rsid w:val="0010704C"/>
    <w:rsid w:val="00107878"/>
    <w:rsid w:val="0011132D"/>
    <w:rsid w:val="00113A1E"/>
    <w:rsid w:val="00115149"/>
    <w:rsid w:val="00115F97"/>
    <w:rsid w:val="00117035"/>
    <w:rsid w:val="00117D7B"/>
    <w:rsid w:val="001227A5"/>
    <w:rsid w:val="00124973"/>
    <w:rsid w:val="00124C12"/>
    <w:rsid w:val="00125650"/>
    <w:rsid w:val="001320ED"/>
    <w:rsid w:val="0013675D"/>
    <w:rsid w:val="00136880"/>
    <w:rsid w:val="001408E1"/>
    <w:rsid w:val="00141C8D"/>
    <w:rsid w:val="00147FDB"/>
    <w:rsid w:val="00153C02"/>
    <w:rsid w:val="0015453B"/>
    <w:rsid w:val="001550A7"/>
    <w:rsid w:val="00155E06"/>
    <w:rsid w:val="001602AD"/>
    <w:rsid w:val="00160971"/>
    <w:rsid w:val="00164492"/>
    <w:rsid w:val="001656AE"/>
    <w:rsid w:val="001746A4"/>
    <w:rsid w:val="00174A50"/>
    <w:rsid w:val="00174EF1"/>
    <w:rsid w:val="00175928"/>
    <w:rsid w:val="00176E52"/>
    <w:rsid w:val="001800A6"/>
    <w:rsid w:val="00180161"/>
    <w:rsid w:val="001811A1"/>
    <w:rsid w:val="00181792"/>
    <w:rsid w:val="00183EC5"/>
    <w:rsid w:val="00186B50"/>
    <w:rsid w:val="0019184D"/>
    <w:rsid w:val="00192C00"/>
    <w:rsid w:val="00195AA1"/>
    <w:rsid w:val="0019674C"/>
    <w:rsid w:val="00196F28"/>
    <w:rsid w:val="00197763"/>
    <w:rsid w:val="001A1743"/>
    <w:rsid w:val="001B7CEB"/>
    <w:rsid w:val="001C0CBA"/>
    <w:rsid w:val="001C39B8"/>
    <w:rsid w:val="001C3BBE"/>
    <w:rsid w:val="001C4640"/>
    <w:rsid w:val="001C5128"/>
    <w:rsid w:val="001C634C"/>
    <w:rsid w:val="001D1B43"/>
    <w:rsid w:val="001D3D78"/>
    <w:rsid w:val="001D491E"/>
    <w:rsid w:val="001D70F3"/>
    <w:rsid w:val="001E089B"/>
    <w:rsid w:val="001E0C54"/>
    <w:rsid w:val="001E12E3"/>
    <w:rsid w:val="001E1D0D"/>
    <w:rsid w:val="001E339C"/>
    <w:rsid w:val="001E42A5"/>
    <w:rsid w:val="001E56AB"/>
    <w:rsid w:val="001E7C26"/>
    <w:rsid w:val="001F316D"/>
    <w:rsid w:val="001F7B2D"/>
    <w:rsid w:val="00200978"/>
    <w:rsid w:val="00200D0A"/>
    <w:rsid w:val="00201137"/>
    <w:rsid w:val="0021199B"/>
    <w:rsid w:val="00211E8C"/>
    <w:rsid w:val="00212AE7"/>
    <w:rsid w:val="00212BC1"/>
    <w:rsid w:val="0021443C"/>
    <w:rsid w:val="00216477"/>
    <w:rsid w:val="002168C9"/>
    <w:rsid w:val="00221D1E"/>
    <w:rsid w:val="002222DF"/>
    <w:rsid w:val="00226A63"/>
    <w:rsid w:val="00230CC8"/>
    <w:rsid w:val="00235E0B"/>
    <w:rsid w:val="0023685A"/>
    <w:rsid w:val="002403C1"/>
    <w:rsid w:val="00241CA5"/>
    <w:rsid w:val="002448A4"/>
    <w:rsid w:val="00244D13"/>
    <w:rsid w:val="00244E3F"/>
    <w:rsid w:val="00246CE8"/>
    <w:rsid w:val="002504A7"/>
    <w:rsid w:val="00250641"/>
    <w:rsid w:val="00250D29"/>
    <w:rsid w:val="00251D88"/>
    <w:rsid w:val="002600AD"/>
    <w:rsid w:val="002604D7"/>
    <w:rsid w:val="00261017"/>
    <w:rsid w:val="00262F64"/>
    <w:rsid w:val="00264A4C"/>
    <w:rsid w:val="00273C72"/>
    <w:rsid w:val="002748BF"/>
    <w:rsid w:val="00277997"/>
    <w:rsid w:val="00281809"/>
    <w:rsid w:val="00282D57"/>
    <w:rsid w:val="00282FE7"/>
    <w:rsid w:val="00284040"/>
    <w:rsid w:val="002868CE"/>
    <w:rsid w:val="00290037"/>
    <w:rsid w:val="002925EA"/>
    <w:rsid w:val="00292C84"/>
    <w:rsid w:val="00293DCE"/>
    <w:rsid w:val="00294589"/>
    <w:rsid w:val="002977FB"/>
    <w:rsid w:val="00297E23"/>
    <w:rsid w:val="002A0AAE"/>
    <w:rsid w:val="002A34F4"/>
    <w:rsid w:val="002A3B31"/>
    <w:rsid w:val="002A6EDD"/>
    <w:rsid w:val="002C01DD"/>
    <w:rsid w:val="002C5DED"/>
    <w:rsid w:val="002C5EC4"/>
    <w:rsid w:val="002C62B3"/>
    <w:rsid w:val="002C7000"/>
    <w:rsid w:val="002D10D8"/>
    <w:rsid w:val="002D58DB"/>
    <w:rsid w:val="002E0CF7"/>
    <w:rsid w:val="002E3D36"/>
    <w:rsid w:val="002E4151"/>
    <w:rsid w:val="002E50A6"/>
    <w:rsid w:val="002F049D"/>
    <w:rsid w:val="002F2280"/>
    <w:rsid w:val="002F2A9E"/>
    <w:rsid w:val="002F3E60"/>
    <w:rsid w:val="002F5F02"/>
    <w:rsid w:val="00301900"/>
    <w:rsid w:val="00301BB7"/>
    <w:rsid w:val="003022E1"/>
    <w:rsid w:val="00303E27"/>
    <w:rsid w:val="003069EB"/>
    <w:rsid w:val="00306E13"/>
    <w:rsid w:val="00311CB3"/>
    <w:rsid w:val="00320FBA"/>
    <w:rsid w:val="00321E79"/>
    <w:rsid w:val="00322197"/>
    <w:rsid w:val="00324ACC"/>
    <w:rsid w:val="00325064"/>
    <w:rsid w:val="00325575"/>
    <w:rsid w:val="00326AB5"/>
    <w:rsid w:val="00330B60"/>
    <w:rsid w:val="0033146B"/>
    <w:rsid w:val="00331772"/>
    <w:rsid w:val="0033217E"/>
    <w:rsid w:val="00332D7A"/>
    <w:rsid w:val="00336207"/>
    <w:rsid w:val="0033671B"/>
    <w:rsid w:val="00336B1F"/>
    <w:rsid w:val="00341507"/>
    <w:rsid w:val="00341766"/>
    <w:rsid w:val="00344A43"/>
    <w:rsid w:val="00345E6A"/>
    <w:rsid w:val="00346AEF"/>
    <w:rsid w:val="00347BB0"/>
    <w:rsid w:val="003546F9"/>
    <w:rsid w:val="00361369"/>
    <w:rsid w:val="003616EC"/>
    <w:rsid w:val="003629DC"/>
    <w:rsid w:val="00364BA5"/>
    <w:rsid w:val="0036501E"/>
    <w:rsid w:val="0036639F"/>
    <w:rsid w:val="00372225"/>
    <w:rsid w:val="00376402"/>
    <w:rsid w:val="00377B7A"/>
    <w:rsid w:val="00381163"/>
    <w:rsid w:val="003829AA"/>
    <w:rsid w:val="00383827"/>
    <w:rsid w:val="0039039A"/>
    <w:rsid w:val="00392469"/>
    <w:rsid w:val="00396E47"/>
    <w:rsid w:val="003A08DB"/>
    <w:rsid w:val="003A4275"/>
    <w:rsid w:val="003A5B08"/>
    <w:rsid w:val="003A5D84"/>
    <w:rsid w:val="003A65E6"/>
    <w:rsid w:val="003A7092"/>
    <w:rsid w:val="003A78C0"/>
    <w:rsid w:val="003A7CA8"/>
    <w:rsid w:val="003B15DC"/>
    <w:rsid w:val="003B3840"/>
    <w:rsid w:val="003B3D70"/>
    <w:rsid w:val="003B482F"/>
    <w:rsid w:val="003C6176"/>
    <w:rsid w:val="003C7DEC"/>
    <w:rsid w:val="003D1CED"/>
    <w:rsid w:val="003D2E91"/>
    <w:rsid w:val="003D39EC"/>
    <w:rsid w:val="003D3DEE"/>
    <w:rsid w:val="003D4E26"/>
    <w:rsid w:val="003D5C63"/>
    <w:rsid w:val="003D65D8"/>
    <w:rsid w:val="003D6695"/>
    <w:rsid w:val="003D7D1B"/>
    <w:rsid w:val="003E0F55"/>
    <w:rsid w:val="003E1274"/>
    <w:rsid w:val="003E1880"/>
    <w:rsid w:val="003E1916"/>
    <w:rsid w:val="003E3DE7"/>
    <w:rsid w:val="003E42F0"/>
    <w:rsid w:val="003E4E93"/>
    <w:rsid w:val="003E5954"/>
    <w:rsid w:val="003E677D"/>
    <w:rsid w:val="003F1E77"/>
    <w:rsid w:val="003F3DC7"/>
    <w:rsid w:val="00402297"/>
    <w:rsid w:val="00402475"/>
    <w:rsid w:val="004035C6"/>
    <w:rsid w:val="00403908"/>
    <w:rsid w:val="00406F81"/>
    <w:rsid w:val="00407B77"/>
    <w:rsid w:val="00410BBA"/>
    <w:rsid w:val="00415C9E"/>
    <w:rsid w:val="00417454"/>
    <w:rsid w:val="00422266"/>
    <w:rsid w:val="00422812"/>
    <w:rsid w:val="00422C64"/>
    <w:rsid w:val="00422FF0"/>
    <w:rsid w:val="00426C1C"/>
    <w:rsid w:val="00430750"/>
    <w:rsid w:val="00430B76"/>
    <w:rsid w:val="00432096"/>
    <w:rsid w:val="0043414A"/>
    <w:rsid w:val="0044067E"/>
    <w:rsid w:val="0044221B"/>
    <w:rsid w:val="004422AF"/>
    <w:rsid w:val="00445148"/>
    <w:rsid w:val="00447024"/>
    <w:rsid w:val="004500B2"/>
    <w:rsid w:val="00450B7D"/>
    <w:rsid w:val="00450E11"/>
    <w:rsid w:val="00451010"/>
    <w:rsid w:val="004530E5"/>
    <w:rsid w:val="00455682"/>
    <w:rsid w:val="00457F6E"/>
    <w:rsid w:val="00462D6F"/>
    <w:rsid w:val="00464479"/>
    <w:rsid w:val="0046585D"/>
    <w:rsid w:val="00471715"/>
    <w:rsid w:val="00472C91"/>
    <w:rsid w:val="00473DE0"/>
    <w:rsid w:val="00474972"/>
    <w:rsid w:val="00474BCC"/>
    <w:rsid w:val="00476B8E"/>
    <w:rsid w:val="00477306"/>
    <w:rsid w:val="004806D5"/>
    <w:rsid w:val="004816F3"/>
    <w:rsid w:val="00481FBC"/>
    <w:rsid w:val="00483633"/>
    <w:rsid w:val="004838C2"/>
    <w:rsid w:val="00483C37"/>
    <w:rsid w:val="00483F7C"/>
    <w:rsid w:val="0048600A"/>
    <w:rsid w:val="00491F42"/>
    <w:rsid w:val="00492B6E"/>
    <w:rsid w:val="00492FCE"/>
    <w:rsid w:val="004956E1"/>
    <w:rsid w:val="00497713"/>
    <w:rsid w:val="004A1EEA"/>
    <w:rsid w:val="004A28D8"/>
    <w:rsid w:val="004A2D26"/>
    <w:rsid w:val="004A450B"/>
    <w:rsid w:val="004B0EE9"/>
    <w:rsid w:val="004B400F"/>
    <w:rsid w:val="004B4ADF"/>
    <w:rsid w:val="004B5A27"/>
    <w:rsid w:val="004C22A1"/>
    <w:rsid w:val="004C2A71"/>
    <w:rsid w:val="004C4B2A"/>
    <w:rsid w:val="004D0244"/>
    <w:rsid w:val="004D1589"/>
    <w:rsid w:val="004D445D"/>
    <w:rsid w:val="004D5B9D"/>
    <w:rsid w:val="004E3E5C"/>
    <w:rsid w:val="004F03F8"/>
    <w:rsid w:val="004F03FB"/>
    <w:rsid w:val="004F0E84"/>
    <w:rsid w:val="004F1530"/>
    <w:rsid w:val="004F4E0F"/>
    <w:rsid w:val="004F53E2"/>
    <w:rsid w:val="004F5DA5"/>
    <w:rsid w:val="00505230"/>
    <w:rsid w:val="005124AC"/>
    <w:rsid w:val="005167C4"/>
    <w:rsid w:val="005228F9"/>
    <w:rsid w:val="00523B2D"/>
    <w:rsid w:val="0052642D"/>
    <w:rsid w:val="0052741B"/>
    <w:rsid w:val="005278B3"/>
    <w:rsid w:val="005343CD"/>
    <w:rsid w:val="00536616"/>
    <w:rsid w:val="005370AC"/>
    <w:rsid w:val="005379A8"/>
    <w:rsid w:val="005407F0"/>
    <w:rsid w:val="005410E2"/>
    <w:rsid w:val="005423A6"/>
    <w:rsid w:val="00542626"/>
    <w:rsid w:val="0055084D"/>
    <w:rsid w:val="0055149C"/>
    <w:rsid w:val="00552C4A"/>
    <w:rsid w:val="00552F68"/>
    <w:rsid w:val="00554184"/>
    <w:rsid w:val="00554346"/>
    <w:rsid w:val="00555205"/>
    <w:rsid w:val="005575CE"/>
    <w:rsid w:val="00561596"/>
    <w:rsid w:val="005620A7"/>
    <w:rsid w:val="005635D6"/>
    <w:rsid w:val="00563BDF"/>
    <w:rsid w:val="0056572C"/>
    <w:rsid w:val="00566B7E"/>
    <w:rsid w:val="00567C2A"/>
    <w:rsid w:val="005726FB"/>
    <w:rsid w:val="005753D0"/>
    <w:rsid w:val="00575621"/>
    <w:rsid w:val="00585D7C"/>
    <w:rsid w:val="0058647A"/>
    <w:rsid w:val="0058750B"/>
    <w:rsid w:val="0058764D"/>
    <w:rsid w:val="00594D84"/>
    <w:rsid w:val="00595CC0"/>
    <w:rsid w:val="0059690D"/>
    <w:rsid w:val="005A474C"/>
    <w:rsid w:val="005A5AC5"/>
    <w:rsid w:val="005B07EA"/>
    <w:rsid w:val="005B0DED"/>
    <w:rsid w:val="005B10C9"/>
    <w:rsid w:val="005B2CAF"/>
    <w:rsid w:val="005C15F6"/>
    <w:rsid w:val="005C1FF2"/>
    <w:rsid w:val="005C2A86"/>
    <w:rsid w:val="005C50AD"/>
    <w:rsid w:val="005C5DBE"/>
    <w:rsid w:val="005C68A2"/>
    <w:rsid w:val="005C6C15"/>
    <w:rsid w:val="005D1F6D"/>
    <w:rsid w:val="005D5DF4"/>
    <w:rsid w:val="005D6F67"/>
    <w:rsid w:val="005E6040"/>
    <w:rsid w:val="005E675C"/>
    <w:rsid w:val="005E6C68"/>
    <w:rsid w:val="005F0D8F"/>
    <w:rsid w:val="005F579C"/>
    <w:rsid w:val="005F6F15"/>
    <w:rsid w:val="00604D4B"/>
    <w:rsid w:val="00606A28"/>
    <w:rsid w:val="00606E79"/>
    <w:rsid w:val="00607CB8"/>
    <w:rsid w:val="00610434"/>
    <w:rsid w:val="006105F6"/>
    <w:rsid w:val="00610638"/>
    <w:rsid w:val="00611998"/>
    <w:rsid w:val="006136B1"/>
    <w:rsid w:val="00614355"/>
    <w:rsid w:val="0062050B"/>
    <w:rsid w:val="0062169C"/>
    <w:rsid w:val="006264EE"/>
    <w:rsid w:val="00627E79"/>
    <w:rsid w:val="00631545"/>
    <w:rsid w:val="00632788"/>
    <w:rsid w:val="00632C94"/>
    <w:rsid w:val="0063580A"/>
    <w:rsid w:val="0064380B"/>
    <w:rsid w:val="006439F4"/>
    <w:rsid w:val="00643B03"/>
    <w:rsid w:val="00643F11"/>
    <w:rsid w:val="0065058C"/>
    <w:rsid w:val="00651334"/>
    <w:rsid w:val="00652406"/>
    <w:rsid w:val="00653234"/>
    <w:rsid w:val="0065384F"/>
    <w:rsid w:val="006538D8"/>
    <w:rsid w:val="00654B23"/>
    <w:rsid w:val="0065628A"/>
    <w:rsid w:val="00660583"/>
    <w:rsid w:val="0066277F"/>
    <w:rsid w:val="00664C97"/>
    <w:rsid w:val="006650F5"/>
    <w:rsid w:val="006652A9"/>
    <w:rsid w:val="006665CB"/>
    <w:rsid w:val="006679E0"/>
    <w:rsid w:val="00671309"/>
    <w:rsid w:val="00672DE1"/>
    <w:rsid w:val="00673F3B"/>
    <w:rsid w:val="006760D4"/>
    <w:rsid w:val="00676858"/>
    <w:rsid w:val="00676D2F"/>
    <w:rsid w:val="00682A0F"/>
    <w:rsid w:val="0069019F"/>
    <w:rsid w:val="00690E6D"/>
    <w:rsid w:val="006928D3"/>
    <w:rsid w:val="006937C4"/>
    <w:rsid w:val="006A1600"/>
    <w:rsid w:val="006A4406"/>
    <w:rsid w:val="006B5674"/>
    <w:rsid w:val="006B5CCC"/>
    <w:rsid w:val="006B5FE9"/>
    <w:rsid w:val="006B6B70"/>
    <w:rsid w:val="006B7124"/>
    <w:rsid w:val="006C11C8"/>
    <w:rsid w:val="006C3E7E"/>
    <w:rsid w:val="006C7B6D"/>
    <w:rsid w:val="006D1ED6"/>
    <w:rsid w:val="006D3255"/>
    <w:rsid w:val="006D36A5"/>
    <w:rsid w:val="006E1403"/>
    <w:rsid w:val="006E3D74"/>
    <w:rsid w:val="006E514E"/>
    <w:rsid w:val="006E5B8D"/>
    <w:rsid w:val="006E768E"/>
    <w:rsid w:val="006F0C1C"/>
    <w:rsid w:val="006F1520"/>
    <w:rsid w:val="006F32C8"/>
    <w:rsid w:val="006F6A35"/>
    <w:rsid w:val="006F7E2B"/>
    <w:rsid w:val="0070093B"/>
    <w:rsid w:val="00702053"/>
    <w:rsid w:val="00704C17"/>
    <w:rsid w:val="0070711C"/>
    <w:rsid w:val="007108CD"/>
    <w:rsid w:val="007128CF"/>
    <w:rsid w:val="00713616"/>
    <w:rsid w:val="00713681"/>
    <w:rsid w:val="007157D6"/>
    <w:rsid w:val="00720607"/>
    <w:rsid w:val="00721AB4"/>
    <w:rsid w:val="00721AED"/>
    <w:rsid w:val="00723B9E"/>
    <w:rsid w:val="00723C43"/>
    <w:rsid w:val="00730655"/>
    <w:rsid w:val="00730BC3"/>
    <w:rsid w:val="00731602"/>
    <w:rsid w:val="00734479"/>
    <w:rsid w:val="007407E9"/>
    <w:rsid w:val="00742251"/>
    <w:rsid w:val="00742BA2"/>
    <w:rsid w:val="0074511A"/>
    <w:rsid w:val="00750813"/>
    <w:rsid w:val="00754EF0"/>
    <w:rsid w:val="00755003"/>
    <w:rsid w:val="00763AD2"/>
    <w:rsid w:val="0076493F"/>
    <w:rsid w:val="00765275"/>
    <w:rsid w:val="00773AFC"/>
    <w:rsid w:val="00773C92"/>
    <w:rsid w:val="00773CC8"/>
    <w:rsid w:val="00774799"/>
    <w:rsid w:val="007762E1"/>
    <w:rsid w:val="007763BC"/>
    <w:rsid w:val="00776C0F"/>
    <w:rsid w:val="00785608"/>
    <w:rsid w:val="00787A9A"/>
    <w:rsid w:val="00787C94"/>
    <w:rsid w:val="007900F8"/>
    <w:rsid w:val="00790C57"/>
    <w:rsid w:val="0079309A"/>
    <w:rsid w:val="00793379"/>
    <w:rsid w:val="00794571"/>
    <w:rsid w:val="00795738"/>
    <w:rsid w:val="00796670"/>
    <w:rsid w:val="007A112C"/>
    <w:rsid w:val="007A38D6"/>
    <w:rsid w:val="007A655C"/>
    <w:rsid w:val="007B2C99"/>
    <w:rsid w:val="007B5F3C"/>
    <w:rsid w:val="007B6A7D"/>
    <w:rsid w:val="007B7E7C"/>
    <w:rsid w:val="007C099A"/>
    <w:rsid w:val="007C09F5"/>
    <w:rsid w:val="007C5B42"/>
    <w:rsid w:val="007C6306"/>
    <w:rsid w:val="007D55FD"/>
    <w:rsid w:val="007D778F"/>
    <w:rsid w:val="007E2108"/>
    <w:rsid w:val="007E3934"/>
    <w:rsid w:val="007E59CF"/>
    <w:rsid w:val="007F2A00"/>
    <w:rsid w:val="007F4429"/>
    <w:rsid w:val="007F512E"/>
    <w:rsid w:val="007F7DFA"/>
    <w:rsid w:val="00801B44"/>
    <w:rsid w:val="00802981"/>
    <w:rsid w:val="00802A56"/>
    <w:rsid w:val="00802FDA"/>
    <w:rsid w:val="00803C32"/>
    <w:rsid w:val="008051C0"/>
    <w:rsid w:val="00807BFB"/>
    <w:rsid w:val="00807DB1"/>
    <w:rsid w:val="00813DD8"/>
    <w:rsid w:val="0081594A"/>
    <w:rsid w:val="0082128D"/>
    <w:rsid w:val="00823ABD"/>
    <w:rsid w:val="00823C04"/>
    <w:rsid w:val="00824A35"/>
    <w:rsid w:val="0082772A"/>
    <w:rsid w:val="00833418"/>
    <w:rsid w:val="00836204"/>
    <w:rsid w:val="008368AF"/>
    <w:rsid w:val="00837318"/>
    <w:rsid w:val="00840F53"/>
    <w:rsid w:val="00842017"/>
    <w:rsid w:val="00842C85"/>
    <w:rsid w:val="008436EF"/>
    <w:rsid w:val="00852814"/>
    <w:rsid w:val="0085350B"/>
    <w:rsid w:val="00854ECF"/>
    <w:rsid w:val="008570D6"/>
    <w:rsid w:val="00861BB2"/>
    <w:rsid w:val="00866F96"/>
    <w:rsid w:val="008738BC"/>
    <w:rsid w:val="00880B92"/>
    <w:rsid w:val="00880CFB"/>
    <w:rsid w:val="00884E0D"/>
    <w:rsid w:val="0088527B"/>
    <w:rsid w:val="00885CDC"/>
    <w:rsid w:val="008872F6"/>
    <w:rsid w:val="00891CE8"/>
    <w:rsid w:val="00891DAC"/>
    <w:rsid w:val="0089331F"/>
    <w:rsid w:val="008A01BE"/>
    <w:rsid w:val="008A0C5F"/>
    <w:rsid w:val="008A2E09"/>
    <w:rsid w:val="008A4935"/>
    <w:rsid w:val="008B121A"/>
    <w:rsid w:val="008B6565"/>
    <w:rsid w:val="008C0167"/>
    <w:rsid w:val="008C0766"/>
    <w:rsid w:val="008C4902"/>
    <w:rsid w:val="008C78BD"/>
    <w:rsid w:val="008D084C"/>
    <w:rsid w:val="008D211A"/>
    <w:rsid w:val="008D4F82"/>
    <w:rsid w:val="008D589F"/>
    <w:rsid w:val="008E2956"/>
    <w:rsid w:val="008E46A8"/>
    <w:rsid w:val="008E5141"/>
    <w:rsid w:val="008E6B8E"/>
    <w:rsid w:val="008E6CC2"/>
    <w:rsid w:val="008E7538"/>
    <w:rsid w:val="008E7B62"/>
    <w:rsid w:val="008F2842"/>
    <w:rsid w:val="008F2A2A"/>
    <w:rsid w:val="008F398D"/>
    <w:rsid w:val="008F5296"/>
    <w:rsid w:val="008F76DE"/>
    <w:rsid w:val="008F77B6"/>
    <w:rsid w:val="0090175B"/>
    <w:rsid w:val="00903437"/>
    <w:rsid w:val="00903F26"/>
    <w:rsid w:val="009068D9"/>
    <w:rsid w:val="00911FF2"/>
    <w:rsid w:val="00912435"/>
    <w:rsid w:val="00915CC5"/>
    <w:rsid w:val="0092025C"/>
    <w:rsid w:val="009202B0"/>
    <w:rsid w:val="00920830"/>
    <w:rsid w:val="009218A4"/>
    <w:rsid w:val="00923F35"/>
    <w:rsid w:val="0092631C"/>
    <w:rsid w:val="009265D8"/>
    <w:rsid w:val="00930A8B"/>
    <w:rsid w:val="00930DF0"/>
    <w:rsid w:val="00933F7F"/>
    <w:rsid w:val="00935A9E"/>
    <w:rsid w:val="00942B3C"/>
    <w:rsid w:val="00953466"/>
    <w:rsid w:val="00953AE3"/>
    <w:rsid w:val="00966AD3"/>
    <w:rsid w:val="00967BFC"/>
    <w:rsid w:val="009736E2"/>
    <w:rsid w:val="00974C65"/>
    <w:rsid w:val="009825F2"/>
    <w:rsid w:val="00984FCC"/>
    <w:rsid w:val="00986A30"/>
    <w:rsid w:val="00994ABF"/>
    <w:rsid w:val="00994D40"/>
    <w:rsid w:val="00996A4B"/>
    <w:rsid w:val="009A4044"/>
    <w:rsid w:val="009A7C33"/>
    <w:rsid w:val="009B277D"/>
    <w:rsid w:val="009B34AA"/>
    <w:rsid w:val="009B4956"/>
    <w:rsid w:val="009C13DD"/>
    <w:rsid w:val="009C3E54"/>
    <w:rsid w:val="009C4A6E"/>
    <w:rsid w:val="009D2461"/>
    <w:rsid w:val="009D390E"/>
    <w:rsid w:val="009D76E2"/>
    <w:rsid w:val="009E00C8"/>
    <w:rsid w:val="009E2393"/>
    <w:rsid w:val="009E2D04"/>
    <w:rsid w:val="009E4356"/>
    <w:rsid w:val="009E446A"/>
    <w:rsid w:val="009E4B23"/>
    <w:rsid w:val="009F2A58"/>
    <w:rsid w:val="00A0472D"/>
    <w:rsid w:val="00A05505"/>
    <w:rsid w:val="00A0554C"/>
    <w:rsid w:val="00A11BEF"/>
    <w:rsid w:val="00A1496B"/>
    <w:rsid w:val="00A14998"/>
    <w:rsid w:val="00A156D2"/>
    <w:rsid w:val="00A17699"/>
    <w:rsid w:val="00A206D6"/>
    <w:rsid w:val="00A2131A"/>
    <w:rsid w:val="00A23964"/>
    <w:rsid w:val="00A23CCF"/>
    <w:rsid w:val="00A2442C"/>
    <w:rsid w:val="00A245C3"/>
    <w:rsid w:val="00A2559F"/>
    <w:rsid w:val="00A30BF8"/>
    <w:rsid w:val="00A3295B"/>
    <w:rsid w:val="00A374CA"/>
    <w:rsid w:val="00A3751F"/>
    <w:rsid w:val="00A41A2B"/>
    <w:rsid w:val="00A4233F"/>
    <w:rsid w:val="00A42D63"/>
    <w:rsid w:val="00A473D3"/>
    <w:rsid w:val="00A47B44"/>
    <w:rsid w:val="00A47D3C"/>
    <w:rsid w:val="00A517DB"/>
    <w:rsid w:val="00A522ED"/>
    <w:rsid w:val="00A55744"/>
    <w:rsid w:val="00A56859"/>
    <w:rsid w:val="00A56EB8"/>
    <w:rsid w:val="00A57967"/>
    <w:rsid w:val="00A60B94"/>
    <w:rsid w:val="00A617E0"/>
    <w:rsid w:val="00A65497"/>
    <w:rsid w:val="00A65BF0"/>
    <w:rsid w:val="00A66BA9"/>
    <w:rsid w:val="00A72009"/>
    <w:rsid w:val="00A75766"/>
    <w:rsid w:val="00A76025"/>
    <w:rsid w:val="00A830B0"/>
    <w:rsid w:val="00A845B0"/>
    <w:rsid w:val="00A85C9D"/>
    <w:rsid w:val="00A8688D"/>
    <w:rsid w:val="00A87EDE"/>
    <w:rsid w:val="00AA22EE"/>
    <w:rsid w:val="00AA295C"/>
    <w:rsid w:val="00AA3DFD"/>
    <w:rsid w:val="00AA673B"/>
    <w:rsid w:val="00AA7857"/>
    <w:rsid w:val="00AB0852"/>
    <w:rsid w:val="00AB0F3B"/>
    <w:rsid w:val="00AB1488"/>
    <w:rsid w:val="00AB401E"/>
    <w:rsid w:val="00AC214E"/>
    <w:rsid w:val="00AC2588"/>
    <w:rsid w:val="00AC5390"/>
    <w:rsid w:val="00AC57AD"/>
    <w:rsid w:val="00AC5950"/>
    <w:rsid w:val="00AC7EAF"/>
    <w:rsid w:val="00AD1185"/>
    <w:rsid w:val="00AD1CFA"/>
    <w:rsid w:val="00AD30B6"/>
    <w:rsid w:val="00AD5E37"/>
    <w:rsid w:val="00AD6AE2"/>
    <w:rsid w:val="00AE1DB3"/>
    <w:rsid w:val="00AE4255"/>
    <w:rsid w:val="00AE528D"/>
    <w:rsid w:val="00AF17B9"/>
    <w:rsid w:val="00AF1AE9"/>
    <w:rsid w:val="00AF1D3B"/>
    <w:rsid w:val="00AF31B6"/>
    <w:rsid w:val="00AF3C4B"/>
    <w:rsid w:val="00AF45F5"/>
    <w:rsid w:val="00AF598E"/>
    <w:rsid w:val="00AF64CC"/>
    <w:rsid w:val="00B02F85"/>
    <w:rsid w:val="00B04ADF"/>
    <w:rsid w:val="00B07827"/>
    <w:rsid w:val="00B10201"/>
    <w:rsid w:val="00B1133E"/>
    <w:rsid w:val="00B1318A"/>
    <w:rsid w:val="00B14367"/>
    <w:rsid w:val="00B150E7"/>
    <w:rsid w:val="00B152E7"/>
    <w:rsid w:val="00B1781E"/>
    <w:rsid w:val="00B1796D"/>
    <w:rsid w:val="00B17BBA"/>
    <w:rsid w:val="00B17BEF"/>
    <w:rsid w:val="00B22B0B"/>
    <w:rsid w:val="00B24BF8"/>
    <w:rsid w:val="00B25D4F"/>
    <w:rsid w:val="00B30104"/>
    <w:rsid w:val="00B30B13"/>
    <w:rsid w:val="00B361A3"/>
    <w:rsid w:val="00B36A55"/>
    <w:rsid w:val="00B36F4F"/>
    <w:rsid w:val="00B44113"/>
    <w:rsid w:val="00B47A86"/>
    <w:rsid w:val="00B5295C"/>
    <w:rsid w:val="00B5430D"/>
    <w:rsid w:val="00B54707"/>
    <w:rsid w:val="00B54927"/>
    <w:rsid w:val="00B56184"/>
    <w:rsid w:val="00B62720"/>
    <w:rsid w:val="00B64D9B"/>
    <w:rsid w:val="00B672B0"/>
    <w:rsid w:val="00B7046B"/>
    <w:rsid w:val="00B716DF"/>
    <w:rsid w:val="00B73F35"/>
    <w:rsid w:val="00B749FA"/>
    <w:rsid w:val="00B769D2"/>
    <w:rsid w:val="00B76DA4"/>
    <w:rsid w:val="00B77692"/>
    <w:rsid w:val="00B8111B"/>
    <w:rsid w:val="00B812B3"/>
    <w:rsid w:val="00B824C5"/>
    <w:rsid w:val="00B83633"/>
    <w:rsid w:val="00B84FB9"/>
    <w:rsid w:val="00B911CF"/>
    <w:rsid w:val="00B9282F"/>
    <w:rsid w:val="00B92FE9"/>
    <w:rsid w:val="00B93251"/>
    <w:rsid w:val="00B97556"/>
    <w:rsid w:val="00BA03C7"/>
    <w:rsid w:val="00BA1295"/>
    <w:rsid w:val="00BA69CC"/>
    <w:rsid w:val="00BA7298"/>
    <w:rsid w:val="00BB20C9"/>
    <w:rsid w:val="00BB30E4"/>
    <w:rsid w:val="00BB4022"/>
    <w:rsid w:val="00BB41E4"/>
    <w:rsid w:val="00BC1DC6"/>
    <w:rsid w:val="00BC5C3D"/>
    <w:rsid w:val="00BD0A62"/>
    <w:rsid w:val="00BD101A"/>
    <w:rsid w:val="00BD1F80"/>
    <w:rsid w:val="00BD3248"/>
    <w:rsid w:val="00BD56B2"/>
    <w:rsid w:val="00BD673B"/>
    <w:rsid w:val="00BD7F6C"/>
    <w:rsid w:val="00BE17FD"/>
    <w:rsid w:val="00BE23AE"/>
    <w:rsid w:val="00BE2655"/>
    <w:rsid w:val="00BE288C"/>
    <w:rsid w:val="00BE44BB"/>
    <w:rsid w:val="00BF0BB3"/>
    <w:rsid w:val="00BF5212"/>
    <w:rsid w:val="00BF6B4A"/>
    <w:rsid w:val="00C0291C"/>
    <w:rsid w:val="00C02E0B"/>
    <w:rsid w:val="00C04EDF"/>
    <w:rsid w:val="00C07C5F"/>
    <w:rsid w:val="00C100C7"/>
    <w:rsid w:val="00C1307D"/>
    <w:rsid w:val="00C165D1"/>
    <w:rsid w:val="00C230B5"/>
    <w:rsid w:val="00C239B9"/>
    <w:rsid w:val="00C263D3"/>
    <w:rsid w:val="00C269E3"/>
    <w:rsid w:val="00C27E83"/>
    <w:rsid w:val="00C350C3"/>
    <w:rsid w:val="00C40782"/>
    <w:rsid w:val="00C449B2"/>
    <w:rsid w:val="00C45993"/>
    <w:rsid w:val="00C4716F"/>
    <w:rsid w:val="00C51964"/>
    <w:rsid w:val="00C523FD"/>
    <w:rsid w:val="00C5475B"/>
    <w:rsid w:val="00C54D35"/>
    <w:rsid w:val="00C55AC4"/>
    <w:rsid w:val="00C63221"/>
    <w:rsid w:val="00C66D39"/>
    <w:rsid w:val="00C670EB"/>
    <w:rsid w:val="00C6725D"/>
    <w:rsid w:val="00C70B1B"/>
    <w:rsid w:val="00C73EF9"/>
    <w:rsid w:val="00C8027C"/>
    <w:rsid w:val="00C80830"/>
    <w:rsid w:val="00C8325D"/>
    <w:rsid w:val="00C8442A"/>
    <w:rsid w:val="00C8532F"/>
    <w:rsid w:val="00C8609A"/>
    <w:rsid w:val="00C867EA"/>
    <w:rsid w:val="00C9087D"/>
    <w:rsid w:val="00C90A55"/>
    <w:rsid w:val="00C914A9"/>
    <w:rsid w:val="00C96E56"/>
    <w:rsid w:val="00C97322"/>
    <w:rsid w:val="00C974B2"/>
    <w:rsid w:val="00CA1279"/>
    <w:rsid w:val="00CA24E9"/>
    <w:rsid w:val="00CA4C06"/>
    <w:rsid w:val="00CA75B3"/>
    <w:rsid w:val="00CB0F43"/>
    <w:rsid w:val="00CB6543"/>
    <w:rsid w:val="00CB669A"/>
    <w:rsid w:val="00CB77DD"/>
    <w:rsid w:val="00CC1837"/>
    <w:rsid w:val="00CC2218"/>
    <w:rsid w:val="00CC58EA"/>
    <w:rsid w:val="00CC5B13"/>
    <w:rsid w:val="00CC5D6D"/>
    <w:rsid w:val="00CC5E84"/>
    <w:rsid w:val="00CC6FB0"/>
    <w:rsid w:val="00CD047C"/>
    <w:rsid w:val="00CD4150"/>
    <w:rsid w:val="00CE1938"/>
    <w:rsid w:val="00CE2E20"/>
    <w:rsid w:val="00CE53C3"/>
    <w:rsid w:val="00CE585C"/>
    <w:rsid w:val="00CF2421"/>
    <w:rsid w:val="00CF2CA0"/>
    <w:rsid w:val="00CF31B4"/>
    <w:rsid w:val="00CF636D"/>
    <w:rsid w:val="00D001E3"/>
    <w:rsid w:val="00D02743"/>
    <w:rsid w:val="00D04438"/>
    <w:rsid w:val="00D07E78"/>
    <w:rsid w:val="00D148A2"/>
    <w:rsid w:val="00D169D3"/>
    <w:rsid w:val="00D22761"/>
    <w:rsid w:val="00D22EC9"/>
    <w:rsid w:val="00D27C84"/>
    <w:rsid w:val="00D315F4"/>
    <w:rsid w:val="00D34B0D"/>
    <w:rsid w:val="00D3620F"/>
    <w:rsid w:val="00D3632C"/>
    <w:rsid w:val="00D36552"/>
    <w:rsid w:val="00D41F52"/>
    <w:rsid w:val="00D424EA"/>
    <w:rsid w:val="00D432DE"/>
    <w:rsid w:val="00D4420B"/>
    <w:rsid w:val="00D449D5"/>
    <w:rsid w:val="00D45834"/>
    <w:rsid w:val="00D460C8"/>
    <w:rsid w:val="00D54FA4"/>
    <w:rsid w:val="00D55063"/>
    <w:rsid w:val="00D60040"/>
    <w:rsid w:val="00D63F02"/>
    <w:rsid w:val="00D64071"/>
    <w:rsid w:val="00D72DC3"/>
    <w:rsid w:val="00D741A7"/>
    <w:rsid w:val="00D74CA6"/>
    <w:rsid w:val="00D7706B"/>
    <w:rsid w:val="00D82415"/>
    <w:rsid w:val="00D82FC8"/>
    <w:rsid w:val="00D83CFA"/>
    <w:rsid w:val="00D855DF"/>
    <w:rsid w:val="00D85CE9"/>
    <w:rsid w:val="00D868B1"/>
    <w:rsid w:val="00D875DB"/>
    <w:rsid w:val="00D9260E"/>
    <w:rsid w:val="00D93CB9"/>
    <w:rsid w:val="00D9516A"/>
    <w:rsid w:val="00D96019"/>
    <w:rsid w:val="00D977ED"/>
    <w:rsid w:val="00DA3852"/>
    <w:rsid w:val="00DA7C63"/>
    <w:rsid w:val="00DB11D5"/>
    <w:rsid w:val="00DB123E"/>
    <w:rsid w:val="00DB2467"/>
    <w:rsid w:val="00DB441C"/>
    <w:rsid w:val="00DB443B"/>
    <w:rsid w:val="00DB49BA"/>
    <w:rsid w:val="00DB6901"/>
    <w:rsid w:val="00DB6923"/>
    <w:rsid w:val="00DB75F7"/>
    <w:rsid w:val="00DC0479"/>
    <w:rsid w:val="00DC1717"/>
    <w:rsid w:val="00DC18BD"/>
    <w:rsid w:val="00DC21F7"/>
    <w:rsid w:val="00DC2E46"/>
    <w:rsid w:val="00DD08EA"/>
    <w:rsid w:val="00DD1BE2"/>
    <w:rsid w:val="00DD216E"/>
    <w:rsid w:val="00DD280A"/>
    <w:rsid w:val="00DD2A19"/>
    <w:rsid w:val="00DD2DFB"/>
    <w:rsid w:val="00DD4C2A"/>
    <w:rsid w:val="00DD7508"/>
    <w:rsid w:val="00DE515A"/>
    <w:rsid w:val="00DE55FB"/>
    <w:rsid w:val="00DF2EE4"/>
    <w:rsid w:val="00E045DE"/>
    <w:rsid w:val="00E0782C"/>
    <w:rsid w:val="00E10386"/>
    <w:rsid w:val="00E1043D"/>
    <w:rsid w:val="00E1182F"/>
    <w:rsid w:val="00E11A6B"/>
    <w:rsid w:val="00E14A09"/>
    <w:rsid w:val="00E24BC7"/>
    <w:rsid w:val="00E2646F"/>
    <w:rsid w:val="00E26DB2"/>
    <w:rsid w:val="00E30D78"/>
    <w:rsid w:val="00E325BE"/>
    <w:rsid w:val="00E32A71"/>
    <w:rsid w:val="00E33751"/>
    <w:rsid w:val="00E33AAC"/>
    <w:rsid w:val="00E361B8"/>
    <w:rsid w:val="00E43452"/>
    <w:rsid w:val="00E545E8"/>
    <w:rsid w:val="00E54871"/>
    <w:rsid w:val="00E5551C"/>
    <w:rsid w:val="00E5554E"/>
    <w:rsid w:val="00E5560B"/>
    <w:rsid w:val="00E63FA6"/>
    <w:rsid w:val="00E64355"/>
    <w:rsid w:val="00E64710"/>
    <w:rsid w:val="00E64AB7"/>
    <w:rsid w:val="00E70577"/>
    <w:rsid w:val="00E714EC"/>
    <w:rsid w:val="00E75CB3"/>
    <w:rsid w:val="00E777DF"/>
    <w:rsid w:val="00E77B21"/>
    <w:rsid w:val="00E80FD1"/>
    <w:rsid w:val="00E82B26"/>
    <w:rsid w:val="00E843D9"/>
    <w:rsid w:val="00E8595E"/>
    <w:rsid w:val="00E85CDB"/>
    <w:rsid w:val="00E90172"/>
    <w:rsid w:val="00E90CE8"/>
    <w:rsid w:val="00E9126C"/>
    <w:rsid w:val="00E936B8"/>
    <w:rsid w:val="00E95425"/>
    <w:rsid w:val="00E97862"/>
    <w:rsid w:val="00EA0532"/>
    <w:rsid w:val="00EA32B8"/>
    <w:rsid w:val="00EA48C9"/>
    <w:rsid w:val="00EA66A3"/>
    <w:rsid w:val="00EB177A"/>
    <w:rsid w:val="00EB1929"/>
    <w:rsid w:val="00EB41D7"/>
    <w:rsid w:val="00EB4464"/>
    <w:rsid w:val="00EB5DE9"/>
    <w:rsid w:val="00EB694A"/>
    <w:rsid w:val="00EC2B1E"/>
    <w:rsid w:val="00EC3DED"/>
    <w:rsid w:val="00EC5AB8"/>
    <w:rsid w:val="00ED037C"/>
    <w:rsid w:val="00ED1223"/>
    <w:rsid w:val="00ED337C"/>
    <w:rsid w:val="00ED42E0"/>
    <w:rsid w:val="00ED4E59"/>
    <w:rsid w:val="00EE469C"/>
    <w:rsid w:val="00EE5EB2"/>
    <w:rsid w:val="00EF06C3"/>
    <w:rsid w:val="00EF35F0"/>
    <w:rsid w:val="00EF4A02"/>
    <w:rsid w:val="00EF589C"/>
    <w:rsid w:val="00EF6112"/>
    <w:rsid w:val="00EF61EB"/>
    <w:rsid w:val="00F002C8"/>
    <w:rsid w:val="00F03135"/>
    <w:rsid w:val="00F04D45"/>
    <w:rsid w:val="00F04F39"/>
    <w:rsid w:val="00F05181"/>
    <w:rsid w:val="00F060FC"/>
    <w:rsid w:val="00F10CA8"/>
    <w:rsid w:val="00F11271"/>
    <w:rsid w:val="00F1361D"/>
    <w:rsid w:val="00F156EA"/>
    <w:rsid w:val="00F1744E"/>
    <w:rsid w:val="00F2282B"/>
    <w:rsid w:val="00F25252"/>
    <w:rsid w:val="00F25E0A"/>
    <w:rsid w:val="00F267A8"/>
    <w:rsid w:val="00F31618"/>
    <w:rsid w:val="00F3331F"/>
    <w:rsid w:val="00F35921"/>
    <w:rsid w:val="00F41DC4"/>
    <w:rsid w:val="00F423AC"/>
    <w:rsid w:val="00F42A8B"/>
    <w:rsid w:val="00F43F09"/>
    <w:rsid w:val="00F44C89"/>
    <w:rsid w:val="00F46E0A"/>
    <w:rsid w:val="00F50965"/>
    <w:rsid w:val="00F525E1"/>
    <w:rsid w:val="00F5260A"/>
    <w:rsid w:val="00F5569C"/>
    <w:rsid w:val="00F5698E"/>
    <w:rsid w:val="00F6068A"/>
    <w:rsid w:val="00F6081C"/>
    <w:rsid w:val="00F6486C"/>
    <w:rsid w:val="00F660F8"/>
    <w:rsid w:val="00F7119E"/>
    <w:rsid w:val="00F71A24"/>
    <w:rsid w:val="00F71C55"/>
    <w:rsid w:val="00F72020"/>
    <w:rsid w:val="00F76E0B"/>
    <w:rsid w:val="00F771B3"/>
    <w:rsid w:val="00F83DE0"/>
    <w:rsid w:val="00F84C7A"/>
    <w:rsid w:val="00F84D38"/>
    <w:rsid w:val="00F84E64"/>
    <w:rsid w:val="00F86137"/>
    <w:rsid w:val="00F8773E"/>
    <w:rsid w:val="00F900A5"/>
    <w:rsid w:val="00F90FCE"/>
    <w:rsid w:val="00F92190"/>
    <w:rsid w:val="00F92CCC"/>
    <w:rsid w:val="00F96D2D"/>
    <w:rsid w:val="00F97C67"/>
    <w:rsid w:val="00FA0D69"/>
    <w:rsid w:val="00FA2F7E"/>
    <w:rsid w:val="00FA3268"/>
    <w:rsid w:val="00FA57E7"/>
    <w:rsid w:val="00FB1078"/>
    <w:rsid w:val="00FB149F"/>
    <w:rsid w:val="00FB2A2D"/>
    <w:rsid w:val="00FB390D"/>
    <w:rsid w:val="00FB438E"/>
    <w:rsid w:val="00FB5051"/>
    <w:rsid w:val="00FB6B92"/>
    <w:rsid w:val="00FB6CB0"/>
    <w:rsid w:val="00FC7430"/>
    <w:rsid w:val="00FD0A62"/>
    <w:rsid w:val="00FD462F"/>
    <w:rsid w:val="00FD4950"/>
    <w:rsid w:val="00FD5588"/>
    <w:rsid w:val="00FD5B93"/>
    <w:rsid w:val="00FE1A56"/>
    <w:rsid w:val="00FE4A42"/>
    <w:rsid w:val="00FF0786"/>
    <w:rsid w:val="00FF3E5D"/>
    <w:rsid w:val="00FF4FB4"/>
    <w:rsid w:val="00FF51F9"/>
    <w:rsid w:val="00FF54FE"/>
    <w:rsid w:val="00FF5F88"/>
    <w:rsid w:val="00FF6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A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480" w:line="276" w:lineRule="auto"/>
      <w:outlineLvl w:val="0"/>
    </w:pPr>
    <w:rPr>
      <w:rFonts w:ascii="Cambria" w:eastAsia="Cambria" w:hAnsi="Cambria" w:cs="Cambria"/>
      <w:smallCaps/>
      <w:sz w:val="36"/>
      <w:szCs w:val="36"/>
    </w:rPr>
  </w:style>
  <w:style w:type="paragraph" w:styleId="Ttulo2">
    <w:name w:val="heading 2"/>
    <w:basedOn w:val="Normal"/>
    <w:next w:val="Normal"/>
    <w:link w:val="Ttulo2Car"/>
    <w:unhideWhenUsed/>
    <w:qFormat/>
    <w:pPr>
      <w:spacing w:before="360" w:after="360" w:line="360" w:lineRule="auto"/>
      <w:ind w:firstLine="1418"/>
      <w:jc w:val="both"/>
      <w:outlineLvl w:val="1"/>
    </w:pPr>
    <w:rPr>
      <w:rFonts w:ascii="Arial" w:eastAsia="Arial" w:hAnsi="Arial" w:cs="Arial"/>
      <w:b/>
      <w:sz w:val="26"/>
      <w:szCs w:val="26"/>
    </w:rPr>
  </w:style>
  <w:style w:type="paragraph" w:styleId="Ttulo3">
    <w:name w:val="heading 3"/>
    <w:basedOn w:val="Normal"/>
    <w:next w:val="Normal"/>
    <w:link w:val="Ttulo3Car"/>
    <w:uiPriority w:val="9"/>
    <w:unhideWhenUsed/>
    <w:qFormat/>
    <w:pPr>
      <w:spacing w:before="360" w:after="360" w:line="360" w:lineRule="auto"/>
      <w:ind w:firstLine="1418"/>
      <w:jc w:val="both"/>
      <w:outlineLvl w:val="2"/>
    </w:pPr>
    <w:rPr>
      <w:rFonts w:ascii="Arial Negrita" w:eastAsia="Arial Negrita" w:hAnsi="Arial Negrita" w:cs="Arial Negrita"/>
      <w:b/>
      <w:sz w:val="26"/>
      <w:szCs w:val="26"/>
    </w:rPr>
  </w:style>
  <w:style w:type="paragraph" w:styleId="Ttulo4">
    <w:name w:val="heading 4"/>
    <w:basedOn w:val="Normal"/>
    <w:next w:val="Normal"/>
    <w:uiPriority w:val="9"/>
    <w:semiHidden/>
    <w:unhideWhenUsed/>
    <w:qFormat/>
    <w:pPr>
      <w:spacing w:line="271" w:lineRule="auto"/>
      <w:outlineLvl w:val="3"/>
    </w:pPr>
    <w:rPr>
      <w:rFonts w:ascii="Cambria" w:eastAsia="Cambria" w:hAnsi="Cambria" w:cs="Cambria"/>
      <w:b/>
    </w:rPr>
  </w:style>
  <w:style w:type="paragraph" w:styleId="Ttulo5">
    <w:name w:val="heading 5"/>
    <w:basedOn w:val="Normal"/>
    <w:next w:val="Normal"/>
    <w:uiPriority w:val="9"/>
    <w:semiHidden/>
    <w:unhideWhenUsed/>
    <w:qFormat/>
    <w:pPr>
      <w:spacing w:line="271" w:lineRule="auto"/>
      <w:outlineLvl w:val="4"/>
    </w:pPr>
    <w:rPr>
      <w:rFonts w:ascii="Cambria" w:eastAsia="Cambria" w:hAnsi="Cambria" w:cs="Cambria"/>
      <w:i/>
    </w:rPr>
  </w:style>
  <w:style w:type="paragraph" w:styleId="Ttulo6">
    <w:name w:val="heading 6"/>
    <w:basedOn w:val="Normal"/>
    <w:next w:val="Normal"/>
    <w:uiPriority w:val="9"/>
    <w:semiHidden/>
    <w:unhideWhenUsed/>
    <w:qFormat/>
    <w:pPr>
      <w:shd w:val="clear" w:color="auto" w:fill="FFFFFF"/>
      <w:spacing w:line="271" w:lineRule="auto"/>
      <w:outlineLvl w:val="5"/>
    </w:pPr>
    <w:rPr>
      <w:rFonts w:ascii="Cambria" w:eastAsia="Cambria" w:hAnsi="Cambria" w:cs="Cambria"/>
      <w:b/>
      <w:color w:val="595959"/>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300"/>
    </w:pPr>
    <w:rPr>
      <w:rFonts w:ascii="Cambria" w:eastAsia="Cambria" w:hAnsi="Cambria" w:cs="Cambria"/>
      <w:smallCaps/>
      <w:sz w:val="52"/>
      <w:szCs w:val="52"/>
    </w:rPr>
  </w:style>
  <w:style w:type="paragraph" w:styleId="Subttulo">
    <w:name w:val="Subtitle"/>
    <w:basedOn w:val="Normal"/>
    <w:next w:val="Normal"/>
    <w:uiPriority w:val="11"/>
    <w:qFormat/>
    <w:pPr>
      <w:spacing w:after="200" w:line="276" w:lineRule="auto"/>
    </w:pPr>
    <w:rPr>
      <w:rFonts w:ascii="Cambria" w:eastAsia="Cambria" w:hAnsi="Cambria" w:cs="Cambria"/>
      <w:i/>
      <w:smallCaps/>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before="120" w:after="120"/>
      <w:jc w:val="both"/>
    </w:pPr>
    <w:rPr>
      <w:rFonts w:ascii="Arial" w:eastAsia="Arial" w:hAnsi="Arial" w:cs="Arial"/>
      <w:sz w:val="20"/>
      <w:szCs w:val="20"/>
    </w:rPr>
    <w:tblPr>
      <w:tblStyleRowBandSize w:val="1"/>
      <w:tblStyleColBandSize w:val="1"/>
      <w:tblCellMar>
        <w:left w:w="115" w:type="dxa"/>
        <w:right w:w="115" w:type="dxa"/>
      </w:tblCellMar>
    </w:tblPr>
    <w:tcPr>
      <w:shd w:val="clear" w:color="auto" w:fill="auto"/>
      <w:vAlign w:val="center"/>
    </w:tcPr>
  </w:style>
  <w:style w:type="character" w:customStyle="1" w:styleId="Ttulo2Car">
    <w:name w:val="Título 2 Car"/>
    <w:basedOn w:val="Fuentedeprrafopredeter"/>
    <w:link w:val="Ttulo2"/>
    <w:rsid w:val="00025997"/>
    <w:rPr>
      <w:rFonts w:ascii="Arial" w:eastAsia="Arial" w:hAnsi="Arial" w:cs="Arial"/>
      <w:b/>
      <w:sz w:val="26"/>
      <w:szCs w:val="26"/>
    </w:rPr>
  </w:style>
  <w:style w:type="paragraph" w:styleId="Textodeglobo">
    <w:name w:val="Balloon Text"/>
    <w:basedOn w:val="Normal"/>
    <w:link w:val="TextodegloboCar"/>
    <w:uiPriority w:val="99"/>
    <w:semiHidden/>
    <w:unhideWhenUsed/>
    <w:rsid w:val="008E6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6CC2"/>
    <w:rPr>
      <w:rFonts w:ascii="Segoe UI" w:hAnsi="Segoe UI" w:cs="Segoe UI"/>
      <w:sz w:val="18"/>
      <w:szCs w:val="18"/>
    </w:rPr>
  </w:style>
  <w:style w:type="character" w:styleId="Refdecomentario">
    <w:name w:val="annotation reference"/>
    <w:basedOn w:val="Fuentedeprrafopredeter"/>
    <w:uiPriority w:val="99"/>
    <w:semiHidden/>
    <w:unhideWhenUsed/>
    <w:rsid w:val="008E6CC2"/>
    <w:rPr>
      <w:sz w:val="16"/>
      <w:szCs w:val="16"/>
    </w:rPr>
  </w:style>
  <w:style w:type="paragraph" w:styleId="Textocomentario">
    <w:name w:val="annotation text"/>
    <w:basedOn w:val="Normal"/>
    <w:link w:val="TextocomentarioCar"/>
    <w:uiPriority w:val="99"/>
    <w:semiHidden/>
    <w:unhideWhenUsed/>
    <w:rsid w:val="008E6CC2"/>
    <w:rPr>
      <w:sz w:val="20"/>
      <w:szCs w:val="20"/>
    </w:rPr>
  </w:style>
  <w:style w:type="character" w:customStyle="1" w:styleId="TextocomentarioCar">
    <w:name w:val="Texto comentario Car"/>
    <w:basedOn w:val="Fuentedeprrafopredeter"/>
    <w:link w:val="Textocomentario"/>
    <w:uiPriority w:val="99"/>
    <w:semiHidden/>
    <w:rsid w:val="008E6CC2"/>
    <w:rPr>
      <w:sz w:val="20"/>
      <w:szCs w:val="20"/>
    </w:rPr>
  </w:style>
  <w:style w:type="paragraph" w:styleId="Asuntodelcomentario">
    <w:name w:val="annotation subject"/>
    <w:basedOn w:val="Textocomentario"/>
    <w:next w:val="Textocomentario"/>
    <w:link w:val="AsuntodelcomentarioCar"/>
    <w:uiPriority w:val="99"/>
    <w:semiHidden/>
    <w:unhideWhenUsed/>
    <w:rsid w:val="008E6CC2"/>
    <w:rPr>
      <w:b/>
      <w:bCs/>
    </w:rPr>
  </w:style>
  <w:style w:type="character" w:customStyle="1" w:styleId="AsuntodelcomentarioCar">
    <w:name w:val="Asunto del comentario Car"/>
    <w:basedOn w:val="TextocomentarioCar"/>
    <w:link w:val="Asuntodelcomentario"/>
    <w:uiPriority w:val="99"/>
    <w:semiHidden/>
    <w:rsid w:val="008E6CC2"/>
    <w:rPr>
      <w:b/>
      <w:bCs/>
      <w:sz w:val="20"/>
      <w:szCs w:val="20"/>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9A7C3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qFormat/>
    <w:rsid w:val="009A7C33"/>
    <w:rPr>
      <w:sz w:val="20"/>
      <w:szCs w:val="20"/>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basedOn w:val="Fuentedeprrafopredeter"/>
    <w:link w:val="4GChar"/>
    <w:uiPriority w:val="99"/>
    <w:unhideWhenUsed/>
    <w:qFormat/>
    <w:rsid w:val="009A7C33"/>
    <w:rPr>
      <w:vertAlign w:val="superscript"/>
    </w:rPr>
  </w:style>
  <w:style w:type="character" w:customStyle="1" w:styleId="Ttulo3Car">
    <w:name w:val="Título 3 Car"/>
    <w:basedOn w:val="Fuentedeprrafopredeter"/>
    <w:link w:val="Ttulo3"/>
    <w:uiPriority w:val="9"/>
    <w:rsid w:val="00C54D35"/>
    <w:rPr>
      <w:rFonts w:ascii="Arial Negrita" w:eastAsia="Arial Negrita" w:hAnsi="Arial Negrita" w:cs="Arial Negrita"/>
      <w:b/>
      <w:sz w:val="26"/>
      <w:szCs w:val="26"/>
    </w:rPr>
  </w:style>
  <w:style w:type="paragraph" w:styleId="Prrafodelista">
    <w:name w:val="List Paragraph"/>
    <w:aliases w:val="CNBV Parrafo1,Párrafo de lista1,Parrafo 1,Lista multicolor - Énfasis 11,Lista vistosa - Énfasis 11,Cuadrícula media 1 - Énfasis 21,Cita texto,List Paragraph-Thesis,Footnote,Cuadrícula media 1 - Énfasis 211,Listas,List Paragraph2"/>
    <w:basedOn w:val="Normal"/>
    <w:link w:val="PrrafodelistaCar"/>
    <w:uiPriority w:val="1"/>
    <w:qFormat/>
    <w:rsid w:val="00554184"/>
    <w:pPr>
      <w:ind w:left="720"/>
      <w:contextualSpacing/>
    </w:pPr>
  </w:style>
  <w:style w:type="character" w:styleId="Hipervnculo">
    <w:name w:val="Hyperlink"/>
    <w:basedOn w:val="Fuentedeprrafopredeter"/>
    <w:uiPriority w:val="99"/>
    <w:unhideWhenUsed/>
    <w:rsid w:val="003629DC"/>
    <w:rPr>
      <w:color w:val="0000FF" w:themeColor="hyperlink"/>
      <w:u w:val="single"/>
    </w:rPr>
  </w:style>
  <w:style w:type="paragraph" w:customStyle="1" w:styleId="Cuerpo">
    <w:name w:val="Cuerpo"/>
    <w:qFormat/>
    <w:rsid w:val="003629DC"/>
    <w:rPr>
      <w:rFonts w:eastAsia="Arial Unicode MS" w:hAnsi="Arial Unicode MS" w:cs="Arial Unicode MS"/>
      <w:color w:val="000000"/>
      <w:u w:color="000000"/>
    </w:rPr>
  </w:style>
  <w:style w:type="paragraph" w:styleId="TDC1">
    <w:name w:val="toc 1"/>
    <w:basedOn w:val="Normal"/>
    <w:next w:val="Normal"/>
    <w:autoRedefine/>
    <w:uiPriority w:val="39"/>
    <w:unhideWhenUsed/>
    <w:rsid w:val="00EB4464"/>
    <w:pPr>
      <w:tabs>
        <w:tab w:val="right" w:leader="dot" w:pos="7977"/>
      </w:tabs>
    </w:pPr>
    <w:rPr>
      <w:rFonts w:ascii="Arial Negrita" w:hAnsi="Arial Negrita" w:cs="Arial"/>
      <w:noProof/>
      <w:sz w:val="20"/>
      <w:szCs w:val="20"/>
    </w:rPr>
  </w:style>
  <w:style w:type="paragraph" w:styleId="TtuloTDC">
    <w:name w:val="TOC Heading"/>
    <w:basedOn w:val="Ttulo1"/>
    <w:next w:val="Normal"/>
    <w:uiPriority w:val="39"/>
    <w:unhideWhenUsed/>
    <w:qFormat/>
    <w:rsid w:val="003629DC"/>
    <w:pPr>
      <w:keepNext/>
      <w:keepLines/>
      <w:spacing w:before="240" w:line="240" w:lineRule="auto"/>
      <w:outlineLvl w:val="9"/>
    </w:pPr>
    <w:rPr>
      <w:rFonts w:asciiTheme="majorHAnsi" w:eastAsiaTheme="majorEastAsia" w:hAnsiTheme="majorHAnsi" w:cstheme="majorBidi"/>
      <w:smallCaps w:val="0"/>
      <w:color w:val="365F91" w:themeColor="accent1" w:themeShade="BF"/>
      <w:sz w:val="32"/>
      <w:szCs w:val="32"/>
      <w:lang w:val="es-ES" w:eastAsia="es-ES"/>
    </w:rPr>
  </w:style>
  <w:style w:type="paragraph" w:styleId="TDC2">
    <w:name w:val="toc 2"/>
    <w:basedOn w:val="Normal"/>
    <w:next w:val="Normal"/>
    <w:autoRedefine/>
    <w:uiPriority w:val="39"/>
    <w:unhideWhenUsed/>
    <w:rsid w:val="00261017"/>
    <w:pPr>
      <w:widowControl w:val="0"/>
      <w:tabs>
        <w:tab w:val="right" w:leader="dot" w:pos="7977"/>
      </w:tabs>
      <w:jc w:val="both"/>
    </w:pPr>
    <w:rPr>
      <w:rFonts w:ascii="Arial" w:eastAsia="Calibri" w:hAnsi="Arial" w:cs="Arial"/>
      <w:b/>
      <w:caps/>
      <w:noProof/>
      <w:sz w:val="20"/>
      <w:szCs w:val="20"/>
      <w:lang w:eastAsia="en-US" w:bidi="en-US"/>
    </w:rPr>
  </w:style>
  <w:style w:type="paragraph" w:styleId="TDC3">
    <w:name w:val="toc 3"/>
    <w:basedOn w:val="Normal"/>
    <w:next w:val="Normal"/>
    <w:autoRedefine/>
    <w:uiPriority w:val="39"/>
    <w:unhideWhenUsed/>
    <w:rsid w:val="003629DC"/>
    <w:pPr>
      <w:spacing w:after="100"/>
      <w:ind w:left="480"/>
    </w:pPr>
  </w:style>
  <w:style w:type="paragraph" w:styleId="Piedepgina">
    <w:name w:val="footer"/>
    <w:basedOn w:val="Normal"/>
    <w:link w:val="PiedepginaCar"/>
    <w:uiPriority w:val="99"/>
    <w:unhideWhenUsed/>
    <w:rsid w:val="00FB390D"/>
    <w:pPr>
      <w:tabs>
        <w:tab w:val="center" w:pos="4419"/>
        <w:tab w:val="right" w:pos="8838"/>
      </w:tabs>
    </w:pPr>
  </w:style>
  <w:style w:type="character" w:customStyle="1" w:styleId="PiedepginaCar">
    <w:name w:val="Pie de página Car"/>
    <w:basedOn w:val="Fuentedeprrafopredeter"/>
    <w:link w:val="Piedepgina"/>
    <w:uiPriority w:val="99"/>
    <w:rsid w:val="00FB390D"/>
  </w:style>
  <w:style w:type="paragraph" w:customStyle="1" w:styleId="TableParagraph">
    <w:name w:val="Table Paragraph"/>
    <w:basedOn w:val="Normal"/>
    <w:uiPriority w:val="1"/>
    <w:qFormat/>
    <w:rsid w:val="00AA22EE"/>
    <w:pPr>
      <w:widowControl w:val="0"/>
    </w:pPr>
    <w:rPr>
      <w:rFonts w:asciiTheme="minorHAnsi" w:eastAsiaTheme="minorHAnsi" w:hAnsiTheme="minorHAnsi" w:cstheme="minorBidi"/>
      <w:sz w:val="22"/>
      <w:szCs w:val="22"/>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66D39"/>
    <w:pPr>
      <w:spacing w:after="160" w:line="259" w:lineRule="auto"/>
      <w:jc w:val="both"/>
    </w:pPr>
    <w:rPr>
      <w:vertAlign w:val="superscript"/>
    </w:rPr>
  </w:style>
  <w:style w:type="paragraph" w:styleId="NormalWeb">
    <w:name w:val="Normal (Web)"/>
    <w:aliases w:val="Normal (Web) Car1,Normal (Web) Car Car,Normal (Web) Car1 Car Car,Normal (Web) Car Car Car Car Car Car Car Car Car Car,Normal (Web) Car Car Car Car Car Car,Normal (Web) Car Car Car Car,Car Car Car Car,Car Car Car,Car,Car Car,C,Car Car C, C"/>
    <w:basedOn w:val="Normal"/>
    <w:link w:val="NormalWebCar"/>
    <w:uiPriority w:val="99"/>
    <w:unhideWhenUsed/>
    <w:qFormat/>
    <w:rsid w:val="00410BBA"/>
    <w:pPr>
      <w:spacing w:after="160" w:line="259" w:lineRule="auto"/>
    </w:pPr>
    <w:rPr>
      <w:rFonts w:eastAsiaTheme="minorHAnsi"/>
      <w:lang w:eastAsia="en-U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Car Car Car Car Car,Car Car1"/>
    <w:basedOn w:val="Fuentedeprrafopredeter"/>
    <w:link w:val="NormalWeb"/>
    <w:uiPriority w:val="99"/>
    <w:locked/>
    <w:rsid w:val="00410BBA"/>
    <w:rPr>
      <w:rFonts w:eastAsiaTheme="minorHAnsi"/>
      <w:lang w:eastAsia="en-US"/>
    </w:rPr>
  </w:style>
  <w:style w:type="table" w:styleId="Tablaconcuadrcula">
    <w:name w:val="Table Grid"/>
    <w:basedOn w:val="Tablanormal"/>
    <w:uiPriority w:val="39"/>
    <w:rsid w:val="00552F68"/>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SENTENCIACar">
    <w:name w:val="PÁRRAFO SENTENCIA Car"/>
    <w:basedOn w:val="Fuentedeprrafopredeter"/>
    <w:link w:val="PRRAFOSENTENCIA"/>
    <w:locked/>
    <w:rsid w:val="000E047C"/>
    <w:rPr>
      <w:rFonts w:ascii="Arial" w:hAnsi="Arial" w:cs="Arial"/>
      <w:sz w:val="26"/>
      <w:szCs w:val="28"/>
      <w:lang w:val="it-IT"/>
    </w:rPr>
  </w:style>
  <w:style w:type="paragraph" w:customStyle="1" w:styleId="PRRAFOSENTENCIA">
    <w:name w:val="PÁRRAFO SENTENCIA"/>
    <w:basedOn w:val="Normal"/>
    <w:link w:val="PRRAFOSENTENCIACar"/>
    <w:qFormat/>
    <w:rsid w:val="000E047C"/>
    <w:pPr>
      <w:spacing w:before="360" w:after="360" w:line="360" w:lineRule="auto"/>
      <w:ind w:firstLine="1418"/>
      <w:jc w:val="both"/>
    </w:pPr>
    <w:rPr>
      <w:rFonts w:ascii="Arial" w:hAnsi="Arial" w:cs="Arial"/>
      <w:sz w:val="26"/>
      <w:szCs w:val="28"/>
      <w:lang w:val="it-I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as Car"/>
    <w:link w:val="Prrafodelista"/>
    <w:uiPriority w:val="34"/>
    <w:qFormat/>
    <w:locked/>
    <w:rsid w:val="00DF2EE4"/>
  </w:style>
  <w:style w:type="paragraph" w:customStyle="1" w:styleId="Normalsentencia">
    <w:name w:val="Normal sentencia"/>
    <w:basedOn w:val="Normal"/>
    <w:link w:val="NormalsentenciaCar"/>
    <w:qFormat/>
    <w:rsid w:val="00183EC5"/>
    <w:pPr>
      <w:numPr>
        <w:numId w:val="26"/>
      </w:numPr>
      <w:spacing w:before="240" w:after="240" w:line="360" w:lineRule="auto"/>
      <w:jc w:val="both"/>
    </w:pPr>
    <w:rPr>
      <w:rFonts w:ascii="Univers" w:hAnsi="Univers" w:cs="Arial"/>
      <w:sz w:val="28"/>
      <w:szCs w:val="22"/>
      <w:lang w:val="es-ES" w:eastAsia="es-ES"/>
    </w:rPr>
  </w:style>
  <w:style w:type="character" w:customStyle="1" w:styleId="NormalsentenciaCar">
    <w:name w:val="Normal sentencia Car"/>
    <w:link w:val="Normalsentencia"/>
    <w:rsid w:val="00183EC5"/>
    <w:rPr>
      <w:rFonts w:ascii="Univers" w:hAnsi="Univers" w:cs="Arial"/>
      <w:sz w:val="28"/>
      <w:szCs w:val="22"/>
      <w:lang w:val="es-ES" w:eastAsia="es-ES"/>
    </w:rPr>
  </w:style>
  <w:style w:type="paragraph" w:customStyle="1" w:styleId="NSentencia">
    <w:name w:val="N. Sentencia"/>
    <w:basedOn w:val="Normal"/>
    <w:link w:val="NSentenciaCar"/>
    <w:qFormat/>
    <w:rsid w:val="000D5E96"/>
    <w:pPr>
      <w:numPr>
        <w:numId w:val="30"/>
      </w:numPr>
      <w:spacing w:before="240" w:after="240" w:line="360" w:lineRule="auto"/>
      <w:jc w:val="both"/>
    </w:pPr>
    <w:rPr>
      <w:rFonts w:ascii="Univers" w:hAnsi="Univers"/>
      <w:bCs/>
      <w:sz w:val="28"/>
      <w:lang w:val="es-ES" w:eastAsia="es-ES"/>
    </w:rPr>
  </w:style>
  <w:style w:type="character" w:customStyle="1" w:styleId="NSentenciaCar">
    <w:name w:val="N. Sentencia Car"/>
    <w:basedOn w:val="Fuentedeprrafopredeter"/>
    <w:link w:val="NSentencia"/>
    <w:rsid w:val="000D5E96"/>
    <w:rPr>
      <w:rFonts w:ascii="Univers" w:hAnsi="Univers"/>
      <w:bCs/>
      <w:sz w:val="28"/>
      <w:lang w:val="es-ES" w:eastAsia="es-ES"/>
    </w:rPr>
  </w:style>
  <w:style w:type="table" w:customStyle="1" w:styleId="Tablaconcuadrcula1">
    <w:name w:val="Tabla con cuadrícula1"/>
    <w:basedOn w:val="Tablanormal"/>
    <w:next w:val="Tablaconcuadrcula"/>
    <w:uiPriority w:val="39"/>
    <w:rsid w:val="005575CE"/>
    <w:rPr>
      <w:rFonts w:ascii="Arial" w:eastAsia="Calibri"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575CE"/>
    <w:pPr>
      <w:jc w:val="both"/>
    </w:pPr>
    <w:rPr>
      <w:rFonts w:ascii="Arial" w:eastAsia="Calibri" w:hAnsi="Arial"/>
      <w:szCs w:val="20"/>
      <w:lang w:eastAsia="en-US"/>
    </w:rPr>
  </w:style>
  <w:style w:type="character" w:customStyle="1" w:styleId="SinespaciadoCar">
    <w:name w:val="Sin espaciado Car"/>
    <w:basedOn w:val="Fuentedeprrafopredeter"/>
    <w:link w:val="Sinespaciado"/>
    <w:uiPriority w:val="1"/>
    <w:rsid w:val="005575CE"/>
    <w:rPr>
      <w:rFonts w:ascii="Arial" w:eastAsia="Calibri" w:hAnsi="Arial"/>
      <w:szCs w:val="20"/>
      <w:lang w:eastAsia="en-US"/>
    </w:rPr>
  </w:style>
  <w:style w:type="character" w:customStyle="1" w:styleId="apple-converted-space">
    <w:name w:val="apple-converted-space"/>
    <w:basedOn w:val="Fuentedeprrafopredeter"/>
    <w:rsid w:val="00EA48C9"/>
  </w:style>
  <w:style w:type="character" w:styleId="Hipervnculovisitado">
    <w:name w:val="FollowedHyperlink"/>
    <w:basedOn w:val="Fuentedeprrafopredeter"/>
    <w:uiPriority w:val="99"/>
    <w:semiHidden/>
    <w:unhideWhenUsed/>
    <w:rsid w:val="003E1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1702">
      <w:bodyDiv w:val="1"/>
      <w:marLeft w:val="0"/>
      <w:marRight w:val="0"/>
      <w:marTop w:val="0"/>
      <w:marBottom w:val="0"/>
      <w:divBdr>
        <w:top w:val="none" w:sz="0" w:space="0" w:color="auto"/>
        <w:left w:val="none" w:sz="0" w:space="0" w:color="auto"/>
        <w:bottom w:val="none" w:sz="0" w:space="0" w:color="auto"/>
        <w:right w:val="none" w:sz="0" w:space="0" w:color="auto"/>
      </w:divBdr>
    </w:div>
    <w:div w:id="93942569">
      <w:bodyDiv w:val="1"/>
      <w:marLeft w:val="0"/>
      <w:marRight w:val="0"/>
      <w:marTop w:val="0"/>
      <w:marBottom w:val="0"/>
      <w:divBdr>
        <w:top w:val="none" w:sz="0" w:space="0" w:color="auto"/>
        <w:left w:val="none" w:sz="0" w:space="0" w:color="auto"/>
        <w:bottom w:val="none" w:sz="0" w:space="0" w:color="auto"/>
        <w:right w:val="none" w:sz="0" w:space="0" w:color="auto"/>
      </w:divBdr>
    </w:div>
    <w:div w:id="129177409">
      <w:bodyDiv w:val="1"/>
      <w:marLeft w:val="0"/>
      <w:marRight w:val="0"/>
      <w:marTop w:val="0"/>
      <w:marBottom w:val="0"/>
      <w:divBdr>
        <w:top w:val="none" w:sz="0" w:space="0" w:color="auto"/>
        <w:left w:val="none" w:sz="0" w:space="0" w:color="auto"/>
        <w:bottom w:val="none" w:sz="0" w:space="0" w:color="auto"/>
        <w:right w:val="none" w:sz="0" w:space="0" w:color="auto"/>
      </w:divBdr>
    </w:div>
    <w:div w:id="435760290">
      <w:bodyDiv w:val="1"/>
      <w:marLeft w:val="0"/>
      <w:marRight w:val="0"/>
      <w:marTop w:val="0"/>
      <w:marBottom w:val="0"/>
      <w:divBdr>
        <w:top w:val="none" w:sz="0" w:space="0" w:color="auto"/>
        <w:left w:val="none" w:sz="0" w:space="0" w:color="auto"/>
        <w:bottom w:val="none" w:sz="0" w:space="0" w:color="auto"/>
        <w:right w:val="none" w:sz="0" w:space="0" w:color="auto"/>
      </w:divBdr>
    </w:div>
    <w:div w:id="599725789">
      <w:bodyDiv w:val="1"/>
      <w:marLeft w:val="0"/>
      <w:marRight w:val="0"/>
      <w:marTop w:val="0"/>
      <w:marBottom w:val="0"/>
      <w:divBdr>
        <w:top w:val="none" w:sz="0" w:space="0" w:color="auto"/>
        <w:left w:val="none" w:sz="0" w:space="0" w:color="auto"/>
        <w:bottom w:val="none" w:sz="0" w:space="0" w:color="auto"/>
        <w:right w:val="none" w:sz="0" w:space="0" w:color="auto"/>
      </w:divBdr>
    </w:div>
    <w:div w:id="617491730">
      <w:bodyDiv w:val="1"/>
      <w:marLeft w:val="0"/>
      <w:marRight w:val="0"/>
      <w:marTop w:val="0"/>
      <w:marBottom w:val="0"/>
      <w:divBdr>
        <w:top w:val="none" w:sz="0" w:space="0" w:color="auto"/>
        <w:left w:val="none" w:sz="0" w:space="0" w:color="auto"/>
        <w:bottom w:val="none" w:sz="0" w:space="0" w:color="auto"/>
        <w:right w:val="none" w:sz="0" w:space="0" w:color="auto"/>
      </w:divBdr>
    </w:div>
    <w:div w:id="799032067">
      <w:bodyDiv w:val="1"/>
      <w:marLeft w:val="0"/>
      <w:marRight w:val="0"/>
      <w:marTop w:val="0"/>
      <w:marBottom w:val="0"/>
      <w:divBdr>
        <w:top w:val="none" w:sz="0" w:space="0" w:color="auto"/>
        <w:left w:val="none" w:sz="0" w:space="0" w:color="auto"/>
        <w:bottom w:val="none" w:sz="0" w:space="0" w:color="auto"/>
        <w:right w:val="none" w:sz="0" w:space="0" w:color="auto"/>
      </w:divBdr>
    </w:div>
    <w:div w:id="804615953">
      <w:bodyDiv w:val="1"/>
      <w:marLeft w:val="0"/>
      <w:marRight w:val="0"/>
      <w:marTop w:val="0"/>
      <w:marBottom w:val="0"/>
      <w:divBdr>
        <w:top w:val="none" w:sz="0" w:space="0" w:color="auto"/>
        <w:left w:val="none" w:sz="0" w:space="0" w:color="auto"/>
        <w:bottom w:val="none" w:sz="0" w:space="0" w:color="auto"/>
        <w:right w:val="none" w:sz="0" w:space="0" w:color="auto"/>
      </w:divBdr>
    </w:div>
    <w:div w:id="1112553203">
      <w:bodyDiv w:val="1"/>
      <w:marLeft w:val="0"/>
      <w:marRight w:val="0"/>
      <w:marTop w:val="0"/>
      <w:marBottom w:val="0"/>
      <w:divBdr>
        <w:top w:val="none" w:sz="0" w:space="0" w:color="auto"/>
        <w:left w:val="none" w:sz="0" w:space="0" w:color="auto"/>
        <w:bottom w:val="none" w:sz="0" w:space="0" w:color="auto"/>
        <w:right w:val="none" w:sz="0" w:space="0" w:color="auto"/>
      </w:divBdr>
    </w:div>
    <w:div w:id="1548033578">
      <w:bodyDiv w:val="1"/>
      <w:marLeft w:val="0"/>
      <w:marRight w:val="0"/>
      <w:marTop w:val="0"/>
      <w:marBottom w:val="0"/>
      <w:divBdr>
        <w:top w:val="none" w:sz="0" w:space="0" w:color="auto"/>
        <w:left w:val="none" w:sz="0" w:space="0" w:color="auto"/>
        <w:bottom w:val="none" w:sz="0" w:space="0" w:color="auto"/>
        <w:right w:val="none" w:sz="0" w:space="0" w:color="auto"/>
      </w:divBdr>
    </w:div>
    <w:div w:id="1551962978">
      <w:bodyDiv w:val="1"/>
      <w:marLeft w:val="0"/>
      <w:marRight w:val="0"/>
      <w:marTop w:val="0"/>
      <w:marBottom w:val="0"/>
      <w:divBdr>
        <w:top w:val="none" w:sz="0" w:space="0" w:color="auto"/>
        <w:left w:val="none" w:sz="0" w:space="0" w:color="auto"/>
        <w:bottom w:val="none" w:sz="0" w:space="0" w:color="auto"/>
        <w:right w:val="none" w:sz="0" w:space="0" w:color="auto"/>
      </w:divBdr>
    </w:div>
    <w:div w:id="1621453237">
      <w:bodyDiv w:val="1"/>
      <w:marLeft w:val="0"/>
      <w:marRight w:val="0"/>
      <w:marTop w:val="0"/>
      <w:marBottom w:val="0"/>
      <w:divBdr>
        <w:top w:val="none" w:sz="0" w:space="0" w:color="auto"/>
        <w:left w:val="none" w:sz="0" w:space="0" w:color="auto"/>
        <w:bottom w:val="none" w:sz="0" w:space="0" w:color="auto"/>
        <w:right w:val="none" w:sz="0" w:space="0" w:color="auto"/>
      </w:divBdr>
    </w:div>
    <w:div w:id="1666283138">
      <w:bodyDiv w:val="1"/>
      <w:marLeft w:val="0"/>
      <w:marRight w:val="0"/>
      <w:marTop w:val="0"/>
      <w:marBottom w:val="0"/>
      <w:divBdr>
        <w:top w:val="none" w:sz="0" w:space="0" w:color="auto"/>
        <w:left w:val="none" w:sz="0" w:space="0" w:color="auto"/>
        <w:bottom w:val="none" w:sz="0" w:space="0" w:color="auto"/>
        <w:right w:val="none" w:sz="0" w:space="0" w:color="auto"/>
      </w:divBdr>
    </w:div>
    <w:div w:id="1727608736">
      <w:bodyDiv w:val="1"/>
      <w:marLeft w:val="0"/>
      <w:marRight w:val="0"/>
      <w:marTop w:val="0"/>
      <w:marBottom w:val="0"/>
      <w:divBdr>
        <w:top w:val="none" w:sz="0" w:space="0" w:color="auto"/>
        <w:left w:val="none" w:sz="0" w:space="0" w:color="auto"/>
        <w:bottom w:val="none" w:sz="0" w:space="0" w:color="auto"/>
        <w:right w:val="none" w:sz="0" w:space="0" w:color="auto"/>
      </w:divBdr>
    </w:div>
    <w:div w:id="1740664776">
      <w:bodyDiv w:val="1"/>
      <w:marLeft w:val="0"/>
      <w:marRight w:val="0"/>
      <w:marTop w:val="0"/>
      <w:marBottom w:val="0"/>
      <w:divBdr>
        <w:top w:val="none" w:sz="0" w:space="0" w:color="auto"/>
        <w:left w:val="none" w:sz="0" w:space="0" w:color="auto"/>
        <w:bottom w:val="none" w:sz="0" w:space="0" w:color="auto"/>
        <w:right w:val="none" w:sz="0" w:space="0" w:color="auto"/>
      </w:divBdr>
    </w:div>
    <w:div w:id="1800803763">
      <w:bodyDiv w:val="1"/>
      <w:marLeft w:val="0"/>
      <w:marRight w:val="0"/>
      <w:marTop w:val="0"/>
      <w:marBottom w:val="0"/>
      <w:divBdr>
        <w:top w:val="none" w:sz="0" w:space="0" w:color="auto"/>
        <w:left w:val="none" w:sz="0" w:space="0" w:color="auto"/>
        <w:bottom w:val="none" w:sz="0" w:space="0" w:color="auto"/>
        <w:right w:val="none" w:sz="0" w:space="0" w:color="auto"/>
      </w:divBdr>
    </w:div>
    <w:div w:id="1891770580">
      <w:bodyDiv w:val="1"/>
      <w:marLeft w:val="0"/>
      <w:marRight w:val="0"/>
      <w:marTop w:val="0"/>
      <w:marBottom w:val="0"/>
      <w:divBdr>
        <w:top w:val="none" w:sz="0" w:space="0" w:color="auto"/>
        <w:left w:val="none" w:sz="0" w:space="0" w:color="auto"/>
        <w:bottom w:val="none" w:sz="0" w:space="0" w:color="auto"/>
        <w:right w:val="none" w:sz="0" w:space="0" w:color="auto"/>
      </w:divBdr>
    </w:div>
    <w:div w:id="1925144561">
      <w:bodyDiv w:val="1"/>
      <w:marLeft w:val="0"/>
      <w:marRight w:val="0"/>
      <w:marTop w:val="0"/>
      <w:marBottom w:val="0"/>
      <w:divBdr>
        <w:top w:val="none" w:sz="0" w:space="0" w:color="auto"/>
        <w:left w:val="none" w:sz="0" w:space="0" w:color="auto"/>
        <w:bottom w:val="none" w:sz="0" w:space="0" w:color="auto"/>
        <w:right w:val="none" w:sz="0" w:space="0" w:color="auto"/>
      </w:divBdr>
    </w:div>
    <w:div w:id="206690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DF39C373906443B9CF48BAFF8C737B" ma:contentTypeVersion="11" ma:contentTypeDescription="Crear nuevo documento." ma:contentTypeScope="" ma:versionID="da9c852758f6d4fcdf40ddd3ea89ea18">
  <xsd:schema xmlns:xsd="http://www.w3.org/2001/XMLSchema" xmlns:xs="http://www.w3.org/2001/XMLSchema" xmlns:p="http://schemas.microsoft.com/office/2006/metadata/properties" xmlns:ns3="5df7b161-deae-4679-84a7-7ff2ada704d6" xmlns:ns4="9b3dec64-ff41-4d3e-9254-fbd8ef4a5ea0" targetNamespace="http://schemas.microsoft.com/office/2006/metadata/properties" ma:root="true" ma:fieldsID="4d30eac3d4a7ce41f15faa6c7d55d157" ns3:_="" ns4:_="">
    <xsd:import namespace="5df7b161-deae-4679-84a7-7ff2ada704d6"/>
    <xsd:import namespace="9b3dec64-ff41-4d3e-9254-fbd8ef4a5e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7b161-deae-4679-84a7-7ff2ada70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3dec64-ff41-4d3e-9254-fbd8ef4a5ea0"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C59FF-378A-4F74-8AB7-B127F7E8DCB5}">
  <ds:schemaRefs>
    <ds:schemaRef ds:uri="http://purl.org/dc/elements/1.1/"/>
    <ds:schemaRef ds:uri="http://schemas.openxmlformats.org/package/2006/metadata/core-properties"/>
    <ds:schemaRef ds:uri="5df7b161-deae-4679-84a7-7ff2ada704d6"/>
    <ds:schemaRef ds:uri="http://purl.org/dc/terms/"/>
    <ds:schemaRef ds:uri="http://www.w3.org/XML/1998/namespace"/>
    <ds:schemaRef ds:uri="http://schemas.microsoft.com/office/2006/documentManagement/types"/>
    <ds:schemaRef ds:uri="http://schemas.microsoft.com/office/2006/metadata/properties"/>
    <ds:schemaRef ds:uri="9b3dec64-ff41-4d3e-9254-fbd8ef4a5ea0"/>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90B735A-825A-453A-8607-030A3B510DB8}">
  <ds:schemaRefs>
    <ds:schemaRef ds:uri="http://schemas.microsoft.com/sharepoint/v3/contenttype/forms"/>
  </ds:schemaRefs>
</ds:datastoreItem>
</file>

<file path=customXml/itemProps3.xml><?xml version="1.0" encoding="utf-8"?>
<ds:datastoreItem xmlns:ds="http://schemas.openxmlformats.org/officeDocument/2006/customXml" ds:itemID="{979E6879-B497-4193-BB26-94CBB65C3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7b161-deae-4679-84a7-7ff2ada704d6"/>
    <ds:schemaRef ds:uri="9b3dec64-ff41-4d3e-9254-fbd8ef4a5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81FA5-433E-4060-AE8A-D7ABB2FC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4973</Words>
  <Characters>27354</Characters>
  <Application>Microsoft Office Word</Application>
  <DocSecurity>4</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2021-09-09T23:30:00Z</dcterms:created>
  <dcterms:modified xsi:type="dcterms:W3CDTF">2021-09-09T23:30:00Z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0x01010066DF39C373906443B9CF48BAFF8C737B</vt:lpwstr>
  </property>
</Properties>
</file>