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4"></Relationship><Relationship Target="docProps/core.xml" Type="http://schemas.openxmlformats.org/package/2006/relationships/metadata/core-properties" Id="rId5"></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D98D7" w14:textId="24192B0E" w:rsidR="00FC0155" w:rsidRPr="00FD6C6C" w:rsidRDefault="00265753">
      <w:pPr>
        <w:spacing w:after="280" w:line="240" w:lineRule="auto"/>
        <w:ind w:left="3260"/>
        <w:rPr>
          <w:b/>
        </w:rPr>
      </w:pPr>
      <w:r w:rsidRPr="00FD6C6C">
        <w:rPr>
          <w:b/>
        </w:rPr>
        <w:t>SOLICITUD DE EJERCICIO DE LA FACULTAD DE ATRACCIÓN</w:t>
      </w:r>
    </w:p>
    <w:p w14:paraId="519D98D8" w14:textId="4AB49875" w:rsidR="00FC0155" w:rsidRPr="00FD6C6C" w:rsidRDefault="00A1334E">
      <w:pPr>
        <w:spacing w:before="280" w:after="280" w:line="240" w:lineRule="auto"/>
        <w:ind w:left="3260"/>
        <w:rPr>
          <w:b/>
        </w:rPr>
      </w:pPr>
      <w:r w:rsidRPr="00FD6C6C">
        <w:rPr>
          <w:b/>
        </w:rPr>
        <w:t xml:space="preserve">EXPEDIENTE: </w:t>
      </w:r>
      <w:r w:rsidRPr="00FD6C6C">
        <w:t>SUP-</w:t>
      </w:r>
      <w:r w:rsidR="00265753" w:rsidRPr="00FD6C6C">
        <w:t>SFA</w:t>
      </w:r>
      <w:r w:rsidRPr="00FD6C6C">
        <w:t>-</w:t>
      </w:r>
      <w:r w:rsidR="00265753" w:rsidRPr="00FD6C6C">
        <w:t>54</w:t>
      </w:r>
      <w:r w:rsidRPr="00FD6C6C">
        <w:t>/2021</w:t>
      </w:r>
    </w:p>
    <w:p w14:paraId="519D98D9" w14:textId="1DB7CB46" w:rsidR="00FC0155" w:rsidRPr="00FD6C6C" w:rsidRDefault="00265753">
      <w:pPr>
        <w:spacing w:before="280" w:after="280" w:line="240" w:lineRule="auto"/>
        <w:ind w:left="3260"/>
      </w:pPr>
      <w:r w:rsidRPr="00FD6C6C">
        <w:rPr>
          <w:b/>
        </w:rPr>
        <w:t>SOLICITANTE</w:t>
      </w:r>
      <w:r w:rsidR="00A1334E" w:rsidRPr="00FD6C6C">
        <w:rPr>
          <w:b/>
        </w:rPr>
        <w:t>:</w:t>
      </w:r>
      <w:r w:rsidR="00505AF0" w:rsidRPr="00FD6C6C">
        <w:rPr>
          <w:b/>
        </w:rPr>
        <w:t xml:space="preserve"> </w:t>
      </w:r>
      <w:r w:rsidRPr="00FD6C6C">
        <w:t>CINTHIA GUADALUPE TENIENTE MENDOZA</w:t>
      </w:r>
    </w:p>
    <w:p w14:paraId="519D98DA" w14:textId="145AD72F" w:rsidR="00FC0155" w:rsidRPr="00FD6C6C" w:rsidRDefault="00A1334E">
      <w:pPr>
        <w:spacing w:before="280" w:after="280" w:line="240" w:lineRule="auto"/>
        <w:ind w:left="3260"/>
      </w:pPr>
      <w:r w:rsidRPr="00FD6C6C">
        <w:rPr>
          <w:b/>
        </w:rPr>
        <w:t xml:space="preserve">AUTORIDAD RESPONSABLE: </w:t>
      </w:r>
      <w:r w:rsidR="00265753" w:rsidRPr="00FD6C6C">
        <w:t xml:space="preserve">TRIBUNAL </w:t>
      </w:r>
      <w:r w:rsidR="00F71DE1" w:rsidRPr="00FD6C6C">
        <w:t>ESTATAL ELECTORAL DE GUANAJUATO</w:t>
      </w:r>
    </w:p>
    <w:p w14:paraId="519D98DB" w14:textId="77777777" w:rsidR="00FC0155" w:rsidRPr="00FD6C6C" w:rsidRDefault="00A1334E">
      <w:pPr>
        <w:spacing w:before="280" w:after="280" w:line="240" w:lineRule="auto"/>
        <w:ind w:left="3260"/>
      </w:pPr>
      <w:r w:rsidRPr="00FD6C6C">
        <w:rPr>
          <w:b/>
        </w:rPr>
        <w:t xml:space="preserve">MAGISTRADO PONENTE: </w:t>
      </w:r>
      <w:r w:rsidRPr="00FD6C6C">
        <w:t>REYES RODRÍGUEZ MONDRAGÓN</w:t>
      </w:r>
    </w:p>
    <w:p w14:paraId="519D98DC" w14:textId="1F997DBF" w:rsidR="00FC0155" w:rsidRPr="00FD6C6C" w:rsidRDefault="00A1334E">
      <w:pPr>
        <w:spacing w:before="280" w:after="280" w:line="240" w:lineRule="auto"/>
        <w:ind w:left="3260"/>
      </w:pPr>
      <w:r w:rsidRPr="00FD6C6C">
        <w:rPr>
          <w:b/>
        </w:rPr>
        <w:t xml:space="preserve">SECRETARIO: </w:t>
      </w:r>
      <w:r w:rsidRPr="00FD6C6C">
        <w:t xml:space="preserve">AUGUSTO ARTURO COLÍN AGUADO </w:t>
      </w:r>
    </w:p>
    <w:p w14:paraId="519D98DD" w14:textId="59CB64D5" w:rsidR="00FC0155" w:rsidRPr="00FD6C6C" w:rsidRDefault="00A1334E">
      <w:pPr>
        <w:spacing w:before="280" w:after="280" w:line="240" w:lineRule="auto"/>
        <w:ind w:left="3260"/>
        <w:rPr>
          <w:b/>
        </w:rPr>
      </w:pPr>
      <w:r w:rsidRPr="00FD6C6C">
        <w:rPr>
          <w:b/>
        </w:rPr>
        <w:t xml:space="preserve">COLABORÓ: </w:t>
      </w:r>
      <w:r w:rsidR="00265753" w:rsidRPr="00FD6C6C">
        <w:t>ALEJANDRA ARTEAGA VILLEDA</w:t>
      </w:r>
    </w:p>
    <w:p w14:paraId="519D98DE" w14:textId="4A187807" w:rsidR="00FC0155" w:rsidRPr="00FD6C6C" w:rsidRDefault="00A1334E" w:rsidP="008F7238">
      <w:pPr>
        <w:spacing w:before="100" w:beforeAutospacing="1" w:after="100" w:afterAutospacing="1"/>
        <w:rPr>
          <w:b/>
        </w:rPr>
      </w:pPr>
      <w:r w:rsidRPr="00FD6C6C">
        <w:t xml:space="preserve">Ciudad de México, a </w:t>
      </w:r>
      <w:r w:rsidR="00FE74B2" w:rsidRPr="00FD6C6C">
        <w:t>catorce</w:t>
      </w:r>
      <w:r w:rsidRPr="00FD6C6C">
        <w:t xml:space="preserve"> de </w:t>
      </w:r>
      <w:r w:rsidR="00FC2601" w:rsidRPr="00FD6C6C">
        <w:t>agosto</w:t>
      </w:r>
      <w:r w:rsidR="00696032" w:rsidRPr="00FD6C6C">
        <w:t xml:space="preserve"> </w:t>
      </w:r>
      <w:r w:rsidRPr="00FD6C6C">
        <w:t>de dos mil veintiuno</w:t>
      </w:r>
    </w:p>
    <w:p w14:paraId="21C7B233" w14:textId="71847D24" w:rsidR="00265753" w:rsidRPr="00FD6C6C" w:rsidRDefault="00265753" w:rsidP="00265753">
      <w:pPr>
        <w:spacing w:before="240" w:after="0"/>
        <w:rPr>
          <w:rFonts w:eastAsia="Calibri"/>
          <w:bCs/>
          <w:lang w:eastAsia="en-US"/>
        </w:rPr>
      </w:pPr>
      <w:r w:rsidRPr="00FD6C6C">
        <w:rPr>
          <w:rFonts w:eastAsia="Calibri"/>
          <w:b/>
          <w:lang w:eastAsia="en-US"/>
        </w:rPr>
        <w:t>Resolución</w:t>
      </w:r>
      <w:r w:rsidRPr="00FD6C6C">
        <w:rPr>
          <w:rFonts w:eastAsia="Calibri"/>
          <w:bCs/>
          <w:lang w:eastAsia="en-US"/>
        </w:rPr>
        <w:t xml:space="preserve"> mediante la cual se determina que: </w:t>
      </w:r>
      <w:r w:rsidRPr="00FD6C6C">
        <w:rPr>
          <w:rFonts w:eastAsia="Calibri"/>
          <w:b/>
          <w:i/>
          <w:iCs/>
          <w:lang w:eastAsia="en-US"/>
        </w:rPr>
        <w:t xml:space="preserve">i) </w:t>
      </w:r>
      <w:r w:rsidRPr="00FD6C6C">
        <w:rPr>
          <w:rFonts w:eastAsia="Calibri"/>
          <w:bCs/>
          <w:lang w:eastAsia="en-US"/>
        </w:rPr>
        <w:t xml:space="preserve">es improcedente la solicitud sobre el ejercicio de la facultad de atracción que formula Cinthia Guadalupe Teniente Mendoza, y </w:t>
      </w:r>
      <w:r w:rsidRPr="00FD6C6C">
        <w:rPr>
          <w:rFonts w:eastAsia="Calibri"/>
          <w:b/>
          <w:i/>
          <w:iCs/>
          <w:lang w:eastAsia="en-US"/>
        </w:rPr>
        <w:t>ii)</w:t>
      </w:r>
      <w:r w:rsidRPr="00FD6C6C">
        <w:rPr>
          <w:rFonts w:eastAsia="Calibri"/>
          <w:bCs/>
          <w:lang w:eastAsia="en-US"/>
        </w:rPr>
        <w:t xml:space="preserve"> el asunto debe </w:t>
      </w:r>
      <w:r w:rsidR="005E0B58" w:rsidRPr="00FD6C6C">
        <w:rPr>
          <w:rFonts w:eastAsia="Calibri"/>
          <w:bCs/>
          <w:lang w:eastAsia="en-US"/>
        </w:rPr>
        <w:t>remitirse</w:t>
      </w:r>
      <w:r w:rsidRPr="00FD6C6C">
        <w:rPr>
          <w:rFonts w:eastAsia="Calibri"/>
          <w:bCs/>
          <w:lang w:eastAsia="en-US"/>
        </w:rPr>
        <w:t xml:space="preserve"> a la Sala Regional del Tribunal Electoral del Poder Judicial de la Federación </w:t>
      </w:r>
      <w:r w:rsidR="00204C64" w:rsidRPr="00FD6C6C">
        <w:rPr>
          <w:rFonts w:eastAsia="Calibri"/>
          <w:bCs/>
          <w:lang w:eastAsia="en-US"/>
        </w:rPr>
        <w:t>correspondiente a</w:t>
      </w:r>
      <w:r w:rsidRPr="00FD6C6C">
        <w:rPr>
          <w:rFonts w:eastAsia="Calibri"/>
          <w:bCs/>
          <w:lang w:eastAsia="en-US"/>
        </w:rPr>
        <w:t xml:space="preserve"> la Segunda Circunscripción Plurinominal, con sede en Monterrey, Nuevo León.</w:t>
      </w:r>
    </w:p>
    <w:p w14:paraId="519D98E1" w14:textId="77777777" w:rsidR="00FC0155" w:rsidRPr="00FD6C6C" w:rsidRDefault="00A1334E" w:rsidP="004E1FF6">
      <w:pPr>
        <w:pStyle w:val="TDC1"/>
        <w:rPr>
          <w:rStyle w:val="Hipervnculo"/>
          <w:noProof w:val="0"/>
          <w:color w:val="auto"/>
          <w:u w:val="none"/>
        </w:rPr>
      </w:pPr>
      <w:r w:rsidRPr="00FD6C6C">
        <w:rPr>
          <w:rStyle w:val="Hipervnculo"/>
          <w:noProof w:val="0"/>
          <w:color w:val="auto"/>
          <w:u w:val="none"/>
        </w:rPr>
        <w:t>ÍNDICE</w:t>
      </w:r>
    </w:p>
    <w:sdt>
      <w:sdtPr>
        <w:rPr>
          <w:rStyle w:val="Hipervnculo"/>
          <w:b w:val="0"/>
          <w:noProof w:val="0"/>
          <w:color w:val="auto"/>
        </w:rPr>
        <w:id w:val="-762678284"/>
        <w:docPartObj>
          <w:docPartGallery w:val="Table of Contents"/>
          <w:docPartUnique/>
        </w:docPartObj>
      </w:sdtPr>
      <w:sdtEndPr>
        <w:rPr>
          <w:rStyle w:val="Fuentedeprrafopredeter"/>
          <w:b/>
          <w:u w:val="none"/>
        </w:rPr>
      </w:sdtEndPr>
      <w:sdtContent>
        <w:p w14:paraId="11D02966" w14:textId="4F02493F" w:rsidR="00B47CD7" w:rsidRPr="00FD6C6C" w:rsidRDefault="00A1334E" w:rsidP="00B47CD7">
          <w:pPr>
            <w:pStyle w:val="TDC1"/>
            <w:rPr>
              <w:rFonts w:asciiTheme="minorHAnsi" w:eastAsiaTheme="minorEastAsia" w:hAnsiTheme="minorHAnsi"/>
              <w:b w:val="0"/>
              <w:sz w:val="22"/>
              <w:szCs w:val="22"/>
              <w:lang w:eastAsia="es-MX"/>
            </w:rPr>
          </w:pPr>
          <w:r w:rsidRPr="00FD6C6C">
            <w:rPr>
              <w:rStyle w:val="Hipervnculo"/>
              <w:rFonts w:cs="Arial"/>
              <w:b w:val="0"/>
              <w:noProof w:val="0"/>
              <w:color w:val="auto"/>
              <w:sz w:val="22"/>
              <w:szCs w:val="22"/>
            </w:rPr>
            <w:fldChar w:fldCharType="begin"/>
          </w:r>
          <w:r w:rsidRPr="00FD6C6C">
            <w:rPr>
              <w:rStyle w:val="Hipervnculo"/>
              <w:rFonts w:cs="Arial"/>
              <w:b w:val="0"/>
              <w:noProof w:val="0"/>
              <w:color w:val="auto"/>
              <w:sz w:val="22"/>
              <w:szCs w:val="22"/>
            </w:rPr>
            <w:instrText xml:space="preserve"> TOC \h \u \z </w:instrText>
          </w:r>
          <w:r w:rsidRPr="00FD6C6C">
            <w:rPr>
              <w:rStyle w:val="Hipervnculo"/>
              <w:rFonts w:cs="Arial"/>
              <w:b w:val="0"/>
              <w:noProof w:val="0"/>
              <w:color w:val="auto"/>
              <w:sz w:val="22"/>
              <w:szCs w:val="22"/>
            </w:rPr>
            <w:fldChar w:fldCharType="separate"/>
          </w:r>
          <w:hyperlink w:anchor="_Toc79761243" w:history="1">
            <w:r w:rsidR="00B47CD7" w:rsidRPr="00FD6C6C">
              <w:rPr>
                <w:rStyle w:val="Hipervnculo"/>
                <w:b w:val="0"/>
                <w:sz w:val="22"/>
                <w:szCs w:val="22"/>
              </w:rPr>
              <w:t>GLOSARIO</w:t>
            </w:r>
            <w:r w:rsidR="00B47CD7" w:rsidRPr="00FD6C6C">
              <w:rPr>
                <w:b w:val="0"/>
                <w:webHidden/>
                <w:sz w:val="22"/>
                <w:szCs w:val="22"/>
              </w:rPr>
              <w:tab/>
            </w:r>
            <w:r w:rsidR="00B47CD7" w:rsidRPr="00FD6C6C">
              <w:rPr>
                <w:b w:val="0"/>
                <w:webHidden/>
                <w:sz w:val="22"/>
                <w:szCs w:val="22"/>
              </w:rPr>
              <w:fldChar w:fldCharType="begin"/>
            </w:r>
            <w:r w:rsidR="00B47CD7" w:rsidRPr="00FD6C6C">
              <w:rPr>
                <w:b w:val="0"/>
                <w:webHidden/>
                <w:sz w:val="22"/>
                <w:szCs w:val="22"/>
              </w:rPr>
              <w:instrText xml:space="preserve"> PAGEREF _Toc79761243 \h </w:instrText>
            </w:r>
            <w:r w:rsidR="00B47CD7" w:rsidRPr="00FD6C6C">
              <w:rPr>
                <w:b w:val="0"/>
                <w:webHidden/>
                <w:sz w:val="22"/>
                <w:szCs w:val="22"/>
              </w:rPr>
            </w:r>
            <w:r w:rsidR="00B47CD7" w:rsidRPr="00FD6C6C">
              <w:rPr>
                <w:b w:val="0"/>
                <w:webHidden/>
                <w:sz w:val="22"/>
                <w:szCs w:val="22"/>
              </w:rPr>
              <w:fldChar w:fldCharType="separate"/>
            </w:r>
            <w:r w:rsidR="00A71B7C">
              <w:rPr>
                <w:b w:val="0"/>
                <w:webHidden/>
                <w:sz w:val="22"/>
                <w:szCs w:val="22"/>
              </w:rPr>
              <w:t>1</w:t>
            </w:r>
            <w:r w:rsidR="00B47CD7" w:rsidRPr="00FD6C6C">
              <w:rPr>
                <w:b w:val="0"/>
                <w:webHidden/>
                <w:sz w:val="22"/>
                <w:szCs w:val="22"/>
              </w:rPr>
              <w:fldChar w:fldCharType="end"/>
            </w:r>
          </w:hyperlink>
        </w:p>
        <w:p w14:paraId="79D0DC95" w14:textId="51F2CE09" w:rsidR="00B47CD7" w:rsidRPr="00FD6C6C" w:rsidRDefault="00FB0182" w:rsidP="00B47CD7">
          <w:pPr>
            <w:pStyle w:val="TDC1"/>
            <w:rPr>
              <w:rFonts w:asciiTheme="minorHAnsi" w:eastAsiaTheme="minorEastAsia" w:hAnsiTheme="minorHAnsi"/>
              <w:b w:val="0"/>
              <w:sz w:val="22"/>
              <w:szCs w:val="22"/>
              <w:lang w:eastAsia="es-MX"/>
            </w:rPr>
          </w:pPr>
          <w:hyperlink w:anchor="_Toc79761244" w:history="1">
            <w:r w:rsidR="00B47CD7" w:rsidRPr="00FD6C6C">
              <w:rPr>
                <w:rStyle w:val="Hipervnculo"/>
                <w:b w:val="0"/>
                <w:sz w:val="22"/>
                <w:szCs w:val="22"/>
              </w:rPr>
              <w:t>1. ANTECEDENTES</w:t>
            </w:r>
            <w:r w:rsidR="00B47CD7" w:rsidRPr="00FD6C6C">
              <w:rPr>
                <w:b w:val="0"/>
                <w:webHidden/>
                <w:sz w:val="22"/>
                <w:szCs w:val="22"/>
              </w:rPr>
              <w:tab/>
            </w:r>
            <w:r w:rsidR="00B47CD7" w:rsidRPr="00FD6C6C">
              <w:rPr>
                <w:b w:val="0"/>
                <w:webHidden/>
                <w:sz w:val="22"/>
                <w:szCs w:val="22"/>
              </w:rPr>
              <w:fldChar w:fldCharType="begin"/>
            </w:r>
            <w:r w:rsidR="00B47CD7" w:rsidRPr="00FD6C6C">
              <w:rPr>
                <w:b w:val="0"/>
                <w:webHidden/>
                <w:sz w:val="22"/>
                <w:szCs w:val="22"/>
              </w:rPr>
              <w:instrText xml:space="preserve"> PAGEREF _Toc79761244 \h </w:instrText>
            </w:r>
            <w:r w:rsidR="00B47CD7" w:rsidRPr="00FD6C6C">
              <w:rPr>
                <w:b w:val="0"/>
                <w:webHidden/>
                <w:sz w:val="22"/>
                <w:szCs w:val="22"/>
              </w:rPr>
            </w:r>
            <w:r w:rsidR="00B47CD7" w:rsidRPr="00FD6C6C">
              <w:rPr>
                <w:b w:val="0"/>
                <w:webHidden/>
                <w:sz w:val="22"/>
                <w:szCs w:val="22"/>
              </w:rPr>
              <w:fldChar w:fldCharType="separate"/>
            </w:r>
            <w:r w:rsidR="00A71B7C">
              <w:rPr>
                <w:b w:val="0"/>
                <w:webHidden/>
                <w:sz w:val="22"/>
                <w:szCs w:val="22"/>
              </w:rPr>
              <w:t>2</w:t>
            </w:r>
            <w:r w:rsidR="00B47CD7" w:rsidRPr="00FD6C6C">
              <w:rPr>
                <w:b w:val="0"/>
                <w:webHidden/>
                <w:sz w:val="22"/>
                <w:szCs w:val="22"/>
              </w:rPr>
              <w:fldChar w:fldCharType="end"/>
            </w:r>
          </w:hyperlink>
        </w:p>
        <w:p w14:paraId="5CAB389D" w14:textId="6BBCA354" w:rsidR="00B47CD7" w:rsidRPr="00FD6C6C" w:rsidRDefault="00FB0182" w:rsidP="00B47CD7">
          <w:pPr>
            <w:pStyle w:val="TDC1"/>
            <w:rPr>
              <w:rFonts w:asciiTheme="minorHAnsi" w:eastAsiaTheme="minorEastAsia" w:hAnsiTheme="minorHAnsi"/>
              <w:b w:val="0"/>
              <w:sz w:val="22"/>
              <w:szCs w:val="22"/>
              <w:lang w:eastAsia="es-MX"/>
            </w:rPr>
          </w:pPr>
          <w:hyperlink w:anchor="_Toc79761245" w:history="1">
            <w:r w:rsidR="00B47CD7" w:rsidRPr="00FD6C6C">
              <w:rPr>
                <w:rStyle w:val="Hipervnculo"/>
                <w:b w:val="0"/>
                <w:sz w:val="22"/>
                <w:szCs w:val="22"/>
              </w:rPr>
              <w:t>2. COMPETENCIA</w:t>
            </w:r>
            <w:r w:rsidR="00B47CD7" w:rsidRPr="00FD6C6C">
              <w:rPr>
                <w:b w:val="0"/>
                <w:webHidden/>
                <w:sz w:val="22"/>
                <w:szCs w:val="22"/>
              </w:rPr>
              <w:tab/>
            </w:r>
            <w:r w:rsidR="00B47CD7" w:rsidRPr="00FD6C6C">
              <w:rPr>
                <w:b w:val="0"/>
                <w:webHidden/>
                <w:sz w:val="22"/>
                <w:szCs w:val="22"/>
              </w:rPr>
              <w:fldChar w:fldCharType="begin"/>
            </w:r>
            <w:r w:rsidR="00B47CD7" w:rsidRPr="00FD6C6C">
              <w:rPr>
                <w:b w:val="0"/>
                <w:webHidden/>
                <w:sz w:val="22"/>
                <w:szCs w:val="22"/>
              </w:rPr>
              <w:instrText xml:space="preserve"> PAGEREF _Toc79761245 \h </w:instrText>
            </w:r>
            <w:r w:rsidR="00B47CD7" w:rsidRPr="00FD6C6C">
              <w:rPr>
                <w:b w:val="0"/>
                <w:webHidden/>
                <w:sz w:val="22"/>
                <w:szCs w:val="22"/>
              </w:rPr>
            </w:r>
            <w:r w:rsidR="00B47CD7" w:rsidRPr="00FD6C6C">
              <w:rPr>
                <w:b w:val="0"/>
                <w:webHidden/>
                <w:sz w:val="22"/>
                <w:szCs w:val="22"/>
              </w:rPr>
              <w:fldChar w:fldCharType="separate"/>
            </w:r>
            <w:r w:rsidR="00A71B7C">
              <w:rPr>
                <w:b w:val="0"/>
                <w:webHidden/>
                <w:sz w:val="22"/>
                <w:szCs w:val="22"/>
              </w:rPr>
              <w:t>3</w:t>
            </w:r>
            <w:r w:rsidR="00B47CD7" w:rsidRPr="00FD6C6C">
              <w:rPr>
                <w:b w:val="0"/>
                <w:webHidden/>
                <w:sz w:val="22"/>
                <w:szCs w:val="22"/>
              </w:rPr>
              <w:fldChar w:fldCharType="end"/>
            </w:r>
          </w:hyperlink>
        </w:p>
        <w:p w14:paraId="2FA7BBDF" w14:textId="0D561660" w:rsidR="00B47CD7" w:rsidRPr="00FD6C6C" w:rsidRDefault="00FB0182" w:rsidP="00B47CD7">
          <w:pPr>
            <w:pStyle w:val="TDC1"/>
            <w:rPr>
              <w:rFonts w:asciiTheme="minorHAnsi" w:eastAsiaTheme="minorEastAsia" w:hAnsiTheme="minorHAnsi"/>
              <w:b w:val="0"/>
              <w:sz w:val="22"/>
              <w:szCs w:val="22"/>
              <w:lang w:eastAsia="es-MX"/>
            </w:rPr>
          </w:pPr>
          <w:hyperlink w:anchor="_Toc79761246" w:history="1">
            <w:r w:rsidR="00B47CD7" w:rsidRPr="00FD6C6C">
              <w:rPr>
                <w:rStyle w:val="Hipervnculo"/>
                <w:b w:val="0"/>
                <w:sz w:val="22"/>
                <w:szCs w:val="22"/>
              </w:rPr>
              <w:t>3. IMPROCEDENCIA DE LA SOLICITUD DE ATRACCIÓN</w:t>
            </w:r>
            <w:r w:rsidR="00B47CD7" w:rsidRPr="00FD6C6C">
              <w:rPr>
                <w:b w:val="0"/>
                <w:webHidden/>
                <w:sz w:val="22"/>
                <w:szCs w:val="22"/>
              </w:rPr>
              <w:tab/>
            </w:r>
            <w:r w:rsidR="00B47CD7" w:rsidRPr="00FD6C6C">
              <w:rPr>
                <w:b w:val="0"/>
                <w:webHidden/>
                <w:sz w:val="22"/>
                <w:szCs w:val="22"/>
              </w:rPr>
              <w:fldChar w:fldCharType="begin"/>
            </w:r>
            <w:r w:rsidR="00B47CD7" w:rsidRPr="00FD6C6C">
              <w:rPr>
                <w:b w:val="0"/>
                <w:webHidden/>
                <w:sz w:val="22"/>
                <w:szCs w:val="22"/>
              </w:rPr>
              <w:instrText xml:space="preserve"> PAGEREF _Toc79761246 \h </w:instrText>
            </w:r>
            <w:r w:rsidR="00B47CD7" w:rsidRPr="00FD6C6C">
              <w:rPr>
                <w:b w:val="0"/>
                <w:webHidden/>
                <w:sz w:val="22"/>
                <w:szCs w:val="22"/>
              </w:rPr>
            </w:r>
            <w:r w:rsidR="00B47CD7" w:rsidRPr="00FD6C6C">
              <w:rPr>
                <w:b w:val="0"/>
                <w:webHidden/>
                <w:sz w:val="22"/>
                <w:szCs w:val="22"/>
              </w:rPr>
              <w:fldChar w:fldCharType="separate"/>
            </w:r>
            <w:r w:rsidR="00A71B7C">
              <w:rPr>
                <w:b w:val="0"/>
                <w:webHidden/>
                <w:sz w:val="22"/>
                <w:szCs w:val="22"/>
              </w:rPr>
              <w:t>3</w:t>
            </w:r>
            <w:r w:rsidR="00B47CD7" w:rsidRPr="00FD6C6C">
              <w:rPr>
                <w:b w:val="0"/>
                <w:webHidden/>
                <w:sz w:val="22"/>
                <w:szCs w:val="22"/>
              </w:rPr>
              <w:fldChar w:fldCharType="end"/>
            </w:r>
          </w:hyperlink>
        </w:p>
        <w:p w14:paraId="50DF35E0" w14:textId="1742D201" w:rsidR="00B47CD7" w:rsidRPr="00FD6C6C" w:rsidRDefault="00FB0182" w:rsidP="00B47CD7">
          <w:pPr>
            <w:pStyle w:val="TDC2"/>
            <w:tabs>
              <w:tab w:val="right" w:leader="dot" w:pos="7979"/>
            </w:tabs>
            <w:spacing w:after="0" w:line="240" w:lineRule="auto"/>
            <w:ind w:left="0"/>
            <w:rPr>
              <w:rFonts w:asciiTheme="minorHAnsi" w:eastAsiaTheme="minorEastAsia" w:hAnsiTheme="minorHAnsi" w:cstheme="minorBidi"/>
              <w:noProof/>
              <w:sz w:val="22"/>
              <w:szCs w:val="22"/>
            </w:rPr>
          </w:pPr>
          <w:hyperlink w:anchor="_Toc79761247" w:history="1">
            <w:r w:rsidR="00B47CD7" w:rsidRPr="00FD6C6C">
              <w:rPr>
                <w:rStyle w:val="Hipervnculo"/>
                <w:noProof/>
                <w:sz w:val="22"/>
                <w:szCs w:val="22"/>
              </w:rPr>
              <w:t>3.1. Marco normativo sobre la facultad de atracción</w:t>
            </w:r>
            <w:r w:rsidR="00B47CD7" w:rsidRPr="00FD6C6C">
              <w:rPr>
                <w:noProof/>
                <w:webHidden/>
                <w:sz w:val="22"/>
                <w:szCs w:val="22"/>
              </w:rPr>
              <w:tab/>
            </w:r>
            <w:r w:rsidR="00B47CD7" w:rsidRPr="00FD6C6C">
              <w:rPr>
                <w:noProof/>
                <w:webHidden/>
                <w:sz w:val="22"/>
                <w:szCs w:val="22"/>
              </w:rPr>
              <w:fldChar w:fldCharType="begin"/>
            </w:r>
            <w:r w:rsidR="00B47CD7" w:rsidRPr="00FD6C6C">
              <w:rPr>
                <w:noProof/>
                <w:webHidden/>
                <w:sz w:val="22"/>
                <w:szCs w:val="22"/>
              </w:rPr>
              <w:instrText xml:space="preserve"> PAGEREF _Toc79761247 \h </w:instrText>
            </w:r>
            <w:r w:rsidR="00B47CD7" w:rsidRPr="00FD6C6C">
              <w:rPr>
                <w:noProof/>
                <w:webHidden/>
                <w:sz w:val="22"/>
                <w:szCs w:val="22"/>
              </w:rPr>
            </w:r>
            <w:r w:rsidR="00B47CD7" w:rsidRPr="00FD6C6C">
              <w:rPr>
                <w:noProof/>
                <w:webHidden/>
                <w:sz w:val="22"/>
                <w:szCs w:val="22"/>
              </w:rPr>
              <w:fldChar w:fldCharType="separate"/>
            </w:r>
            <w:r w:rsidR="00A71B7C">
              <w:rPr>
                <w:noProof/>
                <w:webHidden/>
                <w:sz w:val="22"/>
                <w:szCs w:val="22"/>
              </w:rPr>
              <w:t>4</w:t>
            </w:r>
            <w:r w:rsidR="00B47CD7" w:rsidRPr="00FD6C6C">
              <w:rPr>
                <w:noProof/>
                <w:webHidden/>
                <w:sz w:val="22"/>
                <w:szCs w:val="22"/>
              </w:rPr>
              <w:fldChar w:fldCharType="end"/>
            </w:r>
          </w:hyperlink>
        </w:p>
        <w:p w14:paraId="1E22A061" w14:textId="54C41911" w:rsidR="00B47CD7" w:rsidRPr="00FD6C6C" w:rsidRDefault="00FB0182" w:rsidP="00B47CD7">
          <w:pPr>
            <w:pStyle w:val="TDC2"/>
            <w:tabs>
              <w:tab w:val="right" w:leader="dot" w:pos="7979"/>
            </w:tabs>
            <w:spacing w:after="0" w:line="240" w:lineRule="auto"/>
            <w:ind w:left="0"/>
            <w:rPr>
              <w:rFonts w:asciiTheme="minorHAnsi" w:eastAsiaTheme="minorEastAsia" w:hAnsiTheme="minorHAnsi" w:cstheme="minorBidi"/>
              <w:noProof/>
              <w:sz w:val="22"/>
              <w:szCs w:val="22"/>
            </w:rPr>
          </w:pPr>
          <w:hyperlink w:anchor="_Toc79761248" w:history="1">
            <w:r w:rsidR="00B47CD7" w:rsidRPr="00FD6C6C">
              <w:rPr>
                <w:rStyle w:val="Hipervnculo"/>
                <w:noProof/>
                <w:sz w:val="22"/>
                <w:szCs w:val="22"/>
              </w:rPr>
              <w:t>3.2. Argumentos para justificar la importancia y trascendencia del caso</w:t>
            </w:r>
            <w:r w:rsidR="00B47CD7" w:rsidRPr="00FD6C6C">
              <w:rPr>
                <w:noProof/>
                <w:webHidden/>
                <w:sz w:val="22"/>
                <w:szCs w:val="22"/>
              </w:rPr>
              <w:tab/>
            </w:r>
            <w:r w:rsidR="00B47CD7" w:rsidRPr="00FD6C6C">
              <w:rPr>
                <w:noProof/>
                <w:webHidden/>
                <w:sz w:val="22"/>
                <w:szCs w:val="22"/>
              </w:rPr>
              <w:fldChar w:fldCharType="begin"/>
            </w:r>
            <w:r w:rsidR="00B47CD7" w:rsidRPr="00FD6C6C">
              <w:rPr>
                <w:noProof/>
                <w:webHidden/>
                <w:sz w:val="22"/>
                <w:szCs w:val="22"/>
              </w:rPr>
              <w:instrText xml:space="preserve"> PAGEREF _Toc79761248 \h </w:instrText>
            </w:r>
            <w:r w:rsidR="00B47CD7" w:rsidRPr="00FD6C6C">
              <w:rPr>
                <w:noProof/>
                <w:webHidden/>
                <w:sz w:val="22"/>
                <w:szCs w:val="22"/>
              </w:rPr>
            </w:r>
            <w:r w:rsidR="00B47CD7" w:rsidRPr="00FD6C6C">
              <w:rPr>
                <w:noProof/>
                <w:webHidden/>
                <w:sz w:val="22"/>
                <w:szCs w:val="22"/>
              </w:rPr>
              <w:fldChar w:fldCharType="separate"/>
            </w:r>
            <w:r w:rsidR="00A71B7C">
              <w:rPr>
                <w:noProof/>
                <w:webHidden/>
                <w:sz w:val="22"/>
                <w:szCs w:val="22"/>
              </w:rPr>
              <w:t>5</w:t>
            </w:r>
            <w:r w:rsidR="00B47CD7" w:rsidRPr="00FD6C6C">
              <w:rPr>
                <w:noProof/>
                <w:webHidden/>
                <w:sz w:val="22"/>
                <w:szCs w:val="22"/>
              </w:rPr>
              <w:fldChar w:fldCharType="end"/>
            </w:r>
          </w:hyperlink>
        </w:p>
        <w:p w14:paraId="316F6016" w14:textId="3C407C47" w:rsidR="00B47CD7" w:rsidRPr="00FD6C6C" w:rsidRDefault="00FB0182" w:rsidP="00B47CD7">
          <w:pPr>
            <w:pStyle w:val="TDC2"/>
            <w:tabs>
              <w:tab w:val="right" w:leader="dot" w:pos="7979"/>
            </w:tabs>
            <w:spacing w:after="0" w:line="240" w:lineRule="auto"/>
            <w:ind w:left="0"/>
            <w:rPr>
              <w:rFonts w:asciiTheme="minorHAnsi" w:eastAsiaTheme="minorEastAsia" w:hAnsiTheme="minorHAnsi" w:cstheme="minorBidi"/>
              <w:noProof/>
              <w:sz w:val="22"/>
              <w:szCs w:val="22"/>
            </w:rPr>
          </w:pPr>
          <w:hyperlink w:anchor="_Toc79761249" w:history="1">
            <w:r w:rsidR="00B47CD7" w:rsidRPr="00FD6C6C">
              <w:rPr>
                <w:rStyle w:val="Hipervnculo"/>
                <w:noProof/>
                <w:sz w:val="22"/>
                <w:szCs w:val="22"/>
              </w:rPr>
              <w:t>3.3. Aplicación al caso concreto</w:t>
            </w:r>
            <w:r w:rsidR="00B47CD7" w:rsidRPr="00FD6C6C">
              <w:rPr>
                <w:noProof/>
                <w:webHidden/>
                <w:sz w:val="22"/>
                <w:szCs w:val="22"/>
              </w:rPr>
              <w:tab/>
            </w:r>
            <w:r w:rsidR="00B47CD7" w:rsidRPr="00FD6C6C">
              <w:rPr>
                <w:noProof/>
                <w:webHidden/>
                <w:sz w:val="22"/>
                <w:szCs w:val="22"/>
              </w:rPr>
              <w:fldChar w:fldCharType="begin"/>
            </w:r>
            <w:r w:rsidR="00B47CD7" w:rsidRPr="00FD6C6C">
              <w:rPr>
                <w:noProof/>
                <w:webHidden/>
                <w:sz w:val="22"/>
                <w:szCs w:val="22"/>
              </w:rPr>
              <w:instrText xml:space="preserve"> PAGEREF _Toc79761249 \h </w:instrText>
            </w:r>
            <w:r w:rsidR="00B47CD7" w:rsidRPr="00FD6C6C">
              <w:rPr>
                <w:noProof/>
                <w:webHidden/>
                <w:sz w:val="22"/>
                <w:szCs w:val="22"/>
              </w:rPr>
            </w:r>
            <w:r w:rsidR="00B47CD7" w:rsidRPr="00FD6C6C">
              <w:rPr>
                <w:noProof/>
                <w:webHidden/>
                <w:sz w:val="22"/>
                <w:szCs w:val="22"/>
              </w:rPr>
              <w:fldChar w:fldCharType="separate"/>
            </w:r>
            <w:r w:rsidR="00A71B7C">
              <w:rPr>
                <w:noProof/>
                <w:webHidden/>
                <w:sz w:val="22"/>
                <w:szCs w:val="22"/>
              </w:rPr>
              <w:t>6</w:t>
            </w:r>
            <w:r w:rsidR="00B47CD7" w:rsidRPr="00FD6C6C">
              <w:rPr>
                <w:noProof/>
                <w:webHidden/>
                <w:sz w:val="22"/>
                <w:szCs w:val="22"/>
              </w:rPr>
              <w:fldChar w:fldCharType="end"/>
            </w:r>
          </w:hyperlink>
        </w:p>
        <w:p w14:paraId="18C60456" w14:textId="4A02D8C7" w:rsidR="00B47CD7" w:rsidRPr="00FD6C6C" w:rsidRDefault="00FB0182" w:rsidP="00B47CD7">
          <w:pPr>
            <w:pStyle w:val="TDC1"/>
            <w:rPr>
              <w:rFonts w:asciiTheme="minorHAnsi" w:eastAsiaTheme="minorEastAsia" w:hAnsiTheme="minorHAnsi"/>
              <w:b w:val="0"/>
              <w:sz w:val="22"/>
              <w:szCs w:val="22"/>
              <w:lang w:eastAsia="es-MX"/>
            </w:rPr>
          </w:pPr>
          <w:hyperlink w:anchor="_Toc79761250" w:history="1">
            <w:r w:rsidR="00B47CD7" w:rsidRPr="00FD6C6C">
              <w:rPr>
                <w:rStyle w:val="Hipervnculo"/>
                <w:b w:val="0"/>
                <w:sz w:val="22"/>
                <w:szCs w:val="22"/>
              </w:rPr>
              <w:t>4. RESOLUTIVOS</w:t>
            </w:r>
            <w:r w:rsidR="00B47CD7" w:rsidRPr="00FD6C6C">
              <w:rPr>
                <w:b w:val="0"/>
                <w:webHidden/>
                <w:sz w:val="22"/>
                <w:szCs w:val="22"/>
              </w:rPr>
              <w:tab/>
            </w:r>
            <w:r w:rsidR="00B47CD7" w:rsidRPr="00FD6C6C">
              <w:rPr>
                <w:b w:val="0"/>
                <w:webHidden/>
                <w:sz w:val="22"/>
                <w:szCs w:val="22"/>
              </w:rPr>
              <w:fldChar w:fldCharType="begin"/>
            </w:r>
            <w:r w:rsidR="00B47CD7" w:rsidRPr="00FD6C6C">
              <w:rPr>
                <w:b w:val="0"/>
                <w:webHidden/>
                <w:sz w:val="22"/>
                <w:szCs w:val="22"/>
              </w:rPr>
              <w:instrText xml:space="preserve"> PAGEREF _Toc79761250 \h </w:instrText>
            </w:r>
            <w:r w:rsidR="00B47CD7" w:rsidRPr="00FD6C6C">
              <w:rPr>
                <w:b w:val="0"/>
                <w:webHidden/>
                <w:sz w:val="22"/>
                <w:szCs w:val="22"/>
              </w:rPr>
            </w:r>
            <w:r w:rsidR="00B47CD7" w:rsidRPr="00FD6C6C">
              <w:rPr>
                <w:b w:val="0"/>
                <w:webHidden/>
                <w:sz w:val="22"/>
                <w:szCs w:val="22"/>
              </w:rPr>
              <w:fldChar w:fldCharType="separate"/>
            </w:r>
            <w:r w:rsidR="00A71B7C">
              <w:rPr>
                <w:b w:val="0"/>
                <w:webHidden/>
                <w:sz w:val="22"/>
                <w:szCs w:val="22"/>
              </w:rPr>
              <w:t>8</w:t>
            </w:r>
            <w:r w:rsidR="00B47CD7" w:rsidRPr="00FD6C6C">
              <w:rPr>
                <w:b w:val="0"/>
                <w:webHidden/>
                <w:sz w:val="22"/>
                <w:szCs w:val="22"/>
              </w:rPr>
              <w:fldChar w:fldCharType="end"/>
            </w:r>
          </w:hyperlink>
        </w:p>
        <w:p w14:paraId="519D98EA" w14:textId="7FA110A2" w:rsidR="00FC0155" w:rsidRPr="00FD6C6C" w:rsidRDefault="00A1334E" w:rsidP="00B47CD7">
          <w:pPr>
            <w:pStyle w:val="TDC1"/>
            <w:jc w:val="both"/>
            <w:rPr>
              <w:noProof w:val="0"/>
            </w:rPr>
          </w:pPr>
          <w:r w:rsidRPr="00FD6C6C">
            <w:rPr>
              <w:rStyle w:val="Hipervnculo"/>
              <w:rFonts w:cs="Arial"/>
              <w:b w:val="0"/>
              <w:noProof w:val="0"/>
              <w:color w:val="auto"/>
              <w:sz w:val="22"/>
              <w:szCs w:val="22"/>
            </w:rPr>
            <w:fldChar w:fldCharType="end"/>
          </w:r>
        </w:p>
      </w:sdtContent>
    </w:sdt>
    <w:p w14:paraId="519D98EB" w14:textId="77777777" w:rsidR="00FC0155" w:rsidRPr="00FD6C6C" w:rsidRDefault="00A1334E">
      <w:pPr>
        <w:pStyle w:val="Ttulo1"/>
        <w:rPr>
          <w:sz w:val="24"/>
          <w:szCs w:val="24"/>
        </w:rPr>
      </w:pPr>
      <w:bookmarkStart w:id="0" w:name="_Toc79761243"/>
      <w:r w:rsidRPr="00FD6C6C">
        <w:rPr>
          <w:sz w:val="24"/>
          <w:szCs w:val="24"/>
        </w:rPr>
        <w:t>GLOSARIO</w:t>
      </w:r>
      <w:bookmarkEnd w:id="0"/>
    </w:p>
    <w:tbl>
      <w:tblPr>
        <w:tblStyle w:val="a"/>
        <w:tblW w:w="7095" w:type="dxa"/>
        <w:jc w:val="center"/>
        <w:tblInd w:w="0" w:type="dxa"/>
        <w:tblLayout w:type="fixed"/>
        <w:tblLook w:val="0400" w:firstRow="0" w:lastRow="0" w:firstColumn="0" w:lastColumn="0" w:noHBand="0" w:noVBand="1"/>
      </w:tblPr>
      <w:tblGrid>
        <w:gridCol w:w="3112"/>
        <w:gridCol w:w="3983"/>
      </w:tblGrid>
      <w:tr w:rsidR="00BD263D" w:rsidRPr="00FD6C6C" w14:paraId="5B535F95" w14:textId="77777777" w:rsidTr="00551A92">
        <w:trPr>
          <w:trHeight w:val="613"/>
          <w:jc w:val="center"/>
        </w:trPr>
        <w:tc>
          <w:tcPr>
            <w:tcW w:w="3112" w:type="dxa"/>
            <w:shd w:val="clear" w:color="auto" w:fill="auto"/>
          </w:tcPr>
          <w:p w14:paraId="4B746D42" w14:textId="77777777" w:rsidR="00BD263D" w:rsidRPr="00FD6C6C" w:rsidRDefault="00BD263D" w:rsidP="008F7238">
            <w:pPr>
              <w:spacing w:line="240" w:lineRule="auto"/>
              <w:jc w:val="left"/>
              <w:rPr>
                <w:b/>
                <w:sz w:val="20"/>
                <w:szCs w:val="20"/>
              </w:rPr>
            </w:pPr>
            <w:r w:rsidRPr="00FD6C6C">
              <w:rPr>
                <w:b/>
                <w:sz w:val="20"/>
                <w:szCs w:val="20"/>
              </w:rPr>
              <w:t>Constitución general:</w:t>
            </w:r>
          </w:p>
        </w:tc>
        <w:tc>
          <w:tcPr>
            <w:tcW w:w="3983" w:type="dxa"/>
            <w:shd w:val="clear" w:color="auto" w:fill="auto"/>
          </w:tcPr>
          <w:p w14:paraId="4C906A85" w14:textId="77777777" w:rsidR="00BD263D" w:rsidRPr="00FD6C6C" w:rsidRDefault="00BD263D">
            <w:pPr>
              <w:spacing w:line="240" w:lineRule="auto"/>
              <w:rPr>
                <w:sz w:val="20"/>
                <w:szCs w:val="20"/>
              </w:rPr>
            </w:pPr>
            <w:r w:rsidRPr="00FD6C6C">
              <w:rPr>
                <w:sz w:val="20"/>
                <w:szCs w:val="20"/>
              </w:rPr>
              <w:t>Constitución Política de los Estados Unidos Mexicanos</w:t>
            </w:r>
          </w:p>
        </w:tc>
      </w:tr>
      <w:tr w:rsidR="00551A92" w:rsidRPr="00FD6C6C" w14:paraId="53C2DC91" w14:textId="77777777" w:rsidTr="00551A92">
        <w:trPr>
          <w:trHeight w:val="225"/>
          <w:jc w:val="center"/>
        </w:trPr>
        <w:tc>
          <w:tcPr>
            <w:tcW w:w="3112" w:type="dxa"/>
            <w:shd w:val="clear" w:color="auto" w:fill="auto"/>
          </w:tcPr>
          <w:p w14:paraId="08AFBC4B" w14:textId="2E00CC52" w:rsidR="00551A92" w:rsidRPr="00FD6C6C" w:rsidRDefault="00F71DE1" w:rsidP="008F7238">
            <w:pPr>
              <w:spacing w:line="240" w:lineRule="auto"/>
              <w:jc w:val="left"/>
              <w:rPr>
                <w:b/>
                <w:sz w:val="20"/>
                <w:szCs w:val="20"/>
              </w:rPr>
            </w:pPr>
            <w:r w:rsidRPr="00FD6C6C">
              <w:rPr>
                <w:b/>
                <w:sz w:val="20"/>
                <w:szCs w:val="20"/>
              </w:rPr>
              <w:t>Constitución local</w:t>
            </w:r>
            <w:r w:rsidR="00551A92" w:rsidRPr="00FD6C6C">
              <w:rPr>
                <w:b/>
                <w:sz w:val="20"/>
                <w:szCs w:val="20"/>
              </w:rPr>
              <w:t>:</w:t>
            </w:r>
          </w:p>
        </w:tc>
        <w:tc>
          <w:tcPr>
            <w:tcW w:w="3983" w:type="dxa"/>
            <w:shd w:val="clear" w:color="auto" w:fill="auto"/>
          </w:tcPr>
          <w:p w14:paraId="58D7396C" w14:textId="0FA60DDC" w:rsidR="00551A92" w:rsidRPr="00FD6C6C" w:rsidRDefault="00F71DE1">
            <w:pPr>
              <w:spacing w:line="240" w:lineRule="auto"/>
              <w:rPr>
                <w:sz w:val="20"/>
                <w:szCs w:val="20"/>
              </w:rPr>
            </w:pPr>
            <w:r w:rsidRPr="00FD6C6C">
              <w:rPr>
                <w:sz w:val="20"/>
                <w:szCs w:val="20"/>
              </w:rPr>
              <w:t>Constitución Política del Estado Libre y Soberano de Guanajuato</w:t>
            </w:r>
          </w:p>
        </w:tc>
      </w:tr>
      <w:tr w:rsidR="00815ACD" w:rsidRPr="00FD6C6C" w14:paraId="7E5E8E5B" w14:textId="77777777" w:rsidTr="00551A92">
        <w:trPr>
          <w:trHeight w:val="225"/>
          <w:jc w:val="center"/>
        </w:trPr>
        <w:tc>
          <w:tcPr>
            <w:tcW w:w="3112" w:type="dxa"/>
            <w:shd w:val="clear" w:color="auto" w:fill="auto"/>
          </w:tcPr>
          <w:p w14:paraId="6D863901" w14:textId="45406650" w:rsidR="00815ACD" w:rsidRPr="00FD6C6C" w:rsidRDefault="00815ACD" w:rsidP="008F7238">
            <w:pPr>
              <w:spacing w:line="240" w:lineRule="auto"/>
              <w:jc w:val="left"/>
              <w:rPr>
                <w:b/>
                <w:sz w:val="20"/>
                <w:szCs w:val="20"/>
              </w:rPr>
            </w:pPr>
            <w:r w:rsidRPr="00FD6C6C">
              <w:rPr>
                <w:b/>
                <w:sz w:val="20"/>
                <w:szCs w:val="20"/>
              </w:rPr>
              <w:t>Instituto local:</w:t>
            </w:r>
          </w:p>
        </w:tc>
        <w:tc>
          <w:tcPr>
            <w:tcW w:w="3983" w:type="dxa"/>
            <w:shd w:val="clear" w:color="auto" w:fill="auto"/>
          </w:tcPr>
          <w:p w14:paraId="5145D08D" w14:textId="1410F0B0" w:rsidR="00815ACD" w:rsidRPr="00FD6C6C" w:rsidRDefault="00815ACD">
            <w:pPr>
              <w:spacing w:line="240" w:lineRule="auto"/>
              <w:rPr>
                <w:sz w:val="20"/>
                <w:szCs w:val="20"/>
              </w:rPr>
            </w:pPr>
            <w:r w:rsidRPr="00FD6C6C">
              <w:rPr>
                <w:sz w:val="20"/>
                <w:szCs w:val="20"/>
              </w:rPr>
              <w:t>Instituto Electoral del Estado de Guanajuato</w:t>
            </w:r>
          </w:p>
        </w:tc>
      </w:tr>
      <w:tr w:rsidR="00F71DE1" w:rsidRPr="00FD6C6C" w14:paraId="6FCF760C" w14:textId="77777777" w:rsidTr="00551A92">
        <w:trPr>
          <w:trHeight w:val="225"/>
          <w:jc w:val="center"/>
        </w:trPr>
        <w:tc>
          <w:tcPr>
            <w:tcW w:w="3112" w:type="dxa"/>
            <w:shd w:val="clear" w:color="auto" w:fill="auto"/>
          </w:tcPr>
          <w:p w14:paraId="259249B9" w14:textId="33816385" w:rsidR="00F71DE1" w:rsidRPr="00FD6C6C" w:rsidRDefault="00F71DE1" w:rsidP="008F7238">
            <w:pPr>
              <w:spacing w:line="240" w:lineRule="auto"/>
              <w:jc w:val="left"/>
              <w:rPr>
                <w:b/>
                <w:sz w:val="20"/>
                <w:szCs w:val="20"/>
              </w:rPr>
            </w:pPr>
            <w:r w:rsidRPr="00FD6C6C">
              <w:rPr>
                <w:b/>
                <w:sz w:val="20"/>
                <w:szCs w:val="20"/>
              </w:rPr>
              <w:lastRenderedPageBreak/>
              <w:t>INE:</w:t>
            </w:r>
          </w:p>
        </w:tc>
        <w:tc>
          <w:tcPr>
            <w:tcW w:w="3983" w:type="dxa"/>
            <w:shd w:val="clear" w:color="auto" w:fill="auto"/>
          </w:tcPr>
          <w:p w14:paraId="7822F2F4" w14:textId="4399D95D" w:rsidR="00F71DE1" w:rsidRPr="00FD6C6C" w:rsidRDefault="00F71DE1">
            <w:pPr>
              <w:spacing w:line="240" w:lineRule="auto"/>
              <w:rPr>
                <w:sz w:val="20"/>
                <w:szCs w:val="20"/>
              </w:rPr>
            </w:pPr>
            <w:r w:rsidRPr="00FD6C6C">
              <w:rPr>
                <w:sz w:val="20"/>
                <w:szCs w:val="20"/>
              </w:rPr>
              <w:t>Instituto Nacional Electoral</w:t>
            </w:r>
          </w:p>
        </w:tc>
      </w:tr>
      <w:tr w:rsidR="00BD263D" w:rsidRPr="00FD6C6C" w14:paraId="2B2C7254" w14:textId="77777777">
        <w:trPr>
          <w:trHeight w:val="663"/>
          <w:jc w:val="center"/>
        </w:trPr>
        <w:tc>
          <w:tcPr>
            <w:tcW w:w="3112" w:type="dxa"/>
            <w:shd w:val="clear" w:color="auto" w:fill="auto"/>
          </w:tcPr>
          <w:p w14:paraId="32DA8CE3" w14:textId="77777777" w:rsidR="00BD263D" w:rsidRPr="00FD6C6C" w:rsidRDefault="00BD263D" w:rsidP="008F7238">
            <w:pPr>
              <w:spacing w:line="240" w:lineRule="auto"/>
              <w:jc w:val="left"/>
              <w:rPr>
                <w:b/>
                <w:sz w:val="20"/>
                <w:szCs w:val="20"/>
              </w:rPr>
            </w:pPr>
            <w:r w:rsidRPr="00FD6C6C">
              <w:rPr>
                <w:b/>
                <w:sz w:val="20"/>
                <w:szCs w:val="20"/>
              </w:rPr>
              <w:t>Ley de Medios:</w:t>
            </w:r>
          </w:p>
        </w:tc>
        <w:tc>
          <w:tcPr>
            <w:tcW w:w="3983" w:type="dxa"/>
            <w:shd w:val="clear" w:color="auto" w:fill="auto"/>
          </w:tcPr>
          <w:p w14:paraId="055BBB48" w14:textId="77777777" w:rsidR="00BD263D" w:rsidRPr="00FD6C6C" w:rsidRDefault="00BD263D">
            <w:pPr>
              <w:spacing w:line="240" w:lineRule="auto"/>
              <w:rPr>
                <w:sz w:val="20"/>
                <w:szCs w:val="20"/>
              </w:rPr>
            </w:pPr>
            <w:r w:rsidRPr="00FD6C6C">
              <w:rPr>
                <w:sz w:val="20"/>
                <w:szCs w:val="20"/>
              </w:rPr>
              <w:t>Ley General del Sistema de Medios de Impugnación en Materia Electoral</w:t>
            </w:r>
          </w:p>
        </w:tc>
      </w:tr>
      <w:tr w:rsidR="00BD263D" w:rsidRPr="00FD6C6C" w14:paraId="0DC32FAE" w14:textId="77777777" w:rsidTr="00551A92">
        <w:trPr>
          <w:trHeight w:val="597"/>
          <w:jc w:val="center"/>
        </w:trPr>
        <w:tc>
          <w:tcPr>
            <w:tcW w:w="3112" w:type="dxa"/>
            <w:shd w:val="clear" w:color="auto" w:fill="auto"/>
          </w:tcPr>
          <w:p w14:paraId="4C4E1D00" w14:textId="01B84DA6" w:rsidR="00BD263D" w:rsidRPr="00FD6C6C" w:rsidRDefault="00BD263D" w:rsidP="008F7238">
            <w:pPr>
              <w:spacing w:line="240" w:lineRule="auto"/>
              <w:jc w:val="left"/>
              <w:rPr>
                <w:b/>
                <w:sz w:val="20"/>
                <w:szCs w:val="20"/>
              </w:rPr>
            </w:pPr>
            <w:r w:rsidRPr="00FD6C6C">
              <w:rPr>
                <w:b/>
                <w:sz w:val="20"/>
                <w:szCs w:val="20"/>
              </w:rPr>
              <w:t xml:space="preserve">Sala </w:t>
            </w:r>
            <w:r w:rsidR="00F71DE1" w:rsidRPr="00FD6C6C">
              <w:rPr>
                <w:b/>
                <w:sz w:val="20"/>
                <w:szCs w:val="20"/>
              </w:rPr>
              <w:t>Monterrey</w:t>
            </w:r>
            <w:r w:rsidRPr="00FD6C6C">
              <w:rPr>
                <w:b/>
                <w:sz w:val="20"/>
                <w:szCs w:val="20"/>
              </w:rPr>
              <w:t>:</w:t>
            </w:r>
          </w:p>
        </w:tc>
        <w:tc>
          <w:tcPr>
            <w:tcW w:w="3983" w:type="dxa"/>
            <w:shd w:val="clear" w:color="auto" w:fill="auto"/>
          </w:tcPr>
          <w:p w14:paraId="6BBB5BF1" w14:textId="0602A0F6" w:rsidR="00BD263D" w:rsidRPr="00FD6C6C" w:rsidRDefault="00F71DE1">
            <w:pPr>
              <w:spacing w:line="240" w:lineRule="auto"/>
              <w:rPr>
                <w:sz w:val="20"/>
                <w:szCs w:val="20"/>
              </w:rPr>
            </w:pPr>
            <w:r w:rsidRPr="00FD6C6C">
              <w:rPr>
                <w:sz w:val="20"/>
                <w:szCs w:val="20"/>
              </w:rPr>
              <w:t>Sala Regional del Tribunal Electoral del Poder Judicial de la Federación correspondiente a la Segunda Circunscripción Plurinominal Electoral con sede en Monterrey, Nuevo León</w:t>
            </w:r>
          </w:p>
        </w:tc>
      </w:tr>
      <w:tr w:rsidR="00551A92" w:rsidRPr="00FD6C6C" w14:paraId="2CCE80EC" w14:textId="77777777" w:rsidTr="00551A92">
        <w:trPr>
          <w:trHeight w:val="565"/>
          <w:jc w:val="center"/>
        </w:trPr>
        <w:tc>
          <w:tcPr>
            <w:tcW w:w="3112" w:type="dxa"/>
            <w:shd w:val="clear" w:color="auto" w:fill="auto"/>
          </w:tcPr>
          <w:p w14:paraId="7E201C8E" w14:textId="768BFDCD" w:rsidR="00551A92" w:rsidRPr="00FD6C6C" w:rsidRDefault="00F71DE1" w:rsidP="008F7238">
            <w:pPr>
              <w:spacing w:line="240" w:lineRule="auto"/>
              <w:jc w:val="left"/>
              <w:rPr>
                <w:b/>
                <w:sz w:val="20"/>
                <w:szCs w:val="20"/>
              </w:rPr>
            </w:pPr>
            <w:r w:rsidRPr="00FD6C6C">
              <w:rPr>
                <w:b/>
                <w:sz w:val="20"/>
                <w:szCs w:val="20"/>
              </w:rPr>
              <w:t>Tribunal local</w:t>
            </w:r>
            <w:r w:rsidR="00551A92" w:rsidRPr="00FD6C6C">
              <w:rPr>
                <w:b/>
                <w:sz w:val="20"/>
                <w:szCs w:val="20"/>
              </w:rPr>
              <w:t>:</w:t>
            </w:r>
          </w:p>
        </w:tc>
        <w:tc>
          <w:tcPr>
            <w:tcW w:w="3983" w:type="dxa"/>
            <w:shd w:val="clear" w:color="auto" w:fill="auto"/>
          </w:tcPr>
          <w:p w14:paraId="30F47237" w14:textId="71777BB1" w:rsidR="00551A92" w:rsidRPr="00FD6C6C" w:rsidRDefault="00F71DE1">
            <w:pPr>
              <w:spacing w:line="240" w:lineRule="auto"/>
              <w:rPr>
                <w:sz w:val="20"/>
                <w:szCs w:val="20"/>
              </w:rPr>
            </w:pPr>
            <w:r w:rsidRPr="00FD6C6C">
              <w:rPr>
                <w:sz w:val="20"/>
                <w:szCs w:val="20"/>
              </w:rPr>
              <w:t>Tribunal Estatal Electoral de Guanajuato</w:t>
            </w:r>
          </w:p>
        </w:tc>
      </w:tr>
    </w:tbl>
    <w:p w14:paraId="519D990A" w14:textId="77777777" w:rsidR="00FC0155" w:rsidRPr="00FD6C6C" w:rsidRDefault="00A1334E" w:rsidP="008F7238">
      <w:pPr>
        <w:pStyle w:val="Ttulo1"/>
        <w:spacing w:before="100" w:beforeAutospacing="1" w:after="100" w:afterAutospacing="1"/>
        <w:rPr>
          <w:sz w:val="24"/>
          <w:szCs w:val="24"/>
        </w:rPr>
      </w:pPr>
      <w:bookmarkStart w:id="1" w:name="_Toc79761244"/>
      <w:r w:rsidRPr="00FD6C6C">
        <w:rPr>
          <w:sz w:val="24"/>
          <w:szCs w:val="24"/>
        </w:rPr>
        <w:t>1. ANTECEDENTES</w:t>
      </w:r>
      <w:bookmarkEnd w:id="1"/>
    </w:p>
    <w:p w14:paraId="4907FF88" w14:textId="77777777" w:rsidR="00577CDD" w:rsidRPr="00FD6C6C" w:rsidRDefault="00577CDD" w:rsidP="00577CDD">
      <w:pPr>
        <w:spacing w:before="100" w:beforeAutospacing="1" w:after="100" w:afterAutospacing="1"/>
        <w:rPr>
          <w:rFonts w:eastAsia="Calibri"/>
          <w:bCs/>
          <w:lang w:eastAsia="en-US"/>
        </w:rPr>
      </w:pPr>
      <w:r w:rsidRPr="00FD6C6C">
        <w:rPr>
          <w:rFonts w:eastAsia="Calibri"/>
          <w:bCs/>
          <w:lang w:eastAsia="en-US"/>
        </w:rPr>
        <w:t>En este apartado se relatan los hechos relevantes para el análisis del asunto, los cuales se identifican a partir de lo expuesto en el escrito de demanda, en las constancias que integran el expediente y en hechos que se califican como notorios, en términos del artículo 15, párrafo 1, de la Ley de Medios.</w:t>
      </w:r>
    </w:p>
    <w:p w14:paraId="0F8A3BE2" w14:textId="3ADB969B" w:rsidR="003D0F86" w:rsidRPr="00FD6C6C" w:rsidRDefault="00A1334E" w:rsidP="006B1F5F">
      <w:pPr>
        <w:spacing w:before="100" w:beforeAutospacing="1" w:after="100" w:afterAutospacing="1"/>
        <w:rPr>
          <w:bCs/>
        </w:rPr>
      </w:pPr>
      <w:r w:rsidRPr="00FD6C6C">
        <w:rPr>
          <w:b/>
        </w:rPr>
        <w:t>1.1.</w:t>
      </w:r>
      <w:r w:rsidR="00B12423" w:rsidRPr="00FD6C6C">
        <w:rPr>
          <w:b/>
          <w:bCs/>
        </w:rPr>
        <w:t xml:space="preserve"> </w:t>
      </w:r>
      <w:r w:rsidR="00577CDD" w:rsidRPr="00FD6C6C">
        <w:rPr>
          <w:b/>
          <w:bCs/>
        </w:rPr>
        <w:t>Celebración de la jornada electoral</w:t>
      </w:r>
      <w:r w:rsidR="00B12423" w:rsidRPr="00FD6C6C">
        <w:rPr>
          <w:b/>
          <w:bCs/>
        </w:rPr>
        <w:t>.</w:t>
      </w:r>
      <w:r w:rsidR="00B12423" w:rsidRPr="00FD6C6C">
        <w:t xml:space="preserve"> </w:t>
      </w:r>
      <w:r w:rsidR="00577CDD" w:rsidRPr="00FD6C6C">
        <w:rPr>
          <w:bCs/>
        </w:rPr>
        <w:t>El seis de junio de dos mil veintiuno</w:t>
      </w:r>
      <w:r w:rsidR="00577CDD" w:rsidRPr="00FD6C6C">
        <w:rPr>
          <w:bCs/>
          <w:vertAlign w:val="superscript"/>
        </w:rPr>
        <w:footnoteReference w:id="1"/>
      </w:r>
      <w:r w:rsidR="006B1F5F" w:rsidRPr="00FD6C6C">
        <w:rPr>
          <w:bCs/>
        </w:rPr>
        <w:t>,</w:t>
      </w:r>
      <w:r w:rsidR="00577CDD" w:rsidRPr="00FD6C6C">
        <w:rPr>
          <w:bCs/>
        </w:rPr>
        <w:t xml:space="preserve"> se llevó a cabo la jornada electoral </w:t>
      </w:r>
      <w:r w:rsidR="003D0F86" w:rsidRPr="00FD6C6C">
        <w:rPr>
          <w:bCs/>
        </w:rPr>
        <w:t>de la elección en lo que se renovarían –de entre otros cargos–</w:t>
      </w:r>
      <w:r w:rsidR="00815ACD" w:rsidRPr="00FD6C6C">
        <w:rPr>
          <w:bCs/>
        </w:rPr>
        <w:t xml:space="preserve"> los ayuntamientos del estado de Guanajuato, incluyendo el relativo al municipio de Villagrán.</w:t>
      </w:r>
    </w:p>
    <w:p w14:paraId="0EA6007E" w14:textId="7294AC7F" w:rsidR="00815ACD" w:rsidRPr="00FD6C6C" w:rsidRDefault="006B1F5F" w:rsidP="006B1F5F">
      <w:pPr>
        <w:spacing w:before="100" w:beforeAutospacing="1" w:after="100" w:afterAutospacing="1"/>
        <w:rPr>
          <w:rFonts w:eastAsia="Calibri"/>
          <w:bCs/>
          <w:lang w:eastAsia="en-US"/>
        </w:rPr>
      </w:pPr>
      <w:r w:rsidRPr="00FD6C6C">
        <w:rPr>
          <w:rFonts w:eastAsia="Calibri"/>
          <w:b/>
          <w:lang w:eastAsia="en-US"/>
        </w:rPr>
        <w:t xml:space="preserve">1.2. Declaración de validez de la elección. </w:t>
      </w:r>
      <w:r w:rsidR="00815ACD" w:rsidRPr="00FD6C6C">
        <w:rPr>
          <w:rFonts w:eastAsia="Calibri"/>
          <w:bCs/>
          <w:lang w:eastAsia="en-US"/>
        </w:rPr>
        <w:t>El Consejo Municipal Electoral de Villagrán del Instituto local</w:t>
      </w:r>
      <w:r w:rsidR="008743BE" w:rsidRPr="00FD6C6C">
        <w:rPr>
          <w:rFonts w:eastAsia="Calibri"/>
          <w:bCs/>
          <w:lang w:eastAsia="en-US"/>
        </w:rPr>
        <w:t xml:space="preserve"> realizó el cómputo de la elección del </w:t>
      </w:r>
      <w:r w:rsidR="00FD5BAD" w:rsidRPr="00FD6C6C">
        <w:rPr>
          <w:rFonts w:eastAsia="Calibri"/>
          <w:bCs/>
          <w:lang w:eastAsia="en-US"/>
        </w:rPr>
        <w:t>A</w:t>
      </w:r>
      <w:r w:rsidR="008743BE" w:rsidRPr="00FD6C6C">
        <w:rPr>
          <w:rFonts w:eastAsia="Calibri"/>
          <w:bCs/>
          <w:lang w:eastAsia="en-US"/>
        </w:rPr>
        <w:t>yuntamiento de dicho municipio</w:t>
      </w:r>
      <w:r w:rsidR="008E21F3" w:rsidRPr="00FD6C6C">
        <w:rPr>
          <w:rFonts w:eastAsia="Calibri"/>
          <w:bCs/>
          <w:lang w:eastAsia="en-US"/>
        </w:rPr>
        <w:t xml:space="preserve">, declaró su validez y </w:t>
      </w:r>
      <w:r w:rsidR="00895D15" w:rsidRPr="00FD6C6C">
        <w:rPr>
          <w:rFonts w:eastAsia="Calibri"/>
          <w:bCs/>
          <w:lang w:eastAsia="en-US"/>
        </w:rPr>
        <w:t>entregó la constancia de mayoría a la planilla postulada por el Partido Nueva Alianza Guanajuato.</w:t>
      </w:r>
    </w:p>
    <w:p w14:paraId="4AC8109C" w14:textId="75A98F2B" w:rsidR="00C71201" w:rsidRPr="00FD6C6C" w:rsidRDefault="006B1F5F" w:rsidP="006B1F5F">
      <w:pPr>
        <w:spacing w:before="100" w:beforeAutospacing="1" w:after="100" w:afterAutospacing="1"/>
        <w:rPr>
          <w:rFonts w:eastAsia="Calibri"/>
          <w:bCs/>
          <w:lang w:eastAsia="en-US"/>
        </w:rPr>
      </w:pPr>
      <w:r w:rsidRPr="00FD6C6C">
        <w:rPr>
          <w:rFonts w:eastAsia="Calibri"/>
          <w:b/>
          <w:lang w:eastAsia="en-US"/>
        </w:rPr>
        <w:t xml:space="preserve">1.3. </w:t>
      </w:r>
      <w:r w:rsidR="00895D15" w:rsidRPr="00FD6C6C">
        <w:rPr>
          <w:rFonts w:eastAsia="Calibri"/>
          <w:b/>
          <w:lang w:eastAsia="en-US"/>
        </w:rPr>
        <w:t>Promoción de un medio de impugnación local</w:t>
      </w:r>
      <w:r w:rsidRPr="00FD6C6C">
        <w:rPr>
          <w:rFonts w:eastAsia="Calibri"/>
          <w:b/>
          <w:lang w:eastAsia="en-US"/>
        </w:rPr>
        <w:t xml:space="preserve">. </w:t>
      </w:r>
      <w:r w:rsidRPr="00FD6C6C">
        <w:rPr>
          <w:rFonts w:eastAsia="Calibri"/>
          <w:bCs/>
          <w:lang w:eastAsia="en-US"/>
        </w:rPr>
        <w:t>El catorce de junio</w:t>
      </w:r>
      <w:r w:rsidR="0035758E" w:rsidRPr="00FD6C6C">
        <w:rPr>
          <w:rFonts w:eastAsia="Calibri"/>
          <w:bCs/>
          <w:lang w:eastAsia="en-US"/>
        </w:rPr>
        <w:t xml:space="preserve">, Cinthia Guadalupe Teniente Mendoza, en su carácter de candidata de MORENA a la </w:t>
      </w:r>
      <w:r w:rsidR="00C71201" w:rsidRPr="00FD6C6C">
        <w:rPr>
          <w:rFonts w:eastAsia="Calibri"/>
          <w:bCs/>
          <w:lang w:eastAsia="en-US"/>
        </w:rPr>
        <w:t xml:space="preserve">presidencia municipal del Ayuntamiento de Villagrán, </w:t>
      </w:r>
      <w:r w:rsidR="00FA0B84" w:rsidRPr="00FD6C6C">
        <w:rPr>
          <w:rFonts w:eastAsia="Calibri"/>
          <w:bCs/>
          <w:lang w:eastAsia="en-US"/>
        </w:rPr>
        <w:t>presentó</w:t>
      </w:r>
      <w:r w:rsidR="00C71201" w:rsidRPr="00FD6C6C">
        <w:rPr>
          <w:rFonts w:eastAsia="Calibri"/>
          <w:bCs/>
          <w:lang w:eastAsia="en-US"/>
        </w:rPr>
        <w:t xml:space="preserve"> una impugnación en contra de</w:t>
      </w:r>
      <w:r w:rsidR="00FA0B84" w:rsidRPr="00FD6C6C">
        <w:rPr>
          <w:rFonts w:eastAsia="Calibri"/>
          <w:bCs/>
          <w:lang w:eastAsia="en-US"/>
        </w:rPr>
        <w:t xml:space="preserve"> los resultados de la elección.</w:t>
      </w:r>
    </w:p>
    <w:p w14:paraId="0D2328E5" w14:textId="167F0E74" w:rsidR="00FA0B84" w:rsidRPr="00FD6C6C" w:rsidRDefault="006B1F5F" w:rsidP="006B1F5F">
      <w:pPr>
        <w:spacing w:before="100" w:beforeAutospacing="1" w:after="100" w:afterAutospacing="1"/>
        <w:rPr>
          <w:rFonts w:eastAsia="Calibri"/>
          <w:bCs/>
          <w:lang w:eastAsia="en-US"/>
        </w:rPr>
      </w:pPr>
      <w:r w:rsidRPr="00FD6C6C">
        <w:rPr>
          <w:rFonts w:eastAsia="Calibri"/>
          <w:b/>
          <w:lang w:eastAsia="en-US"/>
        </w:rPr>
        <w:lastRenderedPageBreak/>
        <w:t xml:space="preserve">1.4. </w:t>
      </w:r>
      <w:r w:rsidR="00FA0B84" w:rsidRPr="00FD6C6C">
        <w:rPr>
          <w:rFonts w:eastAsia="Calibri"/>
          <w:b/>
          <w:lang w:eastAsia="en-US"/>
        </w:rPr>
        <w:t xml:space="preserve">Emisión de la sentencia impugnada. </w:t>
      </w:r>
      <w:r w:rsidRPr="00FD6C6C">
        <w:rPr>
          <w:rFonts w:eastAsia="Calibri"/>
          <w:bCs/>
          <w:lang w:eastAsia="en-US"/>
        </w:rPr>
        <w:t>El cuatro de agosto</w:t>
      </w:r>
      <w:r w:rsidR="00FA0B84" w:rsidRPr="00FD6C6C">
        <w:rPr>
          <w:rFonts w:eastAsia="Calibri"/>
          <w:bCs/>
          <w:lang w:eastAsia="en-US"/>
        </w:rPr>
        <w:t xml:space="preserve">, el Tribunal local dictó una sentencia </w:t>
      </w:r>
      <w:r w:rsidR="00075E8A" w:rsidRPr="00FD6C6C">
        <w:rPr>
          <w:rFonts w:eastAsia="Calibri"/>
          <w:bCs/>
          <w:lang w:eastAsia="en-US"/>
        </w:rPr>
        <w:t>en el expediente TEEG-JPDC-238/2021</w:t>
      </w:r>
      <w:r w:rsidR="002E0391" w:rsidRPr="00FD6C6C">
        <w:rPr>
          <w:rFonts w:eastAsia="Calibri"/>
          <w:bCs/>
          <w:lang w:eastAsia="en-US"/>
        </w:rPr>
        <w:t>, a través de la cual confirmó los resultados de la elección municipal</w:t>
      </w:r>
      <w:r w:rsidR="006C18B0" w:rsidRPr="00FD6C6C">
        <w:rPr>
          <w:rFonts w:eastAsia="Calibri"/>
          <w:bCs/>
          <w:lang w:eastAsia="en-US"/>
        </w:rPr>
        <w:t xml:space="preserve">. </w:t>
      </w:r>
    </w:p>
    <w:p w14:paraId="6C4D3CAB" w14:textId="58C87FC3" w:rsidR="006C18B0" w:rsidRPr="00FD6C6C" w:rsidRDefault="006B1F5F" w:rsidP="006B1F5F">
      <w:pPr>
        <w:spacing w:before="100" w:beforeAutospacing="1" w:after="100" w:afterAutospacing="1"/>
        <w:rPr>
          <w:rFonts w:eastAsia="Calibri"/>
          <w:lang w:eastAsia="en-US"/>
        </w:rPr>
      </w:pPr>
      <w:r w:rsidRPr="00FD6C6C">
        <w:rPr>
          <w:rFonts w:eastAsia="Calibri"/>
          <w:b/>
          <w:lang w:eastAsia="en-US"/>
        </w:rPr>
        <w:t>1.5.</w:t>
      </w:r>
      <w:r w:rsidRPr="00FD6C6C">
        <w:rPr>
          <w:rFonts w:eastAsia="Calibri"/>
          <w:lang w:eastAsia="en-US"/>
        </w:rPr>
        <w:t xml:space="preserve"> </w:t>
      </w:r>
      <w:r w:rsidRPr="00FD6C6C">
        <w:rPr>
          <w:rFonts w:eastAsia="Calibri"/>
          <w:b/>
          <w:lang w:eastAsia="en-US"/>
        </w:rPr>
        <w:t>Presentación de un medio de impugnación</w:t>
      </w:r>
      <w:r w:rsidR="007711EA" w:rsidRPr="00FD6C6C">
        <w:rPr>
          <w:rFonts w:eastAsia="Calibri"/>
          <w:b/>
          <w:lang w:eastAsia="en-US"/>
        </w:rPr>
        <w:t xml:space="preserve"> y trámite.</w:t>
      </w:r>
      <w:r w:rsidRPr="00FD6C6C">
        <w:rPr>
          <w:rFonts w:eastAsia="Calibri"/>
          <w:lang w:eastAsia="en-US"/>
        </w:rPr>
        <w:t xml:space="preserve"> El nueve de agosto</w:t>
      </w:r>
      <w:r w:rsidR="006C18B0" w:rsidRPr="00FD6C6C">
        <w:rPr>
          <w:rFonts w:eastAsia="Calibri"/>
          <w:lang w:eastAsia="en-US"/>
        </w:rPr>
        <w:t xml:space="preserve"> siguiente,</w:t>
      </w:r>
      <w:r w:rsidR="00982654" w:rsidRPr="00FD6C6C">
        <w:rPr>
          <w:rFonts w:eastAsia="Calibri"/>
          <w:lang w:eastAsia="en-US"/>
        </w:rPr>
        <w:t xml:space="preserve"> la misma ciudadana promovió un juicio para la protección de los derechos político-electorales del ciudadano en contra de la determinación identificada en el punto anterior, </w:t>
      </w:r>
      <w:r w:rsidR="00C37B9A" w:rsidRPr="00FD6C6C">
        <w:rPr>
          <w:rFonts w:eastAsia="Calibri"/>
          <w:lang w:eastAsia="en-US"/>
        </w:rPr>
        <w:t xml:space="preserve">en el </w:t>
      </w:r>
      <w:r w:rsidR="007711EA" w:rsidRPr="00FD6C6C">
        <w:rPr>
          <w:rFonts w:eastAsia="Calibri"/>
          <w:lang w:eastAsia="en-US"/>
        </w:rPr>
        <w:t>que solicit</w:t>
      </w:r>
      <w:r w:rsidR="001264EF" w:rsidRPr="00FD6C6C">
        <w:rPr>
          <w:rFonts w:eastAsia="Calibri"/>
          <w:lang w:eastAsia="en-US"/>
        </w:rPr>
        <w:t>ó</w:t>
      </w:r>
      <w:r w:rsidR="007711EA" w:rsidRPr="00FD6C6C">
        <w:rPr>
          <w:rFonts w:eastAsia="Calibri"/>
          <w:lang w:eastAsia="en-US"/>
        </w:rPr>
        <w:t xml:space="preserve"> que esta Sala Superior ejerza su facultad de atracción para el conocimiento del asunto.</w:t>
      </w:r>
    </w:p>
    <w:p w14:paraId="40273864" w14:textId="4CAA7893" w:rsidR="00C834C3" w:rsidRPr="00FD6C6C" w:rsidRDefault="00C834C3" w:rsidP="006B1F5F">
      <w:pPr>
        <w:spacing w:before="100" w:beforeAutospacing="1" w:after="100" w:afterAutospacing="1"/>
        <w:rPr>
          <w:rFonts w:eastAsia="Calibri"/>
          <w:lang w:eastAsia="en-US"/>
        </w:rPr>
      </w:pPr>
      <w:r w:rsidRPr="00FD6C6C">
        <w:rPr>
          <w:rFonts w:eastAsia="Calibri"/>
          <w:lang w:eastAsia="en-US"/>
        </w:rPr>
        <w:t xml:space="preserve">Después del trámite correspondiente, el asunto se recibió </w:t>
      </w:r>
      <w:r w:rsidR="00FD5BAD" w:rsidRPr="00FD6C6C">
        <w:rPr>
          <w:rFonts w:eastAsia="Calibri"/>
          <w:lang w:eastAsia="en-US"/>
        </w:rPr>
        <w:t xml:space="preserve">en </w:t>
      </w:r>
      <w:r w:rsidRPr="00FD6C6C">
        <w:rPr>
          <w:rFonts w:eastAsia="Calibri"/>
          <w:lang w:eastAsia="en-US"/>
        </w:rPr>
        <w:t xml:space="preserve">esta Sala Superior </w:t>
      </w:r>
      <w:r w:rsidR="00743CB1" w:rsidRPr="00FD6C6C">
        <w:rPr>
          <w:rFonts w:eastAsia="Calibri"/>
          <w:lang w:eastAsia="en-US"/>
        </w:rPr>
        <w:t>y se turnó a la ponencia del magistrado Reyes Rodríguez Mondragón, quien realizó el trámite correspondiente.</w:t>
      </w:r>
    </w:p>
    <w:p w14:paraId="519D9910" w14:textId="78CDFD66" w:rsidR="00FC0155" w:rsidRPr="00FD6C6C" w:rsidRDefault="00A1334E" w:rsidP="008F7238">
      <w:pPr>
        <w:pStyle w:val="Ttulo1"/>
        <w:spacing w:before="100" w:beforeAutospacing="1" w:after="100" w:afterAutospacing="1"/>
        <w:rPr>
          <w:sz w:val="24"/>
          <w:szCs w:val="24"/>
        </w:rPr>
      </w:pPr>
      <w:bookmarkStart w:id="2" w:name="_Toc79761245"/>
      <w:r w:rsidRPr="00FD6C6C">
        <w:rPr>
          <w:sz w:val="24"/>
          <w:szCs w:val="24"/>
        </w:rPr>
        <w:t>2. COMPETENCIA</w:t>
      </w:r>
      <w:bookmarkEnd w:id="2"/>
    </w:p>
    <w:p w14:paraId="682BA2C3" w14:textId="42E083BB" w:rsidR="00551A92" w:rsidRPr="00FD6C6C" w:rsidRDefault="00465F5F" w:rsidP="002C0E2F">
      <w:pPr>
        <w:spacing w:before="100" w:beforeAutospacing="1" w:after="100" w:afterAutospacing="1"/>
      </w:pPr>
      <w:r w:rsidRPr="00FD6C6C">
        <w:t xml:space="preserve">Esta Sala Superior es competente para conocer y resolver el presente asunto, debido a que se trata de una solicitud sobre el ejercicio de su facultad de atracción respecto a los </w:t>
      </w:r>
      <w:r w:rsidR="00FD5BAD" w:rsidRPr="00FD6C6C">
        <w:t xml:space="preserve">recursos </w:t>
      </w:r>
      <w:r w:rsidRPr="00FD6C6C">
        <w:t>que sean competencia de las salas regionales del Tribunal Electoral. Lo anterior, con fundamento en artículos 99, párrafo noveno, de la Constitución general; así como 169, fracción XV, y 170, de la Ley Orgánica del Poder Judicial de la Federación.</w:t>
      </w:r>
    </w:p>
    <w:p w14:paraId="519D9912" w14:textId="1DE92520" w:rsidR="00FC0155" w:rsidRPr="00FD6C6C" w:rsidRDefault="00A1334E" w:rsidP="008F7238">
      <w:pPr>
        <w:pStyle w:val="Ttulo1"/>
        <w:spacing w:before="100" w:beforeAutospacing="1" w:after="100" w:afterAutospacing="1"/>
        <w:rPr>
          <w:b w:val="0"/>
          <w:sz w:val="24"/>
          <w:szCs w:val="24"/>
        </w:rPr>
      </w:pPr>
      <w:bookmarkStart w:id="3" w:name="_Toc79761246"/>
      <w:r w:rsidRPr="00FD6C6C">
        <w:rPr>
          <w:sz w:val="24"/>
          <w:szCs w:val="24"/>
        </w:rPr>
        <w:t xml:space="preserve">3. </w:t>
      </w:r>
      <w:r w:rsidR="00465F5F" w:rsidRPr="00FD6C6C">
        <w:rPr>
          <w:sz w:val="24"/>
          <w:szCs w:val="24"/>
        </w:rPr>
        <w:t>IMPROCEDENCIA DE LA SOLICITUD</w:t>
      </w:r>
      <w:r w:rsidR="00F60413" w:rsidRPr="00FD6C6C">
        <w:rPr>
          <w:sz w:val="24"/>
          <w:szCs w:val="24"/>
        </w:rPr>
        <w:t xml:space="preserve"> DE ATRACCIÓN</w:t>
      </w:r>
      <w:bookmarkEnd w:id="3"/>
    </w:p>
    <w:p w14:paraId="54D8155F" w14:textId="3A2A7F17" w:rsidR="008854D7" w:rsidRPr="00FD6C6C" w:rsidRDefault="008854D7" w:rsidP="002C0E2F">
      <w:pPr>
        <w:spacing w:before="100" w:beforeAutospacing="1" w:after="100" w:afterAutospacing="1"/>
      </w:pPr>
      <w:bookmarkStart w:id="4" w:name="_2et92p0" w:colFirst="0" w:colLast="0"/>
      <w:bookmarkEnd w:id="4"/>
      <w:r w:rsidRPr="00FD6C6C">
        <w:t xml:space="preserve">Esta Sala Superior estima que </w:t>
      </w:r>
      <w:r w:rsidRPr="00FD6C6C">
        <w:rPr>
          <w:b/>
        </w:rPr>
        <w:t>no procede</w:t>
      </w:r>
      <w:r w:rsidRPr="00FD6C6C">
        <w:t xml:space="preserve"> el ejercicio de su facultad de atracción en relación con el medio de impugnación presentado por Cinthia Guadalupe Teniente Mendoza debido a que no se satisfacen los requisitos de importancia y trascendencia.</w:t>
      </w:r>
    </w:p>
    <w:p w14:paraId="735F84AE" w14:textId="046C83A6" w:rsidR="008854D7" w:rsidRPr="00FD6C6C" w:rsidRDefault="008854D7" w:rsidP="002C0E2F">
      <w:pPr>
        <w:pStyle w:val="Ttulo2"/>
        <w:rPr>
          <w:sz w:val="22"/>
          <w:szCs w:val="22"/>
        </w:rPr>
      </w:pPr>
      <w:bookmarkStart w:id="5" w:name="_Toc79761247"/>
      <w:r w:rsidRPr="00FD6C6C">
        <w:rPr>
          <w:sz w:val="24"/>
          <w:szCs w:val="24"/>
        </w:rPr>
        <w:lastRenderedPageBreak/>
        <w:t>3.1. Marco normativo sobre la facultad de atracción</w:t>
      </w:r>
      <w:bookmarkEnd w:id="5"/>
    </w:p>
    <w:p w14:paraId="3D934A40" w14:textId="06236A39" w:rsidR="006A1E77" w:rsidRPr="00FD6C6C" w:rsidRDefault="006A1E77" w:rsidP="006A1E77">
      <w:pPr>
        <w:spacing w:before="240" w:after="0"/>
      </w:pPr>
      <w:r w:rsidRPr="00FD6C6C">
        <w:t xml:space="preserve">De una interpretación sistemática de los artículos 99, párrafo noveno, de la Constitución </w:t>
      </w:r>
      <w:r w:rsidR="002D3AFC" w:rsidRPr="00FD6C6C">
        <w:t>g</w:t>
      </w:r>
      <w:r w:rsidRPr="00FD6C6C">
        <w:t>eneral</w:t>
      </w:r>
      <w:r w:rsidRPr="00FD6C6C">
        <w:rPr>
          <w:rStyle w:val="Refdenotaalpie"/>
        </w:rPr>
        <w:footnoteReference w:id="2"/>
      </w:r>
      <w:r w:rsidRPr="00FD6C6C">
        <w:t>; 169, fracción XV, y 170 de la Ley Orgánica del Poder Judicial de la Federación</w:t>
      </w:r>
      <w:r w:rsidRPr="00FD6C6C">
        <w:rPr>
          <w:vertAlign w:val="superscript"/>
        </w:rPr>
        <w:footnoteReference w:id="3"/>
      </w:r>
      <w:r w:rsidRPr="00FD6C6C">
        <w:t>; y 86 del Reglamento Interno del Tribunal Electoral del Poder Judicial de la Federación</w:t>
      </w:r>
      <w:r w:rsidRPr="00FD6C6C">
        <w:rPr>
          <w:vertAlign w:val="superscript"/>
        </w:rPr>
        <w:footnoteReference w:id="4"/>
      </w:r>
      <w:r w:rsidRPr="00FD6C6C">
        <w:t>, se desprende que:</w:t>
      </w:r>
    </w:p>
    <w:p w14:paraId="5694599B" w14:textId="77777777" w:rsidR="006A1E77" w:rsidRPr="00FD6C6C" w:rsidRDefault="006A1E77" w:rsidP="006A1E77">
      <w:pPr>
        <w:pStyle w:val="Prrafodelista"/>
        <w:numPr>
          <w:ilvl w:val="0"/>
          <w:numId w:val="22"/>
        </w:numPr>
        <w:spacing w:before="240" w:after="0"/>
      </w:pPr>
      <w:r w:rsidRPr="00FD6C6C">
        <w:t>La Sala Superior puede ejercer su facultad para atraer los medios de impugnación que sean competencia originaria de las salas regionales del Tribunal Electoral.</w:t>
      </w:r>
    </w:p>
    <w:p w14:paraId="143E7FC7" w14:textId="77777777" w:rsidR="006A1E77" w:rsidRPr="00FD6C6C" w:rsidRDefault="006A1E77" w:rsidP="006A1E77">
      <w:pPr>
        <w:pStyle w:val="Prrafodelista"/>
        <w:numPr>
          <w:ilvl w:val="0"/>
          <w:numId w:val="22"/>
        </w:numPr>
        <w:spacing w:before="240" w:after="0"/>
      </w:pPr>
      <w:r w:rsidRPr="00FD6C6C">
        <w:t>La facultad de atracción puede ejercerse de oficio, o bien, a partir de la solicitud de la sala regional que conozca del medio de impugnación o a petición de una de las partes que intervengan en el mismo.</w:t>
      </w:r>
    </w:p>
    <w:p w14:paraId="3CB8C16C" w14:textId="2DBCDE5B" w:rsidR="006A1E77" w:rsidRPr="00FD6C6C" w:rsidRDefault="006A1E77" w:rsidP="006A1E77">
      <w:pPr>
        <w:pStyle w:val="Prrafodelista"/>
        <w:numPr>
          <w:ilvl w:val="0"/>
          <w:numId w:val="22"/>
        </w:numPr>
        <w:spacing w:before="240" w:after="0"/>
      </w:pPr>
      <w:r w:rsidRPr="00FD6C6C">
        <w:t xml:space="preserve">El ejercicio de la facultad de atracción depende de </w:t>
      </w:r>
      <w:r w:rsidRPr="00FD6C6C">
        <w:rPr>
          <w:b/>
          <w:bCs/>
        </w:rPr>
        <w:t>si el asunto lo amerita</w:t>
      </w:r>
      <w:r w:rsidR="00FD5BAD" w:rsidRPr="00FD6C6C">
        <w:rPr>
          <w:b/>
          <w:bCs/>
        </w:rPr>
        <w:t>,</w:t>
      </w:r>
      <w:r w:rsidRPr="00FD6C6C">
        <w:rPr>
          <w:b/>
          <w:bCs/>
        </w:rPr>
        <w:t xml:space="preserve"> en atención a su importancia y trascendencia</w:t>
      </w:r>
      <w:r w:rsidRPr="00FD6C6C">
        <w:t>.</w:t>
      </w:r>
    </w:p>
    <w:p w14:paraId="16E114B1" w14:textId="579BFF63" w:rsidR="006A1E77" w:rsidRPr="00FD6C6C" w:rsidRDefault="006A1E77" w:rsidP="006A1E77">
      <w:pPr>
        <w:pStyle w:val="Prrafodelista"/>
        <w:numPr>
          <w:ilvl w:val="0"/>
          <w:numId w:val="22"/>
        </w:numPr>
        <w:spacing w:before="240" w:after="0"/>
      </w:pPr>
      <w:r w:rsidRPr="00FD6C6C">
        <w:t xml:space="preserve">Tratándose de la </w:t>
      </w:r>
      <w:r w:rsidRPr="00FD6C6C">
        <w:rPr>
          <w:b/>
          <w:bCs/>
        </w:rPr>
        <w:t>solicitud de una de las partes</w:t>
      </w:r>
      <w:r w:rsidRPr="00FD6C6C">
        <w:t xml:space="preserve"> del medio de impugnación, debe someterse por escrito y </w:t>
      </w:r>
      <w:r w:rsidRPr="00FD6C6C">
        <w:rPr>
          <w:b/>
          <w:bCs/>
        </w:rPr>
        <w:t>se precisa justificar la importancia y trascendencia del caso</w:t>
      </w:r>
      <w:r w:rsidRPr="00FD6C6C">
        <w:t>.</w:t>
      </w:r>
    </w:p>
    <w:p w14:paraId="46207870" w14:textId="77777777" w:rsidR="005E0076" w:rsidRPr="00FD6C6C" w:rsidRDefault="005E0076" w:rsidP="005E0076">
      <w:pPr>
        <w:pStyle w:val="Prrafodelista"/>
        <w:numPr>
          <w:ilvl w:val="0"/>
          <w:numId w:val="22"/>
        </w:numPr>
        <w:spacing w:before="240"/>
      </w:pPr>
      <w:r w:rsidRPr="00FD6C6C">
        <w:lastRenderedPageBreak/>
        <w:t>La determinación que dicte la Sala Superior en ejercicio de la facultad de atracción se realizará mediante un análisis ponderativo, en el que se tomen en cuenta las particularidades de cada caso.</w:t>
      </w:r>
    </w:p>
    <w:p w14:paraId="5BC9D5AB" w14:textId="5EFE1DBD" w:rsidR="00661E43" w:rsidRPr="00FD6C6C" w:rsidRDefault="005E0076" w:rsidP="006A1E77">
      <w:pPr>
        <w:spacing w:before="240"/>
      </w:pPr>
      <w:r w:rsidRPr="00FD6C6C">
        <w:t xml:space="preserve">En ese sentido, se debe precisar lo que se entiende por </w:t>
      </w:r>
      <w:r w:rsidRPr="00FD6C6C">
        <w:rPr>
          <w:b/>
          <w:bCs/>
        </w:rPr>
        <w:t>importancia</w:t>
      </w:r>
      <w:r w:rsidRPr="00FD6C6C">
        <w:t xml:space="preserve"> y </w:t>
      </w:r>
      <w:r w:rsidRPr="00FD6C6C">
        <w:rPr>
          <w:b/>
          <w:bCs/>
        </w:rPr>
        <w:t>trascendencia</w:t>
      </w:r>
      <w:r w:rsidRPr="00FD6C6C">
        <w:t>, para posteriormente valorar si el presente asunto reúne esas características.</w:t>
      </w:r>
    </w:p>
    <w:p w14:paraId="55C7C8AE" w14:textId="0D6D5C52" w:rsidR="00762F75" w:rsidRPr="00FD6C6C" w:rsidRDefault="00762F75" w:rsidP="006A1E77">
      <w:pPr>
        <w:spacing w:before="240"/>
      </w:pPr>
      <w:r w:rsidRPr="00FD6C6C">
        <w:t xml:space="preserve">Con apoyo en lo sostenido por la Primera Sala de la Suprema Corte de Justicia de la Nación, para que proceda la facultad de atracción deben acreditarse de manera conjunta los siguientes elementos: </w:t>
      </w:r>
      <w:r w:rsidRPr="00FD6C6C">
        <w:rPr>
          <w:b/>
          <w:i/>
          <w:iCs/>
        </w:rPr>
        <w:t>i)</w:t>
      </w:r>
      <w:r w:rsidRPr="00FD6C6C">
        <w:t xml:space="preserve"> importancia, consistente en que, de la naturaleza misma del caso se desprenda que reviste un interés superior reflejado en la relevancia de las cuestiones a resolver, como lo sería la posible incidencia en valores o principios fundamentales para el Estado mexicano</w:t>
      </w:r>
      <w:r w:rsidR="000F1E35" w:rsidRPr="00FD6C6C">
        <w:t>,</w:t>
      </w:r>
      <w:r w:rsidRPr="00FD6C6C">
        <w:t xml:space="preserve"> y </w:t>
      </w:r>
      <w:r w:rsidRPr="00FD6C6C">
        <w:rPr>
          <w:b/>
          <w:i/>
          <w:iCs/>
        </w:rPr>
        <w:t>ii)</w:t>
      </w:r>
      <w:r w:rsidRPr="00FD6C6C">
        <w:t xml:space="preserve"> trascendencia, entendida como el carácter excepcional o novedoso del asunto que permita adoptar un criterio jurídico relevante para resolver casos futuros o que guarden una relación compleja</w:t>
      </w:r>
      <w:r w:rsidRPr="00FD6C6C">
        <w:rPr>
          <w:vertAlign w:val="superscript"/>
        </w:rPr>
        <w:footnoteReference w:id="5"/>
      </w:r>
      <w:r w:rsidR="00C6344C" w:rsidRPr="00FD6C6C">
        <w:t>.</w:t>
      </w:r>
    </w:p>
    <w:p w14:paraId="527E56B7" w14:textId="0B5A6D40" w:rsidR="006E0178" w:rsidRPr="00FD6C6C" w:rsidRDefault="006E0178" w:rsidP="006E0178">
      <w:pPr>
        <w:spacing w:before="240"/>
      </w:pPr>
      <w:r w:rsidRPr="00FD6C6C">
        <w:t>Ambos requisitos se refieren a la relevancia del asunto, pero en el primero se valora ese carácter a partir del caso en sí mismo y</w:t>
      </w:r>
      <w:r w:rsidR="00F252E1" w:rsidRPr="00FD6C6C">
        <w:t>,</w:t>
      </w:r>
      <w:r w:rsidRPr="00FD6C6C">
        <w:t xml:space="preserve"> en el segundo</w:t>
      </w:r>
      <w:r w:rsidR="00F252E1" w:rsidRPr="00FD6C6C">
        <w:t>,</w:t>
      </w:r>
      <w:r w:rsidRPr="00FD6C6C">
        <w:t xml:space="preserve"> se precisa advertir su conveniencia desde una óptica de la solución de controversias en futuras ocasiones.</w:t>
      </w:r>
    </w:p>
    <w:p w14:paraId="73454B18" w14:textId="1D0DE4A4" w:rsidR="008854D7" w:rsidRPr="00FD6C6C" w:rsidRDefault="00691DAC" w:rsidP="002C0E2F">
      <w:pPr>
        <w:pStyle w:val="Ttulo2"/>
        <w:rPr>
          <w:sz w:val="24"/>
          <w:szCs w:val="24"/>
        </w:rPr>
      </w:pPr>
      <w:bookmarkStart w:id="6" w:name="_Toc79761248"/>
      <w:r w:rsidRPr="00FD6C6C">
        <w:rPr>
          <w:sz w:val="24"/>
          <w:szCs w:val="24"/>
        </w:rPr>
        <w:t>3.2. Argumentos para justificar la importancia y trascendencia del caso</w:t>
      </w:r>
      <w:bookmarkEnd w:id="6"/>
    </w:p>
    <w:p w14:paraId="3909379A" w14:textId="310798A5" w:rsidR="00691DAC" w:rsidRPr="00FD6C6C" w:rsidRDefault="009B3A23" w:rsidP="00491C4E">
      <w:pPr>
        <w:spacing w:before="240" w:after="0"/>
      </w:pPr>
      <w:r w:rsidRPr="00FD6C6C">
        <w:t xml:space="preserve">La promovente sostiene que </w:t>
      </w:r>
      <w:r w:rsidR="002C0E2F" w:rsidRPr="00FD6C6C">
        <w:t>en el caso se justifica el ejercicio de la facultad de atracción por las siguientes razones:</w:t>
      </w:r>
    </w:p>
    <w:p w14:paraId="0B77C557" w14:textId="646022DF" w:rsidR="002C0E2F" w:rsidRPr="00FD6C6C" w:rsidRDefault="002C0E2F" w:rsidP="00796965">
      <w:pPr>
        <w:spacing w:before="240" w:after="0"/>
        <w:ind w:left="720"/>
      </w:pPr>
      <w:r w:rsidRPr="00FD6C6C">
        <w:rPr>
          <w:b/>
          <w:bCs/>
          <w:i/>
          <w:iCs/>
        </w:rPr>
        <w:t>i)</w:t>
      </w:r>
      <w:r w:rsidRPr="00FD6C6C">
        <w:t xml:space="preserve"> </w:t>
      </w:r>
      <w:r w:rsidR="0079104B" w:rsidRPr="00FD6C6C">
        <w:t>Al plantearse</w:t>
      </w:r>
      <w:r w:rsidRPr="00FD6C6C">
        <w:t xml:space="preserve"> la inconstitucionalidad del artículo 410, fracción III, de la Ley de Instituciones y Procedimientos Electorales para el Estado </w:t>
      </w:r>
      <w:r w:rsidRPr="00FD6C6C">
        <w:lastRenderedPageBreak/>
        <w:t xml:space="preserve">de Guanajuato, que excluye la prueba de inspección judicial de los medios de impugnación en materia electoral en el ámbito estatal, incluyendo el juicio ciudadano local, así como los recursos de revisión y de revocación. En ese sentido, refiere que el caso es importante y trascendente porque permite definir los límites de la libertad de configuración de las legislaturas locales en relación con el derecho </w:t>
      </w:r>
      <w:r w:rsidR="005F5373" w:rsidRPr="00FD6C6C">
        <w:t>a la prueba</w:t>
      </w:r>
      <w:r w:rsidR="0079104B" w:rsidRPr="00FD6C6C">
        <w:t>;</w:t>
      </w:r>
    </w:p>
    <w:p w14:paraId="2A958818" w14:textId="52A857A2" w:rsidR="0079104B" w:rsidRPr="00FD6C6C" w:rsidRDefault="0079104B" w:rsidP="00796965">
      <w:pPr>
        <w:spacing w:before="240" w:after="0"/>
        <w:ind w:left="720"/>
      </w:pPr>
      <w:r w:rsidRPr="00FD6C6C">
        <w:rPr>
          <w:b/>
          <w:bCs/>
          <w:i/>
          <w:iCs/>
        </w:rPr>
        <w:t>ii)</w:t>
      </w:r>
      <w:r w:rsidRPr="00FD6C6C">
        <w:t xml:space="preserve"> </w:t>
      </w:r>
      <w:r w:rsidR="007801B2" w:rsidRPr="00FD6C6C">
        <w:t xml:space="preserve">Debido a que se fijaría un criterio sobre el valor probatorio de la confesión sobre el uso de programas sociales y de recursos públicos </w:t>
      </w:r>
      <w:r w:rsidR="008557D9" w:rsidRPr="00FD6C6C">
        <w:t>publicada en una red social, y</w:t>
      </w:r>
    </w:p>
    <w:p w14:paraId="1F36CC2D" w14:textId="1E2EEE2E" w:rsidR="008557D9" w:rsidRPr="00FD6C6C" w:rsidRDefault="008557D9" w:rsidP="00796965">
      <w:pPr>
        <w:spacing w:before="240" w:after="0"/>
        <w:ind w:left="720"/>
      </w:pPr>
      <w:r w:rsidRPr="00FD6C6C">
        <w:rPr>
          <w:b/>
          <w:bCs/>
          <w:i/>
          <w:iCs/>
        </w:rPr>
        <w:t>iii)</w:t>
      </w:r>
      <w:r w:rsidRPr="00FD6C6C">
        <w:t xml:space="preserve"> Porque el Tribunal local incurrió en una incongruencia al </w:t>
      </w:r>
      <w:r w:rsidR="005B34E5" w:rsidRPr="00FD6C6C">
        <w:t>estimar que un agravio era simultáneamente inoperante e infundado</w:t>
      </w:r>
      <w:r w:rsidR="0016218B" w:rsidRPr="00FD6C6C">
        <w:t>, con lo que se fija un precedente riesgoso</w:t>
      </w:r>
      <w:r w:rsidR="00796965" w:rsidRPr="00FD6C6C">
        <w:t xml:space="preserve">. </w:t>
      </w:r>
    </w:p>
    <w:p w14:paraId="519D9913" w14:textId="74DB9D13" w:rsidR="00FC0155" w:rsidRPr="00FD6C6C" w:rsidRDefault="00001D95" w:rsidP="008854D7">
      <w:pPr>
        <w:spacing w:before="100" w:beforeAutospacing="1" w:after="100" w:afterAutospacing="1"/>
      </w:pPr>
      <w:r w:rsidRPr="00FD6C6C">
        <w:t xml:space="preserve">De igual forma, es relevante tomar en cuenta que los agravios formulados por la promovente </w:t>
      </w:r>
      <w:r w:rsidR="00F73C71" w:rsidRPr="00FD6C6C">
        <w:t xml:space="preserve">se centran en los siguientes planteamientos: </w:t>
      </w:r>
      <w:r w:rsidR="00F73C71" w:rsidRPr="00FD6C6C">
        <w:rPr>
          <w:b/>
          <w:bCs/>
          <w:i/>
          <w:iCs/>
        </w:rPr>
        <w:t>i)</w:t>
      </w:r>
      <w:r w:rsidR="00F73C71" w:rsidRPr="00FD6C6C">
        <w:t xml:space="preserve"> la incongruencia de la sentencia controvertida</w:t>
      </w:r>
      <w:r w:rsidR="002B31A2" w:rsidRPr="00FD6C6C">
        <w:t>, respecto a sus planteamientos sobre la actualización de un rebase del tope de gastos de campaña</w:t>
      </w:r>
      <w:r w:rsidR="0078139F" w:rsidRPr="00FD6C6C">
        <w:t xml:space="preserve"> y la forma de acreditarlo</w:t>
      </w:r>
      <w:r w:rsidR="00F73C71" w:rsidRPr="00FD6C6C">
        <w:t xml:space="preserve">; </w:t>
      </w:r>
      <w:r w:rsidR="00F73C71" w:rsidRPr="00FD6C6C">
        <w:rPr>
          <w:b/>
          <w:bCs/>
          <w:i/>
          <w:iCs/>
        </w:rPr>
        <w:t>ii)</w:t>
      </w:r>
      <w:r w:rsidR="00F73C71" w:rsidRPr="00FD6C6C">
        <w:t xml:space="preserve"> la extemporaneidad de la resolución que combate, es decir, que no se dictó en el plazo previsto en la legislación local</w:t>
      </w:r>
      <w:r w:rsidR="003908FC" w:rsidRPr="00FD6C6C">
        <w:t>, y</w:t>
      </w:r>
      <w:r w:rsidR="00F73C71" w:rsidRPr="00FD6C6C">
        <w:t xml:space="preserve"> </w:t>
      </w:r>
      <w:r w:rsidR="008C645B" w:rsidRPr="00FD6C6C">
        <w:rPr>
          <w:b/>
          <w:bCs/>
          <w:i/>
          <w:iCs/>
        </w:rPr>
        <w:t>iii)</w:t>
      </w:r>
      <w:r w:rsidR="008C645B" w:rsidRPr="00FD6C6C">
        <w:t xml:space="preserve"> la falta de exhaustividad de la </w:t>
      </w:r>
      <w:r w:rsidR="004D49BD" w:rsidRPr="00FD6C6C">
        <w:t>determinación</w:t>
      </w:r>
      <w:r w:rsidR="002B31A2" w:rsidRPr="00FD6C6C">
        <w:t>, en relación con la nulidad de la votación recibida en diversas casillas</w:t>
      </w:r>
      <w:r w:rsidR="008C645B" w:rsidRPr="00FD6C6C">
        <w:t>.</w:t>
      </w:r>
    </w:p>
    <w:p w14:paraId="2825DD03" w14:textId="379A3C9A" w:rsidR="00C64810" w:rsidRPr="00FD6C6C" w:rsidRDefault="00C64810" w:rsidP="00C64810">
      <w:pPr>
        <w:pStyle w:val="Ttulo2"/>
        <w:rPr>
          <w:sz w:val="24"/>
          <w:szCs w:val="24"/>
        </w:rPr>
      </w:pPr>
      <w:bookmarkStart w:id="7" w:name="_Toc79761249"/>
      <w:r w:rsidRPr="00FD6C6C">
        <w:rPr>
          <w:sz w:val="24"/>
          <w:szCs w:val="24"/>
        </w:rPr>
        <w:t>3.3. Aplicación al caso concreto</w:t>
      </w:r>
      <w:bookmarkEnd w:id="7"/>
    </w:p>
    <w:p w14:paraId="351611DC" w14:textId="77777777" w:rsidR="00CF10BA" w:rsidRPr="00FD6C6C" w:rsidRDefault="009F0744" w:rsidP="008854D7">
      <w:pPr>
        <w:spacing w:before="100" w:beforeAutospacing="1" w:after="100" w:afterAutospacing="1"/>
      </w:pPr>
      <w:r w:rsidRPr="00FD6C6C">
        <w:t xml:space="preserve">Esta Sala Superior considera que la controversia no implica el análisis de problemáticas jurídicas que justifiquen el ejercicio de </w:t>
      </w:r>
      <w:r w:rsidR="00C40757" w:rsidRPr="00FD6C6C">
        <w:t>su</w:t>
      </w:r>
      <w:r w:rsidRPr="00FD6C6C">
        <w:t xml:space="preserve"> facultad de atracción.</w:t>
      </w:r>
    </w:p>
    <w:p w14:paraId="15F99DEE" w14:textId="74790167" w:rsidR="00E72CDB" w:rsidRPr="00FD6C6C" w:rsidRDefault="00E653EA" w:rsidP="008854D7">
      <w:pPr>
        <w:spacing w:before="100" w:beforeAutospacing="1" w:after="100" w:afterAutospacing="1"/>
      </w:pPr>
      <w:r w:rsidRPr="00FD6C6C">
        <w:t>Si bien</w:t>
      </w:r>
      <w:r w:rsidR="00F252E1" w:rsidRPr="00FD6C6C">
        <w:t>,</w:t>
      </w:r>
      <w:r w:rsidRPr="00FD6C6C">
        <w:t xml:space="preserve"> el planteamiento sobre la inconstitucionalidad del artículo 410, fracción III, de la Ley de Instituciones y Procedimientos Electorales para el Estado de Guanajuato</w:t>
      </w:r>
      <w:r w:rsidR="00D96039" w:rsidRPr="00FD6C6C">
        <w:t>,</w:t>
      </w:r>
      <w:r w:rsidR="001C0EBA" w:rsidRPr="00FD6C6C">
        <w:t xml:space="preserve"> por vulnerar el derecho </w:t>
      </w:r>
      <w:r w:rsidR="001661E7" w:rsidRPr="00FD6C6C">
        <w:t>a la prueba</w:t>
      </w:r>
      <w:r w:rsidR="00D96039" w:rsidRPr="00FD6C6C">
        <w:t>,</w:t>
      </w:r>
      <w:r w:rsidR="001661E7" w:rsidRPr="00FD6C6C">
        <w:t xml:space="preserve"> </w:t>
      </w:r>
      <w:r w:rsidR="00D062BE" w:rsidRPr="00FD6C6C">
        <w:t xml:space="preserve">puede </w:t>
      </w:r>
      <w:r w:rsidR="00D062BE" w:rsidRPr="00FD6C6C">
        <w:lastRenderedPageBreak/>
        <w:t>considerarse de cierta relevancia</w:t>
      </w:r>
      <w:r w:rsidR="00D96039" w:rsidRPr="00FD6C6C">
        <w:t xml:space="preserve">, </w:t>
      </w:r>
      <w:r w:rsidR="007A129E" w:rsidRPr="00FD6C6C">
        <w:t xml:space="preserve">lo cierto es que esta Sala Superior cuenta con diversos precedentes en los que ha valorado </w:t>
      </w:r>
      <w:r w:rsidR="006D3337" w:rsidRPr="00FD6C6C">
        <w:t xml:space="preserve">la regularidad constitucional de disposiciones normativas en las que se restringe la posibilidad de presentar </w:t>
      </w:r>
      <w:r w:rsidR="00296DF0" w:rsidRPr="00FD6C6C">
        <w:t>algunos</w:t>
      </w:r>
      <w:r w:rsidR="006D3337" w:rsidRPr="00FD6C6C">
        <w:t xml:space="preserve"> tipos de prueba </w:t>
      </w:r>
      <w:r w:rsidR="00296DF0" w:rsidRPr="00FD6C6C">
        <w:t>tratándose de ciertos medios de impugnación en materia electoral</w:t>
      </w:r>
      <w:r w:rsidR="00511ACF" w:rsidRPr="00FD6C6C">
        <w:rPr>
          <w:rStyle w:val="Refdenotaalpie"/>
        </w:rPr>
        <w:footnoteReference w:id="6"/>
      </w:r>
      <w:r w:rsidR="00BD0377" w:rsidRPr="00FD6C6C">
        <w:t>.</w:t>
      </w:r>
      <w:r w:rsidR="00026315" w:rsidRPr="00FD6C6C">
        <w:t xml:space="preserve"> La existencia de dichos referentes </w:t>
      </w:r>
      <w:r w:rsidR="00A07D8E" w:rsidRPr="00FD6C6C">
        <w:t>lleva a considerar</w:t>
      </w:r>
      <w:r w:rsidR="00A14954" w:rsidRPr="00FD6C6C">
        <w:t xml:space="preserve"> que </w:t>
      </w:r>
      <w:r w:rsidR="005820FA" w:rsidRPr="00FD6C6C">
        <w:t xml:space="preserve">la cuestión planteada </w:t>
      </w:r>
      <w:r w:rsidR="00C84492" w:rsidRPr="00FD6C6C">
        <w:t xml:space="preserve">no </w:t>
      </w:r>
      <w:r w:rsidR="007253AB" w:rsidRPr="00FD6C6C">
        <w:t>es</w:t>
      </w:r>
      <w:r w:rsidR="00C84492" w:rsidRPr="00FD6C6C">
        <w:t xml:space="preserve"> novedosa, de modo que el asunto permita fijar un criterio para casos futuros</w:t>
      </w:r>
      <w:r w:rsidR="00E72CDB" w:rsidRPr="00FD6C6C">
        <w:t>.</w:t>
      </w:r>
    </w:p>
    <w:p w14:paraId="369A06CB" w14:textId="2776B0EE" w:rsidR="00413009" w:rsidRPr="00FD6C6C" w:rsidRDefault="004E64CF" w:rsidP="008854D7">
      <w:pPr>
        <w:spacing w:before="100" w:beforeAutospacing="1" w:after="100" w:afterAutospacing="1"/>
      </w:pPr>
      <w:r w:rsidRPr="00FD6C6C">
        <w:t xml:space="preserve">En todo caso, si </w:t>
      </w:r>
      <w:r w:rsidR="00FE74E8" w:rsidRPr="00FD6C6C">
        <w:t>este</w:t>
      </w:r>
      <w:r w:rsidR="00BA32C5" w:rsidRPr="00FD6C6C">
        <w:t xml:space="preserve"> planteamiento </w:t>
      </w:r>
      <w:r w:rsidR="00037BE3" w:rsidRPr="00FD6C6C">
        <w:t>pudiera</w:t>
      </w:r>
      <w:r w:rsidR="00BA32C5" w:rsidRPr="00FD6C6C">
        <w:t xml:space="preserve"> traducirse en una cuestión propiamente de constitucionalidad y la pretensión de la solicitante es que sea analizada por esta Sala Superior, lo cierto es que tiene a su disposición el recurso de reconsideración para</w:t>
      </w:r>
      <w:r w:rsidR="00A70634" w:rsidRPr="00FD6C6C">
        <w:t xml:space="preserve"> –en su caso</w:t>
      </w:r>
      <w:r w:rsidR="00BB380A" w:rsidRPr="00FD6C6C">
        <w:t xml:space="preserve"> y </w:t>
      </w:r>
      <w:r w:rsidR="005B5C5A" w:rsidRPr="00FD6C6C">
        <w:t>de cumplirse</w:t>
      </w:r>
      <w:r w:rsidR="00BB380A" w:rsidRPr="00FD6C6C">
        <w:t xml:space="preserve"> con el requisito específico para su procedencia</w:t>
      </w:r>
      <w:r w:rsidR="00A70634" w:rsidRPr="00FD6C6C">
        <w:t>–</w:t>
      </w:r>
      <w:r w:rsidR="00BA32C5" w:rsidRPr="00FD6C6C">
        <w:t xml:space="preserve"> reclamar la sentencia dictada por la Sala Regional en la que </w:t>
      </w:r>
      <w:r w:rsidR="00520432" w:rsidRPr="00FD6C6C">
        <w:t xml:space="preserve">desarrolle el </w:t>
      </w:r>
      <w:r w:rsidR="00B55EF5" w:rsidRPr="00FD6C6C">
        <w:t>estudio</w:t>
      </w:r>
      <w:r w:rsidR="00126E44" w:rsidRPr="00FD6C6C">
        <w:t xml:space="preserve"> pretendido</w:t>
      </w:r>
      <w:r w:rsidR="00853DE5" w:rsidRPr="00FD6C6C">
        <w:t xml:space="preserve">, </w:t>
      </w:r>
      <w:r w:rsidR="00A70634" w:rsidRPr="00FD6C6C">
        <w:t>si esta</w:t>
      </w:r>
      <w:r w:rsidR="00142F51" w:rsidRPr="00FD6C6C">
        <w:t xml:space="preserve"> no satisface su pretensión.</w:t>
      </w:r>
    </w:p>
    <w:p w14:paraId="463433A9" w14:textId="6383D6E8" w:rsidR="00E24950" w:rsidRPr="00FD6C6C" w:rsidRDefault="000B06A3" w:rsidP="008854D7">
      <w:pPr>
        <w:spacing w:before="100" w:beforeAutospacing="1" w:after="100" w:afterAutospacing="1"/>
      </w:pPr>
      <w:r w:rsidRPr="00FD6C6C">
        <w:t xml:space="preserve">Por otra parte, </w:t>
      </w:r>
      <w:r w:rsidR="004A5C58" w:rsidRPr="00FD6C6C">
        <w:t>en relación con</w:t>
      </w:r>
      <w:r w:rsidR="00D22E29" w:rsidRPr="00FD6C6C">
        <w:t xml:space="preserve"> </w:t>
      </w:r>
      <w:r w:rsidR="00B73AA1" w:rsidRPr="00FD6C6C">
        <w:t>la posibilidad de fijar un</w:t>
      </w:r>
      <w:r w:rsidR="00B156E0" w:rsidRPr="00FD6C6C">
        <w:t xml:space="preserve"> criterio </w:t>
      </w:r>
      <w:r w:rsidR="00B73AA1" w:rsidRPr="00FD6C6C">
        <w:t>sobre</w:t>
      </w:r>
      <w:r w:rsidR="007645E4" w:rsidRPr="00FD6C6C">
        <w:t xml:space="preserve"> la valoración del contenido de </w:t>
      </w:r>
      <w:r w:rsidR="005D6AD4" w:rsidRPr="00FD6C6C">
        <w:t xml:space="preserve">las redes sociales para la </w:t>
      </w:r>
      <w:r w:rsidR="004A5C58" w:rsidRPr="00FD6C6C">
        <w:t>comprobación de otros ilícitos</w:t>
      </w:r>
      <w:r w:rsidR="00272F1A" w:rsidRPr="00FD6C6C">
        <w:t xml:space="preserve">, no se advierten elementos o particularidades que permitan considerarlo como una cuestión de </w:t>
      </w:r>
      <w:r w:rsidR="00EE7A1F" w:rsidRPr="00FD6C6C">
        <w:t>importancia</w:t>
      </w:r>
      <w:r w:rsidR="000A2B89" w:rsidRPr="00FD6C6C">
        <w:t>, sino que se trata de una problemática ordinaria de valoración probatoria.</w:t>
      </w:r>
    </w:p>
    <w:p w14:paraId="1231BEFE" w14:textId="77777777" w:rsidR="006725D8" w:rsidRPr="00FD6C6C" w:rsidRDefault="0050692C" w:rsidP="008854D7">
      <w:pPr>
        <w:spacing w:before="100" w:beforeAutospacing="1" w:after="100" w:afterAutospacing="1"/>
      </w:pPr>
      <w:r w:rsidRPr="00FD6C6C">
        <w:t>La misma conclusión se adopta con respecto a</w:t>
      </w:r>
      <w:r w:rsidR="00B33426" w:rsidRPr="00FD6C6C">
        <w:t xml:space="preserve">l </w:t>
      </w:r>
      <w:r w:rsidR="00391832" w:rsidRPr="00FD6C6C">
        <w:t>argumento sobre la presunta</w:t>
      </w:r>
      <w:r w:rsidR="00B33426" w:rsidRPr="00FD6C6C">
        <w:t xml:space="preserve"> violación al mandato de congruencia, </w:t>
      </w:r>
      <w:r w:rsidR="00D14D5F" w:rsidRPr="00FD6C6C">
        <w:t xml:space="preserve">el cual se sustenta en que </w:t>
      </w:r>
      <w:r w:rsidR="00412238" w:rsidRPr="00FD6C6C">
        <w:t xml:space="preserve">un mismo planteamiento fue calificado </w:t>
      </w:r>
      <w:r w:rsidR="00FE2423" w:rsidRPr="00FD6C6C">
        <w:t>tanto inoperante como infundado por parte del Tribunal local.</w:t>
      </w:r>
    </w:p>
    <w:p w14:paraId="080F27FD" w14:textId="53AA7576" w:rsidR="0089680A" w:rsidRPr="00FD6C6C" w:rsidRDefault="00B75A09" w:rsidP="008854D7">
      <w:pPr>
        <w:spacing w:before="100" w:beforeAutospacing="1" w:after="100" w:afterAutospacing="1"/>
      </w:pPr>
      <w:r w:rsidRPr="00FD6C6C">
        <w:t xml:space="preserve">El análisis sobre la posible contravención del principio de congruencia </w:t>
      </w:r>
      <w:r w:rsidR="009B6F26" w:rsidRPr="00FD6C6C">
        <w:t>a partir de una decisión judicial no entraña</w:t>
      </w:r>
      <w:r w:rsidR="005773F3" w:rsidRPr="00FD6C6C">
        <w:t xml:space="preserve"> una cuestión de particular</w:t>
      </w:r>
      <w:r w:rsidR="00CD2920" w:rsidRPr="00FD6C6C">
        <w:t xml:space="preserve"> relevancia, sino que se trata de una irregularidad </w:t>
      </w:r>
      <w:r w:rsidR="002D3CC6" w:rsidRPr="00FD6C6C">
        <w:t xml:space="preserve">de estudio común </w:t>
      </w:r>
      <w:r w:rsidR="004543FE" w:rsidRPr="00FD6C6C">
        <w:t xml:space="preserve">y respecto </w:t>
      </w:r>
      <w:r w:rsidR="003C4D8C" w:rsidRPr="00FD6C6C">
        <w:t>a la</w:t>
      </w:r>
      <w:r w:rsidR="004543FE" w:rsidRPr="00FD6C6C">
        <w:t xml:space="preserve"> cual no se advierte la </w:t>
      </w:r>
      <w:r w:rsidR="00BC7CF0" w:rsidRPr="00FD6C6C">
        <w:t xml:space="preserve">pertinencia de adoptar estándares </w:t>
      </w:r>
      <w:r w:rsidR="00BC7CF0" w:rsidRPr="00FD6C6C">
        <w:lastRenderedPageBreak/>
        <w:t>adicionales</w:t>
      </w:r>
      <w:r w:rsidR="002A02CE" w:rsidRPr="00FD6C6C">
        <w:t xml:space="preserve"> a los que ya se tienen</w:t>
      </w:r>
      <w:r w:rsidR="003C4D8C" w:rsidRPr="00FD6C6C">
        <w:rPr>
          <w:rStyle w:val="Refdenotaalpie"/>
        </w:rPr>
        <w:footnoteReference w:id="7"/>
      </w:r>
      <w:r w:rsidR="002A02CE" w:rsidRPr="00FD6C6C">
        <w:t>.</w:t>
      </w:r>
      <w:r w:rsidR="009E2F56" w:rsidRPr="00FD6C6C">
        <w:t xml:space="preserve"> </w:t>
      </w:r>
      <w:r w:rsidR="0089680A" w:rsidRPr="00FD6C6C">
        <w:t xml:space="preserve">Inclusive, se </w:t>
      </w:r>
      <w:r w:rsidR="006725D8" w:rsidRPr="00FD6C6C">
        <w:t>identifica</w:t>
      </w:r>
      <w:r w:rsidR="0089680A" w:rsidRPr="00FD6C6C">
        <w:t xml:space="preserve"> la existencia </w:t>
      </w:r>
      <w:r w:rsidR="009E2F56" w:rsidRPr="00FD6C6C">
        <w:t xml:space="preserve">de un criterio jurisprudencial </w:t>
      </w:r>
      <w:r w:rsidR="00472784" w:rsidRPr="00FD6C6C">
        <w:t>de la Suprema Corte de Justicia de la Nación en el que se analiza una cuestión semejante al argumento específico que hace valer la promovente</w:t>
      </w:r>
      <w:r w:rsidR="00103454" w:rsidRPr="00FD6C6C">
        <w:rPr>
          <w:rStyle w:val="Refdenotaalpie"/>
        </w:rPr>
        <w:footnoteReference w:id="8"/>
      </w:r>
      <w:r w:rsidR="00472784" w:rsidRPr="00FD6C6C">
        <w:t>.</w:t>
      </w:r>
    </w:p>
    <w:p w14:paraId="622B2A6C" w14:textId="6EA3BF49" w:rsidR="00E85B2A" w:rsidRPr="00FD6C6C" w:rsidRDefault="00F7060A" w:rsidP="008854D7">
      <w:pPr>
        <w:spacing w:before="100" w:beforeAutospacing="1" w:after="100" w:afterAutospacing="1"/>
      </w:pPr>
      <w:r w:rsidRPr="00FD6C6C">
        <w:t>Por último</w:t>
      </w:r>
      <w:r w:rsidR="00AB7763" w:rsidRPr="00FD6C6C">
        <w:t>,</w:t>
      </w:r>
      <w:r w:rsidRPr="00FD6C6C">
        <w:t xml:space="preserve"> se observa que </w:t>
      </w:r>
      <w:r w:rsidR="00011F28" w:rsidRPr="00FD6C6C">
        <w:t>una parte relevante de los planteamientos de la promovente</w:t>
      </w:r>
      <w:r w:rsidR="00AB7763" w:rsidRPr="00FD6C6C">
        <w:t xml:space="preserve"> </w:t>
      </w:r>
      <w:r w:rsidR="00202B19" w:rsidRPr="00FD6C6C">
        <w:t xml:space="preserve">se relacionan con </w:t>
      </w:r>
      <w:r w:rsidR="0003075D" w:rsidRPr="00FD6C6C">
        <w:t>la valoración de</w:t>
      </w:r>
      <w:r w:rsidR="00D12830" w:rsidRPr="00FD6C6C">
        <w:t xml:space="preserve"> las</w:t>
      </w:r>
      <w:r w:rsidR="0003075D" w:rsidRPr="00FD6C6C">
        <w:t xml:space="preserve"> irregularidades en materia de fiscalización de los recursos</w:t>
      </w:r>
      <w:r w:rsidR="00F80648" w:rsidRPr="00FD6C6C">
        <w:t xml:space="preserve"> y su posible incidencia en la validez de una elección</w:t>
      </w:r>
      <w:r w:rsidR="00567122" w:rsidRPr="00FD6C6C">
        <w:t>, particularmente derivado de que</w:t>
      </w:r>
      <w:r w:rsidR="00DB3AAA" w:rsidRPr="00FD6C6C">
        <w:t xml:space="preserve"> las determinaciones sobre</w:t>
      </w:r>
      <w:r w:rsidR="00567122" w:rsidRPr="00FD6C6C">
        <w:t xml:space="preserve"> dicha </w:t>
      </w:r>
      <w:r w:rsidR="00DB3AAA" w:rsidRPr="00FD6C6C">
        <w:t>materia</w:t>
      </w:r>
      <w:r w:rsidR="00567122" w:rsidRPr="00FD6C6C">
        <w:t xml:space="preserve"> está</w:t>
      </w:r>
      <w:r w:rsidR="00DB3AAA" w:rsidRPr="00FD6C6C">
        <w:t>n</w:t>
      </w:r>
      <w:r w:rsidR="00567122" w:rsidRPr="00FD6C6C">
        <w:t xml:space="preserve"> reservada</w:t>
      </w:r>
      <w:r w:rsidR="00DB3AAA" w:rsidRPr="00FD6C6C">
        <w:t>s</w:t>
      </w:r>
      <w:r w:rsidR="0089776D" w:rsidRPr="00FD6C6C">
        <w:t xml:space="preserve"> para el INE. </w:t>
      </w:r>
      <w:r w:rsidR="00673800" w:rsidRPr="00FD6C6C">
        <w:t>Es conveniente destacar que</w:t>
      </w:r>
      <w:r w:rsidR="00007101" w:rsidRPr="00FD6C6C">
        <w:t xml:space="preserve"> esta Sala Superior también cuenta con diversos precedentes en los que se han asumido criterios</w:t>
      </w:r>
      <w:r w:rsidR="00673800" w:rsidRPr="00FD6C6C">
        <w:t xml:space="preserve"> en torno a </w:t>
      </w:r>
      <w:r w:rsidR="00007101" w:rsidRPr="00FD6C6C">
        <w:t>esa cuestión</w:t>
      </w:r>
      <w:r w:rsidR="00437072" w:rsidRPr="00FD6C6C">
        <w:rPr>
          <w:rStyle w:val="Refdenotaalpie"/>
        </w:rPr>
        <w:footnoteReference w:id="9"/>
      </w:r>
      <w:r w:rsidR="00007101" w:rsidRPr="00FD6C6C">
        <w:t>.</w:t>
      </w:r>
    </w:p>
    <w:p w14:paraId="1AEE5599" w14:textId="110D8648" w:rsidR="002B1E84" w:rsidRPr="00FD6C6C" w:rsidRDefault="00F81733" w:rsidP="008854D7">
      <w:pPr>
        <w:spacing w:before="100" w:beforeAutospacing="1" w:after="100" w:afterAutospacing="1"/>
      </w:pPr>
      <w:r w:rsidRPr="00FD6C6C">
        <w:t xml:space="preserve">Por las razones expuestas, </w:t>
      </w:r>
      <w:r w:rsidR="008B4072" w:rsidRPr="00FD6C6C">
        <w:t>los problemas jurídicos presentados en la impugnación no cumplen con los criterios de relevancia y trascendencia, por lo que no se justifica el</w:t>
      </w:r>
      <w:r w:rsidR="000D5F69" w:rsidRPr="00FD6C6C">
        <w:t xml:space="preserve"> ejercicio de la facultad de atracción </w:t>
      </w:r>
      <w:r w:rsidR="008B4072" w:rsidRPr="00FD6C6C">
        <w:t>por</w:t>
      </w:r>
      <w:r w:rsidR="000D5F69" w:rsidRPr="00FD6C6C">
        <w:t xml:space="preserve"> esta Sala Superior.</w:t>
      </w:r>
    </w:p>
    <w:p w14:paraId="519D994E" w14:textId="40E14467" w:rsidR="00FC0155" w:rsidRPr="00FD6C6C" w:rsidRDefault="00F60413">
      <w:pPr>
        <w:pStyle w:val="Ttulo1"/>
        <w:rPr>
          <w:sz w:val="24"/>
          <w:szCs w:val="24"/>
        </w:rPr>
      </w:pPr>
      <w:bookmarkStart w:id="8" w:name="_Toc79761250"/>
      <w:r w:rsidRPr="00FD6C6C">
        <w:rPr>
          <w:sz w:val="24"/>
          <w:szCs w:val="24"/>
        </w:rPr>
        <w:t>4</w:t>
      </w:r>
      <w:r w:rsidR="00A1334E" w:rsidRPr="00FD6C6C">
        <w:rPr>
          <w:sz w:val="24"/>
          <w:szCs w:val="24"/>
        </w:rPr>
        <w:t>. RESOLUTIVO</w:t>
      </w:r>
      <w:r w:rsidR="003D0B93" w:rsidRPr="00FD6C6C">
        <w:rPr>
          <w:sz w:val="24"/>
          <w:szCs w:val="24"/>
        </w:rPr>
        <w:t>S</w:t>
      </w:r>
      <w:bookmarkEnd w:id="8"/>
    </w:p>
    <w:p w14:paraId="3BABA718" w14:textId="77777777" w:rsidR="00D06C66" w:rsidRPr="00FD6C6C" w:rsidRDefault="009E2204">
      <w:pPr>
        <w:spacing w:before="280" w:after="280" w:line="384" w:lineRule="auto"/>
      </w:pPr>
      <w:r w:rsidRPr="00FD6C6C">
        <w:rPr>
          <w:b/>
        </w:rPr>
        <w:t>PRIMERO</w:t>
      </w:r>
      <w:r w:rsidR="00A1334E" w:rsidRPr="00FD6C6C">
        <w:rPr>
          <w:b/>
        </w:rPr>
        <w:t xml:space="preserve">. </w:t>
      </w:r>
      <w:r w:rsidR="00D06C66" w:rsidRPr="00FD6C6C">
        <w:t xml:space="preserve">Es </w:t>
      </w:r>
      <w:r w:rsidR="00D06C66" w:rsidRPr="00FD6C6C">
        <w:rPr>
          <w:b/>
        </w:rPr>
        <w:t xml:space="preserve">improcedente </w:t>
      </w:r>
      <w:r w:rsidR="00D06C66" w:rsidRPr="00FD6C6C">
        <w:t>ejercer la facultad de atracción solicitada por Cinthia Guadalupe Teniente Mendoza.</w:t>
      </w:r>
    </w:p>
    <w:p w14:paraId="519D994F" w14:textId="3392D654" w:rsidR="00FC0155" w:rsidRPr="00FD6C6C" w:rsidRDefault="00D51ED1">
      <w:pPr>
        <w:spacing w:before="280" w:after="280" w:line="384" w:lineRule="auto"/>
      </w:pPr>
      <w:r w:rsidRPr="00FD6C6C">
        <w:rPr>
          <w:b/>
        </w:rPr>
        <w:t xml:space="preserve">SEGUNDO. </w:t>
      </w:r>
      <w:r w:rsidR="00660586" w:rsidRPr="00FD6C6C">
        <w:rPr>
          <w:b/>
          <w:bCs/>
        </w:rPr>
        <w:t>Remítase</w:t>
      </w:r>
      <w:r w:rsidR="00660586" w:rsidRPr="00FD6C6C">
        <w:t xml:space="preserve"> el asunto a la Sala Regional del Tribunal Electoral del Poder Judicial de la Federación en la Segunda Circunscripción Electoral </w:t>
      </w:r>
      <w:r w:rsidR="00660586" w:rsidRPr="00FD6C6C">
        <w:lastRenderedPageBreak/>
        <w:t>Plurinominal, con sede en Monterrey, Nuevo León, para que conozca y resuelva, con libertad de jurisdicción, lo que en Derecho corresponda.</w:t>
      </w:r>
    </w:p>
    <w:p w14:paraId="519D9950" w14:textId="446B5F74" w:rsidR="00FC0155" w:rsidRPr="00FD6C6C" w:rsidRDefault="00A1334E">
      <w:pPr>
        <w:spacing w:before="280" w:after="280" w:line="384" w:lineRule="auto"/>
      </w:pPr>
      <w:r w:rsidRPr="00FD6C6C">
        <w:rPr>
          <w:b/>
        </w:rPr>
        <w:t>NOTIFÍQUESE</w:t>
      </w:r>
      <w:r w:rsidRPr="00FD6C6C">
        <w:t>,</w:t>
      </w:r>
      <w:r w:rsidRPr="00FD6C6C">
        <w:rPr>
          <w:b/>
        </w:rPr>
        <w:t xml:space="preserve"> </w:t>
      </w:r>
      <w:r w:rsidRPr="00FD6C6C">
        <w:t>como en Derecho corresponda.</w:t>
      </w:r>
    </w:p>
    <w:p w14:paraId="6639BAEE" w14:textId="5042C8B0" w:rsidR="003B3A46" w:rsidRPr="00FD6C6C" w:rsidRDefault="003B3A46" w:rsidP="003B3A46">
      <w:pPr>
        <w:spacing w:line="336" w:lineRule="auto"/>
        <w:rPr>
          <w:rFonts w:eastAsia="Times New Roman"/>
          <w:bCs/>
        </w:rPr>
      </w:pPr>
      <w:r w:rsidRPr="00FD6C6C">
        <w:t>Devuélvanse las constancias que correspondan y, e</w:t>
      </w:r>
      <w:r w:rsidRPr="00FD6C6C">
        <w:rPr>
          <w:bCs/>
        </w:rPr>
        <w:t>n su oportunidad, archívese el presente expediente como asunto concluido.</w:t>
      </w:r>
    </w:p>
    <w:p w14:paraId="37C8EC2A" w14:textId="135419AA" w:rsidR="00995A70" w:rsidRPr="00FD6C6C" w:rsidRDefault="00D81017">
      <w:pPr>
        <w:shd w:val="clear" w:color="auto" w:fill="FFFFFF"/>
        <w:tabs>
          <w:tab w:val="left" w:pos="6237"/>
        </w:tabs>
        <w:rPr>
          <w:lang w:val="es-ES"/>
        </w:rPr>
      </w:pPr>
      <w:r w:rsidRPr="00FD6C6C">
        <w:rPr>
          <w:lang w:val="es-ES"/>
        </w:rPr>
        <w:t xml:space="preserve">Así lo resolvieron, por </w:t>
      </w:r>
      <w:r w:rsidR="00E106F0" w:rsidRPr="00FD6C6C">
        <w:rPr>
          <w:b/>
          <w:bCs/>
          <w:lang w:val="es-ES"/>
        </w:rPr>
        <w:t>unanimidad</w:t>
      </w:r>
      <w:r w:rsidRPr="00FD6C6C">
        <w:rPr>
          <w:b/>
          <w:lang w:val="es-ES"/>
        </w:rPr>
        <w:t xml:space="preserve"> </w:t>
      </w:r>
      <w:r w:rsidRPr="00FD6C6C">
        <w:rPr>
          <w:lang w:val="es-ES"/>
        </w:rPr>
        <w:t>de votos, las magistradas y los magistrados que integran la Sala Superior del Tribunal Electoral del Poder Judicial de la Federación, actuando como presidente por ministerio de ley el magistrado Felipe Alfredo Fuentes Barrera, ante el secretario general de acuerdos, quien autoriza y da fe de que la presente resolución se firma de manera electrónica.</w:t>
      </w:r>
    </w:p>
    <w:p w14:paraId="2070946A" w14:textId="66740321" w:rsidR="00FC0155" w:rsidRPr="00F5556E" w:rsidRDefault="00A1334E" w:rsidP="00513C63">
      <w:pPr>
        <w:shd w:val="clear" w:color="auto" w:fill="FFFFFF"/>
        <w:tabs>
          <w:tab w:val="left" w:pos="6237"/>
        </w:tabs>
        <w:spacing w:line="276" w:lineRule="auto"/>
        <w:rPr>
          <w:sz w:val="20"/>
          <w:szCs w:val="20"/>
        </w:rPr>
      </w:pPr>
      <w:r w:rsidRPr="00FD6C6C">
        <w:rPr>
          <w:sz w:val="20"/>
          <w:szCs w:val="20"/>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w:t>
      </w:r>
      <w:bookmarkStart w:id="9" w:name="_GoBack"/>
      <w:bookmarkEnd w:id="9"/>
      <w:r w:rsidRPr="00FD6C6C">
        <w:rPr>
          <w:sz w:val="20"/>
          <w:szCs w:val="20"/>
        </w:rPr>
        <w:t>anciación y resolución de los medios de impugnación en materia electoral.</w:t>
      </w:r>
    </w:p>
    <w:sectPr w:rsidR="00FC0155" w:rsidRPr="00F5556E">
      <w:headerReference w:type="even" r:id="rId8"/>
      <w:headerReference w:type="default" r:id="rId9"/>
      <w:footerReference w:type="even" r:id="rId10"/>
      <w:footerReference w:type="default" r:id="rId11"/>
      <w:headerReference w:type="first" r:id="rId12"/>
      <w:pgSz w:w="12242" w:h="18722"/>
      <w:pgMar w:top="3119" w:right="1418" w:bottom="1418" w:left="2835" w:header="2552" w:footer="170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69360" w14:textId="77777777" w:rsidR="00D70A3F" w:rsidRDefault="00D70A3F">
      <w:pPr>
        <w:spacing w:after="0" w:line="240" w:lineRule="auto"/>
      </w:pPr>
      <w:r>
        <w:separator/>
      </w:r>
    </w:p>
  </w:endnote>
  <w:endnote w:type="continuationSeparator" w:id="0">
    <w:p w14:paraId="21E60657" w14:textId="77777777" w:rsidR="00D70A3F" w:rsidRDefault="00D7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D9957" w14:textId="2AF1D292" w:rsidR="00F71DE1" w:rsidRDefault="00F71DE1">
    <w:pPr>
      <w:pBdr>
        <w:top w:val="nil"/>
        <w:left w:val="nil"/>
        <w:bottom w:val="nil"/>
        <w:right w:val="nil"/>
        <w:between w:val="nil"/>
      </w:pBdr>
      <w:tabs>
        <w:tab w:val="center" w:pos="4320"/>
        <w:tab w:val="right" w:pos="8640"/>
      </w:tabs>
      <w:spacing w:after="0"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p w14:paraId="519D9958" w14:textId="77777777" w:rsidR="00F71DE1" w:rsidRDefault="00F71DE1">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D9959" w14:textId="77777777" w:rsidR="00F71DE1" w:rsidRDefault="00F71DE1">
    <w:pPr>
      <w:pBdr>
        <w:top w:val="nil"/>
        <w:left w:val="nil"/>
        <w:bottom w:val="nil"/>
        <w:right w:val="nil"/>
        <w:between w:val="nil"/>
      </w:pBdr>
      <w:tabs>
        <w:tab w:val="center" w:pos="4320"/>
        <w:tab w:val="right" w:pos="8640"/>
      </w:tabs>
      <w:spacing w:after="0" w:line="240" w:lineRule="auto"/>
      <w:jc w:val="center"/>
      <w:rPr>
        <w:color w:val="000000"/>
      </w:rPr>
    </w:pPr>
  </w:p>
  <w:p w14:paraId="519D995A" w14:textId="0B10EBC5" w:rsidR="00F71DE1" w:rsidRDefault="00F71DE1">
    <w:pPr>
      <w:pBdr>
        <w:top w:val="nil"/>
        <w:left w:val="nil"/>
        <w:bottom w:val="nil"/>
        <w:right w:val="nil"/>
        <w:between w:val="nil"/>
      </w:pBdr>
      <w:tabs>
        <w:tab w:val="center" w:pos="4320"/>
        <w:tab w:val="right" w:pos="8640"/>
      </w:tabs>
      <w:spacing w:after="0"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3</w:t>
    </w:r>
    <w:r>
      <w:rPr>
        <w:color w:val="000000"/>
        <w:sz w:val="20"/>
        <w:szCs w:val="20"/>
      </w:rPr>
      <w:fldChar w:fldCharType="end"/>
    </w:r>
  </w:p>
  <w:p w14:paraId="519D995B" w14:textId="77777777" w:rsidR="00F71DE1" w:rsidRDefault="00F71DE1">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5ED5B" w14:textId="77777777" w:rsidR="00D70A3F" w:rsidRDefault="00D70A3F">
      <w:pPr>
        <w:spacing w:after="0" w:line="240" w:lineRule="auto"/>
      </w:pPr>
      <w:r>
        <w:separator/>
      </w:r>
    </w:p>
  </w:footnote>
  <w:footnote w:type="continuationSeparator" w:id="0">
    <w:p w14:paraId="24DFC248" w14:textId="77777777" w:rsidR="00D70A3F" w:rsidRDefault="00D70A3F">
      <w:pPr>
        <w:spacing w:after="0" w:line="240" w:lineRule="auto"/>
      </w:pPr>
      <w:r>
        <w:continuationSeparator/>
      </w:r>
    </w:p>
  </w:footnote>
  <w:footnote w:id="1">
    <w:p w14:paraId="4511E85E" w14:textId="5E46524E" w:rsidR="00577CDD" w:rsidRDefault="00577CDD" w:rsidP="00577CDD">
      <w:pPr>
        <w:pStyle w:val="Textonotapie"/>
      </w:pPr>
      <w:r>
        <w:rPr>
          <w:rStyle w:val="Refdenotaalpie"/>
        </w:rPr>
        <w:footnoteRef/>
      </w:r>
      <w:r>
        <w:t xml:space="preserve"> </w:t>
      </w:r>
      <w:r w:rsidR="00FD5BAD">
        <w:t>De este punto en</w:t>
      </w:r>
      <w:r>
        <w:t xml:space="preserve"> adelante todas las fechas </w:t>
      </w:r>
      <w:r w:rsidR="00FD5BAD">
        <w:t xml:space="preserve">se </w:t>
      </w:r>
      <w:r>
        <w:t>refieren a dicho año, salvo caso en contrario.</w:t>
      </w:r>
    </w:p>
  </w:footnote>
  <w:footnote w:id="2">
    <w:p w14:paraId="5D148228" w14:textId="4AD054ED" w:rsidR="006A1E77" w:rsidRPr="005F2F01" w:rsidRDefault="006A1E77" w:rsidP="006A1E77">
      <w:pPr>
        <w:pStyle w:val="Textonotapie"/>
      </w:pPr>
      <w:r>
        <w:rPr>
          <w:rStyle w:val="Refdenotaalpie"/>
        </w:rPr>
        <w:footnoteRef/>
      </w:r>
      <w:r>
        <w:t xml:space="preserve"> </w:t>
      </w:r>
      <w:r w:rsidRPr="005F2F01">
        <w:t xml:space="preserve">La disposición señalada establece lo siguiente: “[…] La Sala Superior podrá, de oficio, a petición de parte o de alguna de las salas regionales, atraer los juicios de que conozcan </w:t>
      </w:r>
      <w:r w:rsidR="00F252E1">
        <w:t>e</w:t>
      </w:r>
      <w:r w:rsidRPr="005F2F01">
        <w:t>stas; asimismo, podrá enviar los asuntos de su competencia a las salas regionales para su conocimiento y resolución. La ley señalará las reglas y los procedimientos para el ejercicio de tales facultades”.</w:t>
      </w:r>
    </w:p>
  </w:footnote>
  <w:footnote w:id="3">
    <w:p w14:paraId="76D222ED" w14:textId="6396F035" w:rsidR="006A1E77" w:rsidRPr="005F2F01" w:rsidRDefault="006A1E77" w:rsidP="006A1E77">
      <w:pPr>
        <w:pStyle w:val="Textonotapie"/>
      </w:pPr>
      <w:r w:rsidRPr="005F2F01">
        <w:rPr>
          <w:rStyle w:val="Refdenotaalpie"/>
        </w:rPr>
        <w:footnoteRef/>
      </w:r>
      <w:r w:rsidRPr="005F2F01">
        <w:t xml:space="preserve"> A </w:t>
      </w:r>
      <w:r w:rsidR="00002F88" w:rsidRPr="005F2F01">
        <w:t>continuación,</w:t>
      </w:r>
      <w:r w:rsidRPr="005F2F01">
        <w:t xml:space="preserve"> se citan los artículos de referencia:</w:t>
      </w:r>
    </w:p>
    <w:p w14:paraId="7692DB99" w14:textId="77777777" w:rsidR="006A1E77" w:rsidRPr="005F2F01" w:rsidRDefault="006A1E77" w:rsidP="006A1E77">
      <w:pPr>
        <w:pStyle w:val="Textonotapie"/>
      </w:pPr>
      <w:r w:rsidRPr="005F2F01">
        <w:t>“Artículo 1</w:t>
      </w:r>
      <w:r>
        <w:t>6</w:t>
      </w:r>
      <w:r w:rsidRPr="005F2F01">
        <w:t>9. La Sala Superior tendrá competencia para:</w:t>
      </w:r>
    </w:p>
    <w:p w14:paraId="7AFF865F" w14:textId="77777777" w:rsidR="006A1E77" w:rsidRPr="005F2F01" w:rsidRDefault="006A1E77" w:rsidP="006A1E77">
      <w:pPr>
        <w:pStyle w:val="Textonotapie"/>
      </w:pPr>
      <w:r w:rsidRPr="005F2F01">
        <w:t>[…]</w:t>
      </w:r>
    </w:p>
    <w:p w14:paraId="37D2EC37" w14:textId="77777777" w:rsidR="006A1E77" w:rsidRPr="005F2F01" w:rsidRDefault="006A1E77" w:rsidP="006A1E77">
      <w:pPr>
        <w:pStyle w:val="Textonotapie"/>
      </w:pPr>
      <w:r w:rsidRPr="005F2F01">
        <w:t>XV. Ejercer la facultad de atracción, ya sea de oficio, o bien, a petición de parte o de alguna de las Salas Regionales, para conocer de aquellos asuntos que por su importancia y trascendencia así lo ameriten, de acuerdo con lo previsto en el artículo 189 Bis de esta ley;</w:t>
      </w:r>
    </w:p>
    <w:p w14:paraId="31BCBDA4" w14:textId="77777777" w:rsidR="006A1E77" w:rsidRPr="005F2F01" w:rsidRDefault="006A1E77" w:rsidP="006A1E77">
      <w:pPr>
        <w:pStyle w:val="Textonotapie"/>
      </w:pPr>
      <w:r w:rsidRPr="005F2F01">
        <w:t>[…]</w:t>
      </w:r>
    </w:p>
    <w:p w14:paraId="30C4173E" w14:textId="77777777" w:rsidR="006A1E77" w:rsidRPr="005F2F01" w:rsidRDefault="006A1E77" w:rsidP="006A1E77">
      <w:pPr>
        <w:pStyle w:val="Textonotapie"/>
      </w:pPr>
      <w:r w:rsidRPr="005F2F01">
        <w:t xml:space="preserve">Artículo </w:t>
      </w:r>
      <w:r>
        <w:t>170</w:t>
      </w:r>
      <w:r w:rsidRPr="005F2F01">
        <w:t>. La facultad de atracción de la Sala Superior a que se refiere la fracción XV del artículo anterior, podrá ejercerse, por causa fundada y motivada, en los siguientes casos:</w:t>
      </w:r>
    </w:p>
    <w:p w14:paraId="6DBC771E" w14:textId="77777777" w:rsidR="006A1E77" w:rsidRPr="005F2F01" w:rsidRDefault="006A1E77" w:rsidP="006A1E77">
      <w:pPr>
        <w:pStyle w:val="Textonotapie"/>
      </w:pPr>
      <w:r w:rsidRPr="005F2F01">
        <w:t>a) Cuando se trate de medios de impugnación que, a juicio de la Sala Superior, por su importancia y trascendencia así lo ameriten.</w:t>
      </w:r>
    </w:p>
    <w:p w14:paraId="7232B2AE" w14:textId="77777777" w:rsidR="006A1E77" w:rsidRPr="005F2F01" w:rsidRDefault="006A1E77" w:rsidP="006A1E77">
      <w:pPr>
        <w:pStyle w:val="Textonotapie"/>
      </w:pPr>
      <w:r w:rsidRPr="005F2F01">
        <w:t>b) Cuando exista solicitud razonada y por escrito de alguna de las partes, fundamentando la importancia y trascendencia del caso.</w:t>
      </w:r>
    </w:p>
    <w:p w14:paraId="1DFDB5EC" w14:textId="77777777" w:rsidR="006A1E77" w:rsidRPr="005F2F01" w:rsidRDefault="006A1E77" w:rsidP="006A1E77">
      <w:pPr>
        <w:pStyle w:val="Textonotapie"/>
      </w:pPr>
      <w:r w:rsidRPr="005F2F01">
        <w:t>[…]”.</w:t>
      </w:r>
    </w:p>
  </w:footnote>
  <w:footnote w:id="4">
    <w:p w14:paraId="2938EA30" w14:textId="77777777" w:rsidR="006A1E77" w:rsidRPr="005F2F01" w:rsidRDefault="006A1E77" w:rsidP="006A1E77">
      <w:pPr>
        <w:pStyle w:val="Textonotapie"/>
      </w:pPr>
      <w:r w:rsidRPr="005F2F01">
        <w:rPr>
          <w:rStyle w:val="Refdenotaalpie"/>
        </w:rPr>
        <w:footnoteRef/>
      </w:r>
      <w:r w:rsidRPr="005F2F01">
        <w:t xml:space="preserve"> El mencionado precepto dispone que: “[l]</w:t>
      </w:r>
      <w:r w:rsidRPr="005F2F01">
        <w:rPr>
          <w:lang w:val="es-ES"/>
        </w:rPr>
        <w:t>a determinación que dicte la Sala Superior en ejercicio de la facultad de atracción se realizará mediante un análisis ponderativo, tomando en cuenta las particularidades de cada caso”.</w:t>
      </w:r>
    </w:p>
  </w:footnote>
  <w:footnote w:id="5">
    <w:p w14:paraId="57080218" w14:textId="3556D2BA" w:rsidR="00762F75" w:rsidRPr="0023227B" w:rsidRDefault="00762F75" w:rsidP="00762F75">
      <w:pPr>
        <w:pStyle w:val="Textonotapie"/>
      </w:pPr>
      <w:r w:rsidRPr="00B40F46">
        <w:rPr>
          <w:rStyle w:val="Refdenotaalpie"/>
        </w:rPr>
        <w:footnoteRef/>
      </w:r>
      <w:r w:rsidRPr="00B40F46">
        <w:t xml:space="preserve"> Las consideraciones</w:t>
      </w:r>
      <w:r w:rsidRPr="0023227B">
        <w:t xml:space="preserve"> se desarrollan a partir de una lectura de la tesis de </w:t>
      </w:r>
      <w:r w:rsidR="00F252E1">
        <w:t>J</w:t>
      </w:r>
      <w:r w:rsidRPr="0023227B">
        <w:t xml:space="preserve">urisprudencia de rubro </w:t>
      </w:r>
      <w:r w:rsidR="006E0178" w:rsidRPr="006E0178">
        <w:rPr>
          <w:b/>
          <w:bCs/>
          <w:smallCaps/>
          <w:lang w:val="es-ES"/>
        </w:rPr>
        <w:t>facultad de atracción. requisitos para su ejercicio</w:t>
      </w:r>
      <w:r w:rsidRPr="0023227B">
        <w:t xml:space="preserve">. 9ª Época; Primera Sala, </w:t>
      </w:r>
      <w:r w:rsidRPr="0023227B">
        <w:rPr>
          <w:i/>
        </w:rPr>
        <w:t>Semanario Judicial de la Federación y su Gaceta</w:t>
      </w:r>
      <w:r w:rsidRPr="0023227B">
        <w:t xml:space="preserve">, T XXVII, abril de 2008, página 150, número de registro </w:t>
      </w:r>
      <w:r w:rsidRPr="0023227B">
        <w:rPr>
          <w:lang w:val="es-ES"/>
        </w:rPr>
        <w:t>169885.</w:t>
      </w:r>
    </w:p>
  </w:footnote>
  <w:footnote w:id="6">
    <w:p w14:paraId="0DEED56B" w14:textId="6224681E" w:rsidR="00511ACF" w:rsidRPr="00511ACF" w:rsidRDefault="00511ACF">
      <w:pPr>
        <w:pStyle w:val="Textonotapie"/>
        <w:rPr>
          <w:lang w:val="es-ES"/>
        </w:rPr>
      </w:pPr>
      <w:r>
        <w:rPr>
          <w:rStyle w:val="Refdenotaalpie"/>
        </w:rPr>
        <w:footnoteRef/>
      </w:r>
      <w:r>
        <w:t xml:space="preserve"> </w:t>
      </w:r>
      <w:r w:rsidR="000F13F8">
        <w:rPr>
          <w:lang w:val="es-ES"/>
        </w:rPr>
        <w:t>Por ejemplo, véanse las sentencias SUP-JRC-103/2021</w:t>
      </w:r>
      <w:r w:rsidR="00413009">
        <w:rPr>
          <w:lang w:val="es-ES"/>
        </w:rPr>
        <w:t xml:space="preserve"> y</w:t>
      </w:r>
      <w:r w:rsidR="00026315">
        <w:rPr>
          <w:lang w:val="es-ES"/>
        </w:rPr>
        <w:t xml:space="preserve"> SUP-REC-158/2013</w:t>
      </w:r>
      <w:r w:rsidR="00413009">
        <w:rPr>
          <w:lang w:val="es-ES"/>
        </w:rPr>
        <w:t>.</w:t>
      </w:r>
    </w:p>
  </w:footnote>
  <w:footnote w:id="7">
    <w:p w14:paraId="316BA4B9" w14:textId="67CEAE38" w:rsidR="003C4D8C" w:rsidRPr="003C4D8C" w:rsidRDefault="003C4D8C">
      <w:pPr>
        <w:pStyle w:val="Textonotapie"/>
        <w:rPr>
          <w:lang w:val="es-ES"/>
        </w:rPr>
      </w:pPr>
      <w:r>
        <w:rPr>
          <w:rStyle w:val="Refdenotaalpie"/>
        </w:rPr>
        <w:footnoteRef/>
      </w:r>
      <w:r>
        <w:t xml:space="preserve"> </w:t>
      </w:r>
      <w:r>
        <w:rPr>
          <w:lang w:val="es-ES"/>
        </w:rPr>
        <w:t xml:space="preserve">A modo de ejemplo, la Jurisprudencia 28/2009, de rubro </w:t>
      </w:r>
      <w:r w:rsidRPr="003C4D8C">
        <w:rPr>
          <w:b/>
          <w:bCs/>
          <w:smallCaps/>
          <w:lang w:val="es-ES"/>
        </w:rPr>
        <w:t>congruencia externa e interna. se debe cumplir en toda sentencia</w:t>
      </w:r>
      <w:r w:rsidRPr="003C4D8C">
        <w:rPr>
          <w:lang w:val="es-ES"/>
        </w:rPr>
        <w:t>.</w:t>
      </w:r>
      <w:r>
        <w:rPr>
          <w:lang w:val="es-ES"/>
        </w:rPr>
        <w:t xml:space="preserve"> Disponible en: </w:t>
      </w:r>
      <w:r w:rsidRPr="003C4D8C">
        <w:rPr>
          <w:i/>
          <w:iCs/>
          <w:lang w:val="es-ES"/>
        </w:rPr>
        <w:t>Gaceta de Jurisprudencia y Tesis en materia electoral</w:t>
      </w:r>
      <w:r w:rsidRPr="003C4D8C">
        <w:rPr>
          <w:lang w:val="es-ES"/>
        </w:rPr>
        <w:t>, Tribunal Electoral del Poder Judicial de la Federación, Año 3, Número 5, 2010, páginas 23 y 24.</w:t>
      </w:r>
    </w:p>
  </w:footnote>
  <w:footnote w:id="8">
    <w:p w14:paraId="2A050C2B" w14:textId="26EA9568" w:rsidR="00103454" w:rsidRPr="00103454" w:rsidRDefault="00103454">
      <w:pPr>
        <w:pStyle w:val="Textonotapie"/>
        <w:rPr>
          <w:lang w:val="es-ES"/>
        </w:rPr>
      </w:pPr>
      <w:r>
        <w:rPr>
          <w:rStyle w:val="Refdenotaalpie"/>
        </w:rPr>
        <w:footnoteRef/>
      </w:r>
      <w:r>
        <w:t xml:space="preserve"> Véase l</w:t>
      </w:r>
      <w:r w:rsidRPr="001D71BD">
        <w:t>a jurisprudencia</w:t>
      </w:r>
      <w:r w:rsidR="006725D8">
        <w:t>,</w:t>
      </w:r>
      <w:r w:rsidRPr="001D71BD">
        <w:t xml:space="preserve"> de rubro </w:t>
      </w:r>
      <w:r w:rsidR="006725D8" w:rsidRPr="006725D8">
        <w:rPr>
          <w:b/>
          <w:bCs/>
          <w:smallCaps/>
        </w:rPr>
        <w:t>apelación. que el tribunal de alzada califique de inoperantes los agravios y no obstante los analice declarándolos infundados, no provoca indefensión a los recurrentes, pues al impugnarse a través del medio legal correspondiente, podrán controvertirse todas y cada una de las consideraciones de dicha determinación</w:t>
      </w:r>
      <w:r w:rsidRPr="001D71BD">
        <w:t xml:space="preserve">. Novena Época; Primera Sala, Jurisprudencia, </w:t>
      </w:r>
      <w:r w:rsidRPr="001D71BD">
        <w:rPr>
          <w:i/>
        </w:rPr>
        <w:t xml:space="preserve">Semanario Judicial de la Federación y su </w:t>
      </w:r>
      <w:r w:rsidRPr="001D71BD">
        <w:t>Gaceta, Tomo XXVIII, julio de 2008, p</w:t>
      </w:r>
      <w:r w:rsidR="00F252E1">
        <w:t>ág</w:t>
      </w:r>
      <w:r w:rsidRPr="001D71BD">
        <w:t>. 122, número de registro 169369.</w:t>
      </w:r>
    </w:p>
  </w:footnote>
  <w:footnote w:id="9">
    <w:p w14:paraId="1B7B7480" w14:textId="1E02B94B" w:rsidR="00437072" w:rsidRPr="00437072" w:rsidRDefault="00437072">
      <w:pPr>
        <w:pStyle w:val="Textonotapie"/>
        <w:rPr>
          <w:lang w:val="es-ES"/>
        </w:rPr>
      </w:pPr>
      <w:r>
        <w:rPr>
          <w:rStyle w:val="Refdenotaalpie"/>
        </w:rPr>
        <w:footnoteRef/>
      </w:r>
      <w:r>
        <w:t xml:space="preserve"> </w:t>
      </w:r>
      <w:r w:rsidR="004B0AF0">
        <w:t>Es el caso de las sentencias dictadas en los expedientes SUP-REC-853/2018, SUP-REC-889/2018 y acumulado; SUP-REC-747/2018, así como SUP-REC-1001/2021.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D9955" w14:textId="3C6B251F" w:rsidR="00F71DE1" w:rsidRDefault="00F71DE1">
    <w:pPr>
      <w:spacing w:after="0" w:line="240" w:lineRule="auto"/>
      <w:rPr>
        <w:b/>
      </w:rPr>
    </w:pPr>
    <w:r>
      <w:rPr>
        <w:b/>
      </w:rPr>
      <w:t>SUP-SFA-54/2021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61E7" w14:textId="0B505E11" w:rsidR="00F71DE1" w:rsidRDefault="00F71DE1" w:rsidP="00265753">
    <w:pPr>
      <w:spacing w:after="0" w:line="240" w:lineRule="auto"/>
      <w:jc w:val="right"/>
      <w:rPr>
        <w:b/>
      </w:rPr>
    </w:pPr>
    <w:r>
      <w:rPr>
        <w:noProof/>
      </w:rPr>
      <w:drawing>
        <wp:anchor distT="0" distB="0" distL="114300" distR="114300" simplePos="0" relativeHeight="251658240" behindDoc="0" locked="0" layoutInCell="1" hidden="0" allowOverlap="1" wp14:anchorId="519D995D" wp14:editId="073CD9B4">
          <wp:simplePos x="0" y="0"/>
          <wp:positionH relativeFrom="column">
            <wp:posOffset>-1369304</wp:posOffset>
          </wp:positionH>
          <wp:positionV relativeFrom="paragraph">
            <wp:posOffset>-1266678</wp:posOffset>
          </wp:positionV>
          <wp:extent cx="1377950" cy="119253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77950" cy="1192530"/>
                  </a:xfrm>
                  <a:prstGeom prst="rect">
                    <a:avLst/>
                  </a:prstGeom>
                  <a:ln/>
                </pic:spPr>
              </pic:pic>
            </a:graphicData>
          </a:graphic>
        </wp:anchor>
      </w:drawing>
    </w:r>
    <w:r w:rsidRPr="00265753">
      <w:rPr>
        <w:b/>
      </w:rPr>
      <w:t xml:space="preserve"> </w:t>
    </w:r>
    <w:r>
      <w:rPr>
        <w:b/>
      </w:rPr>
      <w:t>SUP-SFA-54/2021</w:t>
    </w:r>
  </w:p>
  <w:p w14:paraId="519D9956" w14:textId="7754CD2E" w:rsidR="00F71DE1" w:rsidRDefault="00F71DE1">
    <w:pPr>
      <w:spacing w:after="0" w:line="240" w:lineRule="auto"/>
      <w:jc w:val="right"/>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D995C" w14:textId="77777777" w:rsidR="00F71DE1" w:rsidRDefault="00F71DE1">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9264" behindDoc="0" locked="0" layoutInCell="1" hidden="0" allowOverlap="1" wp14:anchorId="519D995F" wp14:editId="519D9960">
          <wp:simplePos x="0" y="0"/>
          <wp:positionH relativeFrom="column">
            <wp:posOffset>-1377314</wp:posOffset>
          </wp:positionH>
          <wp:positionV relativeFrom="paragraph">
            <wp:posOffset>-1273174</wp:posOffset>
          </wp:positionV>
          <wp:extent cx="1377950" cy="119253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77950" cy="11925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960"/>
    <w:multiLevelType w:val="hybridMultilevel"/>
    <w:tmpl w:val="B672A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407EA7"/>
    <w:multiLevelType w:val="hybridMultilevel"/>
    <w:tmpl w:val="50FC2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2F54CB"/>
    <w:multiLevelType w:val="hybridMultilevel"/>
    <w:tmpl w:val="0FBA913A"/>
    <w:lvl w:ilvl="0" w:tplc="E1B0C85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216AD7"/>
    <w:multiLevelType w:val="hybridMultilevel"/>
    <w:tmpl w:val="F08A9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AC79F5"/>
    <w:multiLevelType w:val="hybridMultilevel"/>
    <w:tmpl w:val="DDF24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542C2E"/>
    <w:multiLevelType w:val="hybridMultilevel"/>
    <w:tmpl w:val="278C7EE2"/>
    <w:lvl w:ilvl="0" w:tplc="C5BC74CA">
      <w:numFmt w:val="bullet"/>
      <w:lvlText w:val="•"/>
      <w:lvlJc w:val="left"/>
      <w:pPr>
        <w:ind w:left="1080" w:hanging="72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B97FA6"/>
    <w:multiLevelType w:val="hybridMultilevel"/>
    <w:tmpl w:val="5B7E4A32"/>
    <w:lvl w:ilvl="0" w:tplc="8132BAB0">
      <w:start w:val="1"/>
      <w:numFmt w:val="decimal"/>
      <w:lvlText w:val="%1."/>
      <w:lvlJc w:val="left"/>
      <w:pPr>
        <w:ind w:left="1778" w:hanging="360"/>
      </w:pPr>
      <w:rPr>
        <w:rFonts w:asciiTheme="majorHAnsi" w:hAnsiTheme="majorHAnsi" w:cstheme="majorHAnsi" w:hint="default"/>
        <w:b w:val="0"/>
        <w:bCs/>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7370B5"/>
    <w:multiLevelType w:val="hybridMultilevel"/>
    <w:tmpl w:val="62E2D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F82D71"/>
    <w:multiLevelType w:val="hybridMultilevel"/>
    <w:tmpl w:val="92F42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33659D"/>
    <w:multiLevelType w:val="hybridMultilevel"/>
    <w:tmpl w:val="F2BE0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E31CE3"/>
    <w:multiLevelType w:val="hybridMultilevel"/>
    <w:tmpl w:val="20F48FC8"/>
    <w:lvl w:ilvl="0" w:tplc="82183C02">
      <w:start w:val="1"/>
      <w:numFmt w:val="decimal"/>
      <w:lvlText w:val="%1."/>
      <w:lvlJc w:val="lef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6075D7"/>
    <w:multiLevelType w:val="hybridMultilevel"/>
    <w:tmpl w:val="08E81F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AE6D67"/>
    <w:multiLevelType w:val="hybridMultilevel"/>
    <w:tmpl w:val="4FF6FB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C50216"/>
    <w:multiLevelType w:val="hybridMultilevel"/>
    <w:tmpl w:val="8FD41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1D3E86"/>
    <w:multiLevelType w:val="hybridMultilevel"/>
    <w:tmpl w:val="4CA6E01E"/>
    <w:lvl w:ilvl="0" w:tplc="0D98EAA4">
      <w:start w:val="1"/>
      <w:numFmt w:val="lowerRoman"/>
      <w:lvlText w:val="%1)"/>
      <w:lvlJc w:val="left"/>
      <w:pPr>
        <w:ind w:left="1428" w:hanging="72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34A7C72"/>
    <w:multiLevelType w:val="hybridMultilevel"/>
    <w:tmpl w:val="0C5A4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5831F7"/>
    <w:multiLevelType w:val="hybridMultilevel"/>
    <w:tmpl w:val="F50C9392"/>
    <w:lvl w:ilvl="0" w:tplc="C5BC74CA">
      <w:numFmt w:val="bullet"/>
      <w:lvlText w:val="•"/>
      <w:lvlJc w:val="left"/>
      <w:pPr>
        <w:ind w:left="1080" w:hanging="72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2920D4"/>
    <w:multiLevelType w:val="hybridMultilevel"/>
    <w:tmpl w:val="19A640C2"/>
    <w:lvl w:ilvl="0" w:tplc="E62471EE">
      <w:start w:val="1"/>
      <w:numFmt w:val="lowerRoman"/>
      <w:lvlText w:val="%1)"/>
      <w:lvlJc w:val="left"/>
      <w:pPr>
        <w:ind w:left="1080" w:hanging="72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CE236B"/>
    <w:multiLevelType w:val="hybridMultilevel"/>
    <w:tmpl w:val="DC44DB5C"/>
    <w:lvl w:ilvl="0" w:tplc="44CEDFF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6326265"/>
    <w:multiLevelType w:val="hybridMultilevel"/>
    <w:tmpl w:val="82EAD462"/>
    <w:lvl w:ilvl="0" w:tplc="7D9678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317DF7"/>
    <w:multiLevelType w:val="hybridMultilevel"/>
    <w:tmpl w:val="7C30A9BA"/>
    <w:lvl w:ilvl="0" w:tplc="7F7C1E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0B2789"/>
    <w:multiLevelType w:val="hybridMultilevel"/>
    <w:tmpl w:val="82D80DE8"/>
    <w:lvl w:ilvl="0" w:tplc="00000001">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6"/>
  </w:num>
  <w:num w:numId="4">
    <w:abstractNumId w:val="5"/>
  </w:num>
  <w:num w:numId="5">
    <w:abstractNumId w:val="4"/>
  </w:num>
  <w:num w:numId="6">
    <w:abstractNumId w:val="11"/>
  </w:num>
  <w:num w:numId="7">
    <w:abstractNumId w:val="18"/>
  </w:num>
  <w:num w:numId="8">
    <w:abstractNumId w:val="12"/>
  </w:num>
  <w:num w:numId="9">
    <w:abstractNumId w:val="6"/>
  </w:num>
  <w:num w:numId="10">
    <w:abstractNumId w:val="20"/>
  </w:num>
  <w:num w:numId="11">
    <w:abstractNumId w:val="8"/>
  </w:num>
  <w:num w:numId="12">
    <w:abstractNumId w:val="13"/>
  </w:num>
  <w:num w:numId="13">
    <w:abstractNumId w:val="15"/>
  </w:num>
  <w:num w:numId="14">
    <w:abstractNumId w:val="1"/>
  </w:num>
  <w:num w:numId="15">
    <w:abstractNumId w:val="3"/>
  </w:num>
  <w:num w:numId="16">
    <w:abstractNumId w:val="21"/>
  </w:num>
  <w:num w:numId="17">
    <w:abstractNumId w:val="17"/>
  </w:num>
  <w:num w:numId="18">
    <w:abstractNumId w:val="10"/>
  </w:num>
  <w:num w:numId="19">
    <w:abstractNumId w:val="14"/>
  </w:num>
  <w:num w:numId="20">
    <w:abstractNumId w:val="19"/>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55"/>
    <w:rsid w:val="00000705"/>
    <w:rsid w:val="00001248"/>
    <w:rsid w:val="00001BFA"/>
    <w:rsid w:val="00001D16"/>
    <w:rsid w:val="00001D95"/>
    <w:rsid w:val="00002864"/>
    <w:rsid w:val="000028D0"/>
    <w:rsid w:val="0000291B"/>
    <w:rsid w:val="000029C7"/>
    <w:rsid w:val="000029CF"/>
    <w:rsid w:val="00002F88"/>
    <w:rsid w:val="000037EC"/>
    <w:rsid w:val="00003C84"/>
    <w:rsid w:val="00004F9E"/>
    <w:rsid w:val="0000506F"/>
    <w:rsid w:val="000060AA"/>
    <w:rsid w:val="0000630B"/>
    <w:rsid w:val="00007101"/>
    <w:rsid w:val="00007346"/>
    <w:rsid w:val="000077C7"/>
    <w:rsid w:val="00007C38"/>
    <w:rsid w:val="00007E4E"/>
    <w:rsid w:val="00010C6F"/>
    <w:rsid w:val="00010D7E"/>
    <w:rsid w:val="000113B7"/>
    <w:rsid w:val="000117A8"/>
    <w:rsid w:val="00011D3A"/>
    <w:rsid w:val="00011F28"/>
    <w:rsid w:val="00012E84"/>
    <w:rsid w:val="0001525F"/>
    <w:rsid w:val="00015780"/>
    <w:rsid w:val="00015C5E"/>
    <w:rsid w:val="00015E41"/>
    <w:rsid w:val="00016829"/>
    <w:rsid w:val="000168E3"/>
    <w:rsid w:val="00017033"/>
    <w:rsid w:val="000201D3"/>
    <w:rsid w:val="000206F9"/>
    <w:rsid w:val="00020708"/>
    <w:rsid w:val="00020D31"/>
    <w:rsid w:val="00020DB5"/>
    <w:rsid w:val="00020E19"/>
    <w:rsid w:val="000214C8"/>
    <w:rsid w:val="00021B1D"/>
    <w:rsid w:val="00022579"/>
    <w:rsid w:val="00022B0A"/>
    <w:rsid w:val="00023B5A"/>
    <w:rsid w:val="0002435E"/>
    <w:rsid w:val="00026315"/>
    <w:rsid w:val="00026DB9"/>
    <w:rsid w:val="00030242"/>
    <w:rsid w:val="000305A7"/>
    <w:rsid w:val="0003075D"/>
    <w:rsid w:val="00030D11"/>
    <w:rsid w:val="00031AF9"/>
    <w:rsid w:val="000324A4"/>
    <w:rsid w:val="000326D2"/>
    <w:rsid w:val="00032700"/>
    <w:rsid w:val="00032873"/>
    <w:rsid w:val="00032962"/>
    <w:rsid w:val="00032EAD"/>
    <w:rsid w:val="00032F37"/>
    <w:rsid w:val="0003352F"/>
    <w:rsid w:val="00033AFF"/>
    <w:rsid w:val="00033D84"/>
    <w:rsid w:val="00034637"/>
    <w:rsid w:val="00034D66"/>
    <w:rsid w:val="00035040"/>
    <w:rsid w:val="0003567A"/>
    <w:rsid w:val="00035680"/>
    <w:rsid w:val="00035703"/>
    <w:rsid w:val="00035789"/>
    <w:rsid w:val="000363AE"/>
    <w:rsid w:val="0003724B"/>
    <w:rsid w:val="000372FC"/>
    <w:rsid w:val="00037BE3"/>
    <w:rsid w:val="00037D51"/>
    <w:rsid w:val="00041900"/>
    <w:rsid w:val="00041E41"/>
    <w:rsid w:val="00042088"/>
    <w:rsid w:val="00043E94"/>
    <w:rsid w:val="00044201"/>
    <w:rsid w:val="00044753"/>
    <w:rsid w:val="00044DE5"/>
    <w:rsid w:val="00045121"/>
    <w:rsid w:val="0004554F"/>
    <w:rsid w:val="00045C19"/>
    <w:rsid w:val="00045D7D"/>
    <w:rsid w:val="00051144"/>
    <w:rsid w:val="000525F1"/>
    <w:rsid w:val="000549F7"/>
    <w:rsid w:val="0005587D"/>
    <w:rsid w:val="00055FB1"/>
    <w:rsid w:val="00057174"/>
    <w:rsid w:val="000574A6"/>
    <w:rsid w:val="00057956"/>
    <w:rsid w:val="00060121"/>
    <w:rsid w:val="000604C1"/>
    <w:rsid w:val="00060A58"/>
    <w:rsid w:val="00060A67"/>
    <w:rsid w:val="0006223A"/>
    <w:rsid w:val="00064541"/>
    <w:rsid w:val="0006781E"/>
    <w:rsid w:val="0007017B"/>
    <w:rsid w:val="00071C8F"/>
    <w:rsid w:val="00072637"/>
    <w:rsid w:val="000730CD"/>
    <w:rsid w:val="000730D2"/>
    <w:rsid w:val="00073713"/>
    <w:rsid w:val="0007389D"/>
    <w:rsid w:val="000738B7"/>
    <w:rsid w:val="000738CA"/>
    <w:rsid w:val="0007524D"/>
    <w:rsid w:val="00075E59"/>
    <w:rsid w:val="00075E8A"/>
    <w:rsid w:val="00076E1B"/>
    <w:rsid w:val="0007776C"/>
    <w:rsid w:val="00077A84"/>
    <w:rsid w:val="00077DB4"/>
    <w:rsid w:val="000805C6"/>
    <w:rsid w:val="00081C99"/>
    <w:rsid w:val="00081DA3"/>
    <w:rsid w:val="00082265"/>
    <w:rsid w:val="00082C4A"/>
    <w:rsid w:val="000841E5"/>
    <w:rsid w:val="000869FB"/>
    <w:rsid w:val="00086CB0"/>
    <w:rsid w:val="00086E41"/>
    <w:rsid w:val="00087CE9"/>
    <w:rsid w:val="00087D8C"/>
    <w:rsid w:val="000900DB"/>
    <w:rsid w:val="00090DBC"/>
    <w:rsid w:val="00090E16"/>
    <w:rsid w:val="00090EA1"/>
    <w:rsid w:val="00091246"/>
    <w:rsid w:val="00091370"/>
    <w:rsid w:val="00091B47"/>
    <w:rsid w:val="00092202"/>
    <w:rsid w:val="00093349"/>
    <w:rsid w:val="00093698"/>
    <w:rsid w:val="00093CD5"/>
    <w:rsid w:val="000941F0"/>
    <w:rsid w:val="00095B05"/>
    <w:rsid w:val="00096DC4"/>
    <w:rsid w:val="0009763B"/>
    <w:rsid w:val="0009783C"/>
    <w:rsid w:val="000A040F"/>
    <w:rsid w:val="000A0D38"/>
    <w:rsid w:val="000A1E61"/>
    <w:rsid w:val="000A228E"/>
    <w:rsid w:val="000A2B89"/>
    <w:rsid w:val="000A305A"/>
    <w:rsid w:val="000A3377"/>
    <w:rsid w:val="000A3C26"/>
    <w:rsid w:val="000A4282"/>
    <w:rsid w:val="000A4598"/>
    <w:rsid w:val="000A4E81"/>
    <w:rsid w:val="000A4F11"/>
    <w:rsid w:val="000A59B2"/>
    <w:rsid w:val="000A6E32"/>
    <w:rsid w:val="000A7A1B"/>
    <w:rsid w:val="000A7DAD"/>
    <w:rsid w:val="000B00BD"/>
    <w:rsid w:val="000B06A3"/>
    <w:rsid w:val="000B0761"/>
    <w:rsid w:val="000B0853"/>
    <w:rsid w:val="000B0C13"/>
    <w:rsid w:val="000B101A"/>
    <w:rsid w:val="000B136E"/>
    <w:rsid w:val="000B1DC2"/>
    <w:rsid w:val="000B1F31"/>
    <w:rsid w:val="000B20C0"/>
    <w:rsid w:val="000B2860"/>
    <w:rsid w:val="000B316C"/>
    <w:rsid w:val="000B39C2"/>
    <w:rsid w:val="000B3C81"/>
    <w:rsid w:val="000B3F9F"/>
    <w:rsid w:val="000B6138"/>
    <w:rsid w:val="000B6854"/>
    <w:rsid w:val="000C0222"/>
    <w:rsid w:val="000C0286"/>
    <w:rsid w:val="000C0822"/>
    <w:rsid w:val="000C0D8A"/>
    <w:rsid w:val="000C1ABA"/>
    <w:rsid w:val="000C1CA3"/>
    <w:rsid w:val="000C22A7"/>
    <w:rsid w:val="000C35CD"/>
    <w:rsid w:val="000C3A92"/>
    <w:rsid w:val="000C4490"/>
    <w:rsid w:val="000C5528"/>
    <w:rsid w:val="000C5D5D"/>
    <w:rsid w:val="000C756E"/>
    <w:rsid w:val="000D17FA"/>
    <w:rsid w:val="000D2485"/>
    <w:rsid w:val="000D3B71"/>
    <w:rsid w:val="000D436F"/>
    <w:rsid w:val="000D4DEC"/>
    <w:rsid w:val="000D545D"/>
    <w:rsid w:val="000D5F69"/>
    <w:rsid w:val="000D6EF7"/>
    <w:rsid w:val="000D79BA"/>
    <w:rsid w:val="000D7AC7"/>
    <w:rsid w:val="000E03FE"/>
    <w:rsid w:val="000E1CF5"/>
    <w:rsid w:val="000E290C"/>
    <w:rsid w:val="000E2DF4"/>
    <w:rsid w:val="000E31DF"/>
    <w:rsid w:val="000E3462"/>
    <w:rsid w:val="000E3B32"/>
    <w:rsid w:val="000E42F8"/>
    <w:rsid w:val="000E4990"/>
    <w:rsid w:val="000E4A1A"/>
    <w:rsid w:val="000E7AFE"/>
    <w:rsid w:val="000F11C8"/>
    <w:rsid w:val="000F129F"/>
    <w:rsid w:val="000F13F8"/>
    <w:rsid w:val="000F1665"/>
    <w:rsid w:val="000F1E35"/>
    <w:rsid w:val="000F2928"/>
    <w:rsid w:val="000F2D29"/>
    <w:rsid w:val="000F2FF3"/>
    <w:rsid w:val="000F38BE"/>
    <w:rsid w:val="000F3E06"/>
    <w:rsid w:val="000F3FF0"/>
    <w:rsid w:val="000F41E7"/>
    <w:rsid w:val="000F420E"/>
    <w:rsid w:val="000F4239"/>
    <w:rsid w:val="000F4B6C"/>
    <w:rsid w:val="000F5817"/>
    <w:rsid w:val="000F693E"/>
    <w:rsid w:val="000F73F6"/>
    <w:rsid w:val="000F78C7"/>
    <w:rsid w:val="000F796C"/>
    <w:rsid w:val="000F7BBA"/>
    <w:rsid w:val="001015B4"/>
    <w:rsid w:val="001015FA"/>
    <w:rsid w:val="00103406"/>
    <w:rsid w:val="0010343F"/>
    <w:rsid w:val="00103454"/>
    <w:rsid w:val="00103AB5"/>
    <w:rsid w:val="00104AA3"/>
    <w:rsid w:val="00105E46"/>
    <w:rsid w:val="001107AB"/>
    <w:rsid w:val="00111E93"/>
    <w:rsid w:val="00111EB8"/>
    <w:rsid w:val="00112529"/>
    <w:rsid w:val="001154E3"/>
    <w:rsid w:val="001155AF"/>
    <w:rsid w:val="00115657"/>
    <w:rsid w:val="001158CC"/>
    <w:rsid w:val="00116306"/>
    <w:rsid w:val="00116592"/>
    <w:rsid w:val="00116CE3"/>
    <w:rsid w:val="00117D7A"/>
    <w:rsid w:val="001204CF"/>
    <w:rsid w:val="00120EE4"/>
    <w:rsid w:val="0012198F"/>
    <w:rsid w:val="00121D1E"/>
    <w:rsid w:val="00123205"/>
    <w:rsid w:val="001238EF"/>
    <w:rsid w:val="00123E6A"/>
    <w:rsid w:val="0012468E"/>
    <w:rsid w:val="00124835"/>
    <w:rsid w:val="001258BC"/>
    <w:rsid w:val="00125A5C"/>
    <w:rsid w:val="001264EF"/>
    <w:rsid w:val="0012664D"/>
    <w:rsid w:val="00126815"/>
    <w:rsid w:val="00126E44"/>
    <w:rsid w:val="0012711A"/>
    <w:rsid w:val="001278C9"/>
    <w:rsid w:val="00127A81"/>
    <w:rsid w:val="001309A8"/>
    <w:rsid w:val="00130D33"/>
    <w:rsid w:val="00132242"/>
    <w:rsid w:val="00132499"/>
    <w:rsid w:val="001324A4"/>
    <w:rsid w:val="00132A96"/>
    <w:rsid w:val="00132FB9"/>
    <w:rsid w:val="00132FE2"/>
    <w:rsid w:val="00133560"/>
    <w:rsid w:val="00133EE5"/>
    <w:rsid w:val="00134155"/>
    <w:rsid w:val="00134D20"/>
    <w:rsid w:val="00134F36"/>
    <w:rsid w:val="0013566A"/>
    <w:rsid w:val="00136D06"/>
    <w:rsid w:val="0014003E"/>
    <w:rsid w:val="001404C2"/>
    <w:rsid w:val="001406A6"/>
    <w:rsid w:val="001422E8"/>
    <w:rsid w:val="00142387"/>
    <w:rsid w:val="00142F51"/>
    <w:rsid w:val="0014337A"/>
    <w:rsid w:val="00143671"/>
    <w:rsid w:val="00145251"/>
    <w:rsid w:val="00145599"/>
    <w:rsid w:val="00146170"/>
    <w:rsid w:val="0014664A"/>
    <w:rsid w:val="00147B08"/>
    <w:rsid w:val="00147B82"/>
    <w:rsid w:val="00147C36"/>
    <w:rsid w:val="0015042F"/>
    <w:rsid w:val="001505D1"/>
    <w:rsid w:val="00150632"/>
    <w:rsid w:val="00150CE4"/>
    <w:rsid w:val="00150E08"/>
    <w:rsid w:val="00150FB1"/>
    <w:rsid w:val="00151916"/>
    <w:rsid w:val="001532CB"/>
    <w:rsid w:val="001537FC"/>
    <w:rsid w:val="001545E0"/>
    <w:rsid w:val="00154CBC"/>
    <w:rsid w:val="00155049"/>
    <w:rsid w:val="00155226"/>
    <w:rsid w:val="00155BF6"/>
    <w:rsid w:val="001561AA"/>
    <w:rsid w:val="0015683F"/>
    <w:rsid w:val="00156980"/>
    <w:rsid w:val="00156DF4"/>
    <w:rsid w:val="00157195"/>
    <w:rsid w:val="00157C43"/>
    <w:rsid w:val="00160F53"/>
    <w:rsid w:val="0016218B"/>
    <w:rsid w:val="00162774"/>
    <w:rsid w:val="00162A53"/>
    <w:rsid w:val="00163AE3"/>
    <w:rsid w:val="00163B4D"/>
    <w:rsid w:val="0016404E"/>
    <w:rsid w:val="0016429A"/>
    <w:rsid w:val="0016522C"/>
    <w:rsid w:val="001652C7"/>
    <w:rsid w:val="0016564C"/>
    <w:rsid w:val="00165784"/>
    <w:rsid w:val="001661E7"/>
    <w:rsid w:val="00167B2B"/>
    <w:rsid w:val="00167E83"/>
    <w:rsid w:val="00167F47"/>
    <w:rsid w:val="001706A7"/>
    <w:rsid w:val="00170B31"/>
    <w:rsid w:val="001710D1"/>
    <w:rsid w:val="00171B0D"/>
    <w:rsid w:val="00172D47"/>
    <w:rsid w:val="00172E67"/>
    <w:rsid w:val="00172ECC"/>
    <w:rsid w:val="00173676"/>
    <w:rsid w:val="00173BB7"/>
    <w:rsid w:val="00173CB6"/>
    <w:rsid w:val="00174296"/>
    <w:rsid w:val="00174B2F"/>
    <w:rsid w:val="0017585E"/>
    <w:rsid w:val="00175A84"/>
    <w:rsid w:val="00175B5B"/>
    <w:rsid w:val="00175E78"/>
    <w:rsid w:val="0017614A"/>
    <w:rsid w:val="00176CB6"/>
    <w:rsid w:val="00177702"/>
    <w:rsid w:val="001804F7"/>
    <w:rsid w:val="001811B4"/>
    <w:rsid w:val="00181FC3"/>
    <w:rsid w:val="00182089"/>
    <w:rsid w:val="00182C08"/>
    <w:rsid w:val="00182E03"/>
    <w:rsid w:val="00182E93"/>
    <w:rsid w:val="00183197"/>
    <w:rsid w:val="00184749"/>
    <w:rsid w:val="00186B48"/>
    <w:rsid w:val="00186E97"/>
    <w:rsid w:val="00187AD9"/>
    <w:rsid w:val="0019009A"/>
    <w:rsid w:val="00190824"/>
    <w:rsid w:val="001910D4"/>
    <w:rsid w:val="001918B1"/>
    <w:rsid w:val="001922C0"/>
    <w:rsid w:val="00192A6B"/>
    <w:rsid w:val="001933E1"/>
    <w:rsid w:val="00194BCA"/>
    <w:rsid w:val="00194D5D"/>
    <w:rsid w:val="00195595"/>
    <w:rsid w:val="001969A2"/>
    <w:rsid w:val="001976E7"/>
    <w:rsid w:val="001977A1"/>
    <w:rsid w:val="001A02E1"/>
    <w:rsid w:val="001A03D6"/>
    <w:rsid w:val="001A22D7"/>
    <w:rsid w:val="001A2538"/>
    <w:rsid w:val="001A271E"/>
    <w:rsid w:val="001A3192"/>
    <w:rsid w:val="001A33BD"/>
    <w:rsid w:val="001A4C2B"/>
    <w:rsid w:val="001A4EF4"/>
    <w:rsid w:val="001A5076"/>
    <w:rsid w:val="001A5BC4"/>
    <w:rsid w:val="001A5C59"/>
    <w:rsid w:val="001B00D7"/>
    <w:rsid w:val="001B0BF7"/>
    <w:rsid w:val="001B1A7F"/>
    <w:rsid w:val="001B235C"/>
    <w:rsid w:val="001B2F9D"/>
    <w:rsid w:val="001B33E5"/>
    <w:rsid w:val="001B360C"/>
    <w:rsid w:val="001B3947"/>
    <w:rsid w:val="001B40C5"/>
    <w:rsid w:val="001B465E"/>
    <w:rsid w:val="001B4EC3"/>
    <w:rsid w:val="001B5E72"/>
    <w:rsid w:val="001B6183"/>
    <w:rsid w:val="001B6DA0"/>
    <w:rsid w:val="001B6FA6"/>
    <w:rsid w:val="001B7D5B"/>
    <w:rsid w:val="001C068E"/>
    <w:rsid w:val="001C0960"/>
    <w:rsid w:val="001C0EBA"/>
    <w:rsid w:val="001C13C0"/>
    <w:rsid w:val="001C2348"/>
    <w:rsid w:val="001C3082"/>
    <w:rsid w:val="001C3E7E"/>
    <w:rsid w:val="001C3F0F"/>
    <w:rsid w:val="001C4F90"/>
    <w:rsid w:val="001C5006"/>
    <w:rsid w:val="001C5F66"/>
    <w:rsid w:val="001C63F8"/>
    <w:rsid w:val="001C68E6"/>
    <w:rsid w:val="001C708B"/>
    <w:rsid w:val="001C7293"/>
    <w:rsid w:val="001C7DE8"/>
    <w:rsid w:val="001C7F86"/>
    <w:rsid w:val="001D03B1"/>
    <w:rsid w:val="001D102B"/>
    <w:rsid w:val="001D2209"/>
    <w:rsid w:val="001D249B"/>
    <w:rsid w:val="001D2D4D"/>
    <w:rsid w:val="001D3118"/>
    <w:rsid w:val="001D3D0D"/>
    <w:rsid w:val="001D6DD5"/>
    <w:rsid w:val="001D776C"/>
    <w:rsid w:val="001D786A"/>
    <w:rsid w:val="001E0605"/>
    <w:rsid w:val="001E12C3"/>
    <w:rsid w:val="001E2132"/>
    <w:rsid w:val="001E3A45"/>
    <w:rsid w:val="001E4996"/>
    <w:rsid w:val="001E5120"/>
    <w:rsid w:val="001E60A9"/>
    <w:rsid w:val="001E615B"/>
    <w:rsid w:val="001E6A77"/>
    <w:rsid w:val="001E6BC0"/>
    <w:rsid w:val="001E6E39"/>
    <w:rsid w:val="001E7C5E"/>
    <w:rsid w:val="001E7D79"/>
    <w:rsid w:val="001F0018"/>
    <w:rsid w:val="001F0993"/>
    <w:rsid w:val="001F0BED"/>
    <w:rsid w:val="001F13B5"/>
    <w:rsid w:val="001F27D5"/>
    <w:rsid w:val="001F2AB4"/>
    <w:rsid w:val="001F2CC6"/>
    <w:rsid w:val="001F2D6C"/>
    <w:rsid w:val="001F3615"/>
    <w:rsid w:val="001F4CCA"/>
    <w:rsid w:val="001F4E23"/>
    <w:rsid w:val="001F5AA1"/>
    <w:rsid w:val="001F6EA2"/>
    <w:rsid w:val="001F738E"/>
    <w:rsid w:val="001F7805"/>
    <w:rsid w:val="00200CD3"/>
    <w:rsid w:val="00200CF1"/>
    <w:rsid w:val="0020123A"/>
    <w:rsid w:val="0020188C"/>
    <w:rsid w:val="00202B19"/>
    <w:rsid w:val="00202F1A"/>
    <w:rsid w:val="00202F85"/>
    <w:rsid w:val="0020321A"/>
    <w:rsid w:val="00203E6A"/>
    <w:rsid w:val="00204C64"/>
    <w:rsid w:val="002055D2"/>
    <w:rsid w:val="00206C6D"/>
    <w:rsid w:val="00210890"/>
    <w:rsid w:val="00210962"/>
    <w:rsid w:val="00210FCD"/>
    <w:rsid w:val="00211E68"/>
    <w:rsid w:val="00212016"/>
    <w:rsid w:val="0021201D"/>
    <w:rsid w:val="00212069"/>
    <w:rsid w:val="0021206A"/>
    <w:rsid w:val="0021279C"/>
    <w:rsid w:val="00212939"/>
    <w:rsid w:val="00212BB9"/>
    <w:rsid w:val="0021369C"/>
    <w:rsid w:val="002136F5"/>
    <w:rsid w:val="002139DE"/>
    <w:rsid w:val="00213D22"/>
    <w:rsid w:val="0021553C"/>
    <w:rsid w:val="0021651A"/>
    <w:rsid w:val="00220454"/>
    <w:rsid w:val="00221A7E"/>
    <w:rsid w:val="00222310"/>
    <w:rsid w:val="0022244F"/>
    <w:rsid w:val="00222902"/>
    <w:rsid w:val="002240B5"/>
    <w:rsid w:val="002243CE"/>
    <w:rsid w:val="0022456A"/>
    <w:rsid w:val="002245E3"/>
    <w:rsid w:val="00224E49"/>
    <w:rsid w:val="0022585E"/>
    <w:rsid w:val="00225DE2"/>
    <w:rsid w:val="00226185"/>
    <w:rsid w:val="002262C7"/>
    <w:rsid w:val="00227239"/>
    <w:rsid w:val="002306C1"/>
    <w:rsid w:val="00230C6F"/>
    <w:rsid w:val="00230EB2"/>
    <w:rsid w:val="002310C3"/>
    <w:rsid w:val="002323AA"/>
    <w:rsid w:val="00232976"/>
    <w:rsid w:val="00233201"/>
    <w:rsid w:val="00233A18"/>
    <w:rsid w:val="00233DAB"/>
    <w:rsid w:val="00234FE8"/>
    <w:rsid w:val="00235943"/>
    <w:rsid w:val="00236CEC"/>
    <w:rsid w:val="0023740B"/>
    <w:rsid w:val="002374A2"/>
    <w:rsid w:val="002374AE"/>
    <w:rsid w:val="00237683"/>
    <w:rsid w:val="00237A1F"/>
    <w:rsid w:val="00237AD4"/>
    <w:rsid w:val="00237FA4"/>
    <w:rsid w:val="00240EB7"/>
    <w:rsid w:val="0024128F"/>
    <w:rsid w:val="0024244F"/>
    <w:rsid w:val="002426CA"/>
    <w:rsid w:val="00243699"/>
    <w:rsid w:val="0024405E"/>
    <w:rsid w:val="00244D60"/>
    <w:rsid w:val="00244F02"/>
    <w:rsid w:val="002451E3"/>
    <w:rsid w:val="0024527C"/>
    <w:rsid w:val="00246007"/>
    <w:rsid w:val="00246818"/>
    <w:rsid w:val="002505F2"/>
    <w:rsid w:val="00252904"/>
    <w:rsid w:val="00252E4F"/>
    <w:rsid w:val="00254267"/>
    <w:rsid w:val="0025499B"/>
    <w:rsid w:val="00254D32"/>
    <w:rsid w:val="00256A72"/>
    <w:rsid w:val="00256CA2"/>
    <w:rsid w:val="00256E46"/>
    <w:rsid w:val="00257050"/>
    <w:rsid w:val="00257989"/>
    <w:rsid w:val="0026081C"/>
    <w:rsid w:val="00260C7F"/>
    <w:rsid w:val="00262C6B"/>
    <w:rsid w:val="00262F2A"/>
    <w:rsid w:val="00263095"/>
    <w:rsid w:val="0026451C"/>
    <w:rsid w:val="00264A11"/>
    <w:rsid w:val="00264A84"/>
    <w:rsid w:val="00265753"/>
    <w:rsid w:val="00265B17"/>
    <w:rsid w:val="00266779"/>
    <w:rsid w:val="0026677F"/>
    <w:rsid w:val="00266E40"/>
    <w:rsid w:val="002673AF"/>
    <w:rsid w:val="0026747B"/>
    <w:rsid w:val="00267799"/>
    <w:rsid w:val="00270539"/>
    <w:rsid w:val="00270DB8"/>
    <w:rsid w:val="00271B23"/>
    <w:rsid w:val="00272898"/>
    <w:rsid w:val="00272F1A"/>
    <w:rsid w:val="00273181"/>
    <w:rsid w:val="0027378B"/>
    <w:rsid w:val="0027384A"/>
    <w:rsid w:val="00273C8B"/>
    <w:rsid w:val="00273D68"/>
    <w:rsid w:val="00273F70"/>
    <w:rsid w:val="00274275"/>
    <w:rsid w:val="002747B7"/>
    <w:rsid w:val="00274B81"/>
    <w:rsid w:val="00274F0A"/>
    <w:rsid w:val="00274F24"/>
    <w:rsid w:val="00275823"/>
    <w:rsid w:val="00277F5E"/>
    <w:rsid w:val="002816C8"/>
    <w:rsid w:val="0028187C"/>
    <w:rsid w:val="00281957"/>
    <w:rsid w:val="0028211E"/>
    <w:rsid w:val="00282869"/>
    <w:rsid w:val="0028290B"/>
    <w:rsid w:val="00282963"/>
    <w:rsid w:val="002829DD"/>
    <w:rsid w:val="00282D33"/>
    <w:rsid w:val="00283356"/>
    <w:rsid w:val="00283F17"/>
    <w:rsid w:val="00284132"/>
    <w:rsid w:val="002857C0"/>
    <w:rsid w:val="00285FC5"/>
    <w:rsid w:val="002867F8"/>
    <w:rsid w:val="00286993"/>
    <w:rsid w:val="00286A1C"/>
    <w:rsid w:val="002873C8"/>
    <w:rsid w:val="00290936"/>
    <w:rsid w:val="00290A01"/>
    <w:rsid w:val="00290F74"/>
    <w:rsid w:val="00291545"/>
    <w:rsid w:val="00291A49"/>
    <w:rsid w:val="00292974"/>
    <w:rsid w:val="00292F06"/>
    <w:rsid w:val="00293F05"/>
    <w:rsid w:val="0029401F"/>
    <w:rsid w:val="0029500C"/>
    <w:rsid w:val="00296DF0"/>
    <w:rsid w:val="002977A6"/>
    <w:rsid w:val="002977D2"/>
    <w:rsid w:val="002A02C1"/>
    <w:rsid w:val="002A02CE"/>
    <w:rsid w:val="002A0745"/>
    <w:rsid w:val="002A16CB"/>
    <w:rsid w:val="002A190D"/>
    <w:rsid w:val="002A1DF3"/>
    <w:rsid w:val="002A237A"/>
    <w:rsid w:val="002A316E"/>
    <w:rsid w:val="002A35EC"/>
    <w:rsid w:val="002A35ED"/>
    <w:rsid w:val="002A3FC9"/>
    <w:rsid w:val="002A41BF"/>
    <w:rsid w:val="002A4837"/>
    <w:rsid w:val="002A541C"/>
    <w:rsid w:val="002A54EC"/>
    <w:rsid w:val="002A5E11"/>
    <w:rsid w:val="002A6468"/>
    <w:rsid w:val="002A75F4"/>
    <w:rsid w:val="002A7BCD"/>
    <w:rsid w:val="002B0C71"/>
    <w:rsid w:val="002B0F61"/>
    <w:rsid w:val="002B1E84"/>
    <w:rsid w:val="002B1ED8"/>
    <w:rsid w:val="002B1F1A"/>
    <w:rsid w:val="002B31A2"/>
    <w:rsid w:val="002B332E"/>
    <w:rsid w:val="002B33FF"/>
    <w:rsid w:val="002B5586"/>
    <w:rsid w:val="002B5B40"/>
    <w:rsid w:val="002B6BF7"/>
    <w:rsid w:val="002B7098"/>
    <w:rsid w:val="002B735B"/>
    <w:rsid w:val="002B73E0"/>
    <w:rsid w:val="002B763F"/>
    <w:rsid w:val="002B76C3"/>
    <w:rsid w:val="002C0E2F"/>
    <w:rsid w:val="002C1194"/>
    <w:rsid w:val="002C1BEB"/>
    <w:rsid w:val="002C1E3B"/>
    <w:rsid w:val="002C2E13"/>
    <w:rsid w:val="002C3901"/>
    <w:rsid w:val="002C43E0"/>
    <w:rsid w:val="002C43F6"/>
    <w:rsid w:val="002C46F6"/>
    <w:rsid w:val="002C5A82"/>
    <w:rsid w:val="002C5E24"/>
    <w:rsid w:val="002C6244"/>
    <w:rsid w:val="002C77F9"/>
    <w:rsid w:val="002D0048"/>
    <w:rsid w:val="002D0DCD"/>
    <w:rsid w:val="002D1A51"/>
    <w:rsid w:val="002D1D39"/>
    <w:rsid w:val="002D2536"/>
    <w:rsid w:val="002D3AFC"/>
    <w:rsid w:val="002D3CC6"/>
    <w:rsid w:val="002D4375"/>
    <w:rsid w:val="002D4A2A"/>
    <w:rsid w:val="002D4FE5"/>
    <w:rsid w:val="002D6B97"/>
    <w:rsid w:val="002D6F0F"/>
    <w:rsid w:val="002D70E2"/>
    <w:rsid w:val="002D77BF"/>
    <w:rsid w:val="002E0391"/>
    <w:rsid w:val="002E1060"/>
    <w:rsid w:val="002E13B4"/>
    <w:rsid w:val="002E1CCC"/>
    <w:rsid w:val="002E3103"/>
    <w:rsid w:val="002E318D"/>
    <w:rsid w:val="002E3A7A"/>
    <w:rsid w:val="002E4053"/>
    <w:rsid w:val="002E478B"/>
    <w:rsid w:val="002E4A8B"/>
    <w:rsid w:val="002E4B85"/>
    <w:rsid w:val="002E5C57"/>
    <w:rsid w:val="002E640A"/>
    <w:rsid w:val="002E6B4A"/>
    <w:rsid w:val="002E7522"/>
    <w:rsid w:val="002E756E"/>
    <w:rsid w:val="002E7AED"/>
    <w:rsid w:val="002E7EE4"/>
    <w:rsid w:val="002F0083"/>
    <w:rsid w:val="002F024D"/>
    <w:rsid w:val="002F1E2C"/>
    <w:rsid w:val="002F20BD"/>
    <w:rsid w:val="002F20D3"/>
    <w:rsid w:val="002F22A2"/>
    <w:rsid w:val="002F2F7F"/>
    <w:rsid w:val="002F30C1"/>
    <w:rsid w:val="002F31C2"/>
    <w:rsid w:val="002F34B6"/>
    <w:rsid w:val="002F40F9"/>
    <w:rsid w:val="002F4E9B"/>
    <w:rsid w:val="002F4EDD"/>
    <w:rsid w:val="002F541F"/>
    <w:rsid w:val="002F691D"/>
    <w:rsid w:val="002F6D58"/>
    <w:rsid w:val="002F6ECA"/>
    <w:rsid w:val="002F76E7"/>
    <w:rsid w:val="003000E4"/>
    <w:rsid w:val="003008B5"/>
    <w:rsid w:val="00301322"/>
    <w:rsid w:val="003020BC"/>
    <w:rsid w:val="003026E0"/>
    <w:rsid w:val="00303550"/>
    <w:rsid w:val="00303625"/>
    <w:rsid w:val="0030375C"/>
    <w:rsid w:val="0030486B"/>
    <w:rsid w:val="00306516"/>
    <w:rsid w:val="003073D8"/>
    <w:rsid w:val="00310964"/>
    <w:rsid w:val="00311799"/>
    <w:rsid w:val="00311897"/>
    <w:rsid w:val="00311DB9"/>
    <w:rsid w:val="00311E0A"/>
    <w:rsid w:val="003122DE"/>
    <w:rsid w:val="0031349E"/>
    <w:rsid w:val="00313869"/>
    <w:rsid w:val="003139A5"/>
    <w:rsid w:val="003140D1"/>
    <w:rsid w:val="00314781"/>
    <w:rsid w:val="003149BB"/>
    <w:rsid w:val="00315818"/>
    <w:rsid w:val="00315B8E"/>
    <w:rsid w:val="00315CC3"/>
    <w:rsid w:val="00315ECB"/>
    <w:rsid w:val="00316A35"/>
    <w:rsid w:val="00317480"/>
    <w:rsid w:val="00322461"/>
    <w:rsid w:val="00322B9D"/>
    <w:rsid w:val="0032380B"/>
    <w:rsid w:val="003239A1"/>
    <w:rsid w:val="00324666"/>
    <w:rsid w:val="0032487F"/>
    <w:rsid w:val="003253E9"/>
    <w:rsid w:val="003254DE"/>
    <w:rsid w:val="0032561B"/>
    <w:rsid w:val="003257F5"/>
    <w:rsid w:val="0033093B"/>
    <w:rsid w:val="003309DB"/>
    <w:rsid w:val="00331275"/>
    <w:rsid w:val="0033144C"/>
    <w:rsid w:val="00331714"/>
    <w:rsid w:val="003330F1"/>
    <w:rsid w:val="00334957"/>
    <w:rsid w:val="00334A30"/>
    <w:rsid w:val="0033576F"/>
    <w:rsid w:val="003357C0"/>
    <w:rsid w:val="003357EF"/>
    <w:rsid w:val="00335901"/>
    <w:rsid w:val="00336185"/>
    <w:rsid w:val="00336777"/>
    <w:rsid w:val="0033689B"/>
    <w:rsid w:val="0034028C"/>
    <w:rsid w:val="00341A63"/>
    <w:rsid w:val="003431D1"/>
    <w:rsid w:val="00343440"/>
    <w:rsid w:val="003441BA"/>
    <w:rsid w:val="00344510"/>
    <w:rsid w:val="003450C4"/>
    <w:rsid w:val="00345F6D"/>
    <w:rsid w:val="00346B45"/>
    <w:rsid w:val="00346E79"/>
    <w:rsid w:val="00347ABD"/>
    <w:rsid w:val="00350734"/>
    <w:rsid w:val="00350A7A"/>
    <w:rsid w:val="0035141B"/>
    <w:rsid w:val="00351AD6"/>
    <w:rsid w:val="00352088"/>
    <w:rsid w:val="0035242B"/>
    <w:rsid w:val="00352A07"/>
    <w:rsid w:val="00353BCB"/>
    <w:rsid w:val="00353E6A"/>
    <w:rsid w:val="00354DEB"/>
    <w:rsid w:val="00355D68"/>
    <w:rsid w:val="00355DC0"/>
    <w:rsid w:val="00356123"/>
    <w:rsid w:val="00356F63"/>
    <w:rsid w:val="003570AD"/>
    <w:rsid w:val="0035758E"/>
    <w:rsid w:val="00357AEC"/>
    <w:rsid w:val="00360168"/>
    <w:rsid w:val="003608C2"/>
    <w:rsid w:val="003617E6"/>
    <w:rsid w:val="00362E38"/>
    <w:rsid w:val="00363F5A"/>
    <w:rsid w:val="00364AD5"/>
    <w:rsid w:val="003657B5"/>
    <w:rsid w:val="003667C4"/>
    <w:rsid w:val="003671C7"/>
    <w:rsid w:val="003673DE"/>
    <w:rsid w:val="0037090D"/>
    <w:rsid w:val="00370C2D"/>
    <w:rsid w:val="00371528"/>
    <w:rsid w:val="00371E64"/>
    <w:rsid w:val="003722E8"/>
    <w:rsid w:val="00372757"/>
    <w:rsid w:val="003728B0"/>
    <w:rsid w:val="00373320"/>
    <w:rsid w:val="00373389"/>
    <w:rsid w:val="0037388E"/>
    <w:rsid w:val="003744BF"/>
    <w:rsid w:val="00374BC1"/>
    <w:rsid w:val="0037589C"/>
    <w:rsid w:val="00376451"/>
    <w:rsid w:val="00377284"/>
    <w:rsid w:val="00377853"/>
    <w:rsid w:val="00377B50"/>
    <w:rsid w:val="00377E66"/>
    <w:rsid w:val="003806F1"/>
    <w:rsid w:val="00380728"/>
    <w:rsid w:val="00381735"/>
    <w:rsid w:val="003822F9"/>
    <w:rsid w:val="0038378F"/>
    <w:rsid w:val="003838ED"/>
    <w:rsid w:val="003842C4"/>
    <w:rsid w:val="00385291"/>
    <w:rsid w:val="003859C3"/>
    <w:rsid w:val="00385D23"/>
    <w:rsid w:val="00385FCF"/>
    <w:rsid w:val="003863E0"/>
    <w:rsid w:val="00386406"/>
    <w:rsid w:val="00386FDE"/>
    <w:rsid w:val="00387156"/>
    <w:rsid w:val="00387875"/>
    <w:rsid w:val="00390648"/>
    <w:rsid w:val="003908FC"/>
    <w:rsid w:val="00390B76"/>
    <w:rsid w:val="00391006"/>
    <w:rsid w:val="00391832"/>
    <w:rsid w:val="0039291D"/>
    <w:rsid w:val="003934D7"/>
    <w:rsid w:val="00393759"/>
    <w:rsid w:val="003945A8"/>
    <w:rsid w:val="00394AB0"/>
    <w:rsid w:val="003954D2"/>
    <w:rsid w:val="0039570B"/>
    <w:rsid w:val="00396494"/>
    <w:rsid w:val="00397404"/>
    <w:rsid w:val="00397958"/>
    <w:rsid w:val="003A00A9"/>
    <w:rsid w:val="003A04CB"/>
    <w:rsid w:val="003A0537"/>
    <w:rsid w:val="003A0B68"/>
    <w:rsid w:val="003A1265"/>
    <w:rsid w:val="003A1310"/>
    <w:rsid w:val="003A1867"/>
    <w:rsid w:val="003A1B0D"/>
    <w:rsid w:val="003A33B5"/>
    <w:rsid w:val="003A33FB"/>
    <w:rsid w:val="003A3FD9"/>
    <w:rsid w:val="003A4015"/>
    <w:rsid w:val="003A425E"/>
    <w:rsid w:val="003A581C"/>
    <w:rsid w:val="003A5A87"/>
    <w:rsid w:val="003A5C3B"/>
    <w:rsid w:val="003A60ED"/>
    <w:rsid w:val="003A7AE1"/>
    <w:rsid w:val="003B05E3"/>
    <w:rsid w:val="003B1F53"/>
    <w:rsid w:val="003B2C3F"/>
    <w:rsid w:val="003B38A9"/>
    <w:rsid w:val="003B3A46"/>
    <w:rsid w:val="003B4608"/>
    <w:rsid w:val="003C0A93"/>
    <w:rsid w:val="003C0C50"/>
    <w:rsid w:val="003C0E55"/>
    <w:rsid w:val="003C10C9"/>
    <w:rsid w:val="003C401A"/>
    <w:rsid w:val="003C410E"/>
    <w:rsid w:val="003C42A2"/>
    <w:rsid w:val="003C45C0"/>
    <w:rsid w:val="003C4D8C"/>
    <w:rsid w:val="003C5220"/>
    <w:rsid w:val="003C6915"/>
    <w:rsid w:val="003C6F8B"/>
    <w:rsid w:val="003C77C4"/>
    <w:rsid w:val="003C7F4E"/>
    <w:rsid w:val="003D02D3"/>
    <w:rsid w:val="003D0A48"/>
    <w:rsid w:val="003D0B93"/>
    <w:rsid w:val="003D0C56"/>
    <w:rsid w:val="003D0F86"/>
    <w:rsid w:val="003D167D"/>
    <w:rsid w:val="003D1A3E"/>
    <w:rsid w:val="003D2677"/>
    <w:rsid w:val="003D26E7"/>
    <w:rsid w:val="003D276A"/>
    <w:rsid w:val="003D282E"/>
    <w:rsid w:val="003D2905"/>
    <w:rsid w:val="003D2B8D"/>
    <w:rsid w:val="003D39B1"/>
    <w:rsid w:val="003D5065"/>
    <w:rsid w:val="003D6B83"/>
    <w:rsid w:val="003D6ED5"/>
    <w:rsid w:val="003D7BB3"/>
    <w:rsid w:val="003D7F18"/>
    <w:rsid w:val="003E0DF8"/>
    <w:rsid w:val="003E17D8"/>
    <w:rsid w:val="003E2198"/>
    <w:rsid w:val="003E3119"/>
    <w:rsid w:val="003E3D98"/>
    <w:rsid w:val="003E3DBF"/>
    <w:rsid w:val="003E4801"/>
    <w:rsid w:val="003E4C2E"/>
    <w:rsid w:val="003E4EA6"/>
    <w:rsid w:val="003E58A5"/>
    <w:rsid w:val="003E662D"/>
    <w:rsid w:val="003E6865"/>
    <w:rsid w:val="003E689A"/>
    <w:rsid w:val="003E74E0"/>
    <w:rsid w:val="003E766D"/>
    <w:rsid w:val="003E7EDA"/>
    <w:rsid w:val="003F07B4"/>
    <w:rsid w:val="003F0BF3"/>
    <w:rsid w:val="003F1587"/>
    <w:rsid w:val="003F32C3"/>
    <w:rsid w:val="003F4690"/>
    <w:rsid w:val="003F46C2"/>
    <w:rsid w:val="003F4A68"/>
    <w:rsid w:val="003F51DA"/>
    <w:rsid w:val="003F5484"/>
    <w:rsid w:val="003F5F0C"/>
    <w:rsid w:val="003F601A"/>
    <w:rsid w:val="003F6307"/>
    <w:rsid w:val="003F65FD"/>
    <w:rsid w:val="003F69A1"/>
    <w:rsid w:val="003F6B96"/>
    <w:rsid w:val="004010D7"/>
    <w:rsid w:val="00401203"/>
    <w:rsid w:val="004025B0"/>
    <w:rsid w:val="004030FF"/>
    <w:rsid w:val="0040419F"/>
    <w:rsid w:val="0040485E"/>
    <w:rsid w:val="00404FF7"/>
    <w:rsid w:val="0040632B"/>
    <w:rsid w:val="004076F9"/>
    <w:rsid w:val="004103E5"/>
    <w:rsid w:val="004105FE"/>
    <w:rsid w:val="00411557"/>
    <w:rsid w:val="00411F68"/>
    <w:rsid w:val="00412147"/>
    <w:rsid w:val="00412238"/>
    <w:rsid w:val="00412CB9"/>
    <w:rsid w:val="00413009"/>
    <w:rsid w:val="004133D2"/>
    <w:rsid w:val="004150A6"/>
    <w:rsid w:val="00415FBF"/>
    <w:rsid w:val="00416E8B"/>
    <w:rsid w:val="0041744E"/>
    <w:rsid w:val="004177F6"/>
    <w:rsid w:val="00420809"/>
    <w:rsid w:val="00420E66"/>
    <w:rsid w:val="00420FAE"/>
    <w:rsid w:val="00421594"/>
    <w:rsid w:val="00422DBB"/>
    <w:rsid w:val="0042471F"/>
    <w:rsid w:val="00425343"/>
    <w:rsid w:val="004261F9"/>
    <w:rsid w:val="00426ABD"/>
    <w:rsid w:val="004303C6"/>
    <w:rsid w:val="00430831"/>
    <w:rsid w:val="00431368"/>
    <w:rsid w:val="00431374"/>
    <w:rsid w:val="00432088"/>
    <w:rsid w:val="00433409"/>
    <w:rsid w:val="004339D5"/>
    <w:rsid w:val="0043482D"/>
    <w:rsid w:val="00436078"/>
    <w:rsid w:val="0043609D"/>
    <w:rsid w:val="00436284"/>
    <w:rsid w:val="004363C5"/>
    <w:rsid w:val="00436D74"/>
    <w:rsid w:val="00437072"/>
    <w:rsid w:val="00440C4B"/>
    <w:rsid w:val="004414E2"/>
    <w:rsid w:val="00442204"/>
    <w:rsid w:val="004424BB"/>
    <w:rsid w:val="004431C9"/>
    <w:rsid w:val="004435B4"/>
    <w:rsid w:val="00443D45"/>
    <w:rsid w:val="00443FA5"/>
    <w:rsid w:val="004449C3"/>
    <w:rsid w:val="00444F95"/>
    <w:rsid w:val="0044599C"/>
    <w:rsid w:val="0044734E"/>
    <w:rsid w:val="004505EF"/>
    <w:rsid w:val="004515DA"/>
    <w:rsid w:val="0045265E"/>
    <w:rsid w:val="00453CA0"/>
    <w:rsid w:val="004543FE"/>
    <w:rsid w:val="004557F5"/>
    <w:rsid w:val="00456FD1"/>
    <w:rsid w:val="00457585"/>
    <w:rsid w:val="00457948"/>
    <w:rsid w:val="00460F73"/>
    <w:rsid w:val="0046116A"/>
    <w:rsid w:val="00461537"/>
    <w:rsid w:val="00461C78"/>
    <w:rsid w:val="00461D6F"/>
    <w:rsid w:val="00461FA6"/>
    <w:rsid w:val="0046200C"/>
    <w:rsid w:val="00462545"/>
    <w:rsid w:val="004629C6"/>
    <w:rsid w:val="004648D6"/>
    <w:rsid w:val="0046515E"/>
    <w:rsid w:val="004652A7"/>
    <w:rsid w:val="00465678"/>
    <w:rsid w:val="00465F5F"/>
    <w:rsid w:val="004660B7"/>
    <w:rsid w:val="004665A6"/>
    <w:rsid w:val="004669FD"/>
    <w:rsid w:val="004674A0"/>
    <w:rsid w:val="00470473"/>
    <w:rsid w:val="004709D9"/>
    <w:rsid w:val="004712C9"/>
    <w:rsid w:val="00471A0B"/>
    <w:rsid w:val="00471B9E"/>
    <w:rsid w:val="004722CC"/>
    <w:rsid w:val="00472374"/>
    <w:rsid w:val="00472784"/>
    <w:rsid w:val="00474B58"/>
    <w:rsid w:val="004752DD"/>
    <w:rsid w:val="00475405"/>
    <w:rsid w:val="00475407"/>
    <w:rsid w:val="00475B13"/>
    <w:rsid w:val="00481CED"/>
    <w:rsid w:val="00481DA3"/>
    <w:rsid w:val="004832E3"/>
    <w:rsid w:val="00483987"/>
    <w:rsid w:val="00483F7C"/>
    <w:rsid w:val="00484DB3"/>
    <w:rsid w:val="004851FD"/>
    <w:rsid w:val="00485A73"/>
    <w:rsid w:val="00487346"/>
    <w:rsid w:val="00487B0B"/>
    <w:rsid w:val="00487FA2"/>
    <w:rsid w:val="004906F2"/>
    <w:rsid w:val="00490FDB"/>
    <w:rsid w:val="00491604"/>
    <w:rsid w:val="00491732"/>
    <w:rsid w:val="00491C4E"/>
    <w:rsid w:val="00491E49"/>
    <w:rsid w:val="00491F04"/>
    <w:rsid w:val="00491FFB"/>
    <w:rsid w:val="00494539"/>
    <w:rsid w:val="00494896"/>
    <w:rsid w:val="00494E9F"/>
    <w:rsid w:val="00494EED"/>
    <w:rsid w:val="00495CC8"/>
    <w:rsid w:val="00495F31"/>
    <w:rsid w:val="00496153"/>
    <w:rsid w:val="004972D9"/>
    <w:rsid w:val="004A0425"/>
    <w:rsid w:val="004A118E"/>
    <w:rsid w:val="004A3036"/>
    <w:rsid w:val="004A31C4"/>
    <w:rsid w:val="004A33CB"/>
    <w:rsid w:val="004A4674"/>
    <w:rsid w:val="004A498E"/>
    <w:rsid w:val="004A5121"/>
    <w:rsid w:val="004A530A"/>
    <w:rsid w:val="004A592F"/>
    <w:rsid w:val="004A5AA3"/>
    <w:rsid w:val="004A5C58"/>
    <w:rsid w:val="004A5EF8"/>
    <w:rsid w:val="004B0986"/>
    <w:rsid w:val="004B0AF0"/>
    <w:rsid w:val="004B0CA0"/>
    <w:rsid w:val="004B0EE4"/>
    <w:rsid w:val="004B118A"/>
    <w:rsid w:val="004B1481"/>
    <w:rsid w:val="004B16DE"/>
    <w:rsid w:val="004B1E50"/>
    <w:rsid w:val="004B22B8"/>
    <w:rsid w:val="004B3775"/>
    <w:rsid w:val="004B3ACA"/>
    <w:rsid w:val="004B3F55"/>
    <w:rsid w:val="004B4B7D"/>
    <w:rsid w:val="004B4E4A"/>
    <w:rsid w:val="004B53EB"/>
    <w:rsid w:val="004B5622"/>
    <w:rsid w:val="004B576E"/>
    <w:rsid w:val="004B6920"/>
    <w:rsid w:val="004B6AB2"/>
    <w:rsid w:val="004B6B20"/>
    <w:rsid w:val="004B6C8D"/>
    <w:rsid w:val="004C0174"/>
    <w:rsid w:val="004C0DFA"/>
    <w:rsid w:val="004C194D"/>
    <w:rsid w:val="004C1A8E"/>
    <w:rsid w:val="004C2092"/>
    <w:rsid w:val="004C279D"/>
    <w:rsid w:val="004C2F68"/>
    <w:rsid w:val="004C3C68"/>
    <w:rsid w:val="004C3CFE"/>
    <w:rsid w:val="004C40D2"/>
    <w:rsid w:val="004C49A5"/>
    <w:rsid w:val="004C69B4"/>
    <w:rsid w:val="004C6B3A"/>
    <w:rsid w:val="004C6E3C"/>
    <w:rsid w:val="004D025B"/>
    <w:rsid w:val="004D063A"/>
    <w:rsid w:val="004D17C0"/>
    <w:rsid w:val="004D1D1C"/>
    <w:rsid w:val="004D299D"/>
    <w:rsid w:val="004D2B04"/>
    <w:rsid w:val="004D2B0B"/>
    <w:rsid w:val="004D2CFC"/>
    <w:rsid w:val="004D36C0"/>
    <w:rsid w:val="004D49BD"/>
    <w:rsid w:val="004D4CA4"/>
    <w:rsid w:val="004D6203"/>
    <w:rsid w:val="004D67EF"/>
    <w:rsid w:val="004D6A9E"/>
    <w:rsid w:val="004D6B22"/>
    <w:rsid w:val="004D6CB2"/>
    <w:rsid w:val="004D72FD"/>
    <w:rsid w:val="004E0B7F"/>
    <w:rsid w:val="004E0F10"/>
    <w:rsid w:val="004E10CB"/>
    <w:rsid w:val="004E1A52"/>
    <w:rsid w:val="004E1FF6"/>
    <w:rsid w:val="004E3984"/>
    <w:rsid w:val="004E4031"/>
    <w:rsid w:val="004E4E4D"/>
    <w:rsid w:val="004E4F73"/>
    <w:rsid w:val="004E63FC"/>
    <w:rsid w:val="004E64CF"/>
    <w:rsid w:val="004E65B8"/>
    <w:rsid w:val="004E7724"/>
    <w:rsid w:val="004E7FA9"/>
    <w:rsid w:val="004F010E"/>
    <w:rsid w:val="004F0276"/>
    <w:rsid w:val="004F0A8B"/>
    <w:rsid w:val="004F116F"/>
    <w:rsid w:val="004F1470"/>
    <w:rsid w:val="004F1B04"/>
    <w:rsid w:val="004F2204"/>
    <w:rsid w:val="004F358E"/>
    <w:rsid w:val="004F482F"/>
    <w:rsid w:val="004F48E7"/>
    <w:rsid w:val="004F4ECF"/>
    <w:rsid w:val="004F638E"/>
    <w:rsid w:val="004F7A49"/>
    <w:rsid w:val="004F7AC4"/>
    <w:rsid w:val="004F7FF2"/>
    <w:rsid w:val="0050146D"/>
    <w:rsid w:val="0050199D"/>
    <w:rsid w:val="00501CC6"/>
    <w:rsid w:val="005021F3"/>
    <w:rsid w:val="0050229B"/>
    <w:rsid w:val="005023EF"/>
    <w:rsid w:val="0050289B"/>
    <w:rsid w:val="00502EB0"/>
    <w:rsid w:val="00502F59"/>
    <w:rsid w:val="00503230"/>
    <w:rsid w:val="0050499D"/>
    <w:rsid w:val="00504FB6"/>
    <w:rsid w:val="00504FD7"/>
    <w:rsid w:val="00505AF0"/>
    <w:rsid w:val="00505BA0"/>
    <w:rsid w:val="00506655"/>
    <w:rsid w:val="0050692C"/>
    <w:rsid w:val="005076F6"/>
    <w:rsid w:val="00510919"/>
    <w:rsid w:val="00510B47"/>
    <w:rsid w:val="0051187E"/>
    <w:rsid w:val="00511ACF"/>
    <w:rsid w:val="00511D91"/>
    <w:rsid w:val="005121B0"/>
    <w:rsid w:val="005136B1"/>
    <w:rsid w:val="00513C63"/>
    <w:rsid w:val="00514276"/>
    <w:rsid w:val="005143F4"/>
    <w:rsid w:val="00515738"/>
    <w:rsid w:val="00516FB0"/>
    <w:rsid w:val="00516FB3"/>
    <w:rsid w:val="0051760A"/>
    <w:rsid w:val="00517A15"/>
    <w:rsid w:val="00520095"/>
    <w:rsid w:val="00520432"/>
    <w:rsid w:val="00521A51"/>
    <w:rsid w:val="00523299"/>
    <w:rsid w:val="00524EB8"/>
    <w:rsid w:val="00526BF7"/>
    <w:rsid w:val="00526E76"/>
    <w:rsid w:val="0052719E"/>
    <w:rsid w:val="005301EC"/>
    <w:rsid w:val="00530460"/>
    <w:rsid w:val="005309F5"/>
    <w:rsid w:val="00531499"/>
    <w:rsid w:val="005317C4"/>
    <w:rsid w:val="005322EE"/>
    <w:rsid w:val="00532475"/>
    <w:rsid w:val="00532BE6"/>
    <w:rsid w:val="00532C42"/>
    <w:rsid w:val="00534171"/>
    <w:rsid w:val="00534593"/>
    <w:rsid w:val="005351BD"/>
    <w:rsid w:val="00536A8B"/>
    <w:rsid w:val="00536CF3"/>
    <w:rsid w:val="00536EBF"/>
    <w:rsid w:val="005373BA"/>
    <w:rsid w:val="00537600"/>
    <w:rsid w:val="0053774A"/>
    <w:rsid w:val="00537E80"/>
    <w:rsid w:val="0054108B"/>
    <w:rsid w:val="0054391B"/>
    <w:rsid w:val="00544497"/>
    <w:rsid w:val="00545483"/>
    <w:rsid w:val="005465D2"/>
    <w:rsid w:val="00546859"/>
    <w:rsid w:val="00547C78"/>
    <w:rsid w:val="00551305"/>
    <w:rsid w:val="00551A92"/>
    <w:rsid w:val="00552FE6"/>
    <w:rsid w:val="0055389B"/>
    <w:rsid w:val="00554F66"/>
    <w:rsid w:val="005560F9"/>
    <w:rsid w:val="00556D59"/>
    <w:rsid w:val="00556EC4"/>
    <w:rsid w:val="00557251"/>
    <w:rsid w:val="0055791D"/>
    <w:rsid w:val="00557AB2"/>
    <w:rsid w:val="005603D7"/>
    <w:rsid w:val="00560C2C"/>
    <w:rsid w:val="005616C5"/>
    <w:rsid w:val="0056202D"/>
    <w:rsid w:val="00562094"/>
    <w:rsid w:val="00562119"/>
    <w:rsid w:val="00562DF4"/>
    <w:rsid w:val="00564045"/>
    <w:rsid w:val="005644D3"/>
    <w:rsid w:val="00564DF1"/>
    <w:rsid w:val="00565204"/>
    <w:rsid w:val="00565689"/>
    <w:rsid w:val="0056573E"/>
    <w:rsid w:val="00566072"/>
    <w:rsid w:val="005664C0"/>
    <w:rsid w:val="00567122"/>
    <w:rsid w:val="00567CEA"/>
    <w:rsid w:val="005703A0"/>
    <w:rsid w:val="00570A38"/>
    <w:rsid w:val="00570FBF"/>
    <w:rsid w:val="005710B9"/>
    <w:rsid w:val="0057136F"/>
    <w:rsid w:val="005723A1"/>
    <w:rsid w:val="00572BA0"/>
    <w:rsid w:val="00572E53"/>
    <w:rsid w:val="00573B08"/>
    <w:rsid w:val="00573D4B"/>
    <w:rsid w:val="00573F55"/>
    <w:rsid w:val="00575255"/>
    <w:rsid w:val="00575339"/>
    <w:rsid w:val="0057553C"/>
    <w:rsid w:val="00575BDB"/>
    <w:rsid w:val="00575EE2"/>
    <w:rsid w:val="005771ED"/>
    <w:rsid w:val="00577278"/>
    <w:rsid w:val="005773F3"/>
    <w:rsid w:val="00577941"/>
    <w:rsid w:val="00577CDD"/>
    <w:rsid w:val="0058074A"/>
    <w:rsid w:val="00580EF0"/>
    <w:rsid w:val="00581647"/>
    <w:rsid w:val="005820FA"/>
    <w:rsid w:val="005827E6"/>
    <w:rsid w:val="00582877"/>
    <w:rsid w:val="00583CDA"/>
    <w:rsid w:val="00583F04"/>
    <w:rsid w:val="00584189"/>
    <w:rsid w:val="0058465F"/>
    <w:rsid w:val="005847D5"/>
    <w:rsid w:val="0058533E"/>
    <w:rsid w:val="00585734"/>
    <w:rsid w:val="00586348"/>
    <w:rsid w:val="00586712"/>
    <w:rsid w:val="00586E18"/>
    <w:rsid w:val="00587771"/>
    <w:rsid w:val="00587A47"/>
    <w:rsid w:val="00587F82"/>
    <w:rsid w:val="0059039E"/>
    <w:rsid w:val="00590423"/>
    <w:rsid w:val="00590438"/>
    <w:rsid w:val="00590C9C"/>
    <w:rsid w:val="00591B1E"/>
    <w:rsid w:val="00591D6D"/>
    <w:rsid w:val="00591EFD"/>
    <w:rsid w:val="0059212D"/>
    <w:rsid w:val="005922FC"/>
    <w:rsid w:val="005946A4"/>
    <w:rsid w:val="00594C88"/>
    <w:rsid w:val="00594F22"/>
    <w:rsid w:val="00595232"/>
    <w:rsid w:val="00595CFF"/>
    <w:rsid w:val="00596559"/>
    <w:rsid w:val="005969B7"/>
    <w:rsid w:val="005A20D6"/>
    <w:rsid w:val="005A2CC9"/>
    <w:rsid w:val="005A38F2"/>
    <w:rsid w:val="005A4545"/>
    <w:rsid w:val="005A4587"/>
    <w:rsid w:val="005A5740"/>
    <w:rsid w:val="005A60C8"/>
    <w:rsid w:val="005A6780"/>
    <w:rsid w:val="005A67D0"/>
    <w:rsid w:val="005A6ACE"/>
    <w:rsid w:val="005A7128"/>
    <w:rsid w:val="005A71F6"/>
    <w:rsid w:val="005A7EF5"/>
    <w:rsid w:val="005A7EF6"/>
    <w:rsid w:val="005A7F0D"/>
    <w:rsid w:val="005B07B4"/>
    <w:rsid w:val="005B0C78"/>
    <w:rsid w:val="005B13A0"/>
    <w:rsid w:val="005B23F8"/>
    <w:rsid w:val="005B2499"/>
    <w:rsid w:val="005B27CC"/>
    <w:rsid w:val="005B34E5"/>
    <w:rsid w:val="005B506D"/>
    <w:rsid w:val="005B51D3"/>
    <w:rsid w:val="005B5550"/>
    <w:rsid w:val="005B5C5A"/>
    <w:rsid w:val="005B6CA3"/>
    <w:rsid w:val="005B7E7F"/>
    <w:rsid w:val="005C0DA0"/>
    <w:rsid w:val="005C0FAC"/>
    <w:rsid w:val="005C1458"/>
    <w:rsid w:val="005C1875"/>
    <w:rsid w:val="005C20BE"/>
    <w:rsid w:val="005C2186"/>
    <w:rsid w:val="005C28B1"/>
    <w:rsid w:val="005C32F2"/>
    <w:rsid w:val="005C4E65"/>
    <w:rsid w:val="005C592E"/>
    <w:rsid w:val="005D0C9C"/>
    <w:rsid w:val="005D119D"/>
    <w:rsid w:val="005D1B75"/>
    <w:rsid w:val="005D1F41"/>
    <w:rsid w:val="005D2C84"/>
    <w:rsid w:val="005D3043"/>
    <w:rsid w:val="005D3B88"/>
    <w:rsid w:val="005D3F11"/>
    <w:rsid w:val="005D4682"/>
    <w:rsid w:val="005D47E7"/>
    <w:rsid w:val="005D48EA"/>
    <w:rsid w:val="005D4EAB"/>
    <w:rsid w:val="005D5D2C"/>
    <w:rsid w:val="005D5E4A"/>
    <w:rsid w:val="005D61B7"/>
    <w:rsid w:val="005D6235"/>
    <w:rsid w:val="005D6AD4"/>
    <w:rsid w:val="005D6ED9"/>
    <w:rsid w:val="005E0076"/>
    <w:rsid w:val="005E0648"/>
    <w:rsid w:val="005E070E"/>
    <w:rsid w:val="005E08C7"/>
    <w:rsid w:val="005E0B58"/>
    <w:rsid w:val="005E2789"/>
    <w:rsid w:val="005E2B80"/>
    <w:rsid w:val="005E2C7F"/>
    <w:rsid w:val="005E2FE6"/>
    <w:rsid w:val="005E349A"/>
    <w:rsid w:val="005E3545"/>
    <w:rsid w:val="005E4597"/>
    <w:rsid w:val="005E5630"/>
    <w:rsid w:val="005E5CDA"/>
    <w:rsid w:val="005E6923"/>
    <w:rsid w:val="005E6AD6"/>
    <w:rsid w:val="005E6CAA"/>
    <w:rsid w:val="005F27C0"/>
    <w:rsid w:val="005F29C4"/>
    <w:rsid w:val="005F3B04"/>
    <w:rsid w:val="005F3DDC"/>
    <w:rsid w:val="005F437A"/>
    <w:rsid w:val="005F43B4"/>
    <w:rsid w:val="005F4C92"/>
    <w:rsid w:val="005F5373"/>
    <w:rsid w:val="005F587D"/>
    <w:rsid w:val="005F5FEF"/>
    <w:rsid w:val="005F656D"/>
    <w:rsid w:val="005F67F4"/>
    <w:rsid w:val="005F7D05"/>
    <w:rsid w:val="00600C5F"/>
    <w:rsid w:val="006016FB"/>
    <w:rsid w:val="006018FC"/>
    <w:rsid w:val="006019E3"/>
    <w:rsid w:val="00602AE0"/>
    <w:rsid w:val="006033C2"/>
    <w:rsid w:val="00603C02"/>
    <w:rsid w:val="00603FEB"/>
    <w:rsid w:val="006045A8"/>
    <w:rsid w:val="00604643"/>
    <w:rsid w:val="00606165"/>
    <w:rsid w:val="00607139"/>
    <w:rsid w:val="006071E0"/>
    <w:rsid w:val="006104F0"/>
    <w:rsid w:val="006105C4"/>
    <w:rsid w:val="00610752"/>
    <w:rsid w:val="00610CD8"/>
    <w:rsid w:val="00611CBF"/>
    <w:rsid w:val="006128E2"/>
    <w:rsid w:val="006143E0"/>
    <w:rsid w:val="00614431"/>
    <w:rsid w:val="006144AD"/>
    <w:rsid w:val="00614548"/>
    <w:rsid w:val="00614CB5"/>
    <w:rsid w:val="00615C86"/>
    <w:rsid w:val="0061623E"/>
    <w:rsid w:val="006168BE"/>
    <w:rsid w:val="00617058"/>
    <w:rsid w:val="00617282"/>
    <w:rsid w:val="006201CA"/>
    <w:rsid w:val="006202BE"/>
    <w:rsid w:val="00620A7B"/>
    <w:rsid w:val="00623834"/>
    <w:rsid w:val="00623925"/>
    <w:rsid w:val="006243BE"/>
    <w:rsid w:val="00625177"/>
    <w:rsid w:val="00625700"/>
    <w:rsid w:val="00625870"/>
    <w:rsid w:val="00626E49"/>
    <w:rsid w:val="00627E2B"/>
    <w:rsid w:val="00630087"/>
    <w:rsid w:val="00631BE6"/>
    <w:rsid w:val="00631FF8"/>
    <w:rsid w:val="00632CAF"/>
    <w:rsid w:val="00633DDB"/>
    <w:rsid w:val="0063553C"/>
    <w:rsid w:val="00635B4E"/>
    <w:rsid w:val="00635C6C"/>
    <w:rsid w:val="00636019"/>
    <w:rsid w:val="0063675D"/>
    <w:rsid w:val="00636A5D"/>
    <w:rsid w:val="0063717E"/>
    <w:rsid w:val="006375EA"/>
    <w:rsid w:val="00637C9A"/>
    <w:rsid w:val="00637EB2"/>
    <w:rsid w:val="006407FD"/>
    <w:rsid w:val="00641633"/>
    <w:rsid w:val="0064193E"/>
    <w:rsid w:val="00641D71"/>
    <w:rsid w:val="0064266C"/>
    <w:rsid w:val="00642732"/>
    <w:rsid w:val="0064423B"/>
    <w:rsid w:val="0064521C"/>
    <w:rsid w:val="00645465"/>
    <w:rsid w:val="00646062"/>
    <w:rsid w:val="006461F6"/>
    <w:rsid w:val="0064622C"/>
    <w:rsid w:val="00646DA9"/>
    <w:rsid w:val="00646FF4"/>
    <w:rsid w:val="00647D9E"/>
    <w:rsid w:val="00647EB6"/>
    <w:rsid w:val="00647EC9"/>
    <w:rsid w:val="00650087"/>
    <w:rsid w:val="00650C3C"/>
    <w:rsid w:val="006513C0"/>
    <w:rsid w:val="006514A6"/>
    <w:rsid w:val="006520C4"/>
    <w:rsid w:val="00653A1E"/>
    <w:rsid w:val="0065406D"/>
    <w:rsid w:val="00654BC8"/>
    <w:rsid w:val="00654FEF"/>
    <w:rsid w:val="0065517A"/>
    <w:rsid w:val="006555D8"/>
    <w:rsid w:val="006559C5"/>
    <w:rsid w:val="0065624C"/>
    <w:rsid w:val="00656B8B"/>
    <w:rsid w:val="00656F01"/>
    <w:rsid w:val="006574D8"/>
    <w:rsid w:val="00657549"/>
    <w:rsid w:val="00657B64"/>
    <w:rsid w:val="00657C14"/>
    <w:rsid w:val="00657D30"/>
    <w:rsid w:val="00660586"/>
    <w:rsid w:val="00660AEF"/>
    <w:rsid w:val="00660B34"/>
    <w:rsid w:val="00660FE0"/>
    <w:rsid w:val="00661E43"/>
    <w:rsid w:val="00662A12"/>
    <w:rsid w:val="006638C2"/>
    <w:rsid w:val="00664586"/>
    <w:rsid w:val="006646D4"/>
    <w:rsid w:val="00664802"/>
    <w:rsid w:val="00664E64"/>
    <w:rsid w:val="0066537E"/>
    <w:rsid w:val="00666B2A"/>
    <w:rsid w:val="0066740E"/>
    <w:rsid w:val="006725D8"/>
    <w:rsid w:val="00672EF0"/>
    <w:rsid w:val="0067334E"/>
    <w:rsid w:val="00673800"/>
    <w:rsid w:val="006750B1"/>
    <w:rsid w:val="00675C68"/>
    <w:rsid w:val="00676A48"/>
    <w:rsid w:val="00677A76"/>
    <w:rsid w:val="00677F47"/>
    <w:rsid w:val="006804DA"/>
    <w:rsid w:val="00681295"/>
    <w:rsid w:val="00682178"/>
    <w:rsid w:val="00682BB1"/>
    <w:rsid w:val="00684073"/>
    <w:rsid w:val="0068450F"/>
    <w:rsid w:val="00684543"/>
    <w:rsid w:val="00684EF5"/>
    <w:rsid w:val="006862EF"/>
    <w:rsid w:val="00687AE8"/>
    <w:rsid w:val="00687DB8"/>
    <w:rsid w:val="006902F4"/>
    <w:rsid w:val="0069062F"/>
    <w:rsid w:val="00691DAC"/>
    <w:rsid w:val="00692CC8"/>
    <w:rsid w:val="006939C1"/>
    <w:rsid w:val="00694217"/>
    <w:rsid w:val="0069432C"/>
    <w:rsid w:val="00695A44"/>
    <w:rsid w:val="00695E9F"/>
    <w:rsid w:val="00696032"/>
    <w:rsid w:val="006A0645"/>
    <w:rsid w:val="006A0865"/>
    <w:rsid w:val="006A0A65"/>
    <w:rsid w:val="006A1E77"/>
    <w:rsid w:val="006A2176"/>
    <w:rsid w:val="006A26A0"/>
    <w:rsid w:val="006A2D4B"/>
    <w:rsid w:val="006A2E51"/>
    <w:rsid w:val="006A3717"/>
    <w:rsid w:val="006A438B"/>
    <w:rsid w:val="006A4D53"/>
    <w:rsid w:val="006A63A0"/>
    <w:rsid w:val="006A6692"/>
    <w:rsid w:val="006A7209"/>
    <w:rsid w:val="006A765B"/>
    <w:rsid w:val="006A766C"/>
    <w:rsid w:val="006A7799"/>
    <w:rsid w:val="006A7A61"/>
    <w:rsid w:val="006A7BFE"/>
    <w:rsid w:val="006B048F"/>
    <w:rsid w:val="006B04F8"/>
    <w:rsid w:val="006B1AB3"/>
    <w:rsid w:val="006B1F5F"/>
    <w:rsid w:val="006B266D"/>
    <w:rsid w:val="006B28B3"/>
    <w:rsid w:val="006B4026"/>
    <w:rsid w:val="006B46C8"/>
    <w:rsid w:val="006B4716"/>
    <w:rsid w:val="006B4CAC"/>
    <w:rsid w:val="006B5390"/>
    <w:rsid w:val="006B5B14"/>
    <w:rsid w:val="006B61CA"/>
    <w:rsid w:val="006B6E4B"/>
    <w:rsid w:val="006B724F"/>
    <w:rsid w:val="006B75D6"/>
    <w:rsid w:val="006C012A"/>
    <w:rsid w:val="006C0407"/>
    <w:rsid w:val="006C1213"/>
    <w:rsid w:val="006C1641"/>
    <w:rsid w:val="006C1685"/>
    <w:rsid w:val="006C18B0"/>
    <w:rsid w:val="006C1CDF"/>
    <w:rsid w:val="006C1E79"/>
    <w:rsid w:val="006C2A25"/>
    <w:rsid w:val="006C30C2"/>
    <w:rsid w:val="006C320D"/>
    <w:rsid w:val="006C3F8F"/>
    <w:rsid w:val="006C4E70"/>
    <w:rsid w:val="006C506C"/>
    <w:rsid w:val="006C64EB"/>
    <w:rsid w:val="006C6EB5"/>
    <w:rsid w:val="006C7236"/>
    <w:rsid w:val="006C74AD"/>
    <w:rsid w:val="006C776D"/>
    <w:rsid w:val="006D02FA"/>
    <w:rsid w:val="006D04F2"/>
    <w:rsid w:val="006D120B"/>
    <w:rsid w:val="006D1C4C"/>
    <w:rsid w:val="006D235C"/>
    <w:rsid w:val="006D241D"/>
    <w:rsid w:val="006D3337"/>
    <w:rsid w:val="006D386B"/>
    <w:rsid w:val="006D42CB"/>
    <w:rsid w:val="006D45BF"/>
    <w:rsid w:val="006D4E3C"/>
    <w:rsid w:val="006D5783"/>
    <w:rsid w:val="006D592D"/>
    <w:rsid w:val="006D6A95"/>
    <w:rsid w:val="006D77C7"/>
    <w:rsid w:val="006D7A91"/>
    <w:rsid w:val="006D7EE7"/>
    <w:rsid w:val="006E0178"/>
    <w:rsid w:val="006E03DE"/>
    <w:rsid w:val="006E1377"/>
    <w:rsid w:val="006E3B3F"/>
    <w:rsid w:val="006E430E"/>
    <w:rsid w:val="006E5A49"/>
    <w:rsid w:val="006E5B26"/>
    <w:rsid w:val="006E5BC7"/>
    <w:rsid w:val="006E5CFB"/>
    <w:rsid w:val="006E5D84"/>
    <w:rsid w:val="006E64A6"/>
    <w:rsid w:val="006E6888"/>
    <w:rsid w:val="006F08A3"/>
    <w:rsid w:val="006F1346"/>
    <w:rsid w:val="006F26F5"/>
    <w:rsid w:val="006F2A90"/>
    <w:rsid w:val="006F2D1D"/>
    <w:rsid w:val="006F3040"/>
    <w:rsid w:val="006F3A8F"/>
    <w:rsid w:val="006F419D"/>
    <w:rsid w:val="006F4CE5"/>
    <w:rsid w:val="006F4F55"/>
    <w:rsid w:val="006F58F4"/>
    <w:rsid w:val="006F5B58"/>
    <w:rsid w:val="006F5F2C"/>
    <w:rsid w:val="006F674A"/>
    <w:rsid w:val="006F678F"/>
    <w:rsid w:val="006F79D2"/>
    <w:rsid w:val="006F7D74"/>
    <w:rsid w:val="006F7F23"/>
    <w:rsid w:val="007019C4"/>
    <w:rsid w:val="00701E8A"/>
    <w:rsid w:val="007021BC"/>
    <w:rsid w:val="007025A5"/>
    <w:rsid w:val="0070299B"/>
    <w:rsid w:val="00703502"/>
    <w:rsid w:val="0070398C"/>
    <w:rsid w:val="00703DF4"/>
    <w:rsid w:val="007041B7"/>
    <w:rsid w:val="00704597"/>
    <w:rsid w:val="00704853"/>
    <w:rsid w:val="0070521E"/>
    <w:rsid w:val="00705987"/>
    <w:rsid w:val="007061A7"/>
    <w:rsid w:val="0070658C"/>
    <w:rsid w:val="007067CA"/>
    <w:rsid w:val="0070692F"/>
    <w:rsid w:val="007071BB"/>
    <w:rsid w:val="0070782A"/>
    <w:rsid w:val="0071015D"/>
    <w:rsid w:val="007118FF"/>
    <w:rsid w:val="00711BB6"/>
    <w:rsid w:val="00711CC5"/>
    <w:rsid w:val="0071217C"/>
    <w:rsid w:val="00712313"/>
    <w:rsid w:val="00712A7B"/>
    <w:rsid w:val="00712F3D"/>
    <w:rsid w:val="007130D0"/>
    <w:rsid w:val="0071379F"/>
    <w:rsid w:val="00714A5C"/>
    <w:rsid w:val="007169BA"/>
    <w:rsid w:val="007178AA"/>
    <w:rsid w:val="007179A2"/>
    <w:rsid w:val="00720620"/>
    <w:rsid w:val="00721853"/>
    <w:rsid w:val="00721C92"/>
    <w:rsid w:val="007226FB"/>
    <w:rsid w:val="00722FB6"/>
    <w:rsid w:val="007243A8"/>
    <w:rsid w:val="0072445A"/>
    <w:rsid w:val="007253AB"/>
    <w:rsid w:val="00725631"/>
    <w:rsid w:val="00726021"/>
    <w:rsid w:val="00726135"/>
    <w:rsid w:val="00726AFE"/>
    <w:rsid w:val="00726E11"/>
    <w:rsid w:val="007270C2"/>
    <w:rsid w:val="0072749E"/>
    <w:rsid w:val="00730321"/>
    <w:rsid w:val="00730762"/>
    <w:rsid w:val="007314E9"/>
    <w:rsid w:val="007320D9"/>
    <w:rsid w:val="007323EE"/>
    <w:rsid w:val="00732C70"/>
    <w:rsid w:val="007337BE"/>
    <w:rsid w:val="00733D4F"/>
    <w:rsid w:val="00733E2C"/>
    <w:rsid w:val="00733E4F"/>
    <w:rsid w:val="00734016"/>
    <w:rsid w:val="007342E1"/>
    <w:rsid w:val="00734E05"/>
    <w:rsid w:val="00735DAE"/>
    <w:rsid w:val="00735F75"/>
    <w:rsid w:val="007363CC"/>
    <w:rsid w:val="00737110"/>
    <w:rsid w:val="00737227"/>
    <w:rsid w:val="00737B91"/>
    <w:rsid w:val="00737CF9"/>
    <w:rsid w:val="007406D7"/>
    <w:rsid w:val="0074086D"/>
    <w:rsid w:val="00740A57"/>
    <w:rsid w:val="00740CF4"/>
    <w:rsid w:val="0074187E"/>
    <w:rsid w:val="00742560"/>
    <w:rsid w:val="00743177"/>
    <w:rsid w:val="007438E0"/>
    <w:rsid w:val="00743C10"/>
    <w:rsid w:val="00743CB1"/>
    <w:rsid w:val="0074473D"/>
    <w:rsid w:val="00745070"/>
    <w:rsid w:val="00745CC5"/>
    <w:rsid w:val="00746007"/>
    <w:rsid w:val="00747827"/>
    <w:rsid w:val="00750F47"/>
    <w:rsid w:val="00752233"/>
    <w:rsid w:val="007531C5"/>
    <w:rsid w:val="00753F0A"/>
    <w:rsid w:val="007545FA"/>
    <w:rsid w:val="007556D5"/>
    <w:rsid w:val="007563ED"/>
    <w:rsid w:val="007563EE"/>
    <w:rsid w:val="007571A9"/>
    <w:rsid w:val="00757B4C"/>
    <w:rsid w:val="00760A43"/>
    <w:rsid w:val="007610AC"/>
    <w:rsid w:val="00762F75"/>
    <w:rsid w:val="007637A9"/>
    <w:rsid w:val="007641A0"/>
    <w:rsid w:val="007641F3"/>
    <w:rsid w:val="007645E4"/>
    <w:rsid w:val="00764898"/>
    <w:rsid w:val="00765406"/>
    <w:rsid w:val="0076639C"/>
    <w:rsid w:val="007665CF"/>
    <w:rsid w:val="0076697B"/>
    <w:rsid w:val="007669D3"/>
    <w:rsid w:val="007672C3"/>
    <w:rsid w:val="00770917"/>
    <w:rsid w:val="007711EA"/>
    <w:rsid w:val="007719FC"/>
    <w:rsid w:val="007722AF"/>
    <w:rsid w:val="007722C3"/>
    <w:rsid w:val="00772305"/>
    <w:rsid w:val="0077248A"/>
    <w:rsid w:val="0077251E"/>
    <w:rsid w:val="00772A58"/>
    <w:rsid w:val="00772B5D"/>
    <w:rsid w:val="007734DE"/>
    <w:rsid w:val="00773C7A"/>
    <w:rsid w:val="00774B48"/>
    <w:rsid w:val="00774B9A"/>
    <w:rsid w:val="00774CBD"/>
    <w:rsid w:val="00774CF8"/>
    <w:rsid w:val="007759AE"/>
    <w:rsid w:val="00775B61"/>
    <w:rsid w:val="007801B2"/>
    <w:rsid w:val="007802E6"/>
    <w:rsid w:val="00780D73"/>
    <w:rsid w:val="0078139F"/>
    <w:rsid w:val="00781A37"/>
    <w:rsid w:val="00781B42"/>
    <w:rsid w:val="0078249C"/>
    <w:rsid w:val="0078431F"/>
    <w:rsid w:val="0078454C"/>
    <w:rsid w:val="00784DB7"/>
    <w:rsid w:val="00784F82"/>
    <w:rsid w:val="0078592D"/>
    <w:rsid w:val="00785D64"/>
    <w:rsid w:val="0078703C"/>
    <w:rsid w:val="007901DC"/>
    <w:rsid w:val="00790235"/>
    <w:rsid w:val="00790438"/>
    <w:rsid w:val="0079104B"/>
    <w:rsid w:val="007921AA"/>
    <w:rsid w:val="007927CF"/>
    <w:rsid w:val="00792878"/>
    <w:rsid w:val="00792DB0"/>
    <w:rsid w:val="0079365F"/>
    <w:rsid w:val="00793982"/>
    <w:rsid w:val="0079479F"/>
    <w:rsid w:val="00795E16"/>
    <w:rsid w:val="0079678A"/>
    <w:rsid w:val="00796965"/>
    <w:rsid w:val="007A06BD"/>
    <w:rsid w:val="007A0851"/>
    <w:rsid w:val="007A0DB9"/>
    <w:rsid w:val="007A0FDF"/>
    <w:rsid w:val="007A129E"/>
    <w:rsid w:val="007A3241"/>
    <w:rsid w:val="007A36E5"/>
    <w:rsid w:val="007A3C82"/>
    <w:rsid w:val="007A477D"/>
    <w:rsid w:val="007A53EF"/>
    <w:rsid w:val="007A55E2"/>
    <w:rsid w:val="007A6370"/>
    <w:rsid w:val="007A63DD"/>
    <w:rsid w:val="007A69BF"/>
    <w:rsid w:val="007A6EEC"/>
    <w:rsid w:val="007A7279"/>
    <w:rsid w:val="007A7742"/>
    <w:rsid w:val="007A7B5D"/>
    <w:rsid w:val="007B059A"/>
    <w:rsid w:val="007B05B2"/>
    <w:rsid w:val="007B292D"/>
    <w:rsid w:val="007B2AC9"/>
    <w:rsid w:val="007B36CA"/>
    <w:rsid w:val="007B39A3"/>
    <w:rsid w:val="007B44A2"/>
    <w:rsid w:val="007B620D"/>
    <w:rsid w:val="007B652C"/>
    <w:rsid w:val="007B7382"/>
    <w:rsid w:val="007B73C1"/>
    <w:rsid w:val="007C01C9"/>
    <w:rsid w:val="007C0D14"/>
    <w:rsid w:val="007C120D"/>
    <w:rsid w:val="007C1BDD"/>
    <w:rsid w:val="007C2AA7"/>
    <w:rsid w:val="007C2D5C"/>
    <w:rsid w:val="007C4883"/>
    <w:rsid w:val="007C4D6E"/>
    <w:rsid w:val="007C4E2C"/>
    <w:rsid w:val="007C511F"/>
    <w:rsid w:val="007C5A92"/>
    <w:rsid w:val="007C5CA2"/>
    <w:rsid w:val="007C7750"/>
    <w:rsid w:val="007C7C8B"/>
    <w:rsid w:val="007C7D24"/>
    <w:rsid w:val="007C7FFD"/>
    <w:rsid w:val="007D00F9"/>
    <w:rsid w:val="007D0AFF"/>
    <w:rsid w:val="007D102B"/>
    <w:rsid w:val="007D12F6"/>
    <w:rsid w:val="007D13BE"/>
    <w:rsid w:val="007D2F88"/>
    <w:rsid w:val="007D400C"/>
    <w:rsid w:val="007D4922"/>
    <w:rsid w:val="007D6495"/>
    <w:rsid w:val="007D6869"/>
    <w:rsid w:val="007D68C3"/>
    <w:rsid w:val="007D6AD1"/>
    <w:rsid w:val="007E0397"/>
    <w:rsid w:val="007E040A"/>
    <w:rsid w:val="007E0A00"/>
    <w:rsid w:val="007E1182"/>
    <w:rsid w:val="007E1558"/>
    <w:rsid w:val="007E17A2"/>
    <w:rsid w:val="007E17EA"/>
    <w:rsid w:val="007E2D19"/>
    <w:rsid w:val="007E42DB"/>
    <w:rsid w:val="007E48D5"/>
    <w:rsid w:val="007E48F7"/>
    <w:rsid w:val="007E49D9"/>
    <w:rsid w:val="007E4A00"/>
    <w:rsid w:val="007E51E7"/>
    <w:rsid w:val="007E57AC"/>
    <w:rsid w:val="007E5BD1"/>
    <w:rsid w:val="007E6263"/>
    <w:rsid w:val="007E63E0"/>
    <w:rsid w:val="007E648F"/>
    <w:rsid w:val="007E75D3"/>
    <w:rsid w:val="007E7636"/>
    <w:rsid w:val="007E7983"/>
    <w:rsid w:val="007E7F6A"/>
    <w:rsid w:val="007F0681"/>
    <w:rsid w:val="007F0A83"/>
    <w:rsid w:val="007F0A9E"/>
    <w:rsid w:val="007F1723"/>
    <w:rsid w:val="007F29EB"/>
    <w:rsid w:val="007F3946"/>
    <w:rsid w:val="007F3ADA"/>
    <w:rsid w:val="007F5587"/>
    <w:rsid w:val="007F7B53"/>
    <w:rsid w:val="007F7F2E"/>
    <w:rsid w:val="007F7F5B"/>
    <w:rsid w:val="00800701"/>
    <w:rsid w:val="008019ED"/>
    <w:rsid w:val="00801CDD"/>
    <w:rsid w:val="0080296D"/>
    <w:rsid w:val="00802D5A"/>
    <w:rsid w:val="00802E3A"/>
    <w:rsid w:val="008042F0"/>
    <w:rsid w:val="00804D99"/>
    <w:rsid w:val="008051F7"/>
    <w:rsid w:val="00806098"/>
    <w:rsid w:val="0080652B"/>
    <w:rsid w:val="00806B63"/>
    <w:rsid w:val="008070A9"/>
    <w:rsid w:val="00807B0B"/>
    <w:rsid w:val="00807BB2"/>
    <w:rsid w:val="008100B6"/>
    <w:rsid w:val="0081020B"/>
    <w:rsid w:val="008109D4"/>
    <w:rsid w:val="00810AC6"/>
    <w:rsid w:val="0081100A"/>
    <w:rsid w:val="00811665"/>
    <w:rsid w:val="00812A4E"/>
    <w:rsid w:val="0081350D"/>
    <w:rsid w:val="008139EE"/>
    <w:rsid w:val="00813A1A"/>
    <w:rsid w:val="0081426C"/>
    <w:rsid w:val="00815038"/>
    <w:rsid w:val="00815ACD"/>
    <w:rsid w:val="00815B4D"/>
    <w:rsid w:val="0081617B"/>
    <w:rsid w:val="00816F30"/>
    <w:rsid w:val="00817242"/>
    <w:rsid w:val="00820715"/>
    <w:rsid w:val="00820940"/>
    <w:rsid w:val="00821F53"/>
    <w:rsid w:val="00822986"/>
    <w:rsid w:val="00823073"/>
    <w:rsid w:val="00823CEB"/>
    <w:rsid w:val="00824154"/>
    <w:rsid w:val="008245D1"/>
    <w:rsid w:val="0082479E"/>
    <w:rsid w:val="008248A2"/>
    <w:rsid w:val="0082528D"/>
    <w:rsid w:val="00825317"/>
    <w:rsid w:val="0082535F"/>
    <w:rsid w:val="008253EC"/>
    <w:rsid w:val="008261E9"/>
    <w:rsid w:val="008262F3"/>
    <w:rsid w:val="00826FD7"/>
    <w:rsid w:val="008272B6"/>
    <w:rsid w:val="00830A6C"/>
    <w:rsid w:val="008324EE"/>
    <w:rsid w:val="00832F70"/>
    <w:rsid w:val="00833042"/>
    <w:rsid w:val="0083394B"/>
    <w:rsid w:val="00833ED9"/>
    <w:rsid w:val="0083406D"/>
    <w:rsid w:val="008348CA"/>
    <w:rsid w:val="00834A88"/>
    <w:rsid w:val="0083516C"/>
    <w:rsid w:val="008352C5"/>
    <w:rsid w:val="0083596B"/>
    <w:rsid w:val="00835F48"/>
    <w:rsid w:val="0084074F"/>
    <w:rsid w:val="00841554"/>
    <w:rsid w:val="00842355"/>
    <w:rsid w:val="00845098"/>
    <w:rsid w:val="0084509E"/>
    <w:rsid w:val="008469F4"/>
    <w:rsid w:val="00847407"/>
    <w:rsid w:val="00847502"/>
    <w:rsid w:val="008511C5"/>
    <w:rsid w:val="00851AF8"/>
    <w:rsid w:val="00851B40"/>
    <w:rsid w:val="00852291"/>
    <w:rsid w:val="008523BF"/>
    <w:rsid w:val="008537FE"/>
    <w:rsid w:val="00853AD2"/>
    <w:rsid w:val="00853DE5"/>
    <w:rsid w:val="00854118"/>
    <w:rsid w:val="00855365"/>
    <w:rsid w:val="008557D9"/>
    <w:rsid w:val="00855F0F"/>
    <w:rsid w:val="008568E0"/>
    <w:rsid w:val="0085705F"/>
    <w:rsid w:val="008575E0"/>
    <w:rsid w:val="00857BD9"/>
    <w:rsid w:val="008606DA"/>
    <w:rsid w:val="0086146F"/>
    <w:rsid w:val="008615A7"/>
    <w:rsid w:val="00861C5E"/>
    <w:rsid w:val="00862602"/>
    <w:rsid w:val="008626E3"/>
    <w:rsid w:val="00863371"/>
    <w:rsid w:val="00864564"/>
    <w:rsid w:val="00865BCD"/>
    <w:rsid w:val="00865FE3"/>
    <w:rsid w:val="00866125"/>
    <w:rsid w:val="00866939"/>
    <w:rsid w:val="00866DE0"/>
    <w:rsid w:val="00867A80"/>
    <w:rsid w:val="00867B79"/>
    <w:rsid w:val="008701D6"/>
    <w:rsid w:val="00870831"/>
    <w:rsid w:val="00870A0B"/>
    <w:rsid w:val="00870C1B"/>
    <w:rsid w:val="00872676"/>
    <w:rsid w:val="00872D6D"/>
    <w:rsid w:val="0087428A"/>
    <w:rsid w:val="008742A0"/>
    <w:rsid w:val="008743BE"/>
    <w:rsid w:val="008745C4"/>
    <w:rsid w:val="00874690"/>
    <w:rsid w:val="00875428"/>
    <w:rsid w:val="00875539"/>
    <w:rsid w:val="0087562E"/>
    <w:rsid w:val="008759F2"/>
    <w:rsid w:val="00877185"/>
    <w:rsid w:val="0087748E"/>
    <w:rsid w:val="00880115"/>
    <w:rsid w:val="008801FC"/>
    <w:rsid w:val="00880B96"/>
    <w:rsid w:val="00882587"/>
    <w:rsid w:val="00882A9A"/>
    <w:rsid w:val="008835E6"/>
    <w:rsid w:val="008839A1"/>
    <w:rsid w:val="00883B20"/>
    <w:rsid w:val="00883CFB"/>
    <w:rsid w:val="00883DB5"/>
    <w:rsid w:val="00884574"/>
    <w:rsid w:val="0088461F"/>
    <w:rsid w:val="0088464C"/>
    <w:rsid w:val="008854D7"/>
    <w:rsid w:val="008855E7"/>
    <w:rsid w:val="00885B13"/>
    <w:rsid w:val="00885DC6"/>
    <w:rsid w:val="00885F86"/>
    <w:rsid w:val="008872D1"/>
    <w:rsid w:val="00887D6E"/>
    <w:rsid w:val="00887F37"/>
    <w:rsid w:val="00890F0A"/>
    <w:rsid w:val="0089288E"/>
    <w:rsid w:val="00893D49"/>
    <w:rsid w:val="00894D3B"/>
    <w:rsid w:val="008953AF"/>
    <w:rsid w:val="008954A3"/>
    <w:rsid w:val="00895ACA"/>
    <w:rsid w:val="00895D15"/>
    <w:rsid w:val="008961A8"/>
    <w:rsid w:val="0089680A"/>
    <w:rsid w:val="00896EE6"/>
    <w:rsid w:val="00897011"/>
    <w:rsid w:val="008971BE"/>
    <w:rsid w:val="008973AC"/>
    <w:rsid w:val="008975C1"/>
    <w:rsid w:val="0089776D"/>
    <w:rsid w:val="00897FAF"/>
    <w:rsid w:val="008A1117"/>
    <w:rsid w:val="008A2086"/>
    <w:rsid w:val="008A24AA"/>
    <w:rsid w:val="008A35BF"/>
    <w:rsid w:val="008A3DFE"/>
    <w:rsid w:val="008A453C"/>
    <w:rsid w:val="008A493F"/>
    <w:rsid w:val="008A5C17"/>
    <w:rsid w:val="008A64B2"/>
    <w:rsid w:val="008A7875"/>
    <w:rsid w:val="008A7AAD"/>
    <w:rsid w:val="008A7E04"/>
    <w:rsid w:val="008B00C6"/>
    <w:rsid w:val="008B1937"/>
    <w:rsid w:val="008B26A9"/>
    <w:rsid w:val="008B2A9C"/>
    <w:rsid w:val="008B3718"/>
    <w:rsid w:val="008B3AB3"/>
    <w:rsid w:val="008B3FD2"/>
    <w:rsid w:val="008B4072"/>
    <w:rsid w:val="008B4492"/>
    <w:rsid w:val="008B4983"/>
    <w:rsid w:val="008B4DD4"/>
    <w:rsid w:val="008B4EE2"/>
    <w:rsid w:val="008B58CF"/>
    <w:rsid w:val="008B62F5"/>
    <w:rsid w:val="008B71C8"/>
    <w:rsid w:val="008B71EE"/>
    <w:rsid w:val="008C02B3"/>
    <w:rsid w:val="008C04F4"/>
    <w:rsid w:val="008C0F1B"/>
    <w:rsid w:val="008C1F02"/>
    <w:rsid w:val="008C2B0D"/>
    <w:rsid w:val="008C2B46"/>
    <w:rsid w:val="008C321D"/>
    <w:rsid w:val="008C359B"/>
    <w:rsid w:val="008C644C"/>
    <w:rsid w:val="008C645B"/>
    <w:rsid w:val="008C6E05"/>
    <w:rsid w:val="008C71FC"/>
    <w:rsid w:val="008C7A4E"/>
    <w:rsid w:val="008D2AF6"/>
    <w:rsid w:val="008D3252"/>
    <w:rsid w:val="008D3EE1"/>
    <w:rsid w:val="008D3F59"/>
    <w:rsid w:val="008D4034"/>
    <w:rsid w:val="008D4038"/>
    <w:rsid w:val="008D462D"/>
    <w:rsid w:val="008D4836"/>
    <w:rsid w:val="008D4916"/>
    <w:rsid w:val="008D5230"/>
    <w:rsid w:val="008D5490"/>
    <w:rsid w:val="008D61CC"/>
    <w:rsid w:val="008D63D6"/>
    <w:rsid w:val="008D73D1"/>
    <w:rsid w:val="008D78E6"/>
    <w:rsid w:val="008E02E2"/>
    <w:rsid w:val="008E0C2D"/>
    <w:rsid w:val="008E0FEC"/>
    <w:rsid w:val="008E0FFF"/>
    <w:rsid w:val="008E1F5B"/>
    <w:rsid w:val="008E1FF3"/>
    <w:rsid w:val="008E21F3"/>
    <w:rsid w:val="008E3288"/>
    <w:rsid w:val="008E3525"/>
    <w:rsid w:val="008E3D8A"/>
    <w:rsid w:val="008E575E"/>
    <w:rsid w:val="008E5A08"/>
    <w:rsid w:val="008E5AE9"/>
    <w:rsid w:val="008E60A2"/>
    <w:rsid w:val="008E662A"/>
    <w:rsid w:val="008E6BCF"/>
    <w:rsid w:val="008E6E6B"/>
    <w:rsid w:val="008E710D"/>
    <w:rsid w:val="008E7C52"/>
    <w:rsid w:val="008E7C65"/>
    <w:rsid w:val="008F0636"/>
    <w:rsid w:val="008F0809"/>
    <w:rsid w:val="008F0EF3"/>
    <w:rsid w:val="008F2BFF"/>
    <w:rsid w:val="008F2C97"/>
    <w:rsid w:val="008F31C1"/>
    <w:rsid w:val="008F3DE3"/>
    <w:rsid w:val="008F44FF"/>
    <w:rsid w:val="008F50F7"/>
    <w:rsid w:val="008F5520"/>
    <w:rsid w:val="008F644F"/>
    <w:rsid w:val="008F7238"/>
    <w:rsid w:val="008F7B0A"/>
    <w:rsid w:val="009011DE"/>
    <w:rsid w:val="009014E3"/>
    <w:rsid w:val="009020A3"/>
    <w:rsid w:val="0090242D"/>
    <w:rsid w:val="00902513"/>
    <w:rsid w:val="00902825"/>
    <w:rsid w:val="00902CAB"/>
    <w:rsid w:val="00903A38"/>
    <w:rsid w:val="00903BD9"/>
    <w:rsid w:val="00903D81"/>
    <w:rsid w:val="00904A94"/>
    <w:rsid w:val="0090571A"/>
    <w:rsid w:val="009064A4"/>
    <w:rsid w:val="00906C9E"/>
    <w:rsid w:val="00906FE2"/>
    <w:rsid w:val="0091001B"/>
    <w:rsid w:val="00910260"/>
    <w:rsid w:val="009105C9"/>
    <w:rsid w:val="0091095E"/>
    <w:rsid w:val="00910A80"/>
    <w:rsid w:val="009118A0"/>
    <w:rsid w:val="00911B61"/>
    <w:rsid w:val="0091256C"/>
    <w:rsid w:val="00912925"/>
    <w:rsid w:val="009129A0"/>
    <w:rsid w:val="00912E6C"/>
    <w:rsid w:val="00913CC4"/>
    <w:rsid w:val="0091405A"/>
    <w:rsid w:val="0091465D"/>
    <w:rsid w:val="00914781"/>
    <w:rsid w:val="00914867"/>
    <w:rsid w:val="00914A1F"/>
    <w:rsid w:val="00914AFF"/>
    <w:rsid w:val="009160FF"/>
    <w:rsid w:val="009167F0"/>
    <w:rsid w:val="00916818"/>
    <w:rsid w:val="00917444"/>
    <w:rsid w:val="00917647"/>
    <w:rsid w:val="00917711"/>
    <w:rsid w:val="00920310"/>
    <w:rsid w:val="009209BC"/>
    <w:rsid w:val="009218C3"/>
    <w:rsid w:val="00921F9C"/>
    <w:rsid w:val="00922EAE"/>
    <w:rsid w:val="00923A62"/>
    <w:rsid w:val="00924B5D"/>
    <w:rsid w:val="00924DC7"/>
    <w:rsid w:val="00924DC8"/>
    <w:rsid w:val="00924F52"/>
    <w:rsid w:val="00925C23"/>
    <w:rsid w:val="00925CA7"/>
    <w:rsid w:val="0092611D"/>
    <w:rsid w:val="00926F15"/>
    <w:rsid w:val="009273E6"/>
    <w:rsid w:val="0092781B"/>
    <w:rsid w:val="00930579"/>
    <w:rsid w:val="009317BC"/>
    <w:rsid w:val="0093186F"/>
    <w:rsid w:val="00931922"/>
    <w:rsid w:val="00931EC6"/>
    <w:rsid w:val="00932B5A"/>
    <w:rsid w:val="00932B74"/>
    <w:rsid w:val="00932E6D"/>
    <w:rsid w:val="00933087"/>
    <w:rsid w:val="0093326A"/>
    <w:rsid w:val="00933483"/>
    <w:rsid w:val="0093356B"/>
    <w:rsid w:val="00933C92"/>
    <w:rsid w:val="00933F2E"/>
    <w:rsid w:val="00933FE4"/>
    <w:rsid w:val="00935896"/>
    <w:rsid w:val="009360AC"/>
    <w:rsid w:val="00936888"/>
    <w:rsid w:val="00940551"/>
    <w:rsid w:val="00941DDD"/>
    <w:rsid w:val="0094204C"/>
    <w:rsid w:val="00942B98"/>
    <w:rsid w:val="009436D5"/>
    <w:rsid w:val="0094475B"/>
    <w:rsid w:val="00944C86"/>
    <w:rsid w:val="00947974"/>
    <w:rsid w:val="00947B9D"/>
    <w:rsid w:val="009500BC"/>
    <w:rsid w:val="009501CA"/>
    <w:rsid w:val="00950651"/>
    <w:rsid w:val="00950BCA"/>
    <w:rsid w:val="00950C20"/>
    <w:rsid w:val="00950CA0"/>
    <w:rsid w:val="00950DE3"/>
    <w:rsid w:val="0095198E"/>
    <w:rsid w:val="00951ACC"/>
    <w:rsid w:val="00951D6C"/>
    <w:rsid w:val="00954459"/>
    <w:rsid w:val="00955287"/>
    <w:rsid w:val="0095561D"/>
    <w:rsid w:val="00956194"/>
    <w:rsid w:val="00956668"/>
    <w:rsid w:val="00956A34"/>
    <w:rsid w:val="00957175"/>
    <w:rsid w:val="0095777F"/>
    <w:rsid w:val="00957BD7"/>
    <w:rsid w:val="00960120"/>
    <w:rsid w:val="009606ED"/>
    <w:rsid w:val="00960920"/>
    <w:rsid w:val="009611D4"/>
    <w:rsid w:val="0096151C"/>
    <w:rsid w:val="00961AB7"/>
    <w:rsid w:val="009629EF"/>
    <w:rsid w:val="00963214"/>
    <w:rsid w:val="00963829"/>
    <w:rsid w:val="0096481C"/>
    <w:rsid w:val="0096519A"/>
    <w:rsid w:val="00965243"/>
    <w:rsid w:val="00965C07"/>
    <w:rsid w:val="00965EF5"/>
    <w:rsid w:val="0096624F"/>
    <w:rsid w:val="009664EE"/>
    <w:rsid w:val="0096658E"/>
    <w:rsid w:val="009669F6"/>
    <w:rsid w:val="00967153"/>
    <w:rsid w:val="009671E6"/>
    <w:rsid w:val="00967483"/>
    <w:rsid w:val="009705F3"/>
    <w:rsid w:val="00970D09"/>
    <w:rsid w:val="009714D7"/>
    <w:rsid w:val="0097167E"/>
    <w:rsid w:val="00972FAC"/>
    <w:rsid w:val="00973B86"/>
    <w:rsid w:val="0097482C"/>
    <w:rsid w:val="00976B90"/>
    <w:rsid w:val="00977877"/>
    <w:rsid w:val="00977F8A"/>
    <w:rsid w:val="00980CF2"/>
    <w:rsid w:val="009818E5"/>
    <w:rsid w:val="00982654"/>
    <w:rsid w:val="00983573"/>
    <w:rsid w:val="0098538E"/>
    <w:rsid w:val="00985653"/>
    <w:rsid w:val="00985A1A"/>
    <w:rsid w:val="009861A4"/>
    <w:rsid w:val="00986AA6"/>
    <w:rsid w:val="00986B02"/>
    <w:rsid w:val="00986B67"/>
    <w:rsid w:val="0099028C"/>
    <w:rsid w:val="0099064C"/>
    <w:rsid w:val="00990909"/>
    <w:rsid w:val="00991789"/>
    <w:rsid w:val="00992284"/>
    <w:rsid w:val="009931F2"/>
    <w:rsid w:val="00994553"/>
    <w:rsid w:val="00994991"/>
    <w:rsid w:val="00994EDE"/>
    <w:rsid w:val="009955E5"/>
    <w:rsid w:val="00995A70"/>
    <w:rsid w:val="00995E9C"/>
    <w:rsid w:val="00996D6F"/>
    <w:rsid w:val="009A0F9C"/>
    <w:rsid w:val="009A3046"/>
    <w:rsid w:val="009A3109"/>
    <w:rsid w:val="009A33DC"/>
    <w:rsid w:val="009A42F0"/>
    <w:rsid w:val="009A4451"/>
    <w:rsid w:val="009A4584"/>
    <w:rsid w:val="009A546E"/>
    <w:rsid w:val="009A5A92"/>
    <w:rsid w:val="009A6000"/>
    <w:rsid w:val="009B0034"/>
    <w:rsid w:val="009B0D75"/>
    <w:rsid w:val="009B1DDA"/>
    <w:rsid w:val="009B25C0"/>
    <w:rsid w:val="009B2DDF"/>
    <w:rsid w:val="009B3085"/>
    <w:rsid w:val="009B32CB"/>
    <w:rsid w:val="009B3A23"/>
    <w:rsid w:val="009B3B31"/>
    <w:rsid w:val="009B3F31"/>
    <w:rsid w:val="009B4DA2"/>
    <w:rsid w:val="009B653C"/>
    <w:rsid w:val="009B6D4D"/>
    <w:rsid w:val="009B6F26"/>
    <w:rsid w:val="009B7A60"/>
    <w:rsid w:val="009B7CB0"/>
    <w:rsid w:val="009C038B"/>
    <w:rsid w:val="009C0F96"/>
    <w:rsid w:val="009C415D"/>
    <w:rsid w:val="009C5E6D"/>
    <w:rsid w:val="009C5FC0"/>
    <w:rsid w:val="009C603E"/>
    <w:rsid w:val="009C6170"/>
    <w:rsid w:val="009C6CA4"/>
    <w:rsid w:val="009C6E25"/>
    <w:rsid w:val="009C7C80"/>
    <w:rsid w:val="009D028C"/>
    <w:rsid w:val="009D1F62"/>
    <w:rsid w:val="009D237A"/>
    <w:rsid w:val="009D27D7"/>
    <w:rsid w:val="009D2888"/>
    <w:rsid w:val="009D30A1"/>
    <w:rsid w:val="009D3125"/>
    <w:rsid w:val="009D32AF"/>
    <w:rsid w:val="009D392B"/>
    <w:rsid w:val="009D3AA8"/>
    <w:rsid w:val="009D41CE"/>
    <w:rsid w:val="009D57C4"/>
    <w:rsid w:val="009D66DF"/>
    <w:rsid w:val="009D6C24"/>
    <w:rsid w:val="009D7649"/>
    <w:rsid w:val="009D7E02"/>
    <w:rsid w:val="009E017C"/>
    <w:rsid w:val="009E06CA"/>
    <w:rsid w:val="009E1507"/>
    <w:rsid w:val="009E2116"/>
    <w:rsid w:val="009E2204"/>
    <w:rsid w:val="009E2526"/>
    <w:rsid w:val="009E2BAA"/>
    <w:rsid w:val="009E2F56"/>
    <w:rsid w:val="009E3B25"/>
    <w:rsid w:val="009E45DF"/>
    <w:rsid w:val="009E55C8"/>
    <w:rsid w:val="009E60FE"/>
    <w:rsid w:val="009E677D"/>
    <w:rsid w:val="009E6C52"/>
    <w:rsid w:val="009E6EC1"/>
    <w:rsid w:val="009F0468"/>
    <w:rsid w:val="009F0744"/>
    <w:rsid w:val="009F0CD5"/>
    <w:rsid w:val="009F1782"/>
    <w:rsid w:val="009F22EA"/>
    <w:rsid w:val="009F240E"/>
    <w:rsid w:val="009F3A64"/>
    <w:rsid w:val="009F3E1A"/>
    <w:rsid w:val="009F428B"/>
    <w:rsid w:val="009F47C8"/>
    <w:rsid w:val="009F55B5"/>
    <w:rsid w:val="009F6D74"/>
    <w:rsid w:val="009F719C"/>
    <w:rsid w:val="009F73ED"/>
    <w:rsid w:val="009F788A"/>
    <w:rsid w:val="00A00B9C"/>
    <w:rsid w:val="00A019E0"/>
    <w:rsid w:val="00A01F54"/>
    <w:rsid w:val="00A01F8E"/>
    <w:rsid w:val="00A0224B"/>
    <w:rsid w:val="00A02CDC"/>
    <w:rsid w:val="00A03D37"/>
    <w:rsid w:val="00A03DE0"/>
    <w:rsid w:val="00A043DB"/>
    <w:rsid w:val="00A04E72"/>
    <w:rsid w:val="00A04F94"/>
    <w:rsid w:val="00A0719C"/>
    <w:rsid w:val="00A075AB"/>
    <w:rsid w:val="00A07C06"/>
    <w:rsid w:val="00A07D8E"/>
    <w:rsid w:val="00A07FAA"/>
    <w:rsid w:val="00A1080E"/>
    <w:rsid w:val="00A11C3D"/>
    <w:rsid w:val="00A1334E"/>
    <w:rsid w:val="00A13353"/>
    <w:rsid w:val="00A138C2"/>
    <w:rsid w:val="00A13956"/>
    <w:rsid w:val="00A13BE3"/>
    <w:rsid w:val="00A1447E"/>
    <w:rsid w:val="00A14806"/>
    <w:rsid w:val="00A14954"/>
    <w:rsid w:val="00A1522B"/>
    <w:rsid w:val="00A154A4"/>
    <w:rsid w:val="00A156FA"/>
    <w:rsid w:val="00A15ABA"/>
    <w:rsid w:val="00A160AA"/>
    <w:rsid w:val="00A16850"/>
    <w:rsid w:val="00A17287"/>
    <w:rsid w:val="00A17291"/>
    <w:rsid w:val="00A2030E"/>
    <w:rsid w:val="00A22DCD"/>
    <w:rsid w:val="00A233D6"/>
    <w:rsid w:val="00A2409F"/>
    <w:rsid w:val="00A245CA"/>
    <w:rsid w:val="00A2495B"/>
    <w:rsid w:val="00A24A25"/>
    <w:rsid w:val="00A250B6"/>
    <w:rsid w:val="00A25114"/>
    <w:rsid w:val="00A25409"/>
    <w:rsid w:val="00A25D36"/>
    <w:rsid w:val="00A26143"/>
    <w:rsid w:val="00A27B9B"/>
    <w:rsid w:val="00A27F10"/>
    <w:rsid w:val="00A313F5"/>
    <w:rsid w:val="00A31E09"/>
    <w:rsid w:val="00A32C48"/>
    <w:rsid w:val="00A33B81"/>
    <w:rsid w:val="00A340A9"/>
    <w:rsid w:val="00A35293"/>
    <w:rsid w:val="00A3577A"/>
    <w:rsid w:val="00A35E21"/>
    <w:rsid w:val="00A362CE"/>
    <w:rsid w:val="00A367BF"/>
    <w:rsid w:val="00A3722E"/>
    <w:rsid w:val="00A37D9A"/>
    <w:rsid w:val="00A41852"/>
    <w:rsid w:val="00A418EF"/>
    <w:rsid w:val="00A42299"/>
    <w:rsid w:val="00A42642"/>
    <w:rsid w:val="00A4329B"/>
    <w:rsid w:val="00A448D2"/>
    <w:rsid w:val="00A44ECB"/>
    <w:rsid w:val="00A44FC2"/>
    <w:rsid w:val="00A45A57"/>
    <w:rsid w:val="00A45D37"/>
    <w:rsid w:val="00A466E5"/>
    <w:rsid w:val="00A46D4B"/>
    <w:rsid w:val="00A46D6B"/>
    <w:rsid w:val="00A472FE"/>
    <w:rsid w:val="00A476C4"/>
    <w:rsid w:val="00A520E1"/>
    <w:rsid w:val="00A522F4"/>
    <w:rsid w:val="00A5285E"/>
    <w:rsid w:val="00A529EC"/>
    <w:rsid w:val="00A53CF4"/>
    <w:rsid w:val="00A541AD"/>
    <w:rsid w:val="00A55298"/>
    <w:rsid w:val="00A55510"/>
    <w:rsid w:val="00A55A34"/>
    <w:rsid w:val="00A56317"/>
    <w:rsid w:val="00A56D59"/>
    <w:rsid w:val="00A60BB2"/>
    <w:rsid w:val="00A6125B"/>
    <w:rsid w:val="00A619CC"/>
    <w:rsid w:val="00A61B76"/>
    <w:rsid w:val="00A62599"/>
    <w:rsid w:val="00A62F54"/>
    <w:rsid w:val="00A63894"/>
    <w:rsid w:val="00A63904"/>
    <w:rsid w:val="00A63AC1"/>
    <w:rsid w:val="00A63AE0"/>
    <w:rsid w:val="00A64076"/>
    <w:rsid w:val="00A64C36"/>
    <w:rsid w:val="00A65088"/>
    <w:rsid w:val="00A661CA"/>
    <w:rsid w:val="00A672E6"/>
    <w:rsid w:val="00A676F3"/>
    <w:rsid w:val="00A70319"/>
    <w:rsid w:val="00A70634"/>
    <w:rsid w:val="00A71168"/>
    <w:rsid w:val="00A71889"/>
    <w:rsid w:val="00A71B7C"/>
    <w:rsid w:val="00A71F13"/>
    <w:rsid w:val="00A71F2B"/>
    <w:rsid w:val="00A722F3"/>
    <w:rsid w:val="00A7238D"/>
    <w:rsid w:val="00A723F2"/>
    <w:rsid w:val="00A73286"/>
    <w:rsid w:val="00A737F7"/>
    <w:rsid w:val="00A73E70"/>
    <w:rsid w:val="00A7471E"/>
    <w:rsid w:val="00A74AAA"/>
    <w:rsid w:val="00A75FD4"/>
    <w:rsid w:val="00A7630E"/>
    <w:rsid w:val="00A76458"/>
    <w:rsid w:val="00A7726D"/>
    <w:rsid w:val="00A77CF8"/>
    <w:rsid w:val="00A80578"/>
    <w:rsid w:val="00A805F4"/>
    <w:rsid w:val="00A80F9C"/>
    <w:rsid w:val="00A8193E"/>
    <w:rsid w:val="00A82BF7"/>
    <w:rsid w:val="00A839C2"/>
    <w:rsid w:val="00A8477B"/>
    <w:rsid w:val="00A84999"/>
    <w:rsid w:val="00A8530A"/>
    <w:rsid w:val="00A85DEC"/>
    <w:rsid w:val="00A85F05"/>
    <w:rsid w:val="00A86926"/>
    <w:rsid w:val="00A87E6A"/>
    <w:rsid w:val="00A87FE3"/>
    <w:rsid w:val="00A9023C"/>
    <w:rsid w:val="00A90A07"/>
    <w:rsid w:val="00A90C7A"/>
    <w:rsid w:val="00A9103A"/>
    <w:rsid w:val="00A924C1"/>
    <w:rsid w:val="00A92B62"/>
    <w:rsid w:val="00A9405B"/>
    <w:rsid w:val="00A94A0A"/>
    <w:rsid w:val="00A94D0E"/>
    <w:rsid w:val="00A957EF"/>
    <w:rsid w:val="00A96190"/>
    <w:rsid w:val="00A96210"/>
    <w:rsid w:val="00A96B4E"/>
    <w:rsid w:val="00A96C63"/>
    <w:rsid w:val="00A96DC5"/>
    <w:rsid w:val="00A978E8"/>
    <w:rsid w:val="00AA0054"/>
    <w:rsid w:val="00AA01AE"/>
    <w:rsid w:val="00AA0249"/>
    <w:rsid w:val="00AA0485"/>
    <w:rsid w:val="00AA0651"/>
    <w:rsid w:val="00AA0817"/>
    <w:rsid w:val="00AA0A57"/>
    <w:rsid w:val="00AA0D83"/>
    <w:rsid w:val="00AA107B"/>
    <w:rsid w:val="00AA17A5"/>
    <w:rsid w:val="00AA2164"/>
    <w:rsid w:val="00AA240A"/>
    <w:rsid w:val="00AA24A1"/>
    <w:rsid w:val="00AA24E0"/>
    <w:rsid w:val="00AA2B88"/>
    <w:rsid w:val="00AA2DDA"/>
    <w:rsid w:val="00AA390B"/>
    <w:rsid w:val="00AA444A"/>
    <w:rsid w:val="00AA466C"/>
    <w:rsid w:val="00AA5BCA"/>
    <w:rsid w:val="00AA5CA1"/>
    <w:rsid w:val="00AA7226"/>
    <w:rsid w:val="00AA75FB"/>
    <w:rsid w:val="00AA79F9"/>
    <w:rsid w:val="00AA7D14"/>
    <w:rsid w:val="00AB0002"/>
    <w:rsid w:val="00AB0426"/>
    <w:rsid w:val="00AB0C26"/>
    <w:rsid w:val="00AB2464"/>
    <w:rsid w:val="00AB2EFC"/>
    <w:rsid w:val="00AB4B4C"/>
    <w:rsid w:val="00AB569D"/>
    <w:rsid w:val="00AB6E9B"/>
    <w:rsid w:val="00AB7763"/>
    <w:rsid w:val="00AB7EC8"/>
    <w:rsid w:val="00AC123E"/>
    <w:rsid w:val="00AC1E9D"/>
    <w:rsid w:val="00AC286F"/>
    <w:rsid w:val="00AC2C3A"/>
    <w:rsid w:val="00AC55F4"/>
    <w:rsid w:val="00AC60DC"/>
    <w:rsid w:val="00AC7A85"/>
    <w:rsid w:val="00AD03E0"/>
    <w:rsid w:val="00AD052F"/>
    <w:rsid w:val="00AD1282"/>
    <w:rsid w:val="00AD2098"/>
    <w:rsid w:val="00AD2884"/>
    <w:rsid w:val="00AD32A8"/>
    <w:rsid w:val="00AD3639"/>
    <w:rsid w:val="00AD46DE"/>
    <w:rsid w:val="00AD4FBA"/>
    <w:rsid w:val="00AD537E"/>
    <w:rsid w:val="00AD5A1E"/>
    <w:rsid w:val="00AD6512"/>
    <w:rsid w:val="00AD6550"/>
    <w:rsid w:val="00AD6ADA"/>
    <w:rsid w:val="00AD730D"/>
    <w:rsid w:val="00AD7A14"/>
    <w:rsid w:val="00AE07F8"/>
    <w:rsid w:val="00AE0B88"/>
    <w:rsid w:val="00AE14C2"/>
    <w:rsid w:val="00AE2196"/>
    <w:rsid w:val="00AE33F4"/>
    <w:rsid w:val="00AE3B39"/>
    <w:rsid w:val="00AE416C"/>
    <w:rsid w:val="00AE417B"/>
    <w:rsid w:val="00AE4AD4"/>
    <w:rsid w:val="00AE4FC8"/>
    <w:rsid w:val="00AE5397"/>
    <w:rsid w:val="00AE55B5"/>
    <w:rsid w:val="00AE70A7"/>
    <w:rsid w:val="00AE7988"/>
    <w:rsid w:val="00AE7D86"/>
    <w:rsid w:val="00AF0F36"/>
    <w:rsid w:val="00AF1161"/>
    <w:rsid w:val="00AF25A7"/>
    <w:rsid w:val="00AF2774"/>
    <w:rsid w:val="00AF29D6"/>
    <w:rsid w:val="00AF3FCE"/>
    <w:rsid w:val="00AF421D"/>
    <w:rsid w:val="00AF44DF"/>
    <w:rsid w:val="00AF6809"/>
    <w:rsid w:val="00AF70E2"/>
    <w:rsid w:val="00AF762D"/>
    <w:rsid w:val="00AF77B7"/>
    <w:rsid w:val="00AF7DF6"/>
    <w:rsid w:val="00B0026C"/>
    <w:rsid w:val="00B0075A"/>
    <w:rsid w:val="00B00DDA"/>
    <w:rsid w:val="00B023C2"/>
    <w:rsid w:val="00B02D06"/>
    <w:rsid w:val="00B02F9B"/>
    <w:rsid w:val="00B03AD8"/>
    <w:rsid w:val="00B03F4E"/>
    <w:rsid w:val="00B0548E"/>
    <w:rsid w:val="00B0596A"/>
    <w:rsid w:val="00B05CDD"/>
    <w:rsid w:val="00B05FB4"/>
    <w:rsid w:val="00B0643B"/>
    <w:rsid w:val="00B0647E"/>
    <w:rsid w:val="00B069A8"/>
    <w:rsid w:val="00B06B9D"/>
    <w:rsid w:val="00B06F50"/>
    <w:rsid w:val="00B07F33"/>
    <w:rsid w:val="00B10C85"/>
    <w:rsid w:val="00B11190"/>
    <w:rsid w:val="00B11695"/>
    <w:rsid w:val="00B11E6C"/>
    <w:rsid w:val="00B12423"/>
    <w:rsid w:val="00B13811"/>
    <w:rsid w:val="00B152E8"/>
    <w:rsid w:val="00B156E0"/>
    <w:rsid w:val="00B15946"/>
    <w:rsid w:val="00B16BE5"/>
    <w:rsid w:val="00B16DA0"/>
    <w:rsid w:val="00B17EBD"/>
    <w:rsid w:val="00B20089"/>
    <w:rsid w:val="00B20827"/>
    <w:rsid w:val="00B22A3B"/>
    <w:rsid w:val="00B22DB9"/>
    <w:rsid w:val="00B23459"/>
    <w:rsid w:val="00B23FBA"/>
    <w:rsid w:val="00B244B8"/>
    <w:rsid w:val="00B2518E"/>
    <w:rsid w:val="00B25928"/>
    <w:rsid w:val="00B25AC1"/>
    <w:rsid w:val="00B262DC"/>
    <w:rsid w:val="00B264FC"/>
    <w:rsid w:val="00B27DCA"/>
    <w:rsid w:val="00B303A1"/>
    <w:rsid w:val="00B31DC8"/>
    <w:rsid w:val="00B322C4"/>
    <w:rsid w:val="00B32430"/>
    <w:rsid w:val="00B330FB"/>
    <w:rsid w:val="00B332C0"/>
    <w:rsid w:val="00B33426"/>
    <w:rsid w:val="00B33C4B"/>
    <w:rsid w:val="00B3592A"/>
    <w:rsid w:val="00B35BBB"/>
    <w:rsid w:val="00B362BC"/>
    <w:rsid w:val="00B37197"/>
    <w:rsid w:val="00B4111C"/>
    <w:rsid w:val="00B4112D"/>
    <w:rsid w:val="00B41192"/>
    <w:rsid w:val="00B412FA"/>
    <w:rsid w:val="00B413DB"/>
    <w:rsid w:val="00B41D17"/>
    <w:rsid w:val="00B42120"/>
    <w:rsid w:val="00B429FE"/>
    <w:rsid w:val="00B42D50"/>
    <w:rsid w:val="00B43468"/>
    <w:rsid w:val="00B43E40"/>
    <w:rsid w:val="00B4406F"/>
    <w:rsid w:val="00B441BF"/>
    <w:rsid w:val="00B470BE"/>
    <w:rsid w:val="00B47150"/>
    <w:rsid w:val="00B47CD7"/>
    <w:rsid w:val="00B50D6C"/>
    <w:rsid w:val="00B50E66"/>
    <w:rsid w:val="00B51C17"/>
    <w:rsid w:val="00B52C93"/>
    <w:rsid w:val="00B52D65"/>
    <w:rsid w:val="00B52EAB"/>
    <w:rsid w:val="00B53493"/>
    <w:rsid w:val="00B53C6D"/>
    <w:rsid w:val="00B53DEE"/>
    <w:rsid w:val="00B541C5"/>
    <w:rsid w:val="00B54912"/>
    <w:rsid w:val="00B559B0"/>
    <w:rsid w:val="00B55EF5"/>
    <w:rsid w:val="00B5676D"/>
    <w:rsid w:val="00B579D3"/>
    <w:rsid w:val="00B6070C"/>
    <w:rsid w:val="00B60F11"/>
    <w:rsid w:val="00B6181C"/>
    <w:rsid w:val="00B62208"/>
    <w:rsid w:val="00B62BA2"/>
    <w:rsid w:val="00B62C53"/>
    <w:rsid w:val="00B63048"/>
    <w:rsid w:val="00B63238"/>
    <w:rsid w:val="00B632DD"/>
    <w:rsid w:val="00B63811"/>
    <w:rsid w:val="00B642CF"/>
    <w:rsid w:val="00B65433"/>
    <w:rsid w:val="00B66A59"/>
    <w:rsid w:val="00B67BF7"/>
    <w:rsid w:val="00B67F56"/>
    <w:rsid w:val="00B67F72"/>
    <w:rsid w:val="00B70491"/>
    <w:rsid w:val="00B70A5A"/>
    <w:rsid w:val="00B71315"/>
    <w:rsid w:val="00B7138C"/>
    <w:rsid w:val="00B71657"/>
    <w:rsid w:val="00B73050"/>
    <w:rsid w:val="00B73495"/>
    <w:rsid w:val="00B73AA1"/>
    <w:rsid w:val="00B74A52"/>
    <w:rsid w:val="00B75814"/>
    <w:rsid w:val="00B75A09"/>
    <w:rsid w:val="00B773FB"/>
    <w:rsid w:val="00B77EFE"/>
    <w:rsid w:val="00B801A9"/>
    <w:rsid w:val="00B80C60"/>
    <w:rsid w:val="00B810EF"/>
    <w:rsid w:val="00B81B09"/>
    <w:rsid w:val="00B82C38"/>
    <w:rsid w:val="00B82D44"/>
    <w:rsid w:val="00B8318E"/>
    <w:rsid w:val="00B83218"/>
    <w:rsid w:val="00B838A6"/>
    <w:rsid w:val="00B83E66"/>
    <w:rsid w:val="00B84ABC"/>
    <w:rsid w:val="00B857D3"/>
    <w:rsid w:val="00B85C8C"/>
    <w:rsid w:val="00B85DE8"/>
    <w:rsid w:val="00B85EC4"/>
    <w:rsid w:val="00B87721"/>
    <w:rsid w:val="00B9039F"/>
    <w:rsid w:val="00B903DF"/>
    <w:rsid w:val="00B90B96"/>
    <w:rsid w:val="00B91321"/>
    <w:rsid w:val="00B91B87"/>
    <w:rsid w:val="00B92EF6"/>
    <w:rsid w:val="00B93F92"/>
    <w:rsid w:val="00B94320"/>
    <w:rsid w:val="00B9573B"/>
    <w:rsid w:val="00B965E1"/>
    <w:rsid w:val="00B96CE4"/>
    <w:rsid w:val="00B979A8"/>
    <w:rsid w:val="00BA01AF"/>
    <w:rsid w:val="00BA1054"/>
    <w:rsid w:val="00BA124D"/>
    <w:rsid w:val="00BA1874"/>
    <w:rsid w:val="00BA2C6C"/>
    <w:rsid w:val="00BA2EBB"/>
    <w:rsid w:val="00BA32C5"/>
    <w:rsid w:val="00BA42BC"/>
    <w:rsid w:val="00BA5AAD"/>
    <w:rsid w:val="00BA695B"/>
    <w:rsid w:val="00BA6CD6"/>
    <w:rsid w:val="00BB0B03"/>
    <w:rsid w:val="00BB0D85"/>
    <w:rsid w:val="00BB190C"/>
    <w:rsid w:val="00BB216D"/>
    <w:rsid w:val="00BB2B49"/>
    <w:rsid w:val="00BB2FC4"/>
    <w:rsid w:val="00BB380A"/>
    <w:rsid w:val="00BB3A48"/>
    <w:rsid w:val="00BB4225"/>
    <w:rsid w:val="00BB4549"/>
    <w:rsid w:val="00BB488C"/>
    <w:rsid w:val="00BB5550"/>
    <w:rsid w:val="00BB5DF8"/>
    <w:rsid w:val="00BB712D"/>
    <w:rsid w:val="00BC316B"/>
    <w:rsid w:val="00BC3507"/>
    <w:rsid w:val="00BC4727"/>
    <w:rsid w:val="00BC483F"/>
    <w:rsid w:val="00BC4A1F"/>
    <w:rsid w:val="00BC4C1A"/>
    <w:rsid w:val="00BC4FDD"/>
    <w:rsid w:val="00BC54B6"/>
    <w:rsid w:val="00BC5802"/>
    <w:rsid w:val="00BC634A"/>
    <w:rsid w:val="00BC69BF"/>
    <w:rsid w:val="00BC7512"/>
    <w:rsid w:val="00BC7CF0"/>
    <w:rsid w:val="00BD0067"/>
    <w:rsid w:val="00BD0377"/>
    <w:rsid w:val="00BD0437"/>
    <w:rsid w:val="00BD12D1"/>
    <w:rsid w:val="00BD2265"/>
    <w:rsid w:val="00BD263D"/>
    <w:rsid w:val="00BD3E2F"/>
    <w:rsid w:val="00BD4831"/>
    <w:rsid w:val="00BD5CBB"/>
    <w:rsid w:val="00BD6279"/>
    <w:rsid w:val="00BD65BF"/>
    <w:rsid w:val="00BD6A8C"/>
    <w:rsid w:val="00BD6D25"/>
    <w:rsid w:val="00BD7BF2"/>
    <w:rsid w:val="00BD7D40"/>
    <w:rsid w:val="00BE0CC5"/>
    <w:rsid w:val="00BE1FEC"/>
    <w:rsid w:val="00BE2006"/>
    <w:rsid w:val="00BE2535"/>
    <w:rsid w:val="00BE2785"/>
    <w:rsid w:val="00BE286B"/>
    <w:rsid w:val="00BE35A1"/>
    <w:rsid w:val="00BE4283"/>
    <w:rsid w:val="00BE5017"/>
    <w:rsid w:val="00BE5917"/>
    <w:rsid w:val="00BE5A00"/>
    <w:rsid w:val="00BE653D"/>
    <w:rsid w:val="00BE659E"/>
    <w:rsid w:val="00BE67C4"/>
    <w:rsid w:val="00BE6ECC"/>
    <w:rsid w:val="00BE7D95"/>
    <w:rsid w:val="00BE7F24"/>
    <w:rsid w:val="00BF07CE"/>
    <w:rsid w:val="00BF12A5"/>
    <w:rsid w:val="00BF1B07"/>
    <w:rsid w:val="00BF1D14"/>
    <w:rsid w:val="00BF1E5D"/>
    <w:rsid w:val="00BF2131"/>
    <w:rsid w:val="00BF3AAE"/>
    <w:rsid w:val="00BF4CBA"/>
    <w:rsid w:val="00BF6538"/>
    <w:rsid w:val="00BF6D88"/>
    <w:rsid w:val="00BF7540"/>
    <w:rsid w:val="00BF769E"/>
    <w:rsid w:val="00C0086D"/>
    <w:rsid w:val="00C01A95"/>
    <w:rsid w:val="00C025FC"/>
    <w:rsid w:val="00C02857"/>
    <w:rsid w:val="00C02B4F"/>
    <w:rsid w:val="00C03440"/>
    <w:rsid w:val="00C0361A"/>
    <w:rsid w:val="00C0392C"/>
    <w:rsid w:val="00C045AB"/>
    <w:rsid w:val="00C045C1"/>
    <w:rsid w:val="00C05F01"/>
    <w:rsid w:val="00C0667D"/>
    <w:rsid w:val="00C06965"/>
    <w:rsid w:val="00C100D9"/>
    <w:rsid w:val="00C1155D"/>
    <w:rsid w:val="00C1207E"/>
    <w:rsid w:val="00C1237D"/>
    <w:rsid w:val="00C124D0"/>
    <w:rsid w:val="00C12736"/>
    <w:rsid w:val="00C1274B"/>
    <w:rsid w:val="00C127D9"/>
    <w:rsid w:val="00C13DA8"/>
    <w:rsid w:val="00C14AF6"/>
    <w:rsid w:val="00C1507B"/>
    <w:rsid w:val="00C158E9"/>
    <w:rsid w:val="00C15C61"/>
    <w:rsid w:val="00C15FC3"/>
    <w:rsid w:val="00C16242"/>
    <w:rsid w:val="00C16541"/>
    <w:rsid w:val="00C17045"/>
    <w:rsid w:val="00C170D4"/>
    <w:rsid w:val="00C17C4B"/>
    <w:rsid w:val="00C20447"/>
    <w:rsid w:val="00C2092E"/>
    <w:rsid w:val="00C20E50"/>
    <w:rsid w:val="00C2128C"/>
    <w:rsid w:val="00C212F5"/>
    <w:rsid w:val="00C21D6A"/>
    <w:rsid w:val="00C228D5"/>
    <w:rsid w:val="00C22E33"/>
    <w:rsid w:val="00C23F43"/>
    <w:rsid w:val="00C2484B"/>
    <w:rsid w:val="00C24A3F"/>
    <w:rsid w:val="00C24A8B"/>
    <w:rsid w:val="00C24C78"/>
    <w:rsid w:val="00C24D48"/>
    <w:rsid w:val="00C24FF4"/>
    <w:rsid w:val="00C2534D"/>
    <w:rsid w:val="00C25D1B"/>
    <w:rsid w:val="00C2763C"/>
    <w:rsid w:val="00C321EA"/>
    <w:rsid w:val="00C32640"/>
    <w:rsid w:val="00C3351A"/>
    <w:rsid w:val="00C33703"/>
    <w:rsid w:val="00C35467"/>
    <w:rsid w:val="00C356BD"/>
    <w:rsid w:val="00C35F74"/>
    <w:rsid w:val="00C3607C"/>
    <w:rsid w:val="00C3639E"/>
    <w:rsid w:val="00C36FEB"/>
    <w:rsid w:val="00C3712F"/>
    <w:rsid w:val="00C37B9A"/>
    <w:rsid w:val="00C37BAA"/>
    <w:rsid w:val="00C37BBD"/>
    <w:rsid w:val="00C40757"/>
    <w:rsid w:val="00C40775"/>
    <w:rsid w:val="00C407C2"/>
    <w:rsid w:val="00C40FB9"/>
    <w:rsid w:val="00C41381"/>
    <w:rsid w:val="00C42E73"/>
    <w:rsid w:val="00C4308C"/>
    <w:rsid w:val="00C43168"/>
    <w:rsid w:val="00C431CF"/>
    <w:rsid w:val="00C43707"/>
    <w:rsid w:val="00C43802"/>
    <w:rsid w:val="00C448C7"/>
    <w:rsid w:val="00C45128"/>
    <w:rsid w:val="00C45241"/>
    <w:rsid w:val="00C457FE"/>
    <w:rsid w:val="00C45B44"/>
    <w:rsid w:val="00C45ECE"/>
    <w:rsid w:val="00C46B5A"/>
    <w:rsid w:val="00C46CDF"/>
    <w:rsid w:val="00C46E1F"/>
    <w:rsid w:val="00C470CC"/>
    <w:rsid w:val="00C47263"/>
    <w:rsid w:val="00C51567"/>
    <w:rsid w:val="00C51B4B"/>
    <w:rsid w:val="00C52424"/>
    <w:rsid w:val="00C52CB0"/>
    <w:rsid w:val="00C534B5"/>
    <w:rsid w:val="00C535EA"/>
    <w:rsid w:val="00C53885"/>
    <w:rsid w:val="00C5560C"/>
    <w:rsid w:val="00C55F13"/>
    <w:rsid w:val="00C578C8"/>
    <w:rsid w:val="00C57E4E"/>
    <w:rsid w:val="00C60A7C"/>
    <w:rsid w:val="00C619C2"/>
    <w:rsid w:val="00C61F73"/>
    <w:rsid w:val="00C633E1"/>
    <w:rsid w:val="00C6344C"/>
    <w:rsid w:val="00C63FDB"/>
    <w:rsid w:val="00C64810"/>
    <w:rsid w:val="00C64E12"/>
    <w:rsid w:val="00C657DC"/>
    <w:rsid w:val="00C658AD"/>
    <w:rsid w:val="00C65D89"/>
    <w:rsid w:val="00C65E31"/>
    <w:rsid w:val="00C664B8"/>
    <w:rsid w:val="00C671A6"/>
    <w:rsid w:val="00C675EB"/>
    <w:rsid w:val="00C70433"/>
    <w:rsid w:val="00C70975"/>
    <w:rsid w:val="00C70B6E"/>
    <w:rsid w:val="00C710D5"/>
    <w:rsid w:val="00C71186"/>
    <w:rsid w:val="00C71201"/>
    <w:rsid w:val="00C712D1"/>
    <w:rsid w:val="00C71731"/>
    <w:rsid w:val="00C71A2D"/>
    <w:rsid w:val="00C73093"/>
    <w:rsid w:val="00C734D0"/>
    <w:rsid w:val="00C738B1"/>
    <w:rsid w:val="00C742E1"/>
    <w:rsid w:val="00C764D1"/>
    <w:rsid w:val="00C76B97"/>
    <w:rsid w:val="00C8054B"/>
    <w:rsid w:val="00C817C8"/>
    <w:rsid w:val="00C82735"/>
    <w:rsid w:val="00C831CE"/>
    <w:rsid w:val="00C834C3"/>
    <w:rsid w:val="00C8409F"/>
    <w:rsid w:val="00C84492"/>
    <w:rsid w:val="00C84599"/>
    <w:rsid w:val="00C850F3"/>
    <w:rsid w:val="00C85470"/>
    <w:rsid w:val="00C85F5A"/>
    <w:rsid w:val="00C877B8"/>
    <w:rsid w:val="00C878C0"/>
    <w:rsid w:val="00C91991"/>
    <w:rsid w:val="00C924DD"/>
    <w:rsid w:val="00C929A5"/>
    <w:rsid w:val="00C92CD0"/>
    <w:rsid w:val="00C939CA"/>
    <w:rsid w:val="00C9417E"/>
    <w:rsid w:val="00C942DD"/>
    <w:rsid w:val="00C94B22"/>
    <w:rsid w:val="00C95123"/>
    <w:rsid w:val="00C956E3"/>
    <w:rsid w:val="00C959AC"/>
    <w:rsid w:val="00C95E65"/>
    <w:rsid w:val="00C962B5"/>
    <w:rsid w:val="00C97036"/>
    <w:rsid w:val="00C9745A"/>
    <w:rsid w:val="00C97A51"/>
    <w:rsid w:val="00C97DB7"/>
    <w:rsid w:val="00CA0703"/>
    <w:rsid w:val="00CA0E08"/>
    <w:rsid w:val="00CA1446"/>
    <w:rsid w:val="00CA1C57"/>
    <w:rsid w:val="00CA4541"/>
    <w:rsid w:val="00CA4E06"/>
    <w:rsid w:val="00CA4E94"/>
    <w:rsid w:val="00CA5324"/>
    <w:rsid w:val="00CA6B90"/>
    <w:rsid w:val="00CA6E88"/>
    <w:rsid w:val="00CA7AE8"/>
    <w:rsid w:val="00CA7B8D"/>
    <w:rsid w:val="00CB0195"/>
    <w:rsid w:val="00CB1E0E"/>
    <w:rsid w:val="00CB1F58"/>
    <w:rsid w:val="00CB2C18"/>
    <w:rsid w:val="00CB3549"/>
    <w:rsid w:val="00CB3A79"/>
    <w:rsid w:val="00CB4B88"/>
    <w:rsid w:val="00CB68D1"/>
    <w:rsid w:val="00CB6BE2"/>
    <w:rsid w:val="00CB6D55"/>
    <w:rsid w:val="00CC03C9"/>
    <w:rsid w:val="00CC1ABD"/>
    <w:rsid w:val="00CC2BA4"/>
    <w:rsid w:val="00CC4262"/>
    <w:rsid w:val="00CC42DB"/>
    <w:rsid w:val="00CC4EF0"/>
    <w:rsid w:val="00CC5E8C"/>
    <w:rsid w:val="00CC65A5"/>
    <w:rsid w:val="00CC65FB"/>
    <w:rsid w:val="00CD082A"/>
    <w:rsid w:val="00CD086B"/>
    <w:rsid w:val="00CD0941"/>
    <w:rsid w:val="00CD1877"/>
    <w:rsid w:val="00CD1DBE"/>
    <w:rsid w:val="00CD1ED5"/>
    <w:rsid w:val="00CD2920"/>
    <w:rsid w:val="00CD29EC"/>
    <w:rsid w:val="00CD39F0"/>
    <w:rsid w:val="00CD3DD7"/>
    <w:rsid w:val="00CD46F7"/>
    <w:rsid w:val="00CD4B75"/>
    <w:rsid w:val="00CD5346"/>
    <w:rsid w:val="00CD598A"/>
    <w:rsid w:val="00CD6916"/>
    <w:rsid w:val="00CE0AEC"/>
    <w:rsid w:val="00CE2176"/>
    <w:rsid w:val="00CE24E7"/>
    <w:rsid w:val="00CE263F"/>
    <w:rsid w:val="00CE2677"/>
    <w:rsid w:val="00CE2A4F"/>
    <w:rsid w:val="00CE3B65"/>
    <w:rsid w:val="00CE4B4E"/>
    <w:rsid w:val="00CE6850"/>
    <w:rsid w:val="00CE6BD2"/>
    <w:rsid w:val="00CE6C20"/>
    <w:rsid w:val="00CE7398"/>
    <w:rsid w:val="00CE7A7C"/>
    <w:rsid w:val="00CF0C5C"/>
    <w:rsid w:val="00CF10BA"/>
    <w:rsid w:val="00CF164E"/>
    <w:rsid w:val="00CF2DA1"/>
    <w:rsid w:val="00CF2EC6"/>
    <w:rsid w:val="00CF32A9"/>
    <w:rsid w:val="00CF33A3"/>
    <w:rsid w:val="00CF3570"/>
    <w:rsid w:val="00CF3D74"/>
    <w:rsid w:val="00CF450F"/>
    <w:rsid w:val="00CF4682"/>
    <w:rsid w:val="00CF4FAD"/>
    <w:rsid w:val="00CF5B9F"/>
    <w:rsid w:val="00CF67DF"/>
    <w:rsid w:val="00CF71AB"/>
    <w:rsid w:val="00CF72D5"/>
    <w:rsid w:val="00CF79F2"/>
    <w:rsid w:val="00D009C6"/>
    <w:rsid w:val="00D00A0E"/>
    <w:rsid w:val="00D00E27"/>
    <w:rsid w:val="00D01749"/>
    <w:rsid w:val="00D01C1E"/>
    <w:rsid w:val="00D01D9B"/>
    <w:rsid w:val="00D02149"/>
    <w:rsid w:val="00D02A89"/>
    <w:rsid w:val="00D02E37"/>
    <w:rsid w:val="00D0309C"/>
    <w:rsid w:val="00D039EA"/>
    <w:rsid w:val="00D03CC6"/>
    <w:rsid w:val="00D03D47"/>
    <w:rsid w:val="00D03DC5"/>
    <w:rsid w:val="00D04083"/>
    <w:rsid w:val="00D04801"/>
    <w:rsid w:val="00D04CF5"/>
    <w:rsid w:val="00D054A8"/>
    <w:rsid w:val="00D05657"/>
    <w:rsid w:val="00D05E06"/>
    <w:rsid w:val="00D05F25"/>
    <w:rsid w:val="00D062BE"/>
    <w:rsid w:val="00D064DE"/>
    <w:rsid w:val="00D06A4B"/>
    <w:rsid w:val="00D06C66"/>
    <w:rsid w:val="00D10B88"/>
    <w:rsid w:val="00D11462"/>
    <w:rsid w:val="00D11823"/>
    <w:rsid w:val="00D12830"/>
    <w:rsid w:val="00D133E7"/>
    <w:rsid w:val="00D13A7B"/>
    <w:rsid w:val="00D13CC0"/>
    <w:rsid w:val="00D13E5F"/>
    <w:rsid w:val="00D141CE"/>
    <w:rsid w:val="00D1423C"/>
    <w:rsid w:val="00D144AE"/>
    <w:rsid w:val="00D14D5F"/>
    <w:rsid w:val="00D15754"/>
    <w:rsid w:val="00D16389"/>
    <w:rsid w:val="00D16602"/>
    <w:rsid w:val="00D17376"/>
    <w:rsid w:val="00D17A58"/>
    <w:rsid w:val="00D20C36"/>
    <w:rsid w:val="00D21364"/>
    <w:rsid w:val="00D21491"/>
    <w:rsid w:val="00D21993"/>
    <w:rsid w:val="00D21A50"/>
    <w:rsid w:val="00D21F67"/>
    <w:rsid w:val="00D22E29"/>
    <w:rsid w:val="00D23616"/>
    <w:rsid w:val="00D23B33"/>
    <w:rsid w:val="00D2455B"/>
    <w:rsid w:val="00D268FD"/>
    <w:rsid w:val="00D26BEA"/>
    <w:rsid w:val="00D26EA3"/>
    <w:rsid w:val="00D31436"/>
    <w:rsid w:val="00D32AEF"/>
    <w:rsid w:val="00D33449"/>
    <w:rsid w:val="00D33732"/>
    <w:rsid w:val="00D33EC5"/>
    <w:rsid w:val="00D34CA4"/>
    <w:rsid w:val="00D34DB6"/>
    <w:rsid w:val="00D37801"/>
    <w:rsid w:val="00D378AA"/>
    <w:rsid w:val="00D40A0E"/>
    <w:rsid w:val="00D40B40"/>
    <w:rsid w:val="00D40C57"/>
    <w:rsid w:val="00D40E31"/>
    <w:rsid w:val="00D40FD4"/>
    <w:rsid w:val="00D41251"/>
    <w:rsid w:val="00D41567"/>
    <w:rsid w:val="00D4276B"/>
    <w:rsid w:val="00D42AE8"/>
    <w:rsid w:val="00D433AA"/>
    <w:rsid w:val="00D44E32"/>
    <w:rsid w:val="00D45E6E"/>
    <w:rsid w:val="00D46DF2"/>
    <w:rsid w:val="00D47741"/>
    <w:rsid w:val="00D47A78"/>
    <w:rsid w:val="00D47B49"/>
    <w:rsid w:val="00D47BDE"/>
    <w:rsid w:val="00D47D64"/>
    <w:rsid w:val="00D5060F"/>
    <w:rsid w:val="00D508C4"/>
    <w:rsid w:val="00D50AF4"/>
    <w:rsid w:val="00D51140"/>
    <w:rsid w:val="00D51ED1"/>
    <w:rsid w:val="00D54DB0"/>
    <w:rsid w:val="00D54FC3"/>
    <w:rsid w:val="00D54FDC"/>
    <w:rsid w:val="00D5567B"/>
    <w:rsid w:val="00D557EC"/>
    <w:rsid w:val="00D559AD"/>
    <w:rsid w:val="00D55A6F"/>
    <w:rsid w:val="00D55A9D"/>
    <w:rsid w:val="00D56139"/>
    <w:rsid w:val="00D56D48"/>
    <w:rsid w:val="00D57369"/>
    <w:rsid w:val="00D60283"/>
    <w:rsid w:val="00D60523"/>
    <w:rsid w:val="00D617F2"/>
    <w:rsid w:val="00D61EC0"/>
    <w:rsid w:val="00D62A97"/>
    <w:rsid w:val="00D6350B"/>
    <w:rsid w:val="00D6358F"/>
    <w:rsid w:val="00D64150"/>
    <w:rsid w:val="00D64293"/>
    <w:rsid w:val="00D65230"/>
    <w:rsid w:val="00D65DF7"/>
    <w:rsid w:val="00D665A2"/>
    <w:rsid w:val="00D66EEF"/>
    <w:rsid w:val="00D67270"/>
    <w:rsid w:val="00D673EC"/>
    <w:rsid w:val="00D70340"/>
    <w:rsid w:val="00D7074A"/>
    <w:rsid w:val="00D70A3F"/>
    <w:rsid w:val="00D70D76"/>
    <w:rsid w:val="00D71159"/>
    <w:rsid w:val="00D719A4"/>
    <w:rsid w:val="00D719AE"/>
    <w:rsid w:val="00D71E32"/>
    <w:rsid w:val="00D720FC"/>
    <w:rsid w:val="00D74622"/>
    <w:rsid w:val="00D7493D"/>
    <w:rsid w:val="00D75A15"/>
    <w:rsid w:val="00D76346"/>
    <w:rsid w:val="00D80F39"/>
    <w:rsid w:val="00D81017"/>
    <w:rsid w:val="00D8217A"/>
    <w:rsid w:val="00D835AC"/>
    <w:rsid w:val="00D83843"/>
    <w:rsid w:val="00D841C5"/>
    <w:rsid w:val="00D84611"/>
    <w:rsid w:val="00D856D5"/>
    <w:rsid w:val="00D87CDE"/>
    <w:rsid w:val="00D903BE"/>
    <w:rsid w:val="00D90640"/>
    <w:rsid w:val="00D9294C"/>
    <w:rsid w:val="00D9344E"/>
    <w:rsid w:val="00D95161"/>
    <w:rsid w:val="00D9568C"/>
    <w:rsid w:val="00D96039"/>
    <w:rsid w:val="00D96CDE"/>
    <w:rsid w:val="00D96F03"/>
    <w:rsid w:val="00D96FF0"/>
    <w:rsid w:val="00D9783D"/>
    <w:rsid w:val="00D97902"/>
    <w:rsid w:val="00D97F74"/>
    <w:rsid w:val="00DA29F2"/>
    <w:rsid w:val="00DA3244"/>
    <w:rsid w:val="00DA4319"/>
    <w:rsid w:val="00DA5145"/>
    <w:rsid w:val="00DA5F42"/>
    <w:rsid w:val="00DA61D6"/>
    <w:rsid w:val="00DA6993"/>
    <w:rsid w:val="00DA6A03"/>
    <w:rsid w:val="00DB1623"/>
    <w:rsid w:val="00DB1854"/>
    <w:rsid w:val="00DB194F"/>
    <w:rsid w:val="00DB3AAA"/>
    <w:rsid w:val="00DB457F"/>
    <w:rsid w:val="00DB4B87"/>
    <w:rsid w:val="00DB4BDD"/>
    <w:rsid w:val="00DB5430"/>
    <w:rsid w:val="00DB54DB"/>
    <w:rsid w:val="00DB5E9B"/>
    <w:rsid w:val="00DB649E"/>
    <w:rsid w:val="00DB7293"/>
    <w:rsid w:val="00DB7819"/>
    <w:rsid w:val="00DC027C"/>
    <w:rsid w:val="00DC0E78"/>
    <w:rsid w:val="00DC0F30"/>
    <w:rsid w:val="00DC1255"/>
    <w:rsid w:val="00DC2193"/>
    <w:rsid w:val="00DC22E6"/>
    <w:rsid w:val="00DC3959"/>
    <w:rsid w:val="00DC3A0E"/>
    <w:rsid w:val="00DC3A67"/>
    <w:rsid w:val="00DC4F4E"/>
    <w:rsid w:val="00DC5B22"/>
    <w:rsid w:val="00DC5B79"/>
    <w:rsid w:val="00DC5DDF"/>
    <w:rsid w:val="00DC6831"/>
    <w:rsid w:val="00DC7042"/>
    <w:rsid w:val="00DD06AE"/>
    <w:rsid w:val="00DD0FF4"/>
    <w:rsid w:val="00DD1863"/>
    <w:rsid w:val="00DD1E4B"/>
    <w:rsid w:val="00DD2BB0"/>
    <w:rsid w:val="00DD3EFF"/>
    <w:rsid w:val="00DD4D2A"/>
    <w:rsid w:val="00DD6461"/>
    <w:rsid w:val="00DD70B8"/>
    <w:rsid w:val="00DE00C6"/>
    <w:rsid w:val="00DE05FC"/>
    <w:rsid w:val="00DE0D06"/>
    <w:rsid w:val="00DE1239"/>
    <w:rsid w:val="00DE135C"/>
    <w:rsid w:val="00DE1DCE"/>
    <w:rsid w:val="00DE2290"/>
    <w:rsid w:val="00DE235F"/>
    <w:rsid w:val="00DE344E"/>
    <w:rsid w:val="00DE35EB"/>
    <w:rsid w:val="00DE3B87"/>
    <w:rsid w:val="00DE3F1E"/>
    <w:rsid w:val="00DE4797"/>
    <w:rsid w:val="00DE4F30"/>
    <w:rsid w:val="00DE56B4"/>
    <w:rsid w:val="00DE5F4A"/>
    <w:rsid w:val="00DE62DC"/>
    <w:rsid w:val="00DE7029"/>
    <w:rsid w:val="00DF11A8"/>
    <w:rsid w:val="00DF352D"/>
    <w:rsid w:val="00DF380D"/>
    <w:rsid w:val="00DF3E09"/>
    <w:rsid w:val="00DF46FD"/>
    <w:rsid w:val="00DF5FA7"/>
    <w:rsid w:val="00DF6464"/>
    <w:rsid w:val="00DF68AE"/>
    <w:rsid w:val="00E00EB5"/>
    <w:rsid w:val="00E01CFE"/>
    <w:rsid w:val="00E01D82"/>
    <w:rsid w:val="00E023C9"/>
    <w:rsid w:val="00E02571"/>
    <w:rsid w:val="00E02BDB"/>
    <w:rsid w:val="00E03040"/>
    <w:rsid w:val="00E04AF5"/>
    <w:rsid w:val="00E04DBA"/>
    <w:rsid w:val="00E067B5"/>
    <w:rsid w:val="00E067E2"/>
    <w:rsid w:val="00E068D4"/>
    <w:rsid w:val="00E0717A"/>
    <w:rsid w:val="00E07692"/>
    <w:rsid w:val="00E07AB3"/>
    <w:rsid w:val="00E07D1F"/>
    <w:rsid w:val="00E07E5B"/>
    <w:rsid w:val="00E10444"/>
    <w:rsid w:val="00E106F0"/>
    <w:rsid w:val="00E117E8"/>
    <w:rsid w:val="00E11976"/>
    <w:rsid w:val="00E11D19"/>
    <w:rsid w:val="00E11F07"/>
    <w:rsid w:val="00E1237A"/>
    <w:rsid w:val="00E1479A"/>
    <w:rsid w:val="00E169CB"/>
    <w:rsid w:val="00E16E45"/>
    <w:rsid w:val="00E2021D"/>
    <w:rsid w:val="00E2030D"/>
    <w:rsid w:val="00E20A9E"/>
    <w:rsid w:val="00E21655"/>
    <w:rsid w:val="00E21D4C"/>
    <w:rsid w:val="00E22444"/>
    <w:rsid w:val="00E22D24"/>
    <w:rsid w:val="00E22D39"/>
    <w:rsid w:val="00E22FF6"/>
    <w:rsid w:val="00E24950"/>
    <w:rsid w:val="00E24F77"/>
    <w:rsid w:val="00E25EBE"/>
    <w:rsid w:val="00E27769"/>
    <w:rsid w:val="00E27838"/>
    <w:rsid w:val="00E27CA3"/>
    <w:rsid w:val="00E27E99"/>
    <w:rsid w:val="00E301D5"/>
    <w:rsid w:val="00E30AB5"/>
    <w:rsid w:val="00E31072"/>
    <w:rsid w:val="00E31F58"/>
    <w:rsid w:val="00E321E9"/>
    <w:rsid w:val="00E3257C"/>
    <w:rsid w:val="00E32AD1"/>
    <w:rsid w:val="00E32B7C"/>
    <w:rsid w:val="00E32C8C"/>
    <w:rsid w:val="00E357DC"/>
    <w:rsid w:val="00E373F7"/>
    <w:rsid w:val="00E37A91"/>
    <w:rsid w:val="00E37C35"/>
    <w:rsid w:val="00E402A3"/>
    <w:rsid w:val="00E4035E"/>
    <w:rsid w:val="00E408C8"/>
    <w:rsid w:val="00E40B3C"/>
    <w:rsid w:val="00E41426"/>
    <w:rsid w:val="00E41B09"/>
    <w:rsid w:val="00E41EBD"/>
    <w:rsid w:val="00E41EC4"/>
    <w:rsid w:val="00E41FE0"/>
    <w:rsid w:val="00E430A0"/>
    <w:rsid w:val="00E43267"/>
    <w:rsid w:val="00E43285"/>
    <w:rsid w:val="00E4359C"/>
    <w:rsid w:val="00E43DB8"/>
    <w:rsid w:val="00E45956"/>
    <w:rsid w:val="00E45FA5"/>
    <w:rsid w:val="00E4736E"/>
    <w:rsid w:val="00E473B4"/>
    <w:rsid w:val="00E50035"/>
    <w:rsid w:val="00E512AF"/>
    <w:rsid w:val="00E513CE"/>
    <w:rsid w:val="00E51BEF"/>
    <w:rsid w:val="00E52198"/>
    <w:rsid w:val="00E52A48"/>
    <w:rsid w:val="00E52EFA"/>
    <w:rsid w:val="00E5382B"/>
    <w:rsid w:val="00E544E4"/>
    <w:rsid w:val="00E5564E"/>
    <w:rsid w:val="00E561C5"/>
    <w:rsid w:val="00E56DAA"/>
    <w:rsid w:val="00E56EEA"/>
    <w:rsid w:val="00E57322"/>
    <w:rsid w:val="00E60262"/>
    <w:rsid w:val="00E60599"/>
    <w:rsid w:val="00E60D8C"/>
    <w:rsid w:val="00E6101F"/>
    <w:rsid w:val="00E622EB"/>
    <w:rsid w:val="00E628A1"/>
    <w:rsid w:val="00E637C7"/>
    <w:rsid w:val="00E64844"/>
    <w:rsid w:val="00E64B79"/>
    <w:rsid w:val="00E65038"/>
    <w:rsid w:val="00E651F0"/>
    <w:rsid w:val="00E653EA"/>
    <w:rsid w:val="00E66040"/>
    <w:rsid w:val="00E66098"/>
    <w:rsid w:val="00E6649B"/>
    <w:rsid w:val="00E66527"/>
    <w:rsid w:val="00E66B0D"/>
    <w:rsid w:val="00E6774C"/>
    <w:rsid w:val="00E67961"/>
    <w:rsid w:val="00E70F6F"/>
    <w:rsid w:val="00E70FCF"/>
    <w:rsid w:val="00E7126C"/>
    <w:rsid w:val="00E719A8"/>
    <w:rsid w:val="00E72CDB"/>
    <w:rsid w:val="00E74253"/>
    <w:rsid w:val="00E74668"/>
    <w:rsid w:val="00E752B0"/>
    <w:rsid w:val="00E80104"/>
    <w:rsid w:val="00E80392"/>
    <w:rsid w:val="00E841F8"/>
    <w:rsid w:val="00E84272"/>
    <w:rsid w:val="00E8455D"/>
    <w:rsid w:val="00E845BD"/>
    <w:rsid w:val="00E852E2"/>
    <w:rsid w:val="00E8545D"/>
    <w:rsid w:val="00E856D8"/>
    <w:rsid w:val="00E85B2A"/>
    <w:rsid w:val="00E85CE5"/>
    <w:rsid w:val="00E86B5F"/>
    <w:rsid w:val="00E873ED"/>
    <w:rsid w:val="00E87F6A"/>
    <w:rsid w:val="00E9008B"/>
    <w:rsid w:val="00E9027C"/>
    <w:rsid w:val="00E91421"/>
    <w:rsid w:val="00E915EA"/>
    <w:rsid w:val="00E916C2"/>
    <w:rsid w:val="00E91912"/>
    <w:rsid w:val="00E91A0D"/>
    <w:rsid w:val="00E920CF"/>
    <w:rsid w:val="00E926D3"/>
    <w:rsid w:val="00E92D58"/>
    <w:rsid w:val="00E93814"/>
    <w:rsid w:val="00E93DD0"/>
    <w:rsid w:val="00E946D6"/>
    <w:rsid w:val="00E9474A"/>
    <w:rsid w:val="00E94B66"/>
    <w:rsid w:val="00E95E21"/>
    <w:rsid w:val="00E966A4"/>
    <w:rsid w:val="00E96BB6"/>
    <w:rsid w:val="00E973D4"/>
    <w:rsid w:val="00E97445"/>
    <w:rsid w:val="00E97925"/>
    <w:rsid w:val="00E97F9C"/>
    <w:rsid w:val="00EA0F80"/>
    <w:rsid w:val="00EA1962"/>
    <w:rsid w:val="00EA1BE1"/>
    <w:rsid w:val="00EA1C32"/>
    <w:rsid w:val="00EA2110"/>
    <w:rsid w:val="00EA2958"/>
    <w:rsid w:val="00EA33AF"/>
    <w:rsid w:val="00EA356F"/>
    <w:rsid w:val="00EA37A8"/>
    <w:rsid w:val="00EA38EB"/>
    <w:rsid w:val="00EA4782"/>
    <w:rsid w:val="00EA47E4"/>
    <w:rsid w:val="00EA73D4"/>
    <w:rsid w:val="00EA7BC3"/>
    <w:rsid w:val="00EA7D7F"/>
    <w:rsid w:val="00EB0D8B"/>
    <w:rsid w:val="00EB11E2"/>
    <w:rsid w:val="00EB20A2"/>
    <w:rsid w:val="00EB26BE"/>
    <w:rsid w:val="00EB26F1"/>
    <w:rsid w:val="00EB2A5E"/>
    <w:rsid w:val="00EB2E60"/>
    <w:rsid w:val="00EB35AC"/>
    <w:rsid w:val="00EB4129"/>
    <w:rsid w:val="00EB56F5"/>
    <w:rsid w:val="00EB5D7F"/>
    <w:rsid w:val="00EB725E"/>
    <w:rsid w:val="00EB75E6"/>
    <w:rsid w:val="00EC028D"/>
    <w:rsid w:val="00EC0449"/>
    <w:rsid w:val="00EC08A5"/>
    <w:rsid w:val="00EC0AF8"/>
    <w:rsid w:val="00EC18E8"/>
    <w:rsid w:val="00EC3000"/>
    <w:rsid w:val="00EC30E3"/>
    <w:rsid w:val="00EC3EA3"/>
    <w:rsid w:val="00EC4851"/>
    <w:rsid w:val="00EC4F35"/>
    <w:rsid w:val="00EC5319"/>
    <w:rsid w:val="00EC5567"/>
    <w:rsid w:val="00EC6E48"/>
    <w:rsid w:val="00EC7683"/>
    <w:rsid w:val="00EC7A93"/>
    <w:rsid w:val="00EC7DBC"/>
    <w:rsid w:val="00EC7FED"/>
    <w:rsid w:val="00ED0564"/>
    <w:rsid w:val="00ED2045"/>
    <w:rsid w:val="00ED2D79"/>
    <w:rsid w:val="00ED2F5E"/>
    <w:rsid w:val="00ED65B0"/>
    <w:rsid w:val="00EE210F"/>
    <w:rsid w:val="00EE24EC"/>
    <w:rsid w:val="00EE26B8"/>
    <w:rsid w:val="00EE330D"/>
    <w:rsid w:val="00EE3F0E"/>
    <w:rsid w:val="00EE4A1E"/>
    <w:rsid w:val="00EE4B5F"/>
    <w:rsid w:val="00EE54AB"/>
    <w:rsid w:val="00EE6B87"/>
    <w:rsid w:val="00EE75F8"/>
    <w:rsid w:val="00EE7A1F"/>
    <w:rsid w:val="00EE7FFB"/>
    <w:rsid w:val="00EF0D60"/>
    <w:rsid w:val="00EF1125"/>
    <w:rsid w:val="00EF1962"/>
    <w:rsid w:val="00EF2176"/>
    <w:rsid w:val="00EF399F"/>
    <w:rsid w:val="00EF5F2E"/>
    <w:rsid w:val="00EF73CB"/>
    <w:rsid w:val="00EF7E9C"/>
    <w:rsid w:val="00F000E0"/>
    <w:rsid w:val="00F0081E"/>
    <w:rsid w:val="00F008F4"/>
    <w:rsid w:val="00F0140F"/>
    <w:rsid w:val="00F01AEE"/>
    <w:rsid w:val="00F02122"/>
    <w:rsid w:val="00F0297E"/>
    <w:rsid w:val="00F03136"/>
    <w:rsid w:val="00F03C25"/>
    <w:rsid w:val="00F04141"/>
    <w:rsid w:val="00F0457C"/>
    <w:rsid w:val="00F07345"/>
    <w:rsid w:val="00F07393"/>
    <w:rsid w:val="00F077A4"/>
    <w:rsid w:val="00F0780D"/>
    <w:rsid w:val="00F102CF"/>
    <w:rsid w:val="00F119D5"/>
    <w:rsid w:val="00F12826"/>
    <w:rsid w:val="00F12C6E"/>
    <w:rsid w:val="00F1314A"/>
    <w:rsid w:val="00F13566"/>
    <w:rsid w:val="00F14662"/>
    <w:rsid w:val="00F1466A"/>
    <w:rsid w:val="00F1493E"/>
    <w:rsid w:val="00F15B7E"/>
    <w:rsid w:val="00F1600C"/>
    <w:rsid w:val="00F16D74"/>
    <w:rsid w:val="00F16DAD"/>
    <w:rsid w:val="00F176F3"/>
    <w:rsid w:val="00F20647"/>
    <w:rsid w:val="00F20741"/>
    <w:rsid w:val="00F216AB"/>
    <w:rsid w:val="00F2180C"/>
    <w:rsid w:val="00F21885"/>
    <w:rsid w:val="00F21AB8"/>
    <w:rsid w:val="00F21DF6"/>
    <w:rsid w:val="00F24276"/>
    <w:rsid w:val="00F244C9"/>
    <w:rsid w:val="00F252E1"/>
    <w:rsid w:val="00F2628E"/>
    <w:rsid w:val="00F30024"/>
    <w:rsid w:val="00F30034"/>
    <w:rsid w:val="00F311EE"/>
    <w:rsid w:val="00F322C1"/>
    <w:rsid w:val="00F3289C"/>
    <w:rsid w:val="00F32A44"/>
    <w:rsid w:val="00F33049"/>
    <w:rsid w:val="00F337DA"/>
    <w:rsid w:val="00F344B8"/>
    <w:rsid w:val="00F344EA"/>
    <w:rsid w:val="00F34ACE"/>
    <w:rsid w:val="00F35092"/>
    <w:rsid w:val="00F372A0"/>
    <w:rsid w:val="00F372FE"/>
    <w:rsid w:val="00F40D81"/>
    <w:rsid w:val="00F40E98"/>
    <w:rsid w:val="00F410C9"/>
    <w:rsid w:val="00F42031"/>
    <w:rsid w:val="00F42107"/>
    <w:rsid w:val="00F422AF"/>
    <w:rsid w:val="00F425AB"/>
    <w:rsid w:val="00F42E01"/>
    <w:rsid w:val="00F43DEA"/>
    <w:rsid w:val="00F43F70"/>
    <w:rsid w:val="00F440C6"/>
    <w:rsid w:val="00F44DCC"/>
    <w:rsid w:val="00F473AD"/>
    <w:rsid w:val="00F47A7F"/>
    <w:rsid w:val="00F50A36"/>
    <w:rsid w:val="00F51287"/>
    <w:rsid w:val="00F51368"/>
    <w:rsid w:val="00F5136C"/>
    <w:rsid w:val="00F52925"/>
    <w:rsid w:val="00F538BE"/>
    <w:rsid w:val="00F53E75"/>
    <w:rsid w:val="00F550FE"/>
    <w:rsid w:val="00F5556E"/>
    <w:rsid w:val="00F556E1"/>
    <w:rsid w:val="00F56884"/>
    <w:rsid w:val="00F56C27"/>
    <w:rsid w:val="00F5764C"/>
    <w:rsid w:val="00F60413"/>
    <w:rsid w:val="00F604CD"/>
    <w:rsid w:val="00F60ED7"/>
    <w:rsid w:val="00F616D1"/>
    <w:rsid w:val="00F61928"/>
    <w:rsid w:val="00F61B47"/>
    <w:rsid w:val="00F61D93"/>
    <w:rsid w:val="00F61EF0"/>
    <w:rsid w:val="00F622E3"/>
    <w:rsid w:val="00F64FCC"/>
    <w:rsid w:val="00F65004"/>
    <w:rsid w:val="00F65F5F"/>
    <w:rsid w:val="00F66CCF"/>
    <w:rsid w:val="00F703C6"/>
    <w:rsid w:val="00F7060A"/>
    <w:rsid w:val="00F706DB"/>
    <w:rsid w:val="00F70F50"/>
    <w:rsid w:val="00F71A1B"/>
    <w:rsid w:val="00F71DE1"/>
    <w:rsid w:val="00F72226"/>
    <w:rsid w:val="00F727CD"/>
    <w:rsid w:val="00F7329D"/>
    <w:rsid w:val="00F73C71"/>
    <w:rsid w:val="00F75131"/>
    <w:rsid w:val="00F7564C"/>
    <w:rsid w:val="00F76F34"/>
    <w:rsid w:val="00F7766C"/>
    <w:rsid w:val="00F77B04"/>
    <w:rsid w:val="00F77FC8"/>
    <w:rsid w:val="00F80648"/>
    <w:rsid w:val="00F80A0C"/>
    <w:rsid w:val="00F80EB7"/>
    <w:rsid w:val="00F81733"/>
    <w:rsid w:val="00F81DD4"/>
    <w:rsid w:val="00F83630"/>
    <w:rsid w:val="00F839DE"/>
    <w:rsid w:val="00F83E4E"/>
    <w:rsid w:val="00F84572"/>
    <w:rsid w:val="00F846C0"/>
    <w:rsid w:val="00F872B3"/>
    <w:rsid w:val="00F8743F"/>
    <w:rsid w:val="00F90576"/>
    <w:rsid w:val="00F90772"/>
    <w:rsid w:val="00F91B7F"/>
    <w:rsid w:val="00F91EC5"/>
    <w:rsid w:val="00F92061"/>
    <w:rsid w:val="00F928B4"/>
    <w:rsid w:val="00F92F4A"/>
    <w:rsid w:val="00F93AF6"/>
    <w:rsid w:val="00F93CCE"/>
    <w:rsid w:val="00F94246"/>
    <w:rsid w:val="00F943A3"/>
    <w:rsid w:val="00F948B9"/>
    <w:rsid w:val="00F94C5C"/>
    <w:rsid w:val="00F95EB9"/>
    <w:rsid w:val="00F975E4"/>
    <w:rsid w:val="00FA02C7"/>
    <w:rsid w:val="00FA03A4"/>
    <w:rsid w:val="00FA03E7"/>
    <w:rsid w:val="00FA0A29"/>
    <w:rsid w:val="00FA0B55"/>
    <w:rsid w:val="00FA0B84"/>
    <w:rsid w:val="00FA1545"/>
    <w:rsid w:val="00FA2421"/>
    <w:rsid w:val="00FA26D9"/>
    <w:rsid w:val="00FA37A4"/>
    <w:rsid w:val="00FA3828"/>
    <w:rsid w:val="00FA3B41"/>
    <w:rsid w:val="00FA4387"/>
    <w:rsid w:val="00FA5090"/>
    <w:rsid w:val="00FA5461"/>
    <w:rsid w:val="00FA58C7"/>
    <w:rsid w:val="00FA6E2E"/>
    <w:rsid w:val="00FA706B"/>
    <w:rsid w:val="00FA7282"/>
    <w:rsid w:val="00FB0182"/>
    <w:rsid w:val="00FB0F09"/>
    <w:rsid w:val="00FB232E"/>
    <w:rsid w:val="00FB39EA"/>
    <w:rsid w:val="00FB6077"/>
    <w:rsid w:val="00FB624E"/>
    <w:rsid w:val="00FB64EB"/>
    <w:rsid w:val="00FB65DA"/>
    <w:rsid w:val="00FB6EA3"/>
    <w:rsid w:val="00FC0155"/>
    <w:rsid w:val="00FC03C6"/>
    <w:rsid w:val="00FC15D4"/>
    <w:rsid w:val="00FC1681"/>
    <w:rsid w:val="00FC1EBA"/>
    <w:rsid w:val="00FC25AF"/>
    <w:rsid w:val="00FC2601"/>
    <w:rsid w:val="00FC2B50"/>
    <w:rsid w:val="00FC2CE5"/>
    <w:rsid w:val="00FC2EA2"/>
    <w:rsid w:val="00FC34CA"/>
    <w:rsid w:val="00FC3B77"/>
    <w:rsid w:val="00FC3D90"/>
    <w:rsid w:val="00FC503D"/>
    <w:rsid w:val="00FC6099"/>
    <w:rsid w:val="00FC6A33"/>
    <w:rsid w:val="00FC7176"/>
    <w:rsid w:val="00FD042E"/>
    <w:rsid w:val="00FD0C6D"/>
    <w:rsid w:val="00FD1416"/>
    <w:rsid w:val="00FD1EAB"/>
    <w:rsid w:val="00FD2DA5"/>
    <w:rsid w:val="00FD2F49"/>
    <w:rsid w:val="00FD302A"/>
    <w:rsid w:val="00FD3B49"/>
    <w:rsid w:val="00FD3D12"/>
    <w:rsid w:val="00FD41EF"/>
    <w:rsid w:val="00FD4573"/>
    <w:rsid w:val="00FD4E34"/>
    <w:rsid w:val="00FD54DE"/>
    <w:rsid w:val="00FD5BAD"/>
    <w:rsid w:val="00FD5EC8"/>
    <w:rsid w:val="00FD636B"/>
    <w:rsid w:val="00FD68FC"/>
    <w:rsid w:val="00FD6C6C"/>
    <w:rsid w:val="00FD72C4"/>
    <w:rsid w:val="00FE0179"/>
    <w:rsid w:val="00FE0525"/>
    <w:rsid w:val="00FE0F4D"/>
    <w:rsid w:val="00FE1519"/>
    <w:rsid w:val="00FE1E58"/>
    <w:rsid w:val="00FE2423"/>
    <w:rsid w:val="00FE28BB"/>
    <w:rsid w:val="00FE2B7B"/>
    <w:rsid w:val="00FE3367"/>
    <w:rsid w:val="00FE3F2A"/>
    <w:rsid w:val="00FE445D"/>
    <w:rsid w:val="00FE4537"/>
    <w:rsid w:val="00FE461A"/>
    <w:rsid w:val="00FE468B"/>
    <w:rsid w:val="00FE5855"/>
    <w:rsid w:val="00FE5A72"/>
    <w:rsid w:val="00FE68CB"/>
    <w:rsid w:val="00FE68FE"/>
    <w:rsid w:val="00FE74B2"/>
    <w:rsid w:val="00FE74E8"/>
    <w:rsid w:val="00FE7D0F"/>
    <w:rsid w:val="00FF0CDC"/>
    <w:rsid w:val="00FF1009"/>
    <w:rsid w:val="00FF11DA"/>
    <w:rsid w:val="00FF1344"/>
    <w:rsid w:val="00FF16C6"/>
    <w:rsid w:val="00FF19C2"/>
    <w:rsid w:val="00FF1AB0"/>
    <w:rsid w:val="00FF23DD"/>
    <w:rsid w:val="00FF3C87"/>
    <w:rsid w:val="00FF5155"/>
    <w:rsid w:val="00FF57A4"/>
    <w:rsid w:val="00FF6937"/>
    <w:rsid w:val="00FF70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98D7"/>
  <w15:docId w15:val="{DCF040CF-3A4B-4630-B5DF-028C9C8C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MX"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center"/>
      <w:outlineLvl w:val="0"/>
    </w:pPr>
    <w:rPr>
      <w:b/>
      <w:sz w:val="26"/>
      <w:szCs w:val="26"/>
    </w:rPr>
  </w:style>
  <w:style w:type="paragraph" w:styleId="Ttulo2">
    <w:name w:val="heading 2"/>
    <w:basedOn w:val="Normal"/>
    <w:next w:val="Normal"/>
    <w:uiPriority w:val="9"/>
    <w:unhideWhenUsed/>
    <w:qFormat/>
    <w:pPr>
      <w:keepNext/>
      <w:keepLines/>
      <w:outlineLvl w:val="1"/>
    </w:pPr>
    <w:rPr>
      <w:b/>
      <w:sz w:val="26"/>
      <w:szCs w:val="26"/>
    </w:rPr>
  </w:style>
  <w:style w:type="paragraph" w:styleId="Ttulo3">
    <w:name w:val="heading 3"/>
    <w:basedOn w:val="Normal"/>
    <w:next w:val="Normal"/>
    <w:uiPriority w:val="9"/>
    <w:unhideWhenUsed/>
    <w:qFormat/>
    <w:pPr>
      <w:outlineLvl w:val="2"/>
    </w:pPr>
    <w:rPr>
      <w:b/>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DC1">
    <w:name w:val="toc 1"/>
    <w:basedOn w:val="Normal"/>
    <w:next w:val="Normal"/>
    <w:autoRedefine/>
    <w:uiPriority w:val="39"/>
    <w:unhideWhenUsed/>
    <w:rsid w:val="004E1FF6"/>
    <w:pPr>
      <w:tabs>
        <w:tab w:val="right" w:leader="dot" w:pos="7979"/>
      </w:tabs>
      <w:spacing w:after="0" w:line="240" w:lineRule="auto"/>
      <w:jc w:val="center"/>
    </w:pPr>
    <w:rPr>
      <w:rFonts w:eastAsiaTheme="minorHAnsi" w:cstheme="minorBidi"/>
      <w:b/>
      <w:noProof/>
      <w:lang w:eastAsia="en-US"/>
    </w:rPr>
  </w:style>
  <w:style w:type="paragraph" w:styleId="TDC2">
    <w:name w:val="toc 2"/>
    <w:basedOn w:val="Normal"/>
    <w:next w:val="Normal"/>
    <w:autoRedefine/>
    <w:uiPriority w:val="39"/>
    <w:unhideWhenUsed/>
    <w:rsid w:val="00D96FF0"/>
    <w:pPr>
      <w:spacing w:after="100"/>
      <w:ind w:left="240"/>
    </w:pPr>
  </w:style>
  <w:style w:type="character" w:styleId="Hipervnculo">
    <w:name w:val="Hyperlink"/>
    <w:basedOn w:val="Fuentedeprrafopredeter"/>
    <w:uiPriority w:val="99"/>
    <w:unhideWhenUsed/>
    <w:rsid w:val="00D96FF0"/>
    <w:rPr>
      <w:color w:val="0000FF" w:themeColor="hyperlink"/>
      <w:u w:val="single"/>
    </w:rPr>
  </w:style>
  <w:style w:type="paragraph" w:styleId="Prrafodelista">
    <w:name w:val="List Paragraph"/>
    <w:aliases w:val="CNBV Parrafo1,Párrafo de lista1,Parrafo 1,Lista multicolor - Énfasis 11,Lista vistosa - Énfasis 11,Cuadrícula media 1 - Énfasis 21,Cita texto,Footnote,List Paragraph-Thesis,TEXTO GENERAL SENTENCIAS,List Paragraph1,Dot pt,No Spacing1"/>
    <w:basedOn w:val="Normal"/>
    <w:link w:val="PrrafodelistaCar"/>
    <w:uiPriority w:val="34"/>
    <w:qFormat/>
    <w:rsid w:val="00C1155D"/>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Ca1,FA Fu?notente"/>
    <w:basedOn w:val="Normal"/>
    <w:link w:val="TextonotapieCar"/>
    <w:uiPriority w:val="99"/>
    <w:unhideWhenUsed/>
    <w:qFormat/>
    <w:rsid w:val="0077248A"/>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77248A"/>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Ref,julio,ftre,ftref"/>
    <w:basedOn w:val="Fuentedeprrafopredeter"/>
    <w:link w:val="4GChar"/>
    <w:uiPriority w:val="99"/>
    <w:unhideWhenUsed/>
    <w:qFormat/>
    <w:rsid w:val="0077248A"/>
    <w:rPr>
      <w:vertAlign w:val="superscript"/>
    </w:rPr>
  </w:style>
  <w:style w:type="character" w:styleId="Textoennegrita">
    <w:name w:val="Strong"/>
    <w:basedOn w:val="Fuentedeprrafopredeter"/>
    <w:uiPriority w:val="22"/>
    <w:qFormat/>
    <w:rsid w:val="00565689"/>
    <w:rPr>
      <w:b/>
      <w:bCs/>
    </w:rPr>
  </w:style>
  <w:style w:type="paragraph" w:styleId="TtuloTDC">
    <w:name w:val="TOC Heading"/>
    <w:basedOn w:val="Ttulo1"/>
    <w:next w:val="Normal"/>
    <w:uiPriority w:val="39"/>
    <w:unhideWhenUsed/>
    <w:qFormat/>
    <w:rsid w:val="00D0309C"/>
    <w:pPr>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s-MX"/>
    </w:rPr>
  </w:style>
  <w:style w:type="paragraph" w:styleId="TDC3">
    <w:name w:val="toc 3"/>
    <w:basedOn w:val="Normal"/>
    <w:next w:val="Normal"/>
    <w:autoRedefine/>
    <w:uiPriority w:val="39"/>
    <w:unhideWhenUsed/>
    <w:rsid w:val="00D0309C"/>
    <w:pPr>
      <w:spacing w:after="100" w:line="259" w:lineRule="auto"/>
      <w:ind w:left="440"/>
      <w:jc w:val="left"/>
    </w:pPr>
    <w:rPr>
      <w:rFonts w:asciiTheme="minorHAnsi" w:eastAsiaTheme="minorEastAsia" w:hAnsiTheme="minorHAnsi" w:cs="Times New Roman"/>
      <w:sz w:val="22"/>
      <w:szCs w:val="22"/>
      <w:lang w:val="es-MX"/>
    </w:rPr>
  </w:style>
  <w:style w:type="paragraph" w:styleId="Textodeglobo">
    <w:name w:val="Balloon Text"/>
    <w:basedOn w:val="Normal"/>
    <w:link w:val="TextodegloboCar"/>
    <w:uiPriority w:val="99"/>
    <w:semiHidden/>
    <w:unhideWhenUsed/>
    <w:rsid w:val="005314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1499"/>
    <w:rPr>
      <w:rFonts w:ascii="Segoe UI" w:hAnsi="Segoe UI" w:cs="Segoe UI"/>
      <w:sz w:val="18"/>
      <w:szCs w:val="18"/>
    </w:rPr>
  </w:style>
  <w:style w:type="character" w:styleId="Refdecomentario">
    <w:name w:val="annotation reference"/>
    <w:basedOn w:val="Fuentedeprrafopredeter"/>
    <w:uiPriority w:val="99"/>
    <w:semiHidden/>
    <w:unhideWhenUsed/>
    <w:rsid w:val="005E5630"/>
    <w:rPr>
      <w:sz w:val="16"/>
      <w:szCs w:val="16"/>
    </w:rPr>
  </w:style>
  <w:style w:type="paragraph" w:styleId="Textocomentario">
    <w:name w:val="annotation text"/>
    <w:basedOn w:val="Normal"/>
    <w:link w:val="TextocomentarioCar"/>
    <w:uiPriority w:val="99"/>
    <w:semiHidden/>
    <w:unhideWhenUsed/>
    <w:rsid w:val="005E56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5630"/>
    <w:rPr>
      <w:sz w:val="20"/>
      <w:szCs w:val="20"/>
    </w:rPr>
  </w:style>
  <w:style w:type="paragraph" w:styleId="Asuntodelcomentario">
    <w:name w:val="annotation subject"/>
    <w:basedOn w:val="Textocomentario"/>
    <w:next w:val="Textocomentario"/>
    <w:link w:val="AsuntodelcomentarioCar"/>
    <w:uiPriority w:val="99"/>
    <w:semiHidden/>
    <w:unhideWhenUsed/>
    <w:rsid w:val="005E5630"/>
    <w:rPr>
      <w:b/>
      <w:bCs/>
    </w:rPr>
  </w:style>
  <w:style w:type="character" w:customStyle="1" w:styleId="AsuntodelcomentarioCar">
    <w:name w:val="Asunto del comentario Car"/>
    <w:basedOn w:val="TextocomentarioCar"/>
    <w:link w:val="Asuntodelcomentario"/>
    <w:uiPriority w:val="99"/>
    <w:semiHidden/>
    <w:rsid w:val="005E5630"/>
    <w:rPr>
      <w:b/>
      <w:bCs/>
      <w:sz w:val="20"/>
      <w:szCs w:val="20"/>
    </w:rPr>
  </w:style>
  <w:style w:type="paragraph" w:styleId="Piedepgina">
    <w:name w:val="footer"/>
    <w:basedOn w:val="Normal"/>
    <w:link w:val="PiedepginaCar"/>
    <w:uiPriority w:val="99"/>
    <w:unhideWhenUsed/>
    <w:rsid w:val="003758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589C"/>
  </w:style>
  <w:style w:type="paragraph" w:styleId="Revisin">
    <w:name w:val="Revision"/>
    <w:hidden/>
    <w:uiPriority w:val="99"/>
    <w:semiHidden/>
    <w:rsid w:val="0006223A"/>
    <w:pPr>
      <w:spacing w:after="0" w:line="240" w:lineRule="auto"/>
      <w:jc w:val="left"/>
    </w:pPr>
  </w:style>
  <w:style w:type="character" w:styleId="Mencinsinresolver">
    <w:name w:val="Unresolved Mention"/>
    <w:basedOn w:val="Fuentedeprrafopredeter"/>
    <w:uiPriority w:val="99"/>
    <w:semiHidden/>
    <w:unhideWhenUsed/>
    <w:rsid w:val="00B05CDD"/>
    <w:rPr>
      <w:color w:val="605E5C"/>
      <w:shd w:val="clear" w:color="auto" w:fill="E1DFDD"/>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Footnote Car,List Paragraph-Thesis Car,List Paragraph1 Car"/>
    <w:link w:val="Prrafodelista"/>
    <w:uiPriority w:val="34"/>
    <w:qFormat/>
    <w:rsid w:val="00C25D1B"/>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04F94"/>
    <w:pPr>
      <w:spacing w:before="100" w:beforeAutospacing="1" w:after="0" w:afterAutospacing="1" w:line="240" w:lineRule="auto"/>
    </w:pPr>
    <w:rPr>
      <w:vertAlign w:val="superscript"/>
    </w:rPr>
  </w:style>
  <w:style w:type="character" w:styleId="Hipervnculovisitado">
    <w:name w:val="FollowedHyperlink"/>
    <w:basedOn w:val="Fuentedeprrafopredeter"/>
    <w:uiPriority w:val="99"/>
    <w:semiHidden/>
    <w:unhideWhenUsed/>
    <w:rsid w:val="00A02CDC"/>
    <w:rPr>
      <w:color w:val="800080" w:themeColor="followedHyperlink"/>
      <w:u w:val="single"/>
    </w:rPr>
  </w:style>
  <w:style w:type="table" w:customStyle="1" w:styleId="Tablaconcuadrcula5oscura-nfasis31">
    <w:name w:val="Tabla con cuadrícula 5 oscura - Énfasis 31"/>
    <w:basedOn w:val="Tablanormal"/>
    <w:next w:val="Tablaconcuadrcula5oscura-nfasis3"/>
    <w:uiPriority w:val="50"/>
    <w:rsid w:val="00701E8A"/>
    <w:pPr>
      <w:spacing w:after="0" w:line="240" w:lineRule="auto"/>
      <w:jc w:val="left"/>
    </w:pPr>
    <w:rPr>
      <w:rFonts w:ascii="Calibri" w:eastAsia="Calibri" w:hAnsi="Calibri" w:cs="Times New Roman"/>
      <w:sz w:val="22"/>
      <w:szCs w:val="22"/>
      <w:lang w:val="es-MX"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aconcuadrcula5oscura-nfasis3">
    <w:name w:val="Grid Table 5 Dark Accent 3"/>
    <w:basedOn w:val="Tablanormal"/>
    <w:uiPriority w:val="50"/>
    <w:rsid w:val="00701E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
    <w:name w:val="Table Grid"/>
    <w:basedOn w:val="Tablanormal"/>
    <w:uiPriority w:val="39"/>
    <w:rsid w:val="004505EF"/>
    <w:pPr>
      <w:spacing w:after="0" w:line="240" w:lineRule="auto"/>
      <w:jc w:val="left"/>
    </w:pPr>
    <w:rPr>
      <w:rFonts w:ascii="Times New Roman" w:eastAsia="Times New Roman" w:hAnsi="Times New Roman"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32">
    <w:name w:val="Tabla con cuadrícula 5 oscura - Énfasis 32"/>
    <w:basedOn w:val="Tablanormal"/>
    <w:next w:val="Tablaconcuadrcula5oscura-nfasis3"/>
    <w:uiPriority w:val="50"/>
    <w:rsid w:val="003C10C9"/>
    <w:pPr>
      <w:spacing w:after="0" w:line="240" w:lineRule="auto"/>
      <w:jc w:val="left"/>
    </w:pPr>
    <w:rPr>
      <w:rFonts w:ascii="Calibri" w:eastAsia="Calibri" w:hAnsi="Calibri" w:cs="Times New Roman"/>
      <w:sz w:val="22"/>
      <w:szCs w:val="22"/>
      <w:lang w:val="es-MX"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NormalWeb">
    <w:name w:val="Normal (Web)"/>
    <w:basedOn w:val="Normal"/>
    <w:uiPriority w:val="99"/>
    <w:semiHidden/>
    <w:unhideWhenUsed/>
    <w:rsid w:val="00E85B2A"/>
    <w:pPr>
      <w:spacing w:before="100" w:beforeAutospacing="1" w:after="100" w:afterAutospacing="1" w:line="240" w:lineRule="auto"/>
      <w:jc w:val="left"/>
    </w:pPr>
    <w:rPr>
      <w:rFonts w:ascii="Times New Roman" w:eastAsia="Times New Roman" w:hAnsi="Times New Roman"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2326">
      <w:bodyDiv w:val="1"/>
      <w:marLeft w:val="0"/>
      <w:marRight w:val="0"/>
      <w:marTop w:val="0"/>
      <w:marBottom w:val="0"/>
      <w:divBdr>
        <w:top w:val="none" w:sz="0" w:space="0" w:color="auto"/>
        <w:left w:val="none" w:sz="0" w:space="0" w:color="auto"/>
        <w:bottom w:val="none" w:sz="0" w:space="0" w:color="auto"/>
        <w:right w:val="none" w:sz="0" w:space="0" w:color="auto"/>
      </w:divBdr>
      <w:divsChild>
        <w:div w:id="1513714563">
          <w:marLeft w:val="0"/>
          <w:marRight w:val="0"/>
          <w:marTop w:val="0"/>
          <w:marBottom w:val="0"/>
          <w:divBdr>
            <w:top w:val="none" w:sz="0" w:space="0" w:color="auto"/>
            <w:left w:val="none" w:sz="0" w:space="0" w:color="auto"/>
            <w:bottom w:val="none" w:sz="0" w:space="0" w:color="auto"/>
            <w:right w:val="none" w:sz="0" w:space="0" w:color="auto"/>
          </w:divBdr>
        </w:div>
      </w:divsChild>
    </w:div>
    <w:div w:id="76828423">
      <w:bodyDiv w:val="1"/>
      <w:marLeft w:val="0"/>
      <w:marRight w:val="0"/>
      <w:marTop w:val="0"/>
      <w:marBottom w:val="0"/>
      <w:divBdr>
        <w:top w:val="none" w:sz="0" w:space="0" w:color="auto"/>
        <w:left w:val="none" w:sz="0" w:space="0" w:color="auto"/>
        <w:bottom w:val="none" w:sz="0" w:space="0" w:color="auto"/>
        <w:right w:val="none" w:sz="0" w:space="0" w:color="auto"/>
      </w:divBdr>
    </w:div>
    <w:div w:id="162666221">
      <w:bodyDiv w:val="1"/>
      <w:marLeft w:val="0"/>
      <w:marRight w:val="0"/>
      <w:marTop w:val="0"/>
      <w:marBottom w:val="0"/>
      <w:divBdr>
        <w:top w:val="none" w:sz="0" w:space="0" w:color="auto"/>
        <w:left w:val="none" w:sz="0" w:space="0" w:color="auto"/>
        <w:bottom w:val="none" w:sz="0" w:space="0" w:color="auto"/>
        <w:right w:val="none" w:sz="0" w:space="0" w:color="auto"/>
      </w:divBdr>
    </w:div>
    <w:div w:id="212618441">
      <w:bodyDiv w:val="1"/>
      <w:marLeft w:val="0"/>
      <w:marRight w:val="0"/>
      <w:marTop w:val="0"/>
      <w:marBottom w:val="0"/>
      <w:divBdr>
        <w:top w:val="none" w:sz="0" w:space="0" w:color="auto"/>
        <w:left w:val="none" w:sz="0" w:space="0" w:color="auto"/>
        <w:bottom w:val="none" w:sz="0" w:space="0" w:color="auto"/>
        <w:right w:val="none" w:sz="0" w:space="0" w:color="auto"/>
      </w:divBdr>
    </w:div>
    <w:div w:id="258832579">
      <w:bodyDiv w:val="1"/>
      <w:marLeft w:val="0"/>
      <w:marRight w:val="0"/>
      <w:marTop w:val="0"/>
      <w:marBottom w:val="0"/>
      <w:divBdr>
        <w:top w:val="none" w:sz="0" w:space="0" w:color="auto"/>
        <w:left w:val="none" w:sz="0" w:space="0" w:color="auto"/>
        <w:bottom w:val="none" w:sz="0" w:space="0" w:color="auto"/>
        <w:right w:val="none" w:sz="0" w:space="0" w:color="auto"/>
      </w:divBdr>
    </w:div>
    <w:div w:id="569536347">
      <w:bodyDiv w:val="1"/>
      <w:marLeft w:val="0"/>
      <w:marRight w:val="0"/>
      <w:marTop w:val="0"/>
      <w:marBottom w:val="0"/>
      <w:divBdr>
        <w:top w:val="none" w:sz="0" w:space="0" w:color="auto"/>
        <w:left w:val="none" w:sz="0" w:space="0" w:color="auto"/>
        <w:bottom w:val="none" w:sz="0" w:space="0" w:color="auto"/>
        <w:right w:val="none" w:sz="0" w:space="0" w:color="auto"/>
      </w:divBdr>
      <w:divsChild>
        <w:div w:id="150761237">
          <w:marLeft w:val="0"/>
          <w:marRight w:val="0"/>
          <w:marTop w:val="0"/>
          <w:marBottom w:val="0"/>
          <w:divBdr>
            <w:top w:val="none" w:sz="0" w:space="0" w:color="auto"/>
            <w:left w:val="none" w:sz="0" w:space="0" w:color="auto"/>
            <w:bottom w:val="none" w:sz="0" w:space="0" w:color="auto"/>
            <w:right w:val="none" w:sz="0" w:space="0" w:color="auto"/>
          </w:divBdr>
        </w:div>
      </w:divsChild>
    </w:div>
    <w:div w:id="602228429">
      <w:bodyDiv w:val="1"/>
      <w:marLeft w:val="0"/>
      <w:marRight w:val="0"/>
      <w:marTop w:val="0"/>
      <w:marBottom w:val="0"/>
      <w:divBdr>
        <w:top w:val="none" w:sz="0" w:space="0" w:color="auto"/>
        <w:left w:val="none" w:sz="0" w:space="0" w:color="auto"/>
        <w:bottom w:val="none" w:sz="0" w:space="0" w:color="auto"/>
        <w:right w:val="none" w:sz="0" w:space="0" w:color="auto"/>
      </w:divBdr>
    </w:div>
    <w:div w:id="647171331">
      <w:bodyDiv w:val="1"/>
      <w:marLeft w:val="0"/>
      <w:marRight w:val="0"/>
      <w:marTop w:val="0"/>
      <w:marBottom w:val="0"/>
      <w:divBdr>
        <w:top w:val="none" w:sz="0" w:space="0" w:color="auto"/>
        <w:left w:val="none" w:sz="0" w:space="0" w:color="auto"/>
        <w:bottom w:val="none" w:sz="0" w:space="0" w:color="auto"/>
        <w:right w:val="none" w:sz="0" w:space="0" w:color="auto"/>
      </w:divBdr>
    </w:div>
    <w:div w:id="677582678">
      <w:bodyDiv w:val="1"/>
      <w:marLeft w:val="0"/>
      <w:marRight w:val="0"/>
      <w:marTop w:val="0"/>
      <w:marBottom w:val="0"/>
      <w:divBdr>
        <w:top w:val="none" w:sz="0" w:space="0" w:color="auto"/>
        <w:left w:val="none" w:sz="0" w:space="0" w:color="auto"/>
        <w:bottom w:val="none" w:sz="0" w:space="0" w:color="auto"/>
        <w:right w:val="none" w:sz="0" w:space="0" w:color="auto"/>
      </w:divBdr>
      <w:divsChild>
        <w:div w:id="845441447">
          <w:marLeft w:val="0"/>
          <w:marRight w:val="0"/>
          <w:marTop w:val="100"/>
          <w:marBottom w:val="0"/>
          <w:divBdr>
            <w:top w:val="none" w:sz="0" w:space="0" w:color="auto"/>
            <w:left w:val="none" w:sz="0" w:space="0" w:color="auto"/>
            <w:bottom w:val="none" w:sz="0" w:space="0" w:color="auto"/>
            <w:right w:val="none" w:sz="0" w:space="0" w:color="auto"/>
          </w:divBdr>
          <w:divsChild>
            <w:div w:id="351146213">
              <w:marLeft w:val="0"/>
              <w:marRight w:val="0"/>
              <w:marTop w:val="60"/>
              <w:marBottom w:val="0"/>
              <w:divBdr>
                <w:top w:val="none" w:sz="0" w:space="0" w:color="auto"/>
                <w:left w:val="none" w:sz="0" w:space="0" w:color="auto"/>
                <w:bottom w:val="none" w:sz="0" w:space="0" w:color="auto"/>
                <w:right w:val="none" w:sz="0" w:space="0" w:color="auto"/>
              </w:divBdr>
            </w:div>
          </w:divsChild>
        </w:div>
        <w:div w:id="337074510">
          <w:marLeft w:val="0"/>
          <w:marRight w:val="0"/>
          <w:marTop w:val="0"/>
          <w:marBottom w:val="0"/>
          <w:divBdr>
            <w:top w:val="none" w:sz="0" w:space="0" w:color="auto"/>
            <w:left w:val="none" w:sz="0" w:space="0" w:color="auto"/>
            <w:bottom w:val="none" w:sz="0" w:space="0" w:color="auto"/>
            <w:right w:val="none" w:sz="0" w:space="0" w:color="auto"/>
          </w:divBdr>
          <w:divsChild>
            <w:div w:id="207452723">
              <w:marLeft w:val="0"/>
              <w:marRight w:val="0"/>
              <w:marTop w:val="0"/>
              <w:marBottom w:val="0"/>
              <w:divBdr>
                <w:top w:val="none" w:sz="0" w:space="0" w:color="auto"/>
                <w:left w:val="none" w:sz="0" w:space="0" w:color="auto"/>
                <w:bottom w:val="none" w:sz="0" w:space="0" w:color="auto"/>
                <w:right w:val="none" w:sz="0" w:space="0" w:color="auto"/>
              </w:divBdr>
              <w:divsChild>
                <w:div w:id="11935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09200">
      <w:bodyDiv w:val="1"/>
      <w:marLeft w:val="0"/>
      <w:marRight w:val="0"/>
      <w:marTop w:val="0"/>
      <w:marBottom w:val="0"/>
      <w:divBdr>
        <w:top w:val="none" w:sz="0" w:space="0" w:color="auto"/>
        <w:left w:val="none" w:sz="0" w:space="0" w:color="auto"/>
        <w:bottom w:val="none" w:sz="0" w:space="0" w:color="auto"/>
        <w:right w:val="none" w:sz="0" w:space="0" w:color="auto"/>
      </w:divBdr>
      <w:divsChild>
        <w:div w:id="415590171">
          <w:marLeft w:val="0"/>
          <w:marRight w:val="0"/>
          <w:marTop w:val="0"/>
          <w:marBottom w:val="0"/>
          <w:divBdr>
            <w:top w:val="none" w:sz="0" w:space="0" w:color="auto"/>
            <w:left w:val="none" w:sz="0" w:space="0" w:color="auto"/>
            <w:bottom w:val="none" w:sz="0" w:space="0" w:color="auto"/>
            <w:right w:val="none" w:sz="0" w:space="0" w:color="auto"/>
          </w:divBdr>
        </w:div>
      </w:divsChild>
    </w:div>
    <w:div w:id="717632762">
      <w:bodyDiv w:val="1"/>
      <w:marLeft w:val="0"/>
      <w:marRight w:val="0"/>
      <w:marTop w:val="0"/>
      <w:marBottom w:val="0"/>
      <w:divBdr>
        <w:top w:val="none" w:sz="0" w:space="0" w:color="auto"/>
        <w:left w:val="none" w:sz="0" w:space="0" w:color="auto"/>
        <w:bottom w:val="none" w:sz="0" w:space="0" w:color="auto"/>
        <w:right w:val="none" w:sz="0" w:space="0" w:color="auto"/>
      </w:divBdr>
    </w:div>
    <w:div w:id="722874210">
      <w:bodyDiv w:val="1"/>
      <w:marLeft w:val="0"/>
      <w:marRight w:val="0"/>
      <w:marTop w:val="0"/>
      <w:marBottom w:val="0"/>
      <w:divBdr>
        <w:top w:val="none" w:sz="0" w:space="0" w:color="auto"/>
        <w:left w:val="none" w:sz="0" w:space="0" w:color="auto"/>
        <w:bottom w:val="none" w:sz="0" w:space="0" w:color="auto"/>
        <w:right w:val="none" w:sz="0" w:space="0" w:color="auto"/>
      </w:divBdr>
      <w:divsChild>
        <w:div w:id="2002001840">
          <w:marLeft w:val="0"/>
          <w:marRight w:val="0"/>
          <w:marTop w:val="0"/>
          <w:marBottom w:val="0"/>
          <w:divBdr>
            <w:top w:val="none" w:sz="0" w:space="0" w:color="auto"/>
            <w:left w:val="none" w:sz="0" w:space="0" w:color="auto"/>
            <w:bottom w:val="none" w:sz="0" w:space="0" w:color="auto"/>
            <w:right w:val="none" w:sz="0" w:space="0" w:color="auto"/>
          </w:divBdr>
        </w:div>
      </w:divsChild>
    </w:div>
    <w:div w:id="750740102">
      <w:bodyDiv w:val="1"/>
      <w:marLeft w:val="0"/>
      <w:marRight w:val="0"/>
      <w:marTop w:val="0"/>
      <w:marBottom w:val="0"/>
      <w:divBdr>
        <w:top w:val="none" w:sz="0" w:space="0" w:color="auto"/>
        <w:left w:val="none" w:sz="0" w:space="0" w:color="auto"/>
        <w:bottom w:val="none" w:sz="0" w:space="0" w:color="auto"/>
        <w:right w:val="none" w:sz="0" w:space="0" w:color="auto"/>
      </w:divBdr>
      <w:divsChild>
        <w:div w:id="1647934854">
          <w:marLeft w:val="0"/>
          <w:marRight w:val="0"/>
          <w:marTop w:val="0"/>
          <w:marBottom w:val="0"/>
          <w:divBdr>
            <w:top w:val="none" w:sz="0" w:space="0" w:color="auto"/>
            <w:left w:val="none" w:sz="0" w:space="0" w:color="auto"/>
            <w:bottom w:val="none" w:sz="0" w:space="0" w:color="auto"/>
            <w:right w:val="none" w:sz="0" w:space="0" w:color="auto"/>
          </w:divBdr>
        </w:div>
      </w:divsChild>
    </w:div>
    <w:div w:id="955142508">
      <w:bodyDiv w:val="1"/>
      <w:marLeft w:val="0"/>
      <w:marRight w:val="0"/>
      <w:marTop w:val="0"/>
      <w:marBottom w:val="0"/>
      <w:divBdr>
        <w:top w:val="none" w:sz="0" w:space="0" w:color="auto"/>
        <w:left w:val="none" w:sz="0" w:space="0" w:color="auto"/>
        <w:bottom w:val="none" w:sz="0" w:space="0" w:color="auto"/>
        <w:right w:val="none" w:sz="0" w:space="0" w:color="auto"/>
      </w:divBdr>
    </w:div>
    <w:div w:id="1042023480">
      <w:bodyDiv w:val="1"/>
      <w:marLeft w:val="0"/>
      <w:marRight w:val="0"/>
      <w:marTop w:val="0"/>
      <w:marBottom w:val="0"/>
      <w:divBdr>
        <w:top w:val="none" w:sz="0" w:space="0" w:color="auto"/>
        <w:left w:val="none" w:sz="0" w:space="0" w:color="auto"/>
        <w:bottom w:val="none" w:sz="0" w:space="0" w:color="auto"/>
        <w:right w:val="none" w:sz="0" w:space="0" w:color="auto"/>
      </w:divBdr>
    </w:div>
    <w:div w:id="1076778357">
      <w:bodyDiv w:val="1"/>
      <w:marLeft w:val="0"/>
      <w:marRight w:val="0"/>
      <w:marTop w:val="0"/>
      <w:marBottom w:val="0"/>
      <w:divBdr>
        <w:top w:val="none" w:sz="0" w:space="0" w:color="auto"/>
        <w:left w:val="none" w:sz="0" w:space="0" w:color="auto"/>
        <w:bottom w:val="none" w:sz="0" w:space="0" w:color="auto"/>
        <w:right w:val="none" w:sz="0" w:space="0" w:color="auto"/>
      </w:divBdr>
      <w:divsChild>
        <w:div w:id="1521090591">
          <w:marLeft w:val="0"/>
          <w:marRight w:val="0"/>
          <w:marTop w:val="0"/>
          <w:marBottom w:val="0"/>
          <w:divBdr>
            <w:top w:val="none" w:sz="0" w:space="0" w:color="auto"/>
            <w:left w:val="none" w:sz="0" w:space="0" w:color="auto"/>
            <w:bottom w:val="none" w:sz="0" w:space="0" w:color="auto"/>
            <w:right w:val="none" w:sz="0" w:space="0" w:color="auto"/>
          </w:divBdr>
        </w:div>
      </w:divsChild>
    </w:div>
    <w:div w:id="1131824850">
      <w:bodyDiv w:val="1"/>
      <w:marLeft w:val="0"/>
      <w:marRight w:val="0"/>
      <w:marTop w:val="0"/>
      <w:marBottom w:val="0"/>
      <w:divBdr>
        <w:top w:val="none" w:sz="0" w:space="0" w:color="auto"/>
        <w:left w:val="none" w:sz="0" w:space="0" w:color="auto"/>
        <w:bottom w:val="none" w:sz="0" w:space="0" w:color="auto"/>
        <w:right w:val="none" w:sz="0" w:space="0" w:color="auto"/>
      </w:divBdr>
    </w:div>
    <w:div w:id="1178353498">
      <w:bodyDiv w:val="1"/>
      <w:marLeft w:val="0"/>
      <w:marRight w:val="0"/>
      <w:marTop w:val="0"/>
      <w:marBottom w:val="0"/>
      <w:divBdr>
        <w:top w:val="none" w:sz="0" w:space="0" w:color="auto"/>
        <w:left w:val="none" w:sz="0" w:space="0" w:color="auto"/>
        <w:bottom w:val="none" w:sz="0" w:space="0" w:color="auto"/>
        <w:right w:val="none" w:sz="0" w:space="0" w:color="auto"/>
      </w:divBdr>
    </w:div>
    <w:div w:id="1270703954">
      <w:bodyDiv w:val="1"/>
      <w:marLeft w:val="0"/>
      <w:marRight w:val="0"/>
      <w:marTop w:val="0"/>
      <w:marBottom w:val="0"/>
      <w:divBdr>
        <w:top w:val="none" w:sz="0" w:space="0" w:color="auto"/>
        <w:left w:val="none" w:sz="0" w:space="0" w:color="auto"/>
        <w:bottom w:val="none" w:sz="0" w:space="0" w:color="auto"/>
        <w:right w:val="none" w:sz="0" w:space="0" w:color="auto"/>
      </w:divBdr>
      <w:divsChild>
        <w:div w:id="2021926163">
          <w:marLeft w:val="0"/>
          <w:marRight w:val="0"/>
          <w:marTop w:val="0"/>
          <w:marBottom w:val="0"/>
          <w:divBdr>
            <w:top w:val="none" w:sz="0" w:space="0" w:color="auto"/>
            <w:left w:val="none" w:sz="0" w:space="0" w:color="auto"/>
            <w:bottom w:val="none" w:sz="0" w:space="0" w:color="auto"/>
            <w:right w:val="none" w:sz="0" w:space="0" w:color="auto"/>
          </w:divBdr>
        </w:div>
      </w:divsChild>
    </w:div>
    <w:div w:id="1334333526">
      <w:bodyDiv w:val="1"/>
      <w:marLeft w:val="0"/>
      <w:marRight w:val="0"/>
      <w:marTop w:val="0"/>
      <w:marBottom w:val="0"/>
      <w:divBdr>
        <w:top w:val="none" w:sz="0" w:space="0" w:color="auto"/>
        <w:left w:val="none" w:sz="0" w:space="0" w:color="auto"/>
        <w:bottom w:val="none" w:sz="0" w:space="0" w:color="auto"/>
        <w:right w:val="none" w:sz="0" w:space="0" w:color="auto"/>
      </w:divBdr>
    </w:div>
    <w:div w:id="1344279756">
      <w:bodyDiv w:val="1"/>
      <w:marLeft w:val="0"/>
      <w:marRight w:val="0"/>
      <w:marTop w:val="0"/>
      <w:marBottom w:val="0"/>
      <w:divBdr>
        <w:top w:val="none" w:sz="0" w:space="0" w:color="auto"/>
        <w:left w:val="none" w:sz="0" w:space="0" w:color="auto"/>
        <w:bottom w:val="none" w:sz="0" w:space="0" w:color="auto"/>
        <w:right w:val="none" w:sz="0" w:space="0" w:color="auto"/>
      </w:divBdr>
    </w:div>
    <w:div w:id="1347446339">
      <w:bodyDiv w:val="1"/>
      <w:marLeft w:val="0"/>
      <w:marRight w:val="0"/>
      <w:marTop w:val="0"/>
      <w:marBottom w:val="0"/>
      <w:divBdr>
        <w:top w:val="none" w:sz="0" w:space="0" w:color="auto"/>
        <w:left w:val="none" w:sz="0" w:space="0" w:color="auto"/>
        <w:bottom w:val="none" w:sz="0" w:space="0" w:color="auto"/>
        <w:right w:val="none" w:sz="0" w:space="0" w:color="auto"/>
      </w:divBdr>
      <w:divsChild>
        <w:div w:id="1600942774">
          <w:marLeft w:val="0"/>
          <w:marRight w:val="0"/>
          <w:marTop w:val="0"/>
          <w:marBottom w:val="0"/>
          <w:divBdr>
            <w:top w:val="none" w:sz="0" w:space="0" w:color="auto"/>
            <w:left w:val="none" w:sz="0" w:space="0" w:color="auto"/>
            <w:bottom w:val="none" w:sz="0" w:space="0" w:color="auto"/>
            <w:right w:val="none" w:sz="0" w:space="0" w:color="auto"/>
          </w:divBdr>
        </w:div>
      </w:divsChild>
    </w:div>
    <w:div w:id="1442646767">
      <w:bodyDiv w:val="1"/>
      <w:marLeft w:val="0"/>
      <w:marRight w:val="0"/>
      <w:marTop w:val="0"/>
      <w:marBottom w:val="0"/>
      <w:divBdr>
        <w:top w:val="none" w:sz="0" w:space="0" w:color="auto"/>
        <w:left w:val="none" w:sz="0" w:space="0" w:color="auto"/>
        <w:bottom w:val="none" w:sz="0" w:space="0" w:color="auto"/>
        <w:right w:val="none" w:sz="0" w:space="0" w:color="auto"/>
      </w:divBdr>
    </w:div>
    <w:div w:id="1486316775">
      <w:bodyDiv w:val="1"/>
      <w:marLeft w:val="0"/>
      <w:marRight w:val="0"/>
      <w:marTop w:val="0"/>
      <w:marBottom w:val="0"/>
      <w:divBdr>
        <w:top w:val="none" w:sz="0" w:space="0" w:color="auto"/>
        <w:left w:val="none" w:sz="0" w:space="0" w:color="auto"/>
        <w:bottom w:val="none" w:sz="0" w:space="0" w:color="auto"/>
        <w:right w:val="none" w:sz="0" w:space="0" w:color="auto"/>
      </w:divBdr>
      <w:divsChild>
        <w:div w:id="134639739">
          <w:marLeft w:val="0"/>
          <w:marRight w:val="0"/>
          <w:marTop w:val="0"/>
          <w:marBottom w:val="0"/>
          <w:divBdr>
            <w:top w:val="none" w:sz="0" w:space="0" w:color="auto"/>
            <w:left w:val="none" w:sz="0" w:space="0" w:color="auto"/>
            <w:bottom w:val="none" w:sz="0" w:space="0" w:color="auto"/>
            <w:right w:val="none" w:sz="0" w:space="0" w:color="auto"/>
          </w:divBdr>
        </w:div>
      </w:divsChild>
    </w:div>
    <w:div w:id="1617443105">
      <w:bodyDiv w:val="1"/>
      <w:marLeft w:val="0"/>
      <w:marRight w:val="0"/>
      <w:marTop w:val="0"/>
      <w:marBottom w:val="0"/>
      <w:divBdr>
        <w:top w:val="none" w:sz="0" w:space="0" w:color="auto"/>
        <w:left w:val="none" w:sz="0" w:space="0" w:color="auto"/>
        <w:bottom w:val="none" w:sz="0" w:space="0" w:color="auto"/>
        <w:right w:val="none" w:sz="0" w:space="0" w:color="auto"/>
      </w:divBdr>
      <w:divsChild>
        <w:div w:id="648366898">
          <w:marLeft w:val="0"/>
          <w:marRight w:val="0"/>
          <w:marTop w:val="0"/>
          <w:marBottom w:val="0"/>
          <w:divBdr>
            <w:top w:val="none" w:sz="0" w:space="0" w:color="auto"/>
            <w:left w:val="none" w:sz="0" w:space="0" w:color="auto"/>
            <w:bottom w:val="none" w:sz="0" w:space="0" w:color="auto"/>
            <w:right w:val="none" w:sz="0" w:space="0" w:color="auto"/>
          </w:divBdr>
        </w:div>
      </w:divsChild>
    </w:div>
    <w:div w:id="1621453962">
      <w:bodyDiv w:val="1"/>
      <w:marLeft w:val="0"/>
      <w:marRight w:val="0"/>
      <w:marTop w:val="0"/>
      <w:marBottom w:val="0"/>
      <w:divBdr>
        <w:top w:val="none" w:sz="0" w:space="0" w:color="auto"/>
        <w:left w:val="none" w:sz="0" w:space="0" w:color="auto"/>
        <w:bottom w:val="none" w:sz="0" w:space="0" w:color="auto"/>
        <w:right w:val="none" w:sz="0" w:space="0" w:color="auto"/>
      </w:divBdr>
    </w:div>
    <w:div w:id="1656376470">
      <w:bodyDiv w:val="1"/>
      <w:marLeft w:val="0"/>
      <w:marRight w:val="0"/>
      <w:marTop w:val="0"/>
      <w:marBottom w:val="0"/>
      <w:divBdr>
        <w:top w:val="none" w:sz="0" w:space="0" w:color="auto"/>
        <w:left w:val="none" w:sz="0" w:space="0" w:color="auto"/>
        <w:bottom w:val="none" w:sz="0" w:space="0" w:color="auto"/>
        <w:right w:val="none" w:sz="0" w:space="0" w:color="auto"/>
      </w:divBdr>
      <w:divsChild>
        <w:div w:id="744841442">
          <w:marLeft w:val="0"/>
          <w:marRight w:val="0"/>
          <w:marTop w:val="0"/>
          <w:marBottom w:val="0"/>
          <w:divBdr>
            <w:top w:val="none" w:sz="0" w:space="0" w:color="auto"/>
            <w:left w:val="none" w:sz="0" w:space="0" w:color="auto"/>
            <w:bottom w:val="none" w:sz="0" w:space="0" w:color="auto"/>
            <w:right w:val="none" w:sz="0" w:space="0" w:color="auto"/>
          </w:divBdr>
        </w:div>
      </w:divsChild>
    </w:div>
    <w:div w:id="1666123895">
      <w:bodyDiv w:val="1"/>
      <w:marLeft w:val="0"/>
      <w:marRight w:val="0"/>
      <w:marTop w:val="0"/>
      <w:marBottom w:val="0"/>
      <w:divBdr>
        <w:top w:val="none" w:sz="0" w:space="0" w:color="auto"/>
        <w:left w:val="none" w:sz="0" w:space="0" w:color="auto"/>
        <w:bottom w:val="none" w:sz="0" w:space="0" w:color="auto"/>
        <w:right w:val="none" w:sz="0" w:space="0" w:color="auto"/>
      </w:divBdr>
    </w:div>
    <w:div w:id="1701971102">
      <w:bodyDiv w:val="1"/>
      <w:marLeft w:val="0"/>
      <w:marRight w:val="0"/>
      <w:marTop w:val="0"/>
      <w:marBottom w:val="0"/>
      <w:divBdr>
        <w:top w:val="none" w:sz="0" w:space="0" w:color="auto"/>
        <w:left w:val="none" w:sz="0" w:space="0" w:color="auto"/>
        <w:bottom w:val="none" w:sz="0" w:space="0" w:color="auto"/>
        <w:right w:val="none" w:sz="0" w:space="0" w:color="auto"/>
      </w:divBdr>
    </w:div>
    <w:div w:id="1873421073">
      <w:bodyDiv w:val="1"/>
      <w:marLeft w:val="0"/>
      <w:marRight w:val="0"/>
      <w:marTop w:val="0"/>
      <w:marBottom w:val="0"/>
      <w:divBdr>
        <w:top w:val="none" w:sz="0" w:space="0" w:color="auto"/>
        <w:left w:val="none" w:sz="0" w:space="0" w:color="auto"/>
        <w:bottom w:val="none" w:sz="0" w:space="0" w:color="auto"/>
        <w:right w:val="none" w:sz="0" w:space="0" w:color="auto"/>
      </w:divBdr>
    </w:div>
    <w:div w:id="1881045975">
      <w:bodyDiv w:val="1"/>
      <w:marLeft w:val="0"/>
      <w:marRight w:val="0"/>
      <w:marTop w:val="0"/>
      <w:marBottom w:val="0"/>
      <w:divBdr>
        <w:top w:val="none" w:sz="0" w:space="0" w:color="auto"/>
        <w:left w:val="none" w:sz="0" w:space="0" w:color="auto"/>
        <w:bottom w:val="none" w:sz="0" w:space="0" w:color="auto"/>
        <w:right w:val="none" w:sz="0" w:space="0" w:color="auto"/>
      </w:divBdr>
    </w:div>
    <w:div w:id="1900096409">
      <w:bodyDiv w:val="1"/>
      <w:marLeft w:val="0"/>
      <w:marRight w:val="0"/>
      <w:marTop w:val="0"/>
      <w:marBottom w:val="0"/>
      <w:divBdr>
        <w:top w:val="none" w:sz="0" w:space="0" w:color="auto"/>
        <w:left w:val="none" w:sz="0" w:space="0" w:color="auto"/>
        <w:bottom w:val="none" w:sz="0" w:space="0" w:color="auto"/>
        <w:right w:val="none" w:sz="0" w:space="0" w:color="auto"/>
      </w:divBdr>
    </w:div>
    <w:div w:id="1994792218">
      <w:bodyDiv w:val="1"/>
      <w:marLeft w:val="0"/>
      <w:marRight w:val="0"/>
      <w:marTop w:val="0"/>
      <w:marBottom w:val="0"/>
      <w:divBdr>
        <w:top w:val="none" w:sz="0" w:space="0" w:color="auto"/>
        <w:left w:val="none" w:sz="0" w:space="0" w:color="auto"/>
        <w:bottom w:val="none" w:sz="0" w:space="0" w:color="auto"/>
        <w:right w:val="none" w:sz="0" w:space="0" w:color="auto"/>
      </w:divBdr>
      <w:divsChild>
        <w:div w:id="156574158">
          <w:marLeft w:val="0"/>
          <w:marRight w:val="0"/>
          <w:marTop w:val="0"/>
          <w:marBottom w:val="0"/>
          <w:divBdr>
            <w:top w:val="none" w:sz="0" w:space="0" w:color="auto"/>
            <w:left w:val="none" w:sz="0" w:space="0" w:color="auto"/>
            <w:bottom w:val="none" w:sz="0" w:space="0" w:color="auto"/>
            <w:right w:val="none" w:sz="0" w:space="0" w:color="auto"/>
          </w:divBdr>
        </w:div>
      </w:divsChild>
    </w:div>
    <w:div w:id="2026439536">
      <w:bodyDiv w:val="1"/>
      <w:marLeft w:val="0"/>
      <w:marRight w:val="0"/>
      <w:marTop w:val="0"/>
      <w:marBottom w:val="0"/>
      <w:divBdr>
        <w:top w:val="none" w:sz="0" w:space="0" w:color="auto"/>
        <w:left w:val="none" w:sz="0" w:space="0" w:color="auto"/>
        <w:bottom w:val="none" w:sz="0" w:space="0" w:color="auto"/>
        <w:right w:val="none" w:sz="0" w:space="0" w:color="auto"/>
      </w:divBdr>
    </w:div>
    <w:div w:id="2030256713">
      <w:bodyDiv w:val="1"/>
      <w:marLeft w:val="0"/>
      <w:marRight w:val="0"/>
      <w:marTop w:val="0"/>
      <w:marBottom w:val="0"/>
      <w:divBdr>
        <w:top w:val="none" w:sz="0" w:space="0" w:color="auto"/>
        <w:left w:val="none" w:sz="0" w:space="0" w:color="auto"/>
        <w:bottom w:val="none" w:sz="0" w:space="0" w:color="auto"/>
        <w:right w:val="none" w:sz="0" w:space="0" w:color="auto"/>
      </w:divBdr>
    </w:div>
    <w:div w:id="2074965045">
      <w:bodyDiv w:val="1"/>
      <w:marLeft w:val="0"/>
      <w:marRight w:val="0"/>
      <w:marTop w:val="0"/>
      <w:marBottom w:val="0"/>
      <w:divBdr>
        <w:top w:val="none" w:sz="0" w:space="0" w:color="auto"/>
        <w:left w:val="none" w:sz="0" w:space="0" w:color="auto"/>
        <w:bottom w:val="none" w:sz="0" w:space="0" w:color="auto"/>
        <w:right w:val="none" w:sz="0" w:space="0" w:color="auto"/>
      </w:divBdr>
    </w:div>
    <w:div w:id="2075809311">
      <w:bodyDiv w:val="1"/>
      <w:marLeft w:val="0"/>
      <w:marRight w:val="0"/>
      <w:marTop w:val="0"/>
      <w:marBottom w:val="0"/>
      <w:divBdr>
        <w:top w:val="none" w:sz="0" w:space="0" w:color="auto"/>
        <w:left w:val="none" w:sz="0" w:space="0" w:color="auto"/>
        <w:bottom w:val="none" w:sz="0" w:space="0" w:color="auto"/>
        <w:right w:val="none" w:sz="0" w:space="0" w:color="auto"/>
      </w:divBdr>
    </w:div>
    <w:div w:id="2099018985">
      <w:bodyDiv w:val="1"/>
      <w:marLeft w:val="0"/>
      <w:marRight w:val="0"/>
      <w:marTop w:val="0"/>
      <w:marBottom w:val="0"/>
      <w:divBdr>
        <w:top w:val="none" w:sz="0" w:space="0" w:color="auto"/>
        <w:left w:val="none" w:sz="0" w:space="0" w:color="auto"/>
        <w:bottom w:val="none" w:sz="0" w:space="0" w:color="auto"/>
        <w:right w:val="none" w:sz="0" w:space="0" w:color="auto"/>
      </w:divBdr>
    </w:div>
    <w:div w:id="2140144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fontTable.xml" Type="http://schemas.openxmlformats.org/officeDocument/2006/relationships/fontTable" Id="rId13"></Relationship><Relationship Target="styles.xml" Type="http://schemas.openxmlformats.org/officeDocument/2006/relationships/styles" Id="rId3"></Relationship><Relationship Target="endnotes.xml" Type="http://schemas.openxmlformats.org/officeDocument/2006/relationships/endnotes" Id="rId7"></Relationship><Relationship Target="header3.xml" Type="http://schemas.openxmlformats.org/officeDocument/2006/relationships/header"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oter2.xml" Type="http://schemas.openxmlformats.org/officeDocument/2006/relationships/footer" Id="rId11"></Relationship><Relationship Target="webSettings.xml" Type="http://schemas.openxmlformats.org/officeDocument/2006/relationships/webSettings" Id="rId5"></Relationship><Relationship Target="footer1.xml" Type="http://schemas.openxmlformats.org/officeDocument/2006/relationships/footer" Id="rId10"></Relationship><Relationship Target="settings.xml" Type="http://schemas.openxmlformats.org/officeDocument/2006/relationships/settings" Id="rId4"></Relationship><Relationship Target="header2.xml" Type="http://schemas.openxmlformats.org/officeDocument/2006/relationships/header" Id="rId9"></Relationship><Relationship Target="theme/theme1.xml" Type="http://schemas.openxmlformats.org/officeDocument/2006/relationships/theme" Id="rId14"></Relationship></Relationships>
</file>

<file path=word/_rels/header2.xml.rels><?xml version="1.0" encoding="UTF-8" ?><Relationships xmlns="http://schemas.openxmlformats.org/package/2006/relationships"><Relationship Target="media/image1.png" Type="http://schemas.openxmlformats.org/officeDocument/2006/relationships/image" Id="rId1"></Relationship></Relationships>
</file>

<file path=word/_rels/header3.xml.rels><?xml version="1.0" encoding="UTF-8" ?><Relationships xmlns="http://schemas.openxmlformats.org/package/2006/relationships"><Relationship Target="media/image1.png"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23D6B-BF8E-4E60-8E9A-8D260D65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2074</Words>
  <Characters>11407</Characters>
  <Application>Microsoft Office Word</Application>
  <DocSecurity>4</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Itzcóatl Escobedo Leal</dc:creator>
  <cp:lastModifiedBy>Sara Patricia Mariscal Vega</cp:lastModifiedBy>
  <cp:revision>2</cp:revision>
  <dcterms:created xsi:type="dcterms:W3CDTF">2021-08-15T02:56:00Z</dcterms:created>
  <dcterms:modified xsi:type="dcterms:W3CDTF">2021-08-15T02:56:00Z</dcterms:modified>
</cp:coreProperties>
</file>