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202" w:type="dxa"/>
        <w:jc w:val="right"/>
        <w:tblLook w:val="04A0" w:firstRow="1" w:lastRow="0" w:firstColumn="1" w:lastColumn="0" w:noHBand="0" w:noVBand="1"/>
      </w:tblPr>
      <w:tblGrid>
        <w:gridCol w:w="5202"/>
      </w:tblGrid>
      <w:tr w:rsidR="00F9011A" w:rsidRPr="00DE053F" w14:paraId="0A474C21" w14:textId="77777777" w:rsidTr="00563A19">
        <w:trPr>
          <w:trHeight w:val="4820"/>
          <w:jc w:val="right"/>
        </w:trPr>
        <w:tc>
          <w:tcPr>
            <w:tcW w:w="5202" w:type="dxa"/>
            <w:tcBorders>
              <w:top w:val="nil"/>
              <w:left w:val="nil"/>
              <w:bottom w:val="nil"/>
              <w:right w:val="nil"/>
            </w:tcBorders>
          </w:tcPr>
          <w:p w14:paraId="00B006F6" w14:textId="439268B6" w:rsidR="00A3129E" w:rsidRPr="00DE053F" w:rsidRDefault="00A3129E" w:rsidP="00451F47">
            <w:pPr>
              <w:spacing w:before="100" w:beforeAutospacing="1" w:after="100" w:afterAutospacing="1" w:line="240" w:lineRule="auto"/>
              <w:rPr>
                <w:b/>
                <w:szCs w:val="24"/>
                <w:lang w:val="es-ES_tradnl"/>
              </w:rPr>
            </w:pPr>
            <w:r w:rsidRPr="00DE053F">
              <w:rPr>
                <w:b/>
                <w:szCs w:val="24"/>
                <w:lang w:val="es-ES_tradnl"/>
              </w:rPr>
              <w:t>JUICIO</w:t>
            </w:r>
            <w:r w:rsidR="00771295">
              <w:rPr>
                <w:b/>
                <w:szCs w:val="24"/>
                <w:lang w:val="es-ES_tradnl"/>
              </w:rPr>
              <w:t>S</w:t>
            </w:r>
            <w:r w:rsidRPr="00DE053F">
              <w:rPr>
                <w:b/>
                <w:szCs w:val="24"/>
                <w:lang w:val="es-ES_tradnl"/>
              </w:rPr>
              <w:t xml:space="preserve"> </w:t>
            </w:r>
            <w:r w:rsidR="000B1575" w:rsidRPr="00DE053F">
              <w:rPr>
                <w:b/>
                <w:szCs w:val="24"/>
                <w:lang w:val="es-ES_tradnl"/>
              </w:rPr>
              <w:t>DE REVISIÓN CONSTITUCIONAL ELECTORAL</w:t>
            </w:r>
          </w:p>
          <w:p w14:paraId="7C07CBCD" w14:textId="12E0CFAE" w:rsidR="00F9011A" w:rsidRPr="00DE053F" w:rsidRDefault="00F9011A" w:rsidP="00451F47">
            <w:pPr>
              <w:spacing w:before="100" w:beforeAutospacing="1" w:after="100" w:afterAutospacing="1" w:line="240" w:lineRule="auto"/>
              <w:rPr>
                <w:szCs w:val="24"/>
                <w:lang w:val="es-ES_tradnl"/>
              </w:rPr>
            </w:pPr>
            <w:r w:rsidRPr="00DE053F">
              <w:rPr>
                <w:b/>
                <w:szCs w:val="24"/>
                <w:lang w:val="es-ES_tradnl"/>
              </w:rPr>
              <w:t>EXPEDIENTE</w:t>
            </w:r>
            <w:r w:rsidR="00563A19">
              <w:rPr>
                <w:b/>
                <w:szCs w:val="24"/>
                <w:lang w:val="es-ES_tradnl"/>
              </w:rPr>
              <w:t>S</w:t>
            </w:r>
            <w:r w:rsidRPr="00DE053F">
              <w:rPr>
                <w:b/>
                <w:szCs w:val="24"/>
                <w:lang w:val="es-ES_tradnl"/>
              </w:rPr>
              <w:t>:</w:t>
            </w:r>
            <w:r w:rsidRPr="00DE053F">
              <w:rPr>
                <w:szCs w:val="24"/>
                <w:lang w:val="es-ES_tradnl"/>
              </w:rPr>
              <w:t xml:space="preserve"> SM-J</w:t>
            </w:r>
            <w:r w:rsidR="000B1575" w:rsidRPr="00DE053F">
              <w:rPr>
                <w:szCs w:val="24"/>
                <w:lang w:val="es-ES_tradnl"/>
              </w:rPr>
              <w:t>RC-</w:t>
            </w:r>
            <w:r w:rsidR="004132A2" w:rsidRPr="00DE053F">
              <w:rPr>
                <w:szCs w:val="24"/>
                <w:lang w:val="es-ES_tradnl"/>
              </w:rPr>
              <w:t>1</w:t>
            </w:r>
            <w:r w:rsidR="007306CE" w:rsidRPr="00DE053F">
              <w:rPr>
                <w:szCs w:val="24"/>
                <w:lang w:val="es-ES_tradnl"/>
              </w:rPr>
              <w:t>/20</w:t>
            </w:r>
            <w:r w:rsidR="00B94C98" w:rsidRPr="00DE053F">
              <w:rPr>
                <w:szCs w:val="24"/>
                <w:lang w:val="es-ES_tradnl"/>
              </w:rPr>
              <w:t>2</w:t>
            </w:r>
            <w:r w:rsidR="00563A19">
              <w:rPr>
                <w:szCs w:val="24"/>
                <w:lang w:val="es-ES_tradnl"/>
              </w:rPr>
              <w:t>1 Y SM-JRC-3/2021 ACUMULADO</w:t>
            </w:r>
          </w:p>
          <w:p w14:paraId="52227FC5" w14:textId="4CC429D4" w:rsidR="00BA05BB" w:rsidRPr="00DE053F" w:rsidRDefault="00F9011A" w:rsidP="00451F47">
            <w:pPr>
              <w:spacing w:before="100" w:beforeAutospacing="1" w:after="100" w:afterAutospacing="1" w:line="240" w:lineRule="auto"/>
              <w:rPr>
                <w:szCs w:val="24"/>
                <w:lang w:val="es-ES_tradnl"/>
              </w:rPr>
            </w:pPr>
            <w:r w:rsidRPr="00DE053F">
              <w:rPr>
                <w:b/>
                <w:szCs w:val="24"/>
                <w:lang w:val="es-ES_tradnl"/>
              </w:rPr>
              <w:t>ACTOR</w:t>
            </w:r>
            <w:r w:rsidR="00563A19">
              <w:rPr>
                <w:b/>
                <w:szCs w:val="24"/>
                <w:lang w:val="es-ES_tradnl"/>
              </w:rPr>
              <w:t>ES</w:t>
            </w:r>
            <w:r w:rsidRPr="00DE053F">
              <w:rPr>
                <w:b/>
                <w:szCs w:val="24"/>
                <w:lang w:val="es-ES_tradnl"/>
              </w:rPr>
              <w:t xml:space="preserve">: </w:t>
            </w:r>
            <w:r w:rsidR="00563A19" w:rsidRPr="00563A19">
              <w:rPr>
                <w:szCs w:val="24"/>
                <w:lang w:val="es-ES_tradnl"/>
              </w:rPr>
              <w:t>MORENA Y PARTIDO DEL TRABAJO</w:t>
            </w:r>
          </w:p>
          <w:p w14:paraId="77C474D9" w14:textId="36A37077" w:rsidR="00284431" w:rsidRPr="00DE053F" w:rsidRDefault="00F9011A" w:rsidP="00451F47">
            <w:pPr>
              <w:spacing w:before="100" w:beforeAutospacing="1" w:after="100" w:afterAutospacing="1" w:line="240" w:lineRule="auto"/>
              <w:rPr>
                <w:bCs/>
                <w:szCs w:val="24"/>
                <w:lang w:val="es-ES_tradnl"/>
              </w:rPr>
            </w:pPr>
            <w:r w:rsidRPr="00DE053F">
              <w:rPr>
                <w:b/>
                <w:bCs/>
                <w:szCs w:val="24"/>
                <w:lang w:val="es-ES_tradnl"/>
              </w:rPr>
              <w:t>RESPONSABLE</w:t>
            </w:r>
            <w:r w:rsidR="00284431" w:rsidRPr="00DE053F">
              <w:rPr>
                <w:b/>
                <w:bCs/>
                <w:szCs w:val="24"/>
                <w:lang w:val="es-ES_tradnl"/>
              </w:rPr>
              <w:t>:</w:t>
            </w:r>
            <w:r w:rsidR="00284431" w:rsidRPr="00DE053F">
              <w:rPr>
                <w:bCs/>
                <w:szCs w:val="24"/>
                <w:lang w:val="es-ES_tradnl"/>
              </w:rPr>
              <w:t xml:space="preserve"> </w:t>
            </w:r>
            <w:r w:rsidR="00BA05BB" w:rsidRPr="00DE053F">
              <w:rPr>
                <w:bCs/>
                <w:szCs w:val="24"/>
                <w:lang w:val="es-ES_tradnl"/>
              </w:rPr>
              <w:t>TRIBUNA</w:t>
            </w:r>
            <w:r w:rsidR="002C3868" w:rsidRPr="00DE053F">
              <w:rPr>
                <w:bCs/>
                <w:szCs w:val="24"/>
                <w:lang w:val="es-ES_tradnl"/>
              </w:rPr>
              <w:t>L E</w:t>
            </w:r>
            <w:r w:rsidR="00563A19">
              <w:rPr>
                <w:bCs/>
                <w:szCs w:val="24"/>
                <w:lang w:val="es-ES_tradnl"/>
              </w:rPr>
              <w:t>STATAL ELECTORAL DE GUANAJUATO</w:t>
            </w:r>
          </w:p>
          <w:p w14:paraId="46C3ACEE" w14:textId="77777777" w:rsidR="00F9011A" w:rsidRPr="00DE053F" w:rsidRDefault="00F9011A" w:rsidP="00451F47">
            <w:pPr>
              <w:spacing w:before="100" w:beforeAutospacing="1" w:after="100" w:afterAutospacing="1" w:line="240" w:lineRule="auto"/>
              <w:rPr>
                <w:szCs w:val="24"/>
                <w:lang w:val="es-ES_tradnl"/>
              </w:rPr>
            </w:pPr>
            <w:r w:rsidRPr="00DE053F">
              <w:rPr>
                <w:b/>
                <w:szCs w:val="24"/>
                <w:lang w:val="es-ES_tradnl"/>
              </w:rPr>
              <w:t>MAGISTRAD</w:t>
            </w:r>
            <w:r w:rsidR="00BA05BB" w:rsidRPr="00DE053F">
              <w:rPr>
                <w:b/>
                <w:szCs w:val="24"/>
                <w:lang w:val="es-ES_tradnl"/>
              </w:rPr>
              <w:t>O</w:t>
            </w:r>
            <w:r w:rsidRPr="00DE053F">
              <w:rPr>
                <w:b/>
                <w:szCs w:val="24"/>
                <w:lang w:val="es-ES_tradnl"/>
              </w:rPr>
              <w:t xml:space="preserve"> PONENTE:</w:t>
            </w:r>
            <w:r w:rsidRPr="00DE053F">
              <w:rPr>
                <w:szCs w:val="24"/>
                <w:lang w:val="es-ES_tradnl"/>
              </w:rPr>
              <w:t xml:space="preserve"> </w:t>
            </w:r>
            <w:r w:rsidR="00BA05BB" w:rsidRPr="00DE053F">
              <w:rPr>
                <w:szCs w:val="24"/>
                <w:lang w:val="es-ES_tradnl"/>
              </w:rPr>
              <w:t>YAIRSINIO DAVID GARCÍA ORTIZ</w:t>
            </w:r>
          </w:p>
          <w:p w14:paraId="5BCE094A" w14:textId="48A11044" w:rsidR="00F9011A" w:rsidRPr="00DE053F" w:rsidRDefault="00EC2F27" w:rsidP="00451F47">
            <w:pPr>
              <w:spacing w:before="100" w:beforeAutospacing="1" w:after="100" w:afterAutospacing="1" w:line="240" w:lineRule="auto"/>
              <w:rPr>
                <w:szCs w:val="24"/>
                <w:lang w:val="es-ES_tradnl"/>
              </w:rPr>
            </w:pPr>
            <w:r w:rsidRPr="00DE053F">
              <w:rPr>
                <w:b/>
                <w:szCs w:val="24"/>
                <w:lang w:val="es-ES_tradnl"/>
              </w:rPr>
              <w:t>SECRETARI</w:t>
            </w:r>
            <w:r w:rsidR="00563A19">
              <w:rPr>
                <w:b/>
                <w:szCs w:val="24"/>
                <w:lang w:val="es-ES_tradnl"/>
              </w:rPr>
              <w:t>O</w:t>
            </w:r>
            <w:r w:rsidRPr="00DE053F">
              <w:rPr>
                <w:b/>
                <w:szCs w:val="24"/>
                <w:lang w:val="es-ES_tradnl"/>
              </w:rPr>
              <w:t>:</w:t>
            </w:r>
            <w:r w:rsidRPr="00DE053F">
              <w:rPr>
                <w:szCs w:val="24"/>
                <w:lang w:val="es-ES_tradnl"/>
              </w:rPr>
              <w:t xml:space="preserve"> </w:t>
            </w:r>
            <w:r w:rsidR="00563A19">
              <w:rPr>
                <w:szCs w:val="24"/>
                <w:lang w:val="es-ES_tradnl"/>
              </w:rPr>
              <w:t xml:space="preserve">JORGE ALBERTO SAÉNZ </w:t>
            </w:r>
            <w:r w:rsidR="004F09D6">
              <w:rPr>
                <w:szCs w:val="24"/>
                <w:lang w:val="es-ES_tradnl"/>
              </w:rPr>
              <w:t>MARINES</w:t>
            </w:r>
          </w:p>
        </w:tc>
      </w:tr>
    </w:tbl>
    <w:p w14:paraId="78ABFD6F" w14:textId="2F2838CE" w:rsidR="00F9011A" w:rsidRPr="00DE053F" w:rsidRDefault="00F9011A" w:rsidP="00F9011A">
      <w:pPr>
        <w:tabs>
          <w:tab w:val="left" w:pos="7470"/>
        </w:tabs>
        <w:spacing w:before="100" w:beforeAutospacing="1" w:after="100" w:afterAutospacing="1"/>
        <w:rPr>
          <w:szCs w:val="24"/>
          <w:lang w:val="es-ES_tradnl"/>
        </w:rPr>
      </w:pPr>
      <w:r w:rsidRPr="00DE053F">
        <w:rPr>
          <w:szCs w:val="24"/>
          <w:lang w:val="es-ES_tradnl"/>
        </w:rPr>
        <w:t>Monterrey, Nuevo León, a</w:t>
      </w:r>
      <w:r w:rsidR="00374B36" w:rsidRPr="00DE053F">
        <w:rPr>
          <w:szCs w:val="24"/>
          <w:lang w:val="es-ES_tradnl"/>
        </w:rPr>
        <w:t xml:space="preserve"> </w:t>
      </w:r>
      <w:r w:rsidR="006C5F90">
        <w:rPr>
          <w:szCs w:val="24"/>
          <w:lang w:val="es-ES_tradnl"/>
        </w:rPr>
        <w:t xml:space="preserve">veintiséis </w:t>
      </w:r>
      <w:r w:rsidR="00F65FAF" w:rsidRPr="00DE053F">
        <w:rPr>
          <w:szCs w:val="24"/>
          <w:lang w:val="es-ES_tradnl"/>
        </w:rPr>
        <w:t xml:space="preserve">de </w:t>
      </w:r>
      <w:r w:rsidR="00563A19">
        <w:rPr>
          <w:szCs w:val="24"/>
          <w:lang w:val="es-ES_tradnl"/>
        </w:rPr>
        <w:t>febrero</w:t>
      </w:r>
      <w:r w:rsidR="004132A2" w:rsidRPr="00DE053F">
        <w:rPr>
          <w:szCs w:val="24"/>
          <w:lang w:val="es-ES_tradnl"/>
        </w:rPr>
        <w:t xml:space="preserve"> </w:t>
      </w:r>
      <w:r w:rsidRPr="00DE053F">
        <w:rPr>
          <w:szCs w:val="24"/>
          <w:lang w:val="es-ES_tradnl"/>
        </w:rPr>
        <w:t xml:space="preserve">de dos mil </w:t>
      </w:r>
      <w:r w:rsidR="00BA05BB" w:rsidRPr="00DE053F">
        <w:rPr>
          <w:szCs w:val="24"/>
          <w:lang w:val="es-ES_tradnl"/>
        </w:rPr>
        <w:t>veint</w:t>
      </w:r>
      <w:r w:rsidR="00563A19">
        <w:rPr>
          <w:szCs w:val="24"/>
          <w:lang w:val="es-ES_tradnl"/>
        </w:rPr>
        <w:t>iuno</w:t>
      </w:r>
      <w:r w:rsidR="00734988" w:rsidRPr="00DE053F">
        <w:rPr>
          <w:szCs w:val="24"/>
          <w:lang w:val="es-ES_tradnl"/>
        </w:rPr>
        <w:t>.</w:t>
      </w:r>
    </w:p>
    <w:p w14:paraId="44CC055A" w14:textId="4F1B81E1" w:rsidR="009735B1" w:rsidRPr="00DE053F" w:rsidRDefault="00F9011A" w:rsidP="00EF366E">
      <w:pPr>
        <w:pStyle w:val="NormalWeb"/>
        <w:spacing w:before="240" w:beforeAutospacing="0" w:after="240" w:afterAutospacing="0" w:line="360" w:lineRule="auto"/>
        <w:rPr>
          <w:rFonts w:ascii="Arial" w:hAnsi="Arial"/>
        </w:rPr>
      </w:pPr>
      <w:r w:rsidRPr="00FF753A">
        <w:rPr>
          <w:rFonts w:ascii="Arial" w:hAnsi="Arial"/>
          <w:b/>
          <w:bCs/>
        </w:rPr>
        <w:t xml:space="preserve">Sentencia definitiva </w:t>
      </w:r>
      <w:r w:rsidRPr="00FF753A">
        <w:rPr>
          <w:rFonts w:ascii="Arial" w:hAnsi="Arial"/>
        </w:rPr>
        <w:t>que</w:t>
      </w:r>
      <w:r w:rsidR="00A31216" w:rsidRPr="00FF753A">
        <w:rPr>
          <w:rFonts w:ascii="Arial" w:hAnsi="Arial"/>
        </w:rPr>
        <w:t xml:space="preserve"> </w:t>
      </w:r>
      <w:r w:rsidR="009B5BC3" w:rsidRPr="00FF753A">
        <w:rPr>
          <w:rFonts w:ascii="Arial" w:hAnsi="Arial"/>
          <w:b/>
          <w:bCs/>
        </w:rPr>
        <w:t>confirma</w:t>
      </w:r>
      <w:r w:rsidR="00BA05BB" w:rsidRPr="00FF753A">
        <w:rPr>
          <w:rFonts w:ascii="Arial" w:hAnsi="Arial"/>
          <w:b/>
          <w:lang w:val="es-ES_tradnl"/>
        </w:rPr>
        <w:t xml:space="preserve"> </w:t>
      </w:r>
      <w:bookmarkStart w:id="0" w:name="_Hlk509398548"/>
      <w:r w:rsidR="00BA05BB" w:rsidRPr="00FF753A">
        <w:rPr>
          <w:rFonts w:ascii="Arial" w:hAnsi="Arial"/>
          <w:bCs/>
          <w:lang w:val="es-ES_tradnl"/>
        </w:rPr>
        <w:t xml:space="preserve">la </w:t>
      </w:r>
      <w:r w:rsidR="00220005" w:rsidRPr="00FF753A">
        <w:rPr>
          <w:rFonts w:ascii="Arial" w:hAnsi="Arial"/>
          <w:bCs/>
          <w:lang w:val="es-ES_tradnl"/>
        </w:rPr>
        <w:t>resolución</w:t>
      </w:r>
      <w:r w:rsidR="00BA05BB" w:rsidRPr="00FF753A">
        <w:rPr>
          <w:rFonts w:ascii="Arial" w:hAnsi="Arial"/>
          <w:bCs/>
          <w:lang w:val="es-ES_tradnl"/>
        </w:rPr>
        <w:t xml:space="preserve"> que emitió el Tribunal</w:t>
      </w:r>
      <w:r w:rsidR="002C3868" w:rsidRPr="00FF753A">
        <w:rPr>
          <w:rFonts w:ascii="Arial" w:hAnsi="Arial"/>
          <w:bCs/>
          <w:lang w:val="es-ES_tradnl"/>
        </w:rPr>
        <w:t xml:space="preserve"> </w:t>
      </w:r>
      <w:r w:rsidR="00563A19" w:rsidRPr="00FF753A">
        <w:rPr>
          <w:rFonts w:ascii="Arial" w:hAnsi="Arial"/>
          <w:bCs/>
          <w:lang w:val="es-ES_tradnl"/>
        </w:rPr>
        <w:t xml:space="preserve">Estatal </w:t>
      </w:r>
      <w:r w:rsidR="00BA05BB" w:rsidRPr="00FF753A">
        <w:rPr>
          <w:rFonts w:ascii="Arial" w:hAnsi="Arial"/>
          <w:bCs/>
          <w:lang w:val="es-ES_tradnl"/>
        </w:rPr>
        <w:t xml:space="preserve">Electoral </w:t>
      </w:r>
      <w:bookmarkEnd w:id="0"/>
      <w:r w:rsidR="002C3868" w:rsidRPr="00FF753A">
        <w:rPr>
          <w:rFonts w:ascii="Arial" w:hAnsi="Arial"/>
          <w:bCs/>
          <w:lang w:val="es-ES_tradnl"/>
        </w:rPr>
        <w:t>de</w:t>
      </w:r>
      <w:r w:rsidR="00563A19" w:rsidRPr="00FF753A">
        <w:rPr>
          <w:rFonts w:ascii="Arial" w:hAnsi="Arial"/>
          <w:bCs/>
          <w:lang w:val="es-ES_tradnl"/>
        </w:rPr>
        <w:t xml:space="preserve"> Guanajuato</w:t>
      </w:r>
      <w:r w:rsidR="004132A2" w:rsidRPr="00FF753A">
        <w:rPr>
          <w:rFonts w:ascii="Arial" w:hAnsi="Arial"/>
          <w:bCs/>
          <w:lang w:val="es-ES_tradnl"/>
        </w:rPr>
        <w:t xml:space="preserve">, </w:t>
      </w:r>
      <w:bookmarkStart w:id="1" w:name="_Hlk65231832"/>
      <w:r w:rsidR="00BA05BB" w:rsidRPr="00FF753A">
        <w:rPr>
          <w:rFonts w:ascii="Arial" w:hAnsi="Arial"/>
          <w:bCs/>
          <w:lang w:val="es-ES_tradnl"/>
        </w:rPr>
        <w:t xml:space="preserve">en el </w:t>
      </w:r>
      <w:r w:rsidR="000B1575" w:rsidRPr="00FF753A">
        <w:rPr>
          <w:rFonts w:ascii="Arial" w:hAnsi="Arial"/>
          <w:bCs/>
          <w:lang w:val="es-ES_tradnl"/>
        </w:rPr>
        <w:t xml:space="preserve">recurso </w:t>
      </w:r>
      <w:r w:rsidR="00563A19" w:rsidRPr="00FF753A">
        <w:rPr>
          <w:rFonts w:ascii="Arial" w:hAnsi="Arial"/>
          <w:bCs/>
          <w:lang w:val="es-ES_tradnl"/>
        </w:rPr>
        <w:t>TEEG-REV-01/2021, TEEG-REV-02/2021, TEEG-REV-03/2021 Y TEEG-REV-04/2021 ACUMULADOS</w:t>
      </w:r>
      <w:bookmarkEnd w:id="1"/>
      <w:r w:rsidR="00094CA0" w:rsidRPr="00FF753A">
        <w:rPr>
          <w:rFonts w:ascii="Arial" w:hAnsi="Arial"/>
          <w:color w:val="000000" w:themeColor="text1"/>
          <w:lang w:val="es-ES_tradnl"/>
        </w:rPr>
        <w:t>, al estimarse que</w:t>
      </w:r>
      <w:r w:rsidR="00EF366E" w:rsidRPr="00FF753A">
        <w:rPr>
          <w:rFonts w:ascii="Arial" w:hAnsi="Arial"/>
          <w:color w:val="000000" w:themeColor="text1"/>
          <w:lang w:val="es-ES_tradnl"/>
        </w:rPr>
        <w:t xml:space="preserve">: </w:t>
      </w:r>
      <w:r w:rsidR="00EF366E" w:rsidRPr="00FF753A">
        <w:rPr>
          <w:rFonts w:ascii="Arial" w:hAnsi="Arial"/>
          <w:b/>
          <w:color w:val="000000" w:themeColor="text1"/>
          <w:lang w:val="es-ES_tradnl"/>
        </w:rPr>
        <w:t>a</w:t>
      </w:r>
      <w:r w:rsidR="009735B1" w:rsidRPr="00FF753A">
        <w:rPr>
          <w:rFonts w:ascii="Arial" w:hAnsi="Arial"/>
          <w:b/>
          <w:color w:val="000000" w:themeColor="text1"/>
          <w:lang w:val="es-ES_tradnl"/>
        </w:rPr>
        <w:t xml:space="preserve">) </w:t>
      </w:r>
      <w:r w:rsidR="009735B1" w:rsidRPr="00FF753A">
        <w:rPr>
          <w:rFonts w:ascii="Arial" w:eastAsia="Calibri" w:hAnsi="Arial"/>
          <w:bCs/>
          <w:lang w:val="es-ES_tradnl" w:eastAsia="en-US"/>
        </w:rPr>
        <w:t xml:space="preserve">La autoridad demandada no violó el principio de exhaustividad </w:t>
      </w:r>
      <w:r w:rsidR="007A1FC5" w:rsidRPr="00FF753A">
        <w:rPr>
          <w:rFonts w:ascii="Arial" w:eastAsia="Calibri" w:hAnsi="Arial"/>
          <w:bCs/>
          <w:lang w:val="es-ES_tradnl" w:eastAsia="en-US"/>
        </w:rPr>
        <w:t>y congruencia</w:t>
      </w:r>
      <w:r w:rsidR="00D779A9" w:rsidRPr="00FF753A">
        <w:rPr>
          <w:rFonts w:ascii="Arial" w:eastAsia="Calibri" w:hAnsi="Arial"/>
          <w:bCs/>
          <w:lang w:val="es-ES_tradnl" w:eastAsia="en-US"/>
        </w:rPr>
        <w:t xml:space="preserve">; </w:t>
      </w:r>
      <w:r w:rsidR="00D779A9" w:rsidRPr="006C5F90">
        <w:rPr>
          <w:rFonts w:ascii="Arial" w:eastAsia="Calibri" w:hAnsi="Arial"/>
          <w:b/>
          <w:lang w:val="es-ES_tradnl" w:eastAsia="en-US"/>
        </w:rPr>
        <w:t>b)</w:t>
      </w:r>
      <w:r w:rsidR="00D779A9" w:rsidRPr="006C5F90">
        <w:rPr>
          <w:rFonts w:ascii="Arial" w:eastAsia="Calibri" w:hAnsi="Arial"/>
          <w:bCs/>
          <w:lang w:val="es-ES_tradnl" w:eastAsia="en-US"/>
        </w:rPr>
        <w:t xml:space="preserve"> </w:t>
      </w:r>
      <w:r w:rsidR="00FF753A" w:rsidRPr="006C5F90">
        <w:t xml:space="preserve"> </w:t>
      </w:r>
      <w:r w:rsidR="00FF753A" w:rsidRPr="006C5F90">
        <w:rPr>
          <w:rFonts w:ascii="Arial" w:hAnsi="Arial"/>
        </w:rPr>
        <w:t xml:space="preserve">No era obligación del </w:t>
      </w:r>
      <w:r w:rsidR="00FF753A" w:rsidRPr="006C5F90">
        <w:rPr>
          <w:rFonts w:ascii="Arial" w:hAnsi="Arial"/>
          <w:i/>
          <w:iCs/>
        </w:rPr>
        <w:t>Instituto Local</w:t>
      </w:r>
      <w:r w:rsidR="00FF753A" w:rsidRPr="006C5F90">
        <w:rPr>
          <w:rFonts w:ascii="Arial" w:hAnsi="Arial"/>
        </w:rPr>
        <w:t xml:space="preserve"> formular un nuevo requerimiento</w:t>
      </w:r>
      <w:r w:rsidR="00D779A9" w:rsidRPr="006C5F90">
        <w:rPr>
          <w:rFonts w:ascii="Arial" w:eastAsia="Calibri" w:hAnsi="Arial"/>
          <w:bCs/>
          <w:lang w:val="es-ES_tradnl" w:eastAsia="en-US"/>
        </w:rPr>
        <w:t xml:space="preserve"> </w:t>
      </w:r>
      <w:r w:rsidR="00D779A9" w:rsidRPr="00FF753A">
        <w:rPr>
          <w:rFonts w:ascii="Arial" w:eastAsia="Calibri" w:hAnsi="Arial"/>
          <w:b/>
          <w:bCs/>
          <w:lang w:val="es-ES_tradnl" w:eastAsia="en-US"/>
        </w:rPr>
        <w:t>c)</w:t>
      </w:r>
      <w:r w:rsidR="00D779A9" w:rsidRPr="00FF753A">
        <w:rPr>
          <w:rFonts w:ascii="Arial" w:eastAsia="Calibri" w:hAnsi="Arial"/>
          <w:bCs/>
          <w:lang w:val="es-ES_tradnl" w:eastAsia="en-US"/>
        </w:rPr>
        <w:t xml:space="preserve"> </w:t>
      </w:r>
      <w:r w:rsidR="00D779A9" w:rsidRPr="00FF753A">
        <w:rPr>
          <w:rFonts w:ascii="Arial" w:eastAsia="Calibri" w:hAnsi="Arial"/>
        </w:rPr>
        <w:t xml:space="preserve">Son ineficaces por novedosos los agravios en los que refiere que el </w:t>
      </w:r>
      <w:r w:rsidR="00D779A9" w:rsidRPr="005103D9">
        <w:rPr>
          <w:rFonts w:ascii="Arial" w:eastAsia="Calibri" w:hAnsi="Arial"/>
          <w:i/>
        </w:rPr>
        <w:t>Tribunal Local</w:t>
      </w:r>
      <w:r w:rsidR="00D779A9" w:rsidRPr="00FF753A">
        <w:rPr>
          <w:rFonts w:ascii="Arial" w:eastAsia="Calibri" w:hAnsi="Arial"/>
        </w:rPr>
        <w:t xml:space="preserve"> debió tener por cumplido el requisito requerido para la aprobación del convenio con el escrito presentado por Nueva Alianza Guanajuato y que no se tomó en cuenta la tesis XXXVI/2002 al invalidar el primer escrito presentado por MORENA y el </w:t>
      </w:r>
      <w:r w:rsidR="004F09D6" w:rsidRPr="00FF753A">
        <w:rPr>
          <w:rFonts w:ascii="Arial" w:eastAsia="Calibri" w:hAnsi="Arial"/>
        </w:rPr>
        <w:t xml:space="preserve">Partido del </w:t>
      </w:r>
      <w:r w:rsidR="00D779A9" w:rsidRPr="00FF753A">
        <w:rPr>
          <w:rFonts w:ascii="Arial" w:eastAsia="Calibri" w:hAnsi="Arial"/>
        </w:rPr>
        <w:t>T</w:t>
      </w:r>
      <w:r w:rsidR="004F09D6" w:rsidRPr="00FF753A">
        <w:rPr>
          <w:rFonts w:ascii="Arial" w:eastAsia="Calibri" w:hAnsi="Arial"/>
        </w:rPr>
        <w:t>rabajo</w:t>
      </w:r>
      <w:r w:rsidR="007A1FC5" w:rsidRPr="00FF753A">
        <w:rPr>
          <w:rFonts w:ascii="Arial" w:eastAsia="Calibri" w:hAnsi="Arial"/>
          <w:bCs/>
          <w:lang w:val="es-ES_tradnl" w:eastAsia="en-US"/>
        </w:rPr>
        <w:t>.</w:t>
      </w:r>
    </w:p>
    <w:p w14:paraId="54902523" w14:textId="77777777" w:rsidR="00F00BA1" w:rsidRPr="00DE053F" w:rsidRDefault="00F00BA1" w:rsidP="00C161C0">
      <w:pPr>
        <w:pStyle w:val="Ttulo1"/>
        <w:jc w:val="center"/>
        <w:rPr>
          <w:rFonts w:eastAsia="Times New Roman"/>
          <w:lang w:eastAsia="es-ES"/>
        </w:rPr>
      </w:pPr>
      <w:r w:rsidRPr="00DE053F">
        <w:rPr>
          <w:rFonts w:eastAsia="Times New Roman"/>
          <w:sz w:val="20"/>
          <w:lang w:eastAsia="es-ES"/>
        </w:rPr>
        <w:t>ÍNDICE</w:t>
      </w:r>
    </w:p>
    <w:tbl>
      <w:tblPr>
        <w:tblStyle w:val="Tablaconcuadrcula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1"/>
        <w:gridCol w:w="587"/>
      </w:tblGrid>
      <w:tr w:rsidR="00F00BA1" w:rsidRPr="00DE053F" w14:paraId="45BD5EAF" w14:textId="77777777" w:rsidTr="000B67A0">
        <w:tc>
          <w:tcPr>
            <w:tcW w:w="7561" w:type="dxa"/>
          </w:tcPr>
          <w:p w14:paraId="38ED923F" w14:textId="77777777" w:rsidR="00F00BA1" w:rsidRPr="00DE053F" w:rsidRDefault="00F00BA1" w:rsidP="009315C9">
            <w:pPr>
              <w:spacing w:before="100" w:beforeAutospacing="1" w:after="100" w:afterAutospacing="1"/>
              <w:rPr>
                <w:rFonts w:eastAsia="Times New Roman"/>
                <w:sz w:val="20"/>
                <w:lang w:eastAsia="es-ES"/>
              </w:rPr>
            </w:pPr>
            <w:r w:rsidRPr="00DE053F">
              <w:rPr>
                <w:rFonts w:eastAsia="Times New Roman"/>
                <w:b/>
                <w:sz w:val="20"/>
                <w:lang w:eastAsia="es-ES"/>
              </w:rPr>
              <w:t xml:space="preserve">GLOSARIO </w:t>
            </w:r>
            <w:r w:rsidRPr="00DE053F">
              <w:rPr>
                <w:rFonts w:eastAsia="Times New Roman"/>
                <w:sz w:val="20"/>
                <w:lang w:eastAsia="es-ES"/>
              </w:rPr>
              <w:t>………………………………………………………………………</w:t>
            </w:r>
            <w:r w:rsidR="00B63244" w:rsidRPr="00DE053F">
              <w:rPr>
                <w:rFonts w:eastAsia="Times New Roman"/>
                <w:sz w:val="20"/>
                <w:lang w:eastAsia="es-ES"/>
              </w:rPr>
              <w:t>………..</w:t>
            </w:r>
            <w:r w:rsidR="00E000D5" w:rsidRPr="00DE053F">
              <w:rPr>
                <w:rFonts w:eastAsia="Times New Roman"/>
                <w:sz w:val="20"/>
                <w:lang w:eastAsia="es-ES"/>
              </w:rPr>
              <w:t>.</w:t>
            </w:r>
          </w:p>
        </w:tc>
        <w:tc>
          <w:tcPr>
            <w:tcW w:w="587" w:type="dxa"/>
          </w:tcPr>
          <w:p w14:paraId="0D104F42" w14:textId="77777777" w:rsidR="00F00BA1" w:rsidRPr="00DE053F" w:rsidRDefault="00A91D3C" w:rsidP="009315C9">
            <w:pPr>
              <w:spacing w:before="100" w:beforeAutospacing="1" w:after="100" w:afterAutospacing="1"/>
              <w:jc w:val="center"/>
              <w:rPr>
                <w:rFonts w:eastAsia="Times New Roman"/>
                <w:sz w:val="20"/>
                <w:lang w:eastAsia="es-ES"/>
              </w:rPr>
            </w:pPr>
            <w:r w:rsidRPr="00DE053F">
              <w:rPr>
                <w:rFonts w:eastAsia="Times New Roman"/>
                <w:sz w:val="20"/>
                <w:lang w:eastAsia="es-ES"/>
              </w:rPr>
              <w:t>1</w:t>
            </w:r>
          </w:p>
        </w:tc>
      </w:tr>
      <w:tr w:rsidR="00F00BA1" w:rsidRPr="00DE053F" w14:paraId="5D22E69C" w14:textId="77777777" w:rsidTr="000B67A0">
        <w:tc>
          <w:tcPr>
            <w:tcW w:w="7561" w:type="dxa"/>
          </w:tcPr>
          <w:p w14:paraId="0CE632E6" w14:textId="75855B26" w:rsidR="00F00BA1" w:rsidRPr="00DE053F" w:rsidRDefault="00F00BA1" w:rsidP="009315C9">
            <w:pPr>
              <w:spacing w:before="100" w:beforeAutospacing="1" w:after="100" w:afterAutospacing="1"/>
              <w:rPr>
                <w:rFonts w:eastAsia="Times New Roman"/>
                <w:b/>
                <w:sz w:val="20"/>
                <w:lang w:eastAsia="es-ES"/>
              </w:rPr>
            </w:pPr>
            <w:r w:rsidRPr="00DE053F">
              <w:rPr>
                <w:rFonts w:eastAsia="Times New Roman"/>
                <w:b/>
                <w:sz w:val="20"/>
                <w:lang w:eastAsia="es-ES"/>
              </w:rPr>
              <w:t xml:space="preserve">1. ANTECEDENTES </w:t>
            </w:r>
            <w:r w:rsidR="00094CA0" w:rsidRPr="00DE053F">
              <w:rPr>
                <w:rFonts w:eastAsia="Times New Roman"/>
                <w:b/>
                <w:sz w:val="20"/>
                <w:lang w:eastAsia="es-ES"/>
              </w:rPr>
              <w:t>DEL CASO</w:t>
            </w:r>
            <w:r w:rsidRPr="00DE053F">
              <w:rPr>
                <w:rFonts w:eastAsia="Times New Roman"/>
                <w:sz w:val="20"/>
                <w:lang w:eastAsia="es-ES"/>
              </w:rPr>
              <w:t>…</w:t>
            </w:r>
            <w:r w:rsidR="00094CA0" w:rsidRPr="00DE053F">
              <w:rPr>
                <w:rFonts w:eastAsia="Times New Roman"/>
                <w:sz w:val="20"/>
                <w:lang w:eastAsia="es-ES"/>
              </w:rPr>
              <w:t>...</w:t>
            </w:r>
            <w:r w:rsidRPr="00DE053F">
              <w:rPr>
                <w:rFonts w:eastAsia="Times New Roman"/>
                <w:sz w:val="20"/>
                <w:lang w:eastAsia="es-ES"/>
              </w:rPr>
              <w:t>…………………………………………</w:t>
            </w:r>
            <w:r w:rsidR="00B63244" w:rsidRPr="00DE053F">
              <w:rPr>
                <w:rFonts w:eastAsia="Times New Roman"/>
                <w:sz w:val="20"/>
                <w:lang w:eastAsia="es-ES"/>
              </w:rPr>
              <w:t>…………</w:t>
            </w:r>
          </w:p>
        </w:tc>
        <w:tc>
          <w:tcPr>
            <w:tcW w:w="587" w:type="dxa"/>
          </w:tcPr>
          <w:p w14:paraId="763B546E" w14:textId="627ECD5C" w:rsidR="00F00BA1" w:rsidRPr="00DE053F" w:rsidRDefault="00DC5C1D" w:rsidP="009315C9">
            <w:pPr>
              <w:spacing w:before="100" w:beforeAutospacing="1" w:after="100" w:afterAutospacing="1"/>
              <w:jc w:val="center"/>
              <w:rPr>
                <w:rFonts w:eastAsia="Times New Roman"/>
                <w:sz w:val="20"/>
                <w:lang w:eastAsia="es-ES"/>
              </w:rPr>
            </w:pPr>
            <w:r w:rsidRPr="00DE053F">
              <w:rPr>
                <w:rFonts w:eastAsia="Times New Roman"/>
                <w:sz w:val="20"/>
                <w:lang w:eastAsia="es-ES"/>
              </w:rPr>
              <w:t>2</w:t>
            </w:r>
          </w:p>
        </w:tc>
      </w:tr>
      <w:tr w:rsidR="00F00BA1" w:rsidRPr="00DE053F" w14:paraId="12810B10" w14:textId="77777777" w:rsidTr="000B67A0">
        <w:tc>
          <w:tcPr>
            <w:tcW w:w="7561" w:type="dxa"/>
          </w:tcPr>
          <w:p w14:paraId="1EF5E92F" w14:textId="170706A5" w:rsidR="00F00BA1" w:rsidRPr="00DE053F" w:rsidRDefault="00247547" w:rsidP="009315C9">
            <w:pPr>
              <w:spacing w:before="100" w:beforeAutospacing="1" w:after="100" w:afterAutospacing="1"/>
              <w:rPr>
                <w:rFonts w:eastAsia="Times New Roman"/>
                <w:b/>
                <w:sz w:val="20"/>
                <w:lang w:eastAsia="es-ES"/>
              </w:rPr>
            </w:pPr>
            <w:r w:rsidRPr="00DE053F">
              <w:rPr>
                <w:rFonts w:eastAsia="Times New Roman"/>
                <w:b/>
                <w:sz w:val="20"/>
                <w:lang w:eastAsia="es-ES"/>
              </w:rPr>
              <w:t>2</w:t>
            </w:r>
            <w:r w:rsidR="00F00BA1" w:rsidRPr="00DE053F">
              <w:rPr>
                <w:rFonts w:eastAsia="Times New Roman"/>
                <w:b/>
                <w:sz w:val="20"/>
                <w:lang w:eastAsia="es-ES"/>
              </w:rPr>
              <w:t xml:space="preserve">. COMPETENCIA </w:t>
            </w:r>
            <w:r w:rsidR="00F00BA1" w:rsidRPr="00DE053F">
              <w:rPr>
                <w:rFonts w:eastAsia="Times New Roman"/>
                <w:sz w:val="20"/>
                <w:lang w:eastAsia="es-ES"/>
              </w:rPr>
              <w:t>……………………………………………………………...</w:t>
            </w:r>
            <w:r w:rsidR="00B63244" w:rsidRPr="00DE053F">
              <w:rPr>
                <w:rFonts w:eastAsia="Times New Roman"/>
                <w:sz w:val="20"/>
                <w:lang w:eastAsia="es-ES"/>
              </w:rPr>
              <w:t>.............</w:t>
            </w:r>
            <w:r w:rsidR="00E000D5" w:rsidRPr="00DE053F">
              <w:rPr>
                <w:rFonts w:eastAsia="Times New Roman"/>
                <w:sz w:val="20"/>
                <w:lang w:eastAsia="es-ES"/>
              </w:rPr>
              <w:t>.</w:t>
            </w:r>
          </w:p>
        </w:tc>
        <w:tc>
          <w:tcPr>
            <w:tcW w:w="587" w:type="dxa"/>
          </w:tcPr>
          <w:p w14:paraId="5AFF62E0" w14:textId="566F9A01" w:rsidR="00F00BA1" w:rsidRPr="00DE053F" w:rsidRDefault="00FF753A" w:rsidP="009315C9">
            <w:pPr>
              <w:spacing w:before="100" w:beforeAutospacing="1" w:after="100" w:afterAutospacing="1"/>
              <w:jc w:val="center"/>
              <w:rPr>
                <w:rFonts w:eastAsia="Times New Roman"/>
                <w:sz w:val="20"/>
                <w:lang w:eastAsia="es-ES"/>
              </w:rPr>
            </w:pPr>
            <w:r>
              <w:rPr>
                <w:rFonts w:eastAsia="Times New Roman"/>
                <w:sz w:val="20"/>
                <w:lang w:eastAsia="es-ES"/>
              </w:rPr>
              <w:t>4</w:t>
            </w:r>
          </w:p>
        </w:tc>
      </w:tr>
      <w:tr w:rsidR="00F00BA1" w:rsidRPr="00DE053F" w14:paraId="605ABD90" w14:textId="77777777" w:rsidTr="000B67A0">
        <w:tc>
          <w:tcPr>
            <w:tcW w:w="7561" w:type="dxa"/>
          </w:tcPr>
          <w:p w14:paraId="7B921690" w14:textId="4A4B6763" w:rsidR="00F00BA1" w:rsidRPr="00DE053F" w:rsidRDefault="00247547" w:rsidP="009315C9">
            <w:pPr>
              <w:spacing w:before="100" w:beforeAutospacing="1" w:after="100" w:afterAutospacing="1"/>
              <w:rPr>
                <w:rFonts w:eastAsia="Times New Roman"/>
                <w:sz w:val="20"/>
                <w:lang w:eastAsia="es-ES"/>
              </w:rPr>
            </w:pPr>
            <w:r w:rsidRPr="00DE053F">
              <w:rPr>
                <w:rFonts w:eastAsia="Times New Roman"/>
                <w:b/>
                <w:sz w:val="20"/>
                <w:lang w:eastAsia="es-ES"/>
              </w:rPr>
              <w:t>3</w:t>
            </w:r>
            <w:r w:rsidR="00F00BA1" w:rsidRPr="00DE053F">
              <w:rPr>
                <w:rFonts w:eastAsia="Times New Roman"/>
                <w:b/>
                <w:sz w:val="20"/>
                <w:lang w:eastAsia="es-ES"/>
              </w:rPr>
              <w:t xml:space="preserve">. </w:t>
            </w:r>
            <w:r w:rsidR="00576C2D">
              <w:rPr>
                <w:rFonts w:eastAsia="Times New Roman"/>
                <w:b/>
                <w:sz w:val="20"/>
                <w:lang w:eastAsia="es-ES"/>
              </w:rPr>
              <w:t>ACUMULACIÓN</w:t>
            </w:r>
            <w:r w:rsidR="00F00BA1" w:rsidRPr="00DE053F">
              <w:rPr>
                <w:rFonts w:eastAsia="Times New Roman"/>
                <w:sz w:val="20"/>
                <w:lang w:eastAsia="es-ES"/>
              </w:rPr>
              <w:t>……………………………………………………………...</w:t>
            </w:r>
            <w:r w:rsidR="00B63244" w:rsidRPr="00DE053F">
              <w:rPr>
                <w:rFonts w:eastAsia="Times New Roman"/>
                <w:sz w:val="20"/>
                <w:lang w:eastAsia="es-ES"/>
              </w:rPr>
              <w:t>..............</w:t>
            </w:r>
            <w:r w:rsidR="00E000D5" w:rsidRPr="00DE053F">
              <w:rPr>
                <w:rFonts w:eastAsia="Times New Roman"/>
                <w:sz w:val="20"/>
                <w:lang w:eastAsia="es-ES"/>
              </w:rPr>
              <w:t>.</w:t>
            </w:r>
          </w:p>
        </w:tc>
        <w:tc>
          <w:tcPr>
            <w:tcW w:w="587" w:type="dxa"/>
          </w:tcPr>
          <w:p w14:paraId="2E788388" w14:textId="0553443D" w:rsidR="00F00BA1" w:rsidRPr="00DE053F" w:rsidRDefault="00FF753A" w:rsidP="009315C9">
            <w:pPr>
              <w:spacing w:before="100" w:beforeAutospacing="1" w:after="100" w:afterAutospacing="1"/>
              <w:jc w:val="center"/>
              <w:rPr>
                <w:rFonts w:eastAsia="Times New Roman"/>
                <w:sz w:val="20"/>
                <w:lang w:eastAsia="es-ES"/>
              </w:rPr>
            </w:pPr>
            <w:r>
              <w:rPr>
                <w:rFonts w:eastAsia="Times New Roman"/>
                <w:sz w:val="20"/>
                <w:lang w:eastAsia="es-ES"/>
              </w:rPr>
              <w:t>4</w:t>
            </w:r>
          </w:p>
        </w:tc>
      </w:tr>
      <w:tr w:rsidR="00F00BA1" w:rsidRPr="00DE053F" w14:paraId="1BE095EC" w14:textId="77777777" w:rsidTr="000B67A0">
        <w:tc>
          <w:tcPr>
            <w:tcW w:w="7561" w:type="dxa"/>
          </w:tcPr>
          <w:p w14:paraId="7F091B49" w14:textId="466A3ED7" w:rsidR="00F00BA1" w:rsidRPr="00DE053F" w:rsidRDefault="00247547" w:rsidP="009315C9">
            <w:pPr>
              <w:spacing w:before="100" w:beforeAutospacing="1" w:after="100" w:afterAutospacing="1"/>
              <w:rPr>
                <w:rFonts w:eastAsia="Times New Roman"/>
                <w:b/>
                <w:sz w:val="20"/>
                <w:lang w:eastAsia="es-ES"/>
              </w:rPr>
            </w:pPr>
            <w:r w:rsidRPr="00DE053F">
              <w:rPr>
                <w:rFonts w:eastAsia="Times New Roman"/>
                <w:b/>
                <w:sz w:val="20"/>
                <w:lang w:eastAsia="es-ES"/>
              </w:rPr>
              <w:t>4</w:t>
            </w:r>
            <w:r w:rsidR="00F00BA1" w:rsidRPr="00DE053F">
              <w:rPr>
                <w:rFonts w:eastAsia="Times New Roman"/>
                <w:b/>
                <w:sz w:val="20"/>
                <w:lang w:eastAsia="es-ES"/>
              </w:rPr>
              <w:t xml:space="preserve">. </w:t>
            </w:r>
            <w:r w:rsidR="00576C2D">
              <w:rPr>
                <w:rFonts w:eastAsia="Times New Roman"/>
                <w:b/>
                <w:sz w:val="20"/>
                <w:lang w:eastAsia="es-ES"/>
              </w:rPr>
              <w:t>PROCEDENCIA</w:t>
            </w:r>
            <w:r w:rsidR="00F00BA1" w:rsidRPr="00DE053F">
              <w:rPr>
                <w:rFonts w:eastAsia="Times New Roman"/>
                <w:b/>
                <w:sz w:val="20"/>
                <w:lang w:eastAsia="es-ES"/>
              </w:rPr>
              <w:t xml:space="preserve"> </w:t>
            </w:r>
            <w:r w:rsidR="00F00BA1" w:rsidRPr="00DE053F">
              <w:rPr>
                <w:rFonts w:eastAsia="Times New Roman"/>
                <w:sz w:val="20"/>
                <w:lang w:eastAsia="es-ES"/>
              </w:rPr>
              <w:t>……………………………………………………</w:t>
            </w:r>
            <w:r w:rsidR="00B63244" w:rsidRPr="00DE053F">
              <w:rPr>
                <w:rFonts w:eastAsia="Times New Roman"/>
                <w:sz w:val="20"/>
                <w:lang w:eastAsia="es-ES"/>
              </w:rPr>
              <w:t>………</w:t>
            </w:r>
            <w:r w:rsidR="00E000D5" w:rsidRPr="00DE053F">
              <w:rPr>
                <w:rFonts w:eastAsia="Times New Roman"/>
                <w:sz w:val="20"/>
                <w:lang w:eastAsia="es-ES"/>
              </w:rPr>
              <w:t>……</w:t>
            </w:r>
            <w:r w:rsidR="00576C2D">
              <w:rPr>
                <w:rFonts w:eastAsia="Times New Roman"/>
                <w:sz w:val="20"/>
                <w:lang w:eastAsia="es-ES"/>
              </w:rPr>
              <w:t>…</w:t>
            </w:r>
            <w:r w:rsidR="0091252C">
              <w:rPr>
                <w:rFonts w:eastAsia="Times New Roman"/>
                <w:sz w:val="20"/>
                <w:lang w:eastAsia="es-ES"/>
              </w:rPr>
              <w:t>……</w:t>
            </w:r>
          </w:p>
        </w:tc>
        <w:tc>
          <w:tcPr>
            <w:tcW w:w="587" w:type="dxa"/>
          </w:tcPr>
          <w:p w14:paraId="1B68BB27" w14:textId="13E33A45" w:rsidR="00576C2D" w:rsidRPr="00DE053F" w:rsidRDefault="00FF753A" w:rsidP="00576C2D">
            <w:pPr>
              <w:spacing w:before="100" w:beforeAutospacing="1" w:after="100" w:afterAutospacing="1"/>
              <w:jc w:val="center"/>
              <w:rPr>
                <w:rFonts w:eastAsia="Times New Roman"/>
                <w:sz w:val="20"/>
                <w:lang w:eastAsia="es-ES"/>
              </w:rPr>
            </w:pPr>
            <w:r>
              <w:rPr>
                <w:rFonts w:eastAsia="Times New Roman"/>
                <w:sz w:val="20"/>
                <w:lang w:eastAsia="es-ES"/>
              </w:rPr>
              <w:t>4</w:t>
            </w:r>
          </w:p>
        </w:tc>
      </w:tr>
      <w:tr w:rsidR="007A1FC5" w:rsidRPr="00DE053F" w14:paraId="03A1DB79" w14:textId="77777777" w:rsidTr="0020669E">
        <w:tc>
          <w:tcPr>
            <w:tcW w:w="7561" w:type="dxa"/>
          </w:tcPr>
          <w:p w14:paraId="6260621D" w14:textId="3E4133D5" w:rsidR="007A1FC5" w:rsidRPr="00DE053F" w:rsidRDefault="007A1FC5" w:rsidP="0020669E">
            <w:pPr>
              <w:spacing w:before="100" w:beforeAutospacing="1" w:after="100" w:afterAutospacing="1"/>
              <w:rPr>
                <w:rFonts w:eastAsia="Times New Roman"/>
                <w:b/>
                <w:sz w:val="20"/>
                <w:lang w:eastAsia="es-ES"/>
              </w:rPr>
            </w:pPr>
            <w:r>
              <w:rPr>
                <w:rFonts w:eastAsia="Times New Roman"/>
                <w:b/>
                <w:sz w:val="20"/>
                <w:lang w:eastAsia="es-ES"/>
              </w:rPr>
              <w:t>5</w:t>
            </w:r>
            <w:r w:rsidRPr="00DE053F">
              <w:rPr>
                <w:rFonts w:eastAsia="Times New Roman"/>
                <w:b/>
                <w:sz w:val="20"/>
                <w:lang w:eastAsia="es-ES"/>
              </w:rPr>
              <w:t xml:space="preserve">. </w:t>
            </w:r>
            <w:r>
              <w:rPr>
                <w:rFonts w:eastAsia="Times New Roman"/>
                <w:b/>
                <w:sz w:val="20"/>
                <w:lang w:eastAsia="es-ES"/>
              </w:rPr>
              <w:t>ESTUDIO DE FONDO</w:t>
            </w:r>
            <w:r w:rsidRPr="00DE053F">
              <w:rPr>
                <w:rFonts w:eastAsia="Times New Roman"/>
                <w:b/>
                <w:sz w:val="20"/>
                <w:lang w:eastAsia="es-ES"/>
              </w:rPr>
              <w:t xml:space="preserve"> </w:t>
            </w:r>
            <w:r w:rsidRPr="00DE053F">
              <w:rPr>
                <w:rFonts w:eastAsia="Times New Roman"/>
                <w:sz w:val="20"/>
                <w:lang w:eastAsia="es-ES"/>
              </w:rPr>
              <w:t>……………………………………………………………</w:t>
            </w:r>
            <w:proofErr w:type="gramStart"/>
            <w:r w:rsidRPr="00DE053F">
              <w:rPr>
                <w:rFonts w:eastAsia="Times New Roman"/>
                <w:sz w:val="20"/>
                <w:lang w:eastAsia="es-ES"/>
              </w:rPr>
              <w:t>…</w:t>
            </w:r>
            <w:r>
              <w:rPr>
                <w:rFonts w:eastAsia="Times New Roman"/>
                <w:sz w:val="20"/>
                <w:lang w:eastAsia="es-ES"/>
              </w:rPr>
              <w:t>….</w:t>
            </w:r>
            <w:proofErr w:type="gramEnd"/>
            <w:r>
              <w:rPr>
                <w:rFonts w:eastAsia="Times New Roman"/>
                <w:sz w:val="20"/>
                <w:lang w:eastAsia="es-ES"/>
              </w:rPr>
              <w:t>.</w:t>
            </w:r>
          </w:p>
        </w:tc>
        <w:tc>
          <w:tcPr>
            <w:tcW w:w="587" w:type="dxa"/>
          </w:tcPr>
          <w:p w14:paraId="26A0D897" w14:textId="031A1377" w:rsidR="007A1FC5" w:rsidRPr="00DE053F" w:rsidRDefault="00FF753A" w:rsidP="0020669E">
            <w:pPr>
              <w:spacing w:before="100" w:beforeAutospacing="1" w:after="100" w:afterAutospacing="1"/>
              <w:jc w:val="center"/>
              <w:rPr>
                <w:rFonts w:eastAsia="Times New Roman"/>
                <w:sz w:val="20"/>
                <w:lang w:eastAsia="es-ES"/>
              </w:rPr>
            </w:pPr>
            <w:r>
              <w:rPr>
                <w:rFonts w:eastAsia="Times New Roman"/>
                <w:sz w:val="20"/>
                <w:lang w:eastAsia="es-ES"/>
              </w:rPr>
              <w:t>7</w:t>
            </w:r>
          </w:p>
        </w:tc>
      </w:tr>
      <w:tr w:rsidR="00576C2D" w:rsidRPr="00DE053F" w14:paraId="43E192A1" w14:textId="77777777" w:rsidTr="000B67A0">
        <w:tc>
          <w:tcPr>
            <w:tcW w:w="7561" w:type="dxa"/>
          </w:tcPr>
          <w:p w14:paraId="11E42E8B" w14:textId="30E75B80" w:rsidR="00576C2D" w:rsidRPr="00576C2D" w:rsidRDefault="00576C2D" w:rsidP="00576C2D">
            <w:pPr>
              <w:spacing w:before="100" w:beforeAutospacing="1" w:after="0"/>
              <w:ind w:left="567" w:hanging="567"/>
              <w:rPr>
                <w:rFonts w:eastAsia="Times New Roman"/>
                <w:b/>
                <w:sz w:val="20"/>
                <w:lang w:eastAsia="es-ES"/>
              </w:rPr>
            </w:pPr>
            <w:r w:rsidRPr="00DE053F">
              <w:rPr>
                <w:rFonts w:eastAsia="Times New Roman"/>
                <w:b/>
                <w:sz w:val="20"/>
                <w:lang w:eastAsia="es-ES"/>
              </w:rPr>
              <w:t xml:space="preserve">          </w:t>
            </w:r>
            <w:r>
              <w:rPr>
                <w:rFonts w:eastAsia="Times New Roman"/>
                <w:b/>
                <w:sz w:val="20"/>
                <w:lang w:eastAsia="es-ES"/>
              </w:rPr>
              <w:t>5</w:t>
            </w:r>
            <w:r w:rsidRPr="00DE053F">
              <w:rPr>
                <w:rFonts w:eastAsia="Times New Roman"/>
                <w:b/>
                <w:sz w:val="20"/>
                <w:lang w:eastAsia="es-ES"/>
              </w:rPr>
              <w:t>.</w:t>
            </w:r>
            <w:r w:rsidR="00EE34AC">
              <w:rPr>
                <w:rFonts w:eastAsia="Times New Roman"/>
                <w:b/>
                <w:sz w:val="20"/>
                <w:lang w:eastAsia="es-ES"/>
              </w:rPr>
              <w:t>1</w:t>
            </w:r>
            <w:r w:rsidRPr="00DE053F">
              <w:rPr>
                <w:rFonts w:eastAsia="Times New Roman"/>
                <w:b/>
                <w:sz w:val="20"/>
                <w:lang w:eastAsia="es-ES"/>
              </w:rPr>
              <w:t xml:space="preserve">. </w:t>
            </w:r>
            <w:r w:rsidRPr="00576C2D">
              <w:rPr>
                <w:rFonts w:eastAsia="Times New Roman"/>
                <w:sz w:val="20"/>
                <w:lang w:eastAsia="es-ES"/>
              </w:rPr>
              <w:t>Materia de la Controversia</w:t>
            </w:r>
            <w:r w:rsidRPr="00DE053F">
              <w:rPr>
                <w:rFonts w:eastAsia="Times New Roman"/>
                <w:sz w:val="20"/>
                <w:lang w:eastAsia="es-ES"/>
              </w:rPr>
              <w:t xml:space="preserve"> ……………………………………………</w:t>
            </w:r>
            <w:r w:rsidR="0091252C">
              <w:rPr>
                <w:rFonts w:eastAsia="Times New Roman"/>
                <w:sz w:val="20"/>
                <w:lang w:eastAsia="es-ES"/>
              </w:rPr>
              <w:t>…</w:t>
            </w:r>
            <w:proofErr w:type="gramStart"/>
            <w:r w:rsidR="0091252C">
              <w:rPr>
                <w:rFonts w:eastAsia="Times New Roman"/>
                <w:sz w:val="20"/>
                <w:lang w:eastAsia="es-ES"/>
              </w:rPr>
              <w:t>…….</w:t>
            </w:r>
            <w:proofErr w:type="gramEnd"/>
          </w:p>
        </w:tc>
        <w:tc>
          <w:tcPr>
            <w:tcW w:w="587" w:type="dxa"/>
          </w:tcPr>
          <w:p w14:paraId="79DA399F" w14:textId="120696DE" w:rsidR="00576C2D" w:rsidRPr="00DE053F" w:rsidRDefault="00EE34AC" w:rsidP="00576C2D">
            <w:pPr>
              <w:spacing w:before="100" w:beforeAutospacing="1" w:after="100" w:afterAutospacing="1"/>
              <w:jc w:val="center"/>
              <w:rPr>
                <w:rFonts w:eastAsia="Times New Roman"/>
                <w:sz w:val="20"/>
                <w:lang w:eastAsia="es-ES"/>
              </w:rPr>
            </w:pPr>
            <w:r>
              <w:rPr>
                <w:rFonts w:eastAsia="Times New Roman"/>
                <w:sz w:val="20"/>
                <w:lang w:eastAsia="es-ES"/>
              </w:rPr>
              <w:t>7</w:t>
            </w:r>
          </w:p>
        </w:tc>
      </w:tr>
      <w:tr w:rsidR="00576C2D" w:rsidRPr="00DE053F" w14:paraId="7D9F4A94" w14:textId="77777777" w:rsidTr="000B67A0">
        <w:tc>
          <w:tcPr>
            <w:tcW w:w="7561" w:type="dxa"/>
          </w:tcPr>
          <w:p w14:paraId="3FC30CB8" w14:textId="055863A7" w:rsidR="00576C2D" w:rsidRPr="00DE053F" w:rsidRDefault="00576C2D" w:rsidP="00576C2D">
            <w:pPr>
              <w:spacing w:before="100" w:beforeAutospacing="1" w:after="100" w:afterAutospacing="1"/>
              <w:rPr>
                <w:rFonts w:eastAsia="Times New Roman"/>
                <w:sz w:val="20"/>
                <w:lang w:eastAsia="es-ES"/>
              </w:rPr>
            </w:pPr>
            <w:r w:rsidRPr="00DE053F">
              <w:rPr>
                <w:rFonts w:eastAsia="Times New Roman"/>
                <w:b/>
                <w:sz w:val="20"/>
                <w:lang w:eastAsia="es-ES"/>
              </w:rPr>
              <w:t xml:space="preserve">          </w:t>
            </w:r>
            <w:r>
              <w:rPr>
                <w:rFonts w:eastAsia="Times New Roman"/>
                <w:b/>
                <w:sz w:val="20"/>
                <w:lang w:eastAsia="es-ES"/>
              </w:rPr>
              <w:t>5</w:t>
            </w:r>
            <w:r w:rsidRPr="00DE053F">
              <w:rPr>
                <w:rFonts w:eastAsia="Times New Roman"/>
                <w:b/>
                <w:sz w:val="20"/>
                <w:lang w:eastAsia="es-ES"/>
              </w:rPr>
              <w:t xml:space="preserve">.2. </w:t>
            </w:r>
            <w:r w:rsidRPr="00DE053F">
              <w:rPr>
                <w:rFonts w:eastAsia="Times New Roman"/>
                <w:sz w:val="20"/>
                <w:lang w:eastAsia="es-ES"/>
              </w:rPr>
              <w:t>Decisiones …………………………………………………</w:t>
            </w:r>
            <w:proofErr w:type="gramStart"/>
            <w:r w:rsidRPr="00DE053F">
              <w:rPr>
                <w:rFonts w:eastAsia="Times New Roman"/>
                <w:sz w:val="20"/>
                <w:lang w:eastAsia="es-ES"/>
              </w:rPr>
              <w:t>…….</w:t>
            </w:r>
            <w:proofErr w:type="gramEnd"/>
            <w:r w:rsidRPr="00DE053F">
              <w:rPr>
                <w:rFonts w:eastAsia="Times New Roman"/>
                <w:sz w:val="20"/>
                <w:lang w:eastAsia="es-ES"/>
              </w:rPr>
              <w:t>.…………</w:t>
            </w:r>
            <w:r w:rsidR="0091252C">
              <w:rPr>
                <w:rFonts w:eastAsia="Times New Roman"/>
                <w:sz w:val="20"/>
                <w:lang w:eastAsia="es-ES"/>
              </w:rPr>
              <w:t>….</w:t>
            </w:r>
          </w:p>
        </w:tc>
        <w:tc>
          <w:tcPr>
            <w:tcW w:w="587" w:type="dxa"/>
          </w:tcPr>
          <w:p w14:paraId="38CBCDB4" w14:textId="05B6AB0A" w:rsidR="00576C2D" w:rsidRPr="00DE053F" w:rsidRDefault="00EE34AC" w:rsidP="00576C2D">
            <w:pPr>
              <w:spacing w:before="100" w:beforeAutospacing="1" w:after="100" w:afterAutospacing="1"/>
              <w:jc w:val="center"/>
              <w:rPr>
                <w:rFonts w:eastAsia="Times New Roman"/>
                <w:sz w:val="20"/>
                <w:lang w:eastAsia="es-ES"/>
              </w:rPr>
            </w:pPr>
            <w:r>
              <w:rPr>
                <w:rFonts w:eastAsia="Times New Roman"/>
                <w:sz w:val="20"/>
                <w:lang w:eastAsia="es-ES"/>
              </w:rPr>
              <w:t>15</w:t>
            </w:r>
          </w:p>
        </w:tc>
      </w:tr>
      <w:tr w:rsidR="00576C2D" w:rsidRPr="00DE053F" w14:paraId="0DE9EC4C" w14:textId="77777777" w:rsidTr="000B67A0">
        <w:tc>
          <w:tcPr>
            <w:tcW w:w="7561" w:type="dxa"/>
          </w:tcPr>
          <w:p w14:paraId="62FD07F3" w14:textId="18863236" w:rsidR="00576C2D" w:rsidRPr="00DE053F" w:rsidRDefault="00576C2D" w:rsidP="00576C2D">
            <w:pPr>
              <w:spacing w:before="100" w:beforeAutospacing="1" w:after="100" w:afterAutospacing="1"/>
              <w:rPr>
                <w:rFonts w:eastAsia="Times New Roman"/>
                <w:b/>
                <w:sz w:val="20"/>
                <w:lang w:eastAsia="es-ES"/>
              </w:rPr>
            </w:pPr>
            <w:r w:rsidRPr="00DE053F">
              <w:rPr>
                <w:rFonts w:eastAsia="Times New Roman"/>
                <w:b/>
                <w:sz w:val="20"/>
                <w:lang w:eastAsia="es-ES"/>
              </w:rPr>
              <w:t xml:space="preserve">          </w:t>
            </w:r>
            <w:r>
              <w:rPr>
                <w:rFonts w:eastAsia="Times New Roman"/>
                <w:b/>
                <w:sz w:val="20"/>
                <w:lang w:eastAsia="es-ES"/>
              </w:rPr>
              <w:t>5</w:t>
            </w:r>
            <w:r w:rsidRPr="00DE053F">
              <w:rPr>
                <w:rFonts w:eastAsia="Times New Roman"/>
                <w:b/>
                <w:sz w:val="20"/>
                <w:lang w:eastAsia="es-ES"/>
              </w:rPr>
              <w:t xml:space="preserve">.3. </w:t>
            </w:r>
            <w:r w:rsidRPr="00DE053F">
              <w:rPr>
                <w:rFonts w:eastAsia="Times New Roman"/>
                <w:sz w:val="20"/>
                <w:lang w:eastAsia="es-ES"/>
              </w:rPr>
              <w:t>Justificación de la decisiones …………………………………………</w:t>
            </w:r>
            <w:proofErr w:type="gramStart"/>
            <w:r w:rsidRPr="00DE053F">
              <w:rPr>
                <w:rFonts w:eastAsia="Times New Roman"/>
                <w:sz w:val="20"/>
                <w:lang w:eastAsia="es-ES"/>
              </w:rPr>
              <w:t>…….</w:t>
            </w:r>
            <w:proofErr w:type="gramEnd"/>
            <w:r w:rsidRPr="00DE053F">
              <w:rPr>
                <w:rFonts w:eastAsia="Times New Roman"/>
                <w:sz w:val="20"/>
                <w:lang w:eastAsia="es-ES"/>
              </w:rPr>
              <w:t>.</w:t>
            </w:r>
          </w:p>
        </w:tc>
        <w:tc>
          <w:tcPr>
            <w:tcW w:w="587" w:type="dxa"/>
          </w:tcPr>
          <w:p w14:paraId="2026DC9B" w14:textId="2FA03576" w:rsidR="00576C2D" w:rsidRPr="00DE053F" w:rsidRDefault="00EE34AC" w:rsidP="00576C2D">
            <w:pPr>
              <w:spacing w:before="100" w:beforeAutospacing="1" w:after="100" w:afterAutospacing="1"/>
              <w:jc w:val="center"/>
              <w:rPr>
                <w:rFonts w:eastAsia="Times New Roman"/>
                <w:sz w:val="20"/>
                <w:lang w:eastAsia="es-ES"/>
              </w:rPr>
            </w:pPr>
            <w:r>
              <w:rPr>
                <w:rFonts w:eastAsia="Times New Roman"/>
                <w:sz w:val="20"/>
                <w:lang w:eastAsia="es-ES"/>
              </w:rPr>
              <w:t>16</w:t>
            </w:r>
          </w:p>
        </w:tc>
      </w:tr>
      <w:tr w:rsidR="00576C2D" w:rsidRPr="00DE053F" w14:paraId="692FE69B" w14:textId="77777777" w:rsidTr="000B67A0">
        <w:tc>
          <w:tcPr>
            <w:tcW w:w="7561" w:type="dxa"/>
          </w:tcPr>
          <w:p w14:paraId="621AC5BF" w14:textId="4E8DFADE" w:rsidR="00576C2D" w:rsidRPr="00DE053F" w:rsidRDefault="00576C2D" w:rsidP="00576C2D">
            <w:pPr>
              <w:spacing w:before="100" w:beforeAutospacing="1" w:after="100" w:afterAutospacing="1"/>
              <w:rPr>
                <w:rFonts w:eastAsia="Times New Roman"/>
                <w:b/>
                <w:sz w:val="20"/>
                <w:lang w:eastAsia="es-ES"/>
              </w:rPr>
            </w:pPr>
            <w:r>
              <w:rPr>
                <w:rFonts w:eastAsia="Times New Roman"/>
                <w:b/>
                <w:sz w:val="20"/>
                <w:lang w:eastAsia="es-ES"/>
              </w:rPr>
              <w:t>6</w:t>
            </w:r>
            <w:r w:rsidRPr="00DE053F">
              <w:rPr>
                <w:rFonts w:eastAsia="Times New Roman"/>
                <w:b/>
                <w:sz w:val="20"/>
                <w:lang w:eastAsia="es-ES"/>
              </w:rPr>
              <w:t xml:space="preserve">. </w:t>
            </w:r>
            <w:r w:rsidRPr="00FF753A">
              <w:rPr>
                <w:rFonts w:eastAsia="Times New Roman"/>
                <w:b/>
                <w:sz w:val="20"/>
                <w:lang w:eastAsia="es-ES"/>
              </w:rPr>
              <w:t>RESOLUTIVO</w:t>
            </w:r>
            <w:r w:rsidR="00FF753A" w:rsidRPr="00FF753A">
              <w:rPr>
                <w:rFonts w:eastAsia="Times New Roman"/>
                <w:b/>
                <w:sz w:val="20"/>
                <w:lang w:eastAsia="es-ES"/>
              </w:rPr>
              <w:t>S</w:t>
            </w:r>
            <w:r w:rsidRPr="00FF753A">
              <w:rPr>
                <w:rFonts w:eastAsia="Times New Roman"/>
                <w:sz w:val="20"/>
                <w:lang w:eastAsia="es-ES"/>
              </w:rPr>
              <w:t>…</w:t>
            </w:r>
            <w:r w:rsidRPr="00DE053F">
              <w:rPr>
                <w:rFonts w:eastAsia="Times New Roman"/>
                <w:sz w:val="20"/>
                <w:lang w:eastAsia="es-ES"/>
              </w:rPr>
              <w:t>…………………………………………………………..................</w:t>
            </w:r>
          </w:p>
        </w:tc>
        <w:tc>
          <w:tcPr>
            <w:tcW w:w="587" w:type="dxa"/>
          </w:tcPr>
          <w:p w14:paraId="38211BAF" w14:textId="31043980" w:rsidR="00576C2D" w:rsidRPr="00DE053F" w:rsidRDefault="00FF753A" w:rsidP="00576C2D">
            <w:pPr>
              <w:spacing w:before="100" w:beforeAutospacing="1" w:after="100" w:afterAutospacing="1"/>
              <w:jc w:val="center"/>
              <w:rPr>
                <w:rFonts w:eastAsia="Times New Roman"/>
                <w:sz w:val="20"/>
                <w:lang w:eastAsia="es-ES"/>
              </w:rPr>
            </w:pPr>
            <w:r>
              <w:rPr>
                <w:rFonts w:eastAsia="Times New Roman"/>
                <w:sz w:val="20"/>
                <w:lang w:eastAsia="es-ES"/>
              </w:rPr>
              <w:t>27</w:t>
            </w:r>
          </w:p>
        </w:tc>
      </w:tr>
    </w:tbl>
    <w:p w14:paraId="6DAEC6EF" w14:textId="77777777" w:rsidR="00F00BA1" w:rsidRPr="00DE053F" w:rsidRDefault="00F00BA1" w:rsidP="00F00BA1">
      <w:pPr>
        <w:spacing w:after="0" w:line="240" w:lineRule="auto"/>
        <w:contextualSpacing/>
        <w:rPr>
          <w:b/>
          <w:bCs/>
          <w:sz w:val="18"/>
          <w:szCs w:val="18"/>
        </w:rPr>
      </w:pPr>
    </w:p>
    <w:p w14:paraId="6512BDFA" w14:textId="77777777" w:rsidR="00F9011A" w:rsidRPr="00DE053F" w:rsidRDefault="00F9011A" w:rsidP="008F3F27">
      <w:pPr>
        <w:pStyle w:val="Ttulo1"/>
        <w:jc w:val="center"/>
        <w:rPr>
          <w:sz w:val="22"/>
        </w:rPr>
      </w:pPr>
      <w:bookmarkStart w:id="2" w:name="_Toc27649894"/>
      <w:r w:rsidRPr="00DE053F">
        <w:rPr>
          <w:sz w:val="22"/>
          <w:lang w:val="es-ES_tradnl"/>
        </w:rPr>
        <w:t>GLOSARIO</w:t>
      </w:r>
      <w:bookmarkEnd w:id="2"/>
    </w:p>
    <w:tbl>
      <w:tblPr>
        <w:tblW w:w="0" w:type="auto"/>
        <w:jc w:val="center"/>
        <w:tblLook w:val="01E0" w:firstRow="1" w:lastRow="1" w:firstColumn="1" w:lastColumn="1" w:noHBand="0" w:noVBand="0"/>
      </w:tblPr>
      <w:tblGrid>
        <w:gridCol w:w="2410"/>
        <w:gridCol w:w="4956"/>
      </w:tblGrid>
      <w:tr w:rsidR="00563A19" w:rsidRPr="00DE053F" w14:paraId="6F2D1CD7" w14:textId="77777777" w:rsidTr="00451133">
        <w:trPr>
          <w:trHeight w:val="468"/>
          <w:jc w:val="center"/>
        </w:trPr>
        <w:tc>
          <w:tcPr>
            <w:tcW w:w="2410" w:type="dxa"/>
          </w:tcPr>
          <w:p w14:paraId="2FFE1A29" w14:textId="495155C4" w:rsidR="00563A19" w:rsidRPr="004D3B6A" w:rsidRDefault="00563A19" w:rsidP="008F3F27">
            <w:pPr>
              <w:spacing w:after="0" w:line="240" w:lineRule="auto"/>
              <w:ind w:left="-4"/>
              <w:rPr>
                <w:b/>
                <w:i/>
                <w:sz w:val="22"/>
                <w:szCs w:val="22"/>
                <w:lang w:val="es-ES_tradnl"/>
              </w:rPr>
            </w:pPr>
            <w:bookmarkStart w:id="3" w:name="_Hlk65231906"/>
            <w:r w:rsidRPr="004D3B6A">
              <w:rPr>
                <w:b/>
                <w:i/>
                <w:sz w:val="22"/>
                <w:szCs w:val="22"/>
                <w:lang w:val="es-ES_tradnl"/>
              </w:rPr>
              <w:t xml:space="preserve">Acuerdo: </w:t>
            </w:r>
          </w:p>
        </w:tc>
        <w:tc>
          <w:tcPr>
            <w:tcW w:w="4956" w:type="dxa"/>
          </w:tcPr>
          <w:p w14:paraId="153B83D4" w14:textId="7986350B" w:rsidR="00563A19" w:rsidRPr="004D3B6A" w:rsidRDefault="00E4184B" w:rsidP="008F3F27">
            <w:pPr>
              <w:spacing w:after="0" w:line="240" w:lineRule="auto"/>
              <w:rPr>
                <w:sz w:val="22"/>
                <w:szCs w:val="22"/>
              </w:rPr>
            </w:pPr>
            <w:r w:rsidRPr="004D3B6A">
              <w:rPr>
                <w:sz w:val="22"/>
                <w:szCs w:val="22"/>
                <w:lang w:val="es-ES_tradnl"/>
              </w:rPr>
              <w:t xml:space="preserve">Acuerdo </w:t>
            </w:r>
            <w:r w:rsidR="00B23EE9" w:rsidRPr="004D3B6A">
              <w:rPr>
                <w:sz w:val="22"/>
                <w:szCs w:val="22"/>
                <w:lang w:val="es-ES_tradnl"/>
              </w:rPr>
              <w:t>CGIEEG/002/2021</w:t>
            </w:r>
            <w:r w:rsidRPr="004D3B6A">
              <w:rPr>
                <w:sz w:val="22"/>
                <w:szCs w:val="22"/>
                <w:lang w:val="es-ES_tradnl"/>
              </w:rPr>
              <w:t xml:space="preserve"> mediante el cual se </w:t>
            </w:r>
            <w:r w:rsidR="00802580" w:rsidRPr="004D3B6A">
              <w:rPr>
                <w:sz w:val="22"/>
                <w:szCs w:val="22"/>
              </w:rPr>
              <w:t>resolvió</w:t>
            </w:r>
            <w:r w:rsidRPr="004D3B6A">
              <w:rPr>
                <w:sz w:val="22"/>
                <w:szCs w:val="22"/>
              </w:rPr>
              <w:t xml:space="preserve"> </w:t>
            </w:r>
            <w:r w:rsidR="00563A19" w:rsidRPr="004D3B6A">
              <w:rPr>
                <w:sz w:val="22"/>
                <w:szCs w:val="22"/>
              </w:rPr>
              <w:t xml:space="preserve">la solicitud de </w:t>
            </w:r>
            <w:bookmarkStart w:id="4" w:name="_Hlk63561183"/>
            <w:r w:rsidR="00563A19" w:rsidRPr="004D3B6A">
              <w:rPr>
                <w:sz w:val="22"/>
                <w:szCs w:val="22"/>
              </w:rPr>
              <w:t xml:space="preserve">registro del convenio de coalición parcial &lt;&lt;JUNTOS HAREMOS HISTORIA EN GUANAJUATO&gt;&gt; celebrado entre MORENA, Partido del Trabajo y Nueva </w:t>
            </w:r>
            <w:r w:rsidR="00563A19" w:rsidRPr="004D3B6A">
              <w:rPr>
                <w:sz w:val="22"/>
                <w:szCs w:val="22"/>
              </w:rPr>
              <w:lastRenderedPageBreak/>
              <w:t>Alianza Guanajuato para postular candidaturas a diputaciones locales al Congreso del Estado y para integrar ayuntamientos en el proceso electoral local ordinario 2020-2021</w:t>
            </w:r>
            <w:bookmarkEnd w:id="4"/>
          </w:p>
          <w:p w14:paraId="423E681E" w14:textId="30A10DEF" w:rsidR="00563A19" w:rsidRPr="004D3B6A" w:rsidRDefault="00563A19" w:rsidP="008F3F27">
            <w:pPr>
              <w:spacing w:after="0" w:line="240" w:lineRule="auto"/>
              <w:rPr>
                <w:sz w:val="22"/>
                <w:szCs w:val="22"/>
              </w:rPr>
            </w:pPr>
          </w:p>
        </w:tc>
      </w:tr>
      <w:tr w:rsidR="00563A19" w:rsidRPr="00DE053F" w14:paraId="29709FEE" w14:textId="77777777" w:rsidTr="00451133">
        <w:trPr>
          <w:trHeight w:val="468"/>
          <w:jc w:val="center"/>
        </w:trPr>
        <w:tc>
          <w:tcPr>
            <w:tcW w:w="2410" w:type="dxa"/>
          </w:tcPr>
          <w:p w14:paraId="1EDE8C0F" w14:textId="17D6A358" w:rsidR="00563A19" w:rsidRPr="006C5F90" w:rsidRDefault="00563A19" w:rsidP="008F3F27">
            <w:pPr>
              <w:spacing w:after="0" w:line="240" w:lineRule="auto"/>
              <w:ind w:left="-4"/>
              <w:rPr>
                <w:b/>
                <w:i/>
                <w:sz w:val="22"/>
                <w:szCs w:val="22"/>
                <w:lang w:val="es-ES_tradnl"/>
              </w:rPr>
            </w:pPr>
            <w:bookmarkStart w:id="5" w:name="_Hlk64993720"/>
            <w:bookmarkEnd w:id="3"/>
            <w:r w:rsidRPr="006C5F90">
              <w:rPr>
                <w:b/>
                <w:i/>
                <w:sz w:val="22"/>
                <w:szCs w:val="22"/>
                <w:lang w:val="es-ES_tradnl"/>
              </w:rPr>
              <w:lastRenderedPageBreak/>
              <w:t>C</w:t>
            </w:r>
            <w:r w:rsidR="00986F75" w:rsidRPr="006C5F90">
              <w:rPr>
                <w:b/>
                <w:i/>
                <w:sz w:val="22"/>
                <w:szCs w:val="22"/>
                <w:lang w:val="es-ES_tradnl"/>
              </w:rPr>
              <w:t>EN</w:t>
            </w:r>
            <w:r w:rsidRPr="006C5F90">
              <w:rPr>
                <w:b/>
                <w:i/>
                <w:sz w:val="22"/>
                <w:szCs w:val="22"/>
                <w:lang w:val="es-ES_tradnl"/>
              </w:rPr>
              <w:t>:</w:t>
            </w:r>
          </w:p>
        </w:tc>
        <w:tc>
          <w:tcPr>
            <w:tcW w:w="4956" w:type="dxa"/>
          </w:tcPr>
          <w:p w14:paraId="270F7987" w14:textId="53F6C757" w:rsidR="00563A19" w:rsidRPr="006C5F90" w:rsidRDefault="00986F75" w:rsidP="008F3F27">
            <w:pPr>
              <w:spacing w:after="0" w:line="240" w:lineRule="auto"/>
              <w:rPr>
                <w:sz w:val="22"/>
                <w:szCs w:val="22"/>
              </w:rPr>
            </w:pPr>
            <w:r w:rsidRPr="006C5F90">
              <w:rPr>
                <w:sz w:val="22"/>
                <w:szCs w:val="22"/>
              </w:rPr>
              <w:t>Comité Ejecutivo Nacional de MORENA</w:t>
            </w:r>
          </w:p>
          <w:p w14:paraId="5AAFE853" w14:textId="4985A4C8" w:rsidR="00563A19" w:rsidRPr="006C5F90" w:rsidRDefault="00563A19" w:rsidP="008F3F27">
            <w:pPr>
              <w:spacing w:after="0" w:line="240" w:lineRule="auto"/>
              <w:rPr>
                <w:sz w:val="22"/>
                <w:szCs w:val="22"/>
              </w:rPr>
            </w:pPr>
          </w:p>
        </w:tc>
      </w:tr>
      <w:bookmarkEnd w:id="5"/>
      <w:tr w:rsidR="00986F75" w:rsidRPr="004D3B6A" w14:paraId="74E20631" w14:textId="77777777" w:rsidTr="00FF753A">
        <w:trPr>
          <w:trHeight w:val="468"/>
          <w:jc w:val="center"/>
        </w:trPr>
        <w:tc>
          <w:tcPr>
            <w:tcW w:w="2410" w:type="dxa"/>
          </w:tcPr>
          <w:p w14:paraId="5F63E42A" w14:textId="77777777" w:rsidR="00986F75" w:rsidRPr="004D3B6A" w:rsidRDefault="00986F75" w:rsidP="00FF753A">
            <w:pPr>
              <w:spacing w:after="0" w:line="240" w:lineRule="auto"/>
              <w:ind w:left="-4"/>
              <w:rPr>
                <w:b/>
                <w:i/>
                <w:sz w:val="22"/>
                <w:szCs w:val="22"/>
                <w:lang w:val="es-ES_tradnl"/>
              </w:rPr>
            </w:pPr>
            <w:r w:rsidRPr="004D3B6A">
              <w:rPr>
                <w:b/>
                <w:i/>
                <w:sz w:val="22"/>
                <w:szCs w:val="22"/>
                <w:lang w:val="es-ES_tradnl"/>
              </w:rPr>
              <w:t>Constitución Federal:</w:t>
            </w:r>
          </w:p>
        </w:tc>
        <w:tc>
          <w:tcPr>
            <w:tcW w:w="4956" w:type="dxa"/>
          </w:tcPr>
          <w:p w14:paraId="1634FECB" w14:textId="77777777" w:rsidR="00986F75" w:rsidRPr="004D3B6A" w:rsidRDefault="00986F75" w:rsidP="00FF753A">
            <w:pPr>
              <w:spacing w:after="0" w:line="240" w:lineRule="auto"/>
              <w:rPr>
                <w:sz w:val="22"/>
                <w:szCs w:val="22"/>
              </w:rPr>
            </w:pPr>
            <w:r w:rsidRPr="004D3B6A">
              <w:rPr>
                <w:sz w:val="22"/>
                <w:szCs w:val="22"/>
              </w:rPr>
              <w:t>Constitución Política de los Estados Unidos Mexicanos</w:t>
            </w:r>
          </w:p>
          <w:p w14:paraId="0A1F7BEE" w14:textId="77777777" w:rsidR="00986F75" w:rsidRPr="004D3B6A" w:rsidRDefault="00986F75" w:rsidP="00FF753A">
            <w:pPr>
              <w:spacing w:after="0" w:line="240" w:lineRule="auto"/>
              <w:rPr>
                <w:sz w:val="22"/>
                <w:szCs w:val="22"/>
              </w:rPr>
            </w:pPr>
          </w:p>
        </w:tc>
      </w:tr>
      <w:tr w:rsidR="00563A19" w:rsidRPr="00DE053F" w14:paraId="45081501" w14:textId="77777777" w:rsidTr="00451133">
        <w:trPr>
          <w:trHeight w:val="468"/>
          <w:jc w:val="center"/>
        </w:trPr>
        <w:tc>
          <w:tcPr>
            <w:tcW w:w="2410" w:type="dxa"/>
          </w:tcPr>
          <w:p w14:paraId="6FAE71C0" w14:textId="16EAC2DC" w:rsidR="008F3F27" w:rsidRPr="004D3B6A" w:rsidRDefault="00563A19" w:rsidP="008F3F27">
            <w:pPr>
              <w:spacing w:after="0" w:line="240" w:lineRule="auto"/>
              <w:ind w:left="-4"/>
              <w:rPr>
                <w:b/>
                <w:i/>
                <w:sz w:val="22"/>
                <w:szCs w:val="22"/>
                <w:lang w:val="es-ES_tradnl"/>
              </w:rPr>
            </w:pPr>
            <w:r w:rsidRPr="004D3B6A">
              <w:rPr>
                <w:b/>
                <w:i/>
                <w:sz w:val="22"/>
                <w:szCs w:val="22"/>
                <w:lang w:val="es-ES_tradnl"/>
              </w:rPr>
              <w:t>Convenio:</w:t>
            </w:r>
          </w:p>
          <w:p w14:paraId="47422180" w14:textId="4F0C1273" w:rsidR="008F3F27" w:rsidRPr="004D3B6A" w:rsidRDefault="008F3F27" w:rsidP="008F3F27">
            <w:pPr>
              <w:spacing w:after="0" w:line="240" w:lineRule="auto"/>
              <w:ind w:left="-4"/>
              <w:rPr>
                <w:b/>
                <w:i/>
                <w:sz w:val="22"/>
                <w:szCs w:val="22"/>
                <w:lang w:val="es-ES_tradnl"/>
              </w:rPr>
            </w:pPr>
          </w:p>
          <w:p w14:paraId="1D2CB5A6" w14:textId="57415C0C" w:rsidR="008F3F27" w:rsidRPr="004D3B6A" w:rsidRDefault="008F3F27" w:rsidP="008F3F27">
            <w:pPr>
              <w:spacing w:after="0" w:line="240" w:lineRule="auto"/>
              <w:ind w:left="-4"/>
              <w:rPr>
                <w:b/>
                <w:i/>
                <w:sz w:val="22"/>
                <w:szCs w:val="22"/>
                <w:lang w:val="es-ES_tradnl"/>
              </w:rPr>
            </w:pPr>
          </w:p>
          <w:p w14:paraId="017521CA" w14:textId="059DE54E" w:rsidR="008F3F27" w:rsidRPr="004D3B6A" w:rsidRDefault="008F3F27" w:rsidP="008F3F27">
            <w:pPr>
              <w:spacing w:after="0" w:line="240" w:lineRule="auto"/>
              <w:ind w:left="-4"/>
              <w:rPr>
                <w:b/>
                <w:i/>
                <w:sz w:val="22"/>
                <w:szCs w:val="22"/>
                <w:lang w:val="es-ES_tradnl"/>
              </w:rPr>
            </w:pPr>
          </w:p>
          <w:p w14:paraId="1572872E" w14:textId="65B8A444" w:rsidR="008F3F27" w:rsidRPr="004D3B6A" w:rsidRDefault="008F3F27" w:rsidP="008F3F27">
            <w:pPr>
              <w:spacing w:after="0" w:line="240" w:lineRule="auto"/>
              <w:ind w:left="-4"/>
              <w:rPr>
                <w:b/>
                <w:i/>
                <w:sz w:val="22"/>
                <w:szCs w:val="22"/>
                <w:lang w:val="es-ES_tradnl"/>
              </w:rPr>
            </w:pPr>
          </w:p>
          <w:p w14:paraId="7782BA3E" w14:textId="6D2FE45E" w:rsidR="008F3F27" w:rsidRPr="004D3B6A" w:rsidRDefault="008F3F27" w:rsidP="008F3F27">
            <w:pPr>
              <w:spacing w:after="0" w:line="240" w:lineRule="auto"/>
              <w:ind w:left="-4"/>
              <w:rPr>
                <w:b/>
                <w:i/>
                <w:sz w:val="22"/>
                <w:szCs w:val="22"/>
                <w:lang w:val="es-ES_tradnl"/>
              </w:rPr>
            </w:pPr>
          </w:p>
          <w:p w14:paraId="6158D020" w14:textId="77777777" w:rsidR="008F3F27" w:rsidRPr="004D3B6A" w:rsidRDefault="008F3F27" w:rsidP="008F3F27">
            <w:pPr>
              <w:spacing w:after="0" w:line="240" w:lineRule="auto"/>
              <w:ind w:left="-4"/>
              <w:rPr>
                <w:b/>
                <w:i/>
                <w:sz w:val="22"/>
                <w:szCs w:val="22"/>
                <w:lang w:val="es-ES_tradnl"/>
              </w:rPr>
            </w:pPr>
          </w:p>
          <w:p w14:paraId="5C76A396" w14:textId="77777777" w:rsidR="00B23EE9" w:rsidRPr="004D3B6A" w:rsidRDefault="00B23EE9" w:rsidP="008F3F27">
            <w:pPr>
              <w:rPr>
                <w:b/>
                <w:i/>
                <w:sz w:val="22"/>
                <w:szCs w:val="22"/>
                <w:lang w:val="es-ES_tradnl"/>
              </w:rPr>
            </w:pPr>
          </w:p>
          <w:p w14:paraId="0DFADFAB" w14:textId="2316EDA8" w:rsidR="00563A19" w:rsidRPr="004D3B6A" w:rsidRDefault="00563A19" w:rsidP="008F3F27">
            <w:pPr>
              <w:rPr>
                <w:b/>
                <w:i/>
                <w:sz w:val="22"/>
                <w:szCs w:val="22"/>
                <w:lang w:val="es-ES_tradnl"/>
              </w:rPr>
            </w:pPr>
            <w:r w:rsidRPr="004D3B6A">
              <w:rPr>
                <w:b/>
                <w:i/>
                <w:sz w:val="22"/>
                <w:szCs w:val="22"/>
                <w:lang w:val="es-ES_tradnl"/>
              </w:rPr>
              <w:t>I</w:t>
            </w:r>
            <w:r w:rsidR="00E4184B" w:rsidRPr="004D3B6A">
              <w:rPr>
                <w:b/>
                <w:i/>
                <w:sz w:val="22"/>
                <w:szCs w:val="22"/>
                <w:lang w:val="es-ES_tradnl"/>
              </w:rPr>
              <w:t>nstituto Local</w:t>
            </w:r>
            <w:r w:rsidRPr="004D3B6A">
              <w:rPr>
                <w:b/>
                <w:i/>
                <w:sz w:val="22"/>
                <w:szCs w:val="22"/>
                <w:lang w:val="es-ES_tradnl"/>
              </w:rPr>
              <w:t>:</w:t>
            </w:r>
          </w:p>
          <w:p w14:paraId="75A6FCA7" w14:textId="390B744D" w:rsidR="008F3F27" w:rsidRPr="004D3B6A" w:rsidRDefault="008F3F27" w:rsidP="008F3F27">
            <w:pPr>
              <w:rPr>
                <w:b/>
                <w:i/>
                <w:sz w:val="22"/>
                <w:szCs w:val="22"/>
                <w:lang w:val="es-ES_tradnl"/>
              </w:rPr>
            </w:pPr>
            <w:r w:rsidRPr="004D3B6A">
              <w:rPr>
                <w:b/>
                <w:i/>
                <w:sz w:val="22"/>
                <w:szCs w:val="22"/>
                <w:lang w:val="es-ES_tradnl"/>
              </w:rPr>
              <w:t>Ley de Medios:</w:t>
            </w:r>
          </w:p>
        </w:tc>
        <w:tc>
          <w:tcPr>
            <w:tcW w:w="4956" w:type="dxa"/>
          </w:tcPr>
          <w:p w14:paraId="024E8CEA" w14:textId="25CED236" w:rsidR="008F3F27" w:rsidRPr="004D3B6A" w:rsidRDefault="00563A19" w:rsidP="008F3F27">
            <w:pPr>
              <w:spacing w:after="0" w:line="240" w:lineRule="auto"/>
              <w:rPr>
                <w:sz w:val="22"/>
                <w:szCs w:val="22"/>
              </w:rPr>
            </w:pPr>
            <w:r w:rsidRPr="004D3B6A">
              <w:rPr>
                <w:sz w:val="22"/>
                <w:szCs w:val="22"/>
              </w:rPr>
              <w:t xml:space="preserve">Convenio de coalición parcial &lt;&lt;JUNTOS HAREMOS HISTORIA EN GUANAJUATO&gt;&gt; celebrado entre MORENA, Partido del Trabajo y Nueva Alianza Guanajuato para postular candidaturas </w:t>
            </w:r>
            <w:bookmarkStart w:id="6" w:name="_Hlk63560190"/>
            <w:r w:rsidRPr="004D3B6A">
              <w:rPr>
                <w:sz w:val="22"/>
                <w:szCs w:val="22"/>
              </w:rPr>
              <w:t>a diputaciones locales al Congreso del Estado y para integrar ayuntamientos en el proceso electoral local ordinario 2020-2021</w:t>
            </w:r>
            <w:bookmarkEnd w:id="6"/>
          </w:p>
          <w:p w14:paraId="5500D68E" w14:textId="72B9F0E3" w:rsidR="008F3F27" w:rsidRPr="004D3B6A" w:rsidRDefault="008F3F27" w:rsidP="008F3F27">
            <w:pPr>
              <w:spacing w:after="0" w:line="240" w:lineRule="auto"/>
              <w:rPr>
                <w:sz w:val="22"/>
                <w:szCs w:val="22"/>
              </w:rPr>
            </w:pPr>
          </w:p>
          <w:p w14:paraId="05E63F63" w14:textId="77777777" w:rsidR="00B23EE9" w:rsidRPr="004D3B6A" w:rsidRDefault="00B23EE9" w:rsidP="008F3F27">
            <w:pPr>
              <w:spacing w:after="0" w:line="240" w:lineRule="auto"/>
              <w:rPr>
                <w:sz w:val="22"/>
                <w:szCs w:val="22"/>
              </w:rPr>
            </w:pPr>
          </w:p>
          <w:p w14:paraId="001EE249" w14:textId="4E6EA614" w:rsidR="008F3F27" w:rsidRPr="004D3B6A" w:rsidRDefault="008F3F27" w:rsidP="008F3F27">
            <w:pPr>
              <w:spacing w:after="0" w:line="240" w:lineRule="auto"/>
              <w:rPr>
                <w:sz w:val="22"/>
                <w:szCs w:val="22"/>
              </w:rPr>
            </w:pPr>
            <w:r w:rsidRPr="004D3B6A">
              <w:rPr>
                <w:sz w:val="22"/>
                <w:szCs w:val="22"/>
              </w:rPr>
              <w:t>Instituto Electoral del Estado de Guanajuato</w:t>
            </w:r>
          </w:p>
          <w:p w14:paraId="0C33957E" w14:textId="77777777" w:rsidR="008F3F27" w:rsidRPr="004D3B6A" w:rsidRDefault="008F3F27" w:rsidP="008F3F27">
            <w:pPr>
              <w:spacing w:after="0" w:line="240" w:lineRule="auto"/>
              <w:rPr>
                <w:sz w:val="22"/>
                <w:szCs w:val="22"/>
              </w:rPr>
            </w:pPr>
          </w:p>
          <w:p w14:paraId="3C10B028" w14:textId="77777777" w:rsidR="00563A19" w:rsidRPr="004D3B6A" w:rsidRDefault="008F3F27" w:rsidP="008F3F27">
            <w:pPr>
              <w:tabs>
                <w:tab w:val="left" w:pos="3105"/>
              </w:tabs>
              <w:spacing w:after="0" w:line="240" w:lineRule="auto"/>
              <w:rPr>
                <w:sz w:val="22"/>
                <w:szCs w:val="22"/>
              </w:rPr>
            </w:pPr>
            <w:r w:rsidRPr="004D3B6A">
              <w:rPr>
                <w:sz w:val="22"/>
                <w:szCs w:val="22"/>
              </w:rPr>
              <w:t>Ley General del Sistema de Medios de Impugnación en Materia Electoral</w:t>
            </w:r>
          </w:p>
          <w:p w14:paraId="2237781F" w14:textId="18101560" w:rsidR="008F3F27" w:rsidRPr="004D3B6A" w:rsidRDefault="008F3F27" w:rsidP="008F3F27">
            <w:pPr>
              <w:tabs>
                <w:tab w:val="left" w:pos="3105"/>
              </w:tabs>
              <w:spacing w:after="0" w:line="240" w:lineRule="auto"/>
              <w:rPr>
                <w:sz w:val="22"/>
                <w:szCs w:val="22"/>
              </w:rPr>
            </w:pPr>
          </w:p>
        </w:tc>
      </w:tr>
      <w:tr w:rsidR="007A1FC5" w:rsidRPr="00DE053F" w14:paraId="539824BC" w14:textId="77777777" w:rsidTr="0020669E">
        <w:trPr>
          <w:trHeight w:val="468"/>
          <w:jc w:val="center"/>
        </w:trPr>
        <w:tc>
          <w:tcPr>
            <w:tcW w:w="2410" w:type="dxa"/>
          </w:tcPr>
          <w:p w14:paraId="1ABADF1E" w14:textId="6D171B63" w:rsidR="007A1FC5" w:rsidRPr="004D3B6A" w:rsidRDefault="007A1FC5" w:rsidP="0020669E">
            <w:pPr>
              <w:spacing w:after="0" w:line="240" w:lineRule="auto"/>
              <w:rPr>
                <w:b/>
                <w:i/>
                <w:sz w:val="22"/>
                <w:szCs w:val="22"/>
                <w:lang w:val="es-ES_tradnl"/>
              </w:rPr>
            </w:pPr>
            <w:bookmarkStart w:id="7" w:name="_Hlk64483794"/>
            <w:r w:rsidRPr="004D3B6A">
              <w:rPr>
                <w:b/>
                <w:i/>
                <w:sz w:val="22"/>
                <w:szCs w:val="22"/>
                <w:lang w:val="es-ES_tradnl"/>
              </w:rPr>
              <w:t>Ley de Partidos:</w:t>
            </w:r>
          </w:p>
        </w:tc>
        <w:tc>
          <w:tcPr>
            <w:tcW w:w="4956" w:type="dxa"/>
          </w:tcPr>
          <w:p w14:paraId="0E0E3F1E" w14:textId="6F245049" w:rsidR="007A1FC5" w:rsidRPr="004D3B6A" w:rsidRDefault="007A1FC5" w:rsidP="0020669E">
            <w:pPr>
              <w:spacing w:after="0" w:line="240" w:lineRule="auto"/>
              <w:rPr>
                <w:sz w:val="22"/>
                <w:szCs w:val="22"/>
              </w:rPr>
            </w:pPr>
            <w:r w:rsidRPr="004D3B6A">
              <w:rPr>
                <w:sz w:val="22"/>
                <w:szCs w:val="22"/>
              </w:rPr>
              <w:t>Ley General de Partidos Políticos</w:t>
            </w:r>
          </w:p>
        </w:tc>
      </w:tr>
      <w:tr w:rsidR="007A1FC5" w:rsidRPr="00DE053F" w14:paraId="35CA3630" w14:textId="77777777" w:rsidTr="0020669E">
        <w:trPr>
          <w:trHeight w:val="468"/>
          <w:jc w:val="center"/>
        </w:trPr>
        <w:tc>
          <w:tcPr>
            <w:tcW w:w="2410" w:type="dxa"/>
          </w:tcPr>
          <w:p w14:paraId="728B9083" w14:textId="032472F7" w:rsidR="007A1FC5" w:rsidRPr="004D3B6A" w:rsidRDefault="007A1FC5" w:rsidP="0020669E">
            <w:pPr>
              <w:spacing w:after="0" w:line="240" w:lineRule="auto"/>
              <w:rPr>
                <w:b/>
                <w:i/>
                <w:sz w:val="22"/>
                <w:szCs w:val="22"/>
                <w:lang w:val="es-ES_tradnl"/>
              </w:rPr>
            </w:pPr>
            <w:r w:rsidRPr="004D3B6A">
              <w:rPr>
                <w:b/>
                <w:i/>
                <w:sz w:val="22"/>
                <w:szCs w:val="22"/>
                <w:lang w:val="es-ES_tradnl"/>
              </w:rPr>
              <w:t>PANAL:</w:t>
            </w:r>
          </w:p>
        </w:tc>
        <w:tc>
          <w:tcPr>
            <w:tcW w:w="4956" w:type="dxa"/>
          </w:tcPr>
          <w:p w14:paraId="6F33EAF9" w14:textId="6AD9D21A" w:rsidR="007A1FC5" w:rsidRPr="004D3B6A" w:rsidRDefault="007A1FC5" w:rsidP="0020669E">
            <w:pPr>
              <w:spacing w:after="0" w:line="240" w:lineRule="auto"/>
              <w:rPr>
                <w:sz w:val="22"/>
                <w:szCs w:val="22"/>
              </w:rPr>
            </w:pPr>
            <w:r w:rsidRPr="004D3B6A">
              <w:rPr>
                <w:sz w:val="22"/>
                <w:szCs w:val="22"/>
              </w:rPr>
              <w:t>Partido Nueva Alianza Guanajuato</w:t>
            </w:r>
          </w:p>
        </w:tc>
      </w:tr>
      <w:tr w:rsidR="007A1FC5" w:rsidRPr="00DE053F" w14:paraId="443EF1B7" w14:textId="77777777" w:rsidTr="0020669E">
        <w:trPr>
          <w:trHeight w:val="468"/>
          <w:jc w:val="center"/>
        </w:trPr>
        <w:tc>
          <w:tcPr>
            <w:tcW w:w="2410" w:type="dxa"/>
          </w:tcPr>
          <w:p w14:paraId="56B19E3C" w14:textId="10101983" w:rsidR="007A1FC5" w:rsidRPr="004D3B6A" w:rsidRDefault="007A1FC5" w:rsidP="0020669E">
            <w:pPr>
              <w:spacing w:after="0" w:line="240" w:lineRule="auto"/>
              <w:rPr>
                <w:b/>
                <w:i/>
                <w:sz w:val="22"/>
                <w:szCs w:val="22"/>
                <w:lang w:val="es-ES_tradnl"/>
              </w:rPr>
            </w:pPr>
            <w:r w:rsidRPr="004D3B6A">
              <w:rPr>
                <w:b/>
                <w:i/>
                <w:sz w:val="22"/>
                <w:szCs w:val="22"/>
                <w:lang w:val="es-ES_tradnl"/>
              </w:rPr>
              <w:t>PT:</w:t>
            </w:r>
          </w:p>
        </w:tc>
        <w:tc>
          <w:tcPr>
            <w:tcW w:w="4956" w:type="dxa"/>
          </w:tcPr>
          <w:p w14:paraId="771037F0" w14:textId="4F319D2A" w:rsidR="007A1FC5" w:rsidRPr="004D3B6A" w:rsidRDefault="007A1FC5" w:rsidP="0020669E">
            <w:pPr>
              <w:spacing w:after="0" w:line="240" w:lineRule="auto"/>
              <w:rPr>
                <w:sz w:val="22"/>
                <w:szCs w:val="22"/>
              </w:rPr>
            </w:pPr>
            <w:r w:rsidRPr="004D3B6A">
              <w:rPr>
                <w:sz w:val="22"/>
                <w:szCs w:val="22"/>
              </w:rPr>
              <w:t>Partido del Trabajo</w:t>
            </w:r>
          </w:p>
        </w:tc>
      </w:tr>
      <w:tr w:rsidR="004D3B6A" w:rsidRPr="00DE053F" w14:paraId="2259750E" w14:textId="77777777" w:rsidTr="0020669E">
        <w:trPr>
          <w:trHeight w:val="468"/>
          <w:jc w:val="center"/>
        </w:trPr>
        <w:tc>
          <w:tcPr>
            <w:tcW w:w="2410" w:type="dxa"/>
          </w:tcPr>
          <w:p w14:paraId="7A16D6C4" w14:textId="4415BEF0" w:rsidR="004D3B6A" w:rsidRPr="004D3B6A" w:rsidRDefault="004D3B6A" w:rsidP="0020669E">
            <w:pPr>
              <w:spacing w:after="0" w:line="240" w:lineRule="auto"/>
              <w:rPr>
                <w:b/>
                <w:i/>
                <w:sz w:val="22"/>
                <w:szCs w:val="22"/>
                <w:lang w:val="es-ES_tradnl"/>
              </w:rPr>
            </w:pPr>
            <w:r w:rsidRPr="004D3B6A">
              <w:rPr>
                <w:b/>
                <w:i/>
                <w:sz w:val="22"/>
                <w:szCs w:val="22"/>
                <w:lang w:val="es-ES_tradnl"/>
              </w:rPr>
              <w:t>Reglamento</w:t>
            </w:r>
            <w:r w:rsidR="004F09D6">
              <w:rPr>
                <w:b/>
                <w:i/>
                <w:sz w:val="22"/>
                <w:szCs w:val="22"/>
                <w:lang w:val="es-ES_tradnl"/>
              </w:rPr>
              <w:t xml:space="preserve"> </w:t>
            </w:r>
            <w:r w:rsidRPr="004D3B6A">
              <w:rPr>
                <w:b/>
                <w:i/>
                <w:sz w:val="22"/>
                <w:szCs w:val="22"/>
                <w:lang w:val="es-ES_tradnl"/>
              </w:rPr>
              <w:t>de elecciones:</w:t>
            </w:r>
          </w:p>
        </w:tc>
        <w:tc>
          <w:tcPr>
            <w:tcW w:w="4956" w:type="dxa"/>
          </w:tcPr>
          <w:p w14:paraId="6EAFEB17" w14:textId="77777777" w:rsidR="004D3B6A" w:rsidRPr="004D3B6A" w:rsidRDefault="004D3B6A" w:rsidP="0020669E">
            <w:pPr>
              <w:spacing w:after="0" w:line="240" w:lineRule="auto"/>
              <w:rPr>
                <w:sz w:val="22"/>
                <w:szCs w:val="22"/>
              </w:rPr>
            </w:pPr>
            <w:r w:rsidRPr="004D3B6A">
              <w:rPr>
                <w:sz w:val="22"/>
                <w:szCs w:val="22"/>
              </w:rPr>
              <w:t>Reglamento de Elecciones del Instituto Nacional Electoral</w:t>
            </w:r>
          </w:p>
          <w:p w14:paraId="593A0833" w14:textId="76387365" w:rsidR="004D3B6A" w:rsidRPr="004D3B6A" w:rsidRDefault="004D3B6A" w:rsidP="0020669E">
            <w:pPr>
              <w:spacing w:after="0" w:line="240" w:lineRule="auto"/>
              <w:rPr>
                <w:sz w:val="22"/>
                <w:szCs w:val="22"/>
              </w:rPr>
            </w:pPr>
          </w:p>
        </w:tc>
      </w:tr>
      <w:tr w:rsidR="004D3B6A" w:rsidRPr="00DE053F" w14:paraId="15250228" w14:textId="77777777" w:rsidTr="0020669E">
        <w:trPr>
          <w:trHeight w:val="468"/>
          <w:jc w:val="center"/>
        </w:trPr>
        <w:tc>
          <w:tcPr>
            <w:tcW w:w="2410" w:type="dxa"/>
          </w:tcPr>
          <w:p w14:paraId="6DDAC5DE" w14:textId="7131F605" w:rsidR="004D3B6A" w:rsidRPr="004D3B6A" w:rsidRDefault="004D3B6A" w:rsidP="0020669E">
            <w:pPr>
              <w:spacing w:after="0" w:line="240" w:lineRule="auto"/>
              <w:rPr>
                <w:b/>
                <w:i/>
                <w:sz w:val="22"/>
                <w:szCs w:val="22"/>
                <w:lang w:val="es-ES_tradnl"/>
              </w:rPr>
            </w:pPr>
            <w:r w:rsidRPr="004D3B6A">
              <w:rPr>
                <w:b/>
                <w:i/>
                <w:sz w:val="22"/>
                <w:szCs w:val="22"/>
                <w:lang w:val="es-ES_tradnl"/>
              </w:rPr>
              <w:t>Requerimiento:</w:t>
            </w:r>
          </w:p>
        </w:tc>
        <w:tc>
          <w:tcPr>
            <w:tcW w:w="4956" w:type="dxa"/>
          </w:tcPr>
          <w:p w14:paraId="1281F895" w14:textId="77777777" w:rsidR="004D3B6A" w:rsidRPr="004D3B6A" w:rsidRDefault="004D3B6A" w:rsidP="0020669E">
            <w:pPr>
              <w:spacing w:after="0" w:line="240" w:lineRule="auto"/>
              <w:rPr>
                <w:color w:val="000000" w:themeColor="text1"/>
                <w:sz w:val="22"/>
                <w:szCs w:val="22"/>
                <w:lang w:val="es-ES_tradnl"/>
              </w:rPr>
            </w:pPr>
            <w:r w:rsidRPr="004D3B6A">
              <w:rPr>
                <w:color w:val="000000" w:themeColor="text1"/>
                <w:sz w:val="22"/>
                <w:szCs w:val="22"/>
                <w:lang w:val="es-ES_tradnl"/>
              </w:rPr>
              <w:t>Oficio SE/2033/2020 a través del cual la Secretaría Ejecutiva del Instituto Electoral del Estado de Guanajuato, notificó a los partidos MORENA. Nueva Alianza Guanajuato y del Trabajo a efecto de subsanar diversos requisitos para registrar el convenio de coalición.</w:t>
            </w:r>
          </w:p>
          <w:p w14:paraId="7CE5C0DE" w14:textId="39BC93E1" w:rsidR="004D3B6A" w:rsidRPr="004D3B6A" w:rsidRDefault="004D3B6A" w:rsidP="0020669E">
            <w:pPr>
              <w:spacing w:after="0" w:line="240" w:lineRule="auto"/>
              <w:rPr>
                <w:sz w:val="22"/>
                <w:szCs w:val="22"/>
              </w:rPr>
            </w:pPr>
          </w:p>
        </w:tc>
      </w:tr>
      <w:tr w:rsidR="00563A19" w:rsidRPr="00DE053F" w14:paraId="58B300F5" w14:textId="77777777" w:rsidTr="00451133">
        <w:trPr>
          <w:trHeight w:val="468"/>
          <w:jc w:val="center"/>
        </w:trPr>
        <w:tc>
          <w:tcPr>
            <w:tcW w:w="2410" w:type="dxa"/>
          </w:tcPr>
          <w:p w14:paraId="69F3AE5D" w14:textId="15939C24" w:rsidR="00563A19" w:rsidRPr="004D3B6A" w:rsidRDefault="00563A19" w:rsidP="008F3F27">
            <w:pPr>
              <w:spacing w:after="0" w:line="240" w:lineRule="auto"/>
              <w:rPr>
                <w:b/>
                <w:i/>
                <w:sz w:val="22"/>
                <w:szCs w:val="22"/>
                <w:lang w:val="es-ES_tradnl"/>
              </w:rPr>
            </w:pPr>
            <w:r w:rsidRPr="004D3B6A">
              <w:rPr>
                <w:b/>
                <w:i/>
                <w:sz w:val="22"/>
                <w:szCs w:val="22"/>
                <w:lang w:val="es-ES_tradnl"/>
              </w:rPr>
              <w:t>Tribunal Local:</w:t>
            </w:r>
          </w:p>
        </w:tc>
        <w:tc>
          <w:tcPr>
            <w:tcW w:w="4956" w:type="dxa"/>
          </w:tcPr>
          <w:p w14:paraId="447507A4" w14:textId="74F96DE9" w:rsidR="00563A19" w:rsidRPr="004D3B6A" w:rsidRDefault="00563A19" w:rsidP="008F3F27">
            <w:pPr>
              <w:spacing w:after="0" w:line="240" w:lineRule="auto"/>
              <w:rPr>
                <w:sz w:val="22"/>
                <w:szCs w:val="22"/>
              </w:rPr>
            </w:pPr>
            <w:r w:rsidRPr="004D3B6A">
              <w:rPr>
                <w:sz w:val="22"/>
                <w:szCs w:val="22"/>
              </w:rPr>
              <w:t>Tribunal Estatal Electoral de Guanajuato</w:t>
            </w:r>
          </w:p>
        </w:tc>
      </w:tr>
    </w:tbl>
    <w:p w14:paraId="15D2E59B" w14:textId="77777777" w:rsidR="00F9011A" w:rsidRPr="00DE053F" w:rsidRDefault="00EB2DC3" w:rsidP="00C161C0">
      <w:pPr>
        <w:pStyle w:val="Ttulo1"/>
        <w:rPr>
          <w:lang w:val="es-ES_tradnl"/>
        </w:rPr>
      </w:pPr>
      <w:bookmarkStart w:id="8" w:name="_Toc27649895"/>
      <w:bookmarkEnd w:id="7"/>
      <w:r w:rsidRPr="00DE053F">
        <w:rPr>
          <w:lang w:val="es-ES_tradnl"/>
        </w:rPr>
        <w:t xml:space="preserve">1. </w:t>
      </w:r>
      <w:r w:rsidR="00F9011A" w:rsidRPr="00DE053F">
        <w:rPr>
          <w:lang w:val="es-ES_tradnl"/>
        </w:rPr>
        <w:t>ANTECEDENTES DEL CASO</w:t>
      </w:r>
      <w:bookmarkEnd w:id="8"/>
    </w:p>
    <w:p w14:paraId="56BF3470" w14:textId="731D926E" w:rsidR="00604166" w:rsidRPr="00DE053F" w:rsidRDefault="00604166" w:rsidP="00C71318">
      <w:pPr>
        <w:spacing w:before="100" w:beforeAutospacing="1" w:after="100" w:afterAutospacing="1"/>
        <w:rPr>
          <w:szCs w:val="24"/>
        </w:rPr>
      </w:pPr>
      <w:r w:rsidRPr="00DE053F">
        <w:rPr>
          <w:szCs w:val="24"/>
        </w:rPr>
        <w:t>Las fechas que se citan corresponden a dos mil veint</w:t>
      </w:r>
      <w:r w:rsidR="00563A19">
        <w:rPr>
          <w:szCs w:val="24"/>
        </w:rPr>
        <w:t>e</w:t>
      </w:r>
      <w:r w:rsidRPr="00DE053F">
        <w:rPr>
          <w:szCs w:val="24"/>
        </w:rPr>
        <w:t>, salvo precisión en contrario.</w:t>
      </w:r>
      <w:r w:rsidR="00563A19">
        <w:rPr>
          <w:szCs w:val="24"/>
        </w:rPr>
        <w:t xml:space="preserve"> </w:t>
      </w:r>
    </w:p>
    <w:p w14:paraId="32A23C2D" w14:textId="4B9FED41" w:rsidR="00563A19" w:rsidRDefault="00375098" w:rsidP="00375098">
      <w:pPr>
        <w:pStyle w:val="Prrafodelista"/>
        <w:spacing w:before="100" w:beforeAutospacing="1" w:after="100" w:afterAutospacing="1"/>
        <w:ind w:left="0"/>
        <w:contextualSpacing w:val="0"/>
        <w:rPr>
          <w:color w:val="000000" w:themeColor="text1"/>
          <w:szCs w:val="24"/>
          <w:lang w:val="es-ES_tradnl"/>
        </w:rPr>
      </w:pPr>
      <w:r w:rsidRPr="00DE053F">
        <w:rPr>
          <w:b/>
          <w:color w:val="000000" w:themeColor="text1"/>
          <w:szCs w:val="24"/>
          <w:lang w:val="es-ES_tradnl"/>
        </w:rPr>
        <w:t>1.</w:t>
      </w:r>
      <w:r w:rsidR="00563A19">
        <w:rPr>
          <w:b/>
          <w:color w:val="000000" w:themeColor="text1"/>
          <w:szCs w:val="24"/>
          <w:lang w:val="es-ES_tradnl"/>
        </w:rPr>
        <w:t>1</w:t>
      </w:r>
      <w:r w:rsidR="00654EFE" w:rsidRPr="00DE053F">
        <w:rPr>
          <w:b/>
          <w:color w:val="000000" w:themeColor="text1"/>
          <w:szCs w:val="24"/>
          <w:lang w:val="es-ES_tradnl"/>
        </w:rPr>
        <w:t>.</w:t>
      </w:r>
      <w:r w:rsidRPr="00DE053F">
        <w:rPr>
          <w:b/>
          <w:color w:val="000000" w:themeColor="text1"/>
          <w:szCs w:val="24"/>
          <w:lang w:val="es-ES_tradnl"/>
        </w:rPr>
        <w:t xml:space="preserve"> Inicio del proceso electoral. </w:t>
      </w:r>
      <w:r w:rsidRPr="00DE053F">
        <w:rPr>
          <w:color w:val="000000" w:themeColor="text1"/>
          <w:szCs w:val="24"/>
          <w:lang w:val="es-ES_tradnl"/>
        </w:rPr>
        <w:t xml:space="preserve">El </w:t>
      </w:r>
      <w:r w:rsidR="00563A19" w:rsidRPr="006C5F90">
        <w:rPr>
          <w:color w:val="000000" w:themeColor="text1"/>
          <w:szCs w:val="24"/>
          <w:lang w:val="es-ES_tradnl"/>
        </w:rPr>
        <w:t>sie</w:t>
      </w:r>
      <w:r w:rsidR="004F09D6" w:rsidRPr="006C5F90">
        <w:rPr>
          <w:color w:val="000000" w:themeColor="text1"/>
          <w:szCs w:val="24"/>
          <w:lang w:val="es-ES_tradnl"/>
        </w:rPr>
        <w:t>te</w:t>
      </w:r>
      <w:r w:rsidRPr="00DE053F">
        <w:rPr>
          <w:color w:val="000000" w:themeColor="text1"/>
          <w:szCs w:val="24"/>
          <w:lang w:val="es-ES_tradnl"/>
        </w:rPr>
        <w:t xml:space="preserve"> de septiembre, dio inicio el proceso</w:t>
      </w:r>
      <w:r w:rsidR="00563A19">
        <w:rPr>
          <w:color w:val="000000" w:themeColor="text1"/>
          <w:szCs w:val="24"/>
          <w:lang w:val="es-ES_tradnl"/>
        </w:rPr>
        <w:t xml:space="preserve"> para la </w:t>
      </w:r>
      <w:r w:rsidR="00563A19" w:rsidRPr="00563A19">
        <w:rPr>
          <w:color w:val="000000" w:themeColor="text1"/>
          <w:szCs w:val="24"/>
          <w:lang w:val="es-ES_tradnl"/>
        </w:rPr>
        <w:t>renovación de los cargos a diputaciones</w:t>
      </w:r>
      <w:r w:rsidR="00563A19">
        <w:rPr>
          <w:color w:val="000000" w:themeColor="text1"/>
          <w:szCs w:val="24"/>
          <w:lang w:val="es-ES_tradnl"/>
        </w:rPr>
        <w:t xml:space="preserve"> locales</w:t>
      </w:r>
      <w:r w:rsidR="00563A19" w:rsidRPr="00563A19">
        <w:rPr>
          <w:color w:val="000000" w:themeColor="text1"/>
          <w:szCs w:val="24"/>
          <w:lang w:val="es-ES_tradnl"/>
        </w:rPr>
        <w:t xml:space="preserve"> y ayuntamientos </w:t>
      </w:r>
      <w:r w:rsidR="00563A19">
        <w:rPr>
          <w:color w:val="000000" w:themeColor="text1"/>
          <w:szCs w:val="24"/>
          <w:lang w:val="es-ES_tradnl"/>
        </w:rPr>
        <w:t xml:space="preserve">locales 2020-2021 en el </w:t>
      </w:r>
      <w:r w:rsidR="00563A19" w:rsidRPr="00563A19">
        <w:rPr>
          <w:color w:val="000000" w:themeColor="text1"/>
          <w:szCs w:val="24"/>
          <w:lang w:val="es-ES_tradnl"/>
        </w:rPr>
        <w:t>Estado de Guanajuato</w:t>
      </w:r>
      <w:r w:rsidRPr="00DE053F">
        <w:rPr>
          <w:color w:val="000000" w:themeColor="text1"/>
          <w:szCs w:val="24"/>
          <w:lang w:val="es-ES_tradnl"/>
        </w:rPr>
        <w:t>.</w:t>
      </w:r>
    </w:p>
    <w:p w14:paraId="61B6B2B8" w14:textId="3E542DC4" w:rsidR="005875CF" w:rsidRPr="005875CF" w:rsidRDefault="00563A19" w:rsidP="00375098">
      <w:pPr>
        <w:pStyle w:val="Prrafodelista"/>
        <w:spacing w:before="100" w:beforeAutospacing="1" w:after="100" w:afterAutospacing="1"/>
        <w:ind w:left="0"/>
        <w:contextualSpacing w:val="0"/>
        <w:rPr>
          <w:sz w:val="18"/>
          <w:szCs w:val="18"/>
        </w:rPr>
      </w:pPr>
      <w:r w:rsidRPr="00563A19">
        <w:rPr>
          <w:b/>
          <w:szCs w:val="24"/>
          <w:lang w:val="es-ES_tradnl"/>
        </w:rPr>
        <w:t>1.2. Solicitud de registro de convenio</w:t>
      </w:r>
      <w:r w:rsidRPr="00563A19">
        <w:rPr>
          <w:color w:val="000000" w:themeColor="text1"/>
          <w:szCs w:val="24"/>
          <w:lang w:val="es-ES_tradnl"/>
        </w:rPr>
        <w:t xml:space="preserve">. El veintitrés de diciembre, el </w:t>
      </w:r>
      <w:proofErr w:type="gramStart"/>
      <w:r w:rsidR="005875CF">
        <w:rPr>
          <w:color w:val="000000" w:themeColor="text1"/>
          <w:szCs w:val="24"/>
          <w:lang w:val="es-ES_tradnl"/>
        </w:rPr>
        <w:t>P</w:t>
      </w:r>
      <w:r w:rsidRPr="00563A19">
        <w:rPr>
          <w:color w:val="000000" w:themeColor="text1"/>
          <w:szCs w:val="24"/>
          <w:lang w:val="es-ES_tradnl"/>
        </w:rPr>
        <w:t>residente</w:t>
      </w:r>
      <w:proofErr w:type="gramEnd"/>
      <w:r w:rsidRPr="00563A19">
        <w:rPr>
          <w:color w:val="000000" w:themeColor="text1"/>
          <w:szCs w:val="24"/>
          <w:lang w:val="es-ES_tradnl"/>
        </w:rPr>
        <w:t xml:space="preserve"> y la </w:t>
      </w:r>
      <w:r w:rsidR="005875CF">
        <w:rPr>
          <w:color w:val="000000" w:themeColor="text1"/>
          <w:szCs w:val="24"/>
          <w:lang w:val="es-ES_tradnl"/>
        </w:rPr>
        <w:t>S</w:t>
      </w:r>
      <w:r w:rsidRPr="00563A19">
        <w:rPr>
          <w:color w:val="000000" w:themeColor="text1"/>
          <w:szCs w:val="24"/>
          <w:lang w:val="es-ES_tradnl"/>
        </w:rPr>
        <w:t xml:space="preserve">ecretaria </w:t>
      </w:r>
      <w:r w:rsidR="005875CF">
        <w:rPr>
          <w:color w:val="000000" w:themeColor="text1"/>
          <w:szCs w:val="24"/>
          <w:lang w:val="es-ES_tradnl"/>
        </w:rPr>
        <w:t>G</w:t>
      </w:r>
      <w:r w:rsidRPr="00563A19">
        <w:rPr>
          <w:color w:val="000000" w:themeColor="text1"/>
          <w:szCs w:val="24"/>
          <w:lang w:val="es-ES_tradnl"/>
        </w:rPr>
        <w:t xml:space="preserve">eneral del Comité Ejecutivo Nacional de MORENA, el </w:t>
      </w:r>
      <w:r w:rsidR="005875CF">
        <w:rPr>
          <w:color w:val="000000" w:themeColor="text1"/>
          <w:szCs w:val="24"/>
          <w:lang w:val="es-ES_tradnl"/>
        </w:rPr>
        <w:t>C</w:t>
      </w:r>
      <w:r w:rsidRPr="00563A19">
        <w:rPr>
          <w:color w:val="000000" w:themeColor="text1"/>
          <w:szCs w:val="24"/>
          <w:lang w:val="es-ES_tradnl"/>
        </w:rPr>
        <w:t xml:space="preserve">omisionado </w:t>
      </w:r>
      <w:r w:rsidR="005875CF">
        <w:rPr>
          <w:color w:val="000000" w:themeColor="text1"/>
          <w:szCs w:val="24"/>
          <w:lang w:val="es-ES_tradnl"/>
        </w:rPr>
        <w:t>P</w:t>
      </w:r>
      <w:r w:rsidRPr="00563A19">
        <w:rPr>
          <w:color w:val="000000" w:themeColor="text1"/>
          <w:szCs w:val="24"/>
          <w:lang w:val="es-ES_tradnl"/>
        </w:rPr>
        <w:t xml:space="preserve">olítico </w:t>
      </w:r>
      <w:r w:rsidR="005875CF">
        <w:rPr>
          <w:color w:val="000000" w:themeColor="text1"/>
          <w:szCs w:val="24"/>
          <w:lang w:val="es-ES_tradnl"/>
        </w:rPr>
        <w:t>N</w:t>
      </w:r>
      <w:r w:rsidRPr="00563A19">
        <w:rPr>
          <w:color w:val="000000" w:themeColor="text1"/>
          <w:szCs w:val="24"/>
          <w:lang w:val="es-ES_tradnl"/>
        </w:rPr>
        <w:t>acional del</w:t>
      </w:r>
      <w:r w:rsidRPr="00E4184B">
        <w:rPr>
          <w:i/>
          <w:color w:val="000000" w:themeColor="text1"/>
          <w:szCs w:val="24"/>
          <w:lang w:val="es-ES_tradnl"/>
        </w:rPr>
        <w:t xml:space="preserve"> </w:t>
      </w:r>
      <w:r w:rsidR="00E4184B" w:rsidRPr="00E4184B">
        <w:rPr>
          <w:i/>
          <w:color w:val="000000" w:themeColor="text1"/>
          <w:szCs w:val="24"/>
          <w:lang w:val="es-ES_tradnl"/>
        </w:rPr>
        <w:t>PT</w:t>
      </w:r>
      <w:r w:rsidRPr="00563A19">
        <w:rPr>
          <w:color w:val="000000" w:themeColor="text1"/>
          <w:szCs w:val="24"/>
          <w:lang w:val="es-ES_tradnl"/>
        </w:rPr>
        <w:t xml:space="preserve"> en el Estado de Guanajuato y el </w:t>
      </w:r>
      <w:r w:rsidR="005875CF">
        <w:rPr>
          <w:color w:val="000000" w:themeColor="text1"/>
          <w:szCs w:val="24"/>
          <w:lang w:val="es-ES_tradnl"/>
        </w:rPr>
        <w:t>P</w:t>
      </w:r>
      <w:r w:rsidRPr="00563A19">
        <w:rPr>
          <w:color w:val="000000" w:themeColor="text1"/>
          <w:szCs w:val="24"/>
          <w:lang w:val="es-ES_tradnl"/>
        </w:rPr>
        <w:t xml:space="preserve">residente del Comité de Dirección Estatal del </w:t>
      </w:r>
      <w:r w:rsidR="00E4184B" w:rsidRPr="00E4184B">
        <w:rPr>
          <w:i/>
          <w:color w:val="000000" w:themeColor="text1"/>
          <w:szCs w:val="24"/>
          <w:lang w:val="es-ES_tradnl"/>
        </w:rPr>
        <w:t>PANAL</w:t>
      </w:r>
      <w:r w:rsidRPr="00563A19">
        <w:rPr>
          <w:color w:val="000000" w:themeColor="text1"/>
          <w:szCs w:val="24"/>
          <w:lang w:val="es-ES_tradnl"/>
        </w:rPr>
        <w:t xml:space="preserve">, </w:t>
      </w:r>
      <w:r w:rsidRPr="00563A19">
        <w:rPr>
          <w:color w:val="000000" w:themeColor="text1"/>
          <w:szCs w:val="24"/>
          <w:lang w:val="es-ES_tradnl"/>
        </w:rPr>
        <w:lastRenderedPageBreak/>
        <w:t xml:space="preserve">presentaron ante la Secretaría Ejecutiva del </w:t>
      </w:r>
      <w:r w:rsidRPr="005875CF">
        <w:rPr>
          <w:i/>
          <w:color w:val="000000" w:themeColor="text1"/>
          <w:szCs w:val="24"/>
          <w:lang w:val="es-ES_tradnl"/>
        </w:rPr>
        <w:t>I</w:t>
      </w:r>
      <w:r w:rsidR="00B23EE9">
        <w:rPr>
          <w:i/>
          <w:color w:val="000000" w:themeColor="text1"/>
          <w:szCs w:val="24"/>
          <w:lang w:val="es-ES_tradnl"/>
        </w:rPr>
        <w:t xml:space="preserve">nstituto </w:t>
      </w:r>
      <w:r w:rsidR="00E4184B">
        <w:rPr>
          <w:i/>
          <w:color w:val="000000" w:themeColor="text1"/>
          <w:szCs w:val="24"/>
          <w:lang w:val="es-ES_tradnl"/>
        </w:rPr>
        <w:t>Local</w:t>
      </w:r>
      <w:r w:rsidRPr="00563A19">
        <w:rPr>
          <w:color w:val="000000" w:themeColor="text1"/>
          <w:szCs w:val="24"/>
          <w:lang w:val="es-ES_tradnl"/>
        </w:rPr>
        <w:t xml:space="preserve">, la solicitud de registro del </w:t>
      </w:r>
      <w:r w:rsidR="00B23EE9" w:rsidRPr="00B23EE9">
        <w:rPr>
          <w:i/>
          <w:color w:val="000000" w:themeColor="text1"/>
          <w:szCs w:val="24"/>
          <w:lang w:val="es-ES_tradnl"/>
        </w:rPr>
        <w:t>C</w:t>
      </w:r>
      <w:r w:rsidRPr="00B23EE9">
        <w:rPr>
          <w:i/>
          <w:color w:val="000000" w:themeColor="text1"/>
          <w:szCs w:val="24"/>
          <w:lang w:val="es-ES_tradnl"/>
        </w:rPr>
        <w:t>onvenio</w:t>
      </w:r>
      <w:r w:rsidR="005875CF" w:rsidRPr="006E2FB3">
        <w:rPr>
          <w:rStyle w:val="Refdenotaalpie"/>
        </w:rPr>
        <w:footnoteReference w:id="1"/>
      </w:r>
      <w:r w:rsidR="005875CF">
        <w:rPr>
          <w:sz w:val="18"/>
          <w:szCs w:val="18"/>
        </w:rPr>
        <w:t>.</w:t>
      </w:r>
    </w:p>
    <w:p w14:paraId="17D6DB9B" w14:textId="255A19BC" w:rsidR="00E4184B" w:rsidRDefault="00CA6E0E" w:rsidP="00CA6E0E">
      <w:pPr>
        <w:pStyle w:val="Prrafodelista"/>
        <w:spacing w:before="100" w:beforeAutospacing="1" w:after="100" w:afterAutospacing="1"/>
        <w:ind w:left="0"/>
        <w:contextualSpacing w:val="0"/>
        <w:rPr>
          <w:color w:val="000000" w:themeColor="text1"/>
          <w:szCs w:val="24"/>
          <w:lang w:val="es-ES_tradnl"/>
        </w:rPr>
      </w:pPr>
      <w:r w:rsidRPr="00DE053F">
        <w:rPr>
          <w:b/>
          <w:color w:val="000000" w:themeColor="text1"/>
          <w:szCs w:val="24"/>
          <w:lang w:val="es-ES_tradnl"/>
        </w:rPr>
        <w:t>1.</w:t>
      </w:r>
      <w:r w:rsidR="000306FC" w:rsidRPr="00DE053F">
        <w:rPr>
          <w:b/>
          <w:color w:val="000000" w:themeColor="text1"/>
          <w:szCs w:val="24"/>
          <w:lang w:val="es-ES_tradnl"/>
        </w:rPr>
        <w:t>3</w:t>
      </w:r>
      <w:r w:rsidRPr="00DE053F">
        <w:rPr>
          <w:b/>
          <w:color w:val="000000" w:themeColor="text1"/>
          <w:szCs w:val="24"/>
          <w:lang w:val="es-ES_tradnl"/>
        </w:rPr>
        <w:t xml:space="preserve">. </w:t>
      </w:r>
      <w:bookmarkStart w:id="9" w:name="_Hlk60845520"/>
      <w:r w:rsidR="00E4184B">
        <w:rPr>
          <w:b/>
          <w:color w:val="000000" w:themeColor="text1"/>
          <w:szCs w:val="24"/>
          <w:lang w:val="es-ES_tradnl"/>
        </w:rPr>
        <w:t xml:space="preserve">Requerimiento. </w:t>
      </w:r>
      <w:r w:rsidR="00E4184B">
        <w:rPr>
          <w:color w:val="000000" w:themeColor="text1"/>
          <w:szCs w:val="24"/>
          <w:lang w:val="es-ES_tradnl"/>
        </w:rPr>
        <w:t xml:space="preserve">El veintiséis de diciembre el </w:t>
      </w:r>
      <w:r w:rsidR="00E4184B" w:rsidRPr="005103D9">
        <w:rPr>
          <w:i/>
          <w:color w:val="000000" w:themeColor="text1"/>
          <w:szCs w:val="24"/>
          <w:lang w:val="es-ES_tradnl"/>
        </w:rPr>
        <w:t>Instituto Local</w:t>
      </w:r>
      <w:r w:rsidR="00E4184B">
        <w:rPr>
          <w:color w:val="000000" w:themeColor="text1"/>
          <w:szCs w:val="24"/>
          <w:lang w:val="es-ES_tradnl"/>
        </w:rPr>
        <w:t xml:space="preserve"> mediante oficio SE/2</w:t>
      </w:r>
      <w:r w:rsidR="000A1D0A">
        <w:rPr>
          <w:color w:val="000000" w:themeColor="text1"/>
          <w:szCs w:val="24"/>
          <w:lang w:val="es-ES_tradnl"/>
        </w:rPr>
        <w:t xml:space="preserve">033/2020, </w:t>
      </w:r>
      <w:r w:rsidR="00E4184B">
        <w:rPr>
          <w:color w:val="000000" w:themeColor="text1"/>
          <w:szCs w:val="24"/>
          <w:lang w:val="es-ES_tradnl"/>
        </w:rPr>
        <w:t xml:space="preserve">emitió requerimiento a fin de que los partidos integrantes </w:t>
      </w:r>
      <w:r w:rsidR="000A1D0A">
        <w:rPr>
          <w:color w:val="000000" w:themeColor="text1"/>
          <w:szCs w:val="24"/>
          <w:lang w:val="es-ES_tradnl"/>
        </w:rPr>
        <w:t xml:space="preserve">en un término de 72 horas contadas a partir de la notificación </w:t>
      </w:r>
      <w:r w:rsidR="00E4184B">
        <w:rPr>
          <w:color w:val="000000" w:themeColor="text1"/>
          <w:szCs w:val="24"/>
          <w:lang w:val="es-ES_tradnl"/>
        </w:rPr>
        <w:t xml:space="preserve">cumplieran con </w:t>
      </w:r>
      <w:r w:rsidR="000A1D0A">
        <w:rPr>
          <w:color w:val="000000" w:themeColor="text1"/>
          <w:szCs w:val="24"/>
          <w:lang w:val="es-ES_tradnl"/>
        </w:rPr>
        <w:t>los</w:t>
      </w:r>
      <w:r w:rsidR="00E4184B">
        <w:rPr>
          <w:color w:val="000000" w:themeColor="text1"/>
          <w:szCs w:val="24"/>
          <w:lang w:val="es-ES_tradnl"/>
        </w:rPr>
        <w:t xml:space="preserve"> requisitos</w:t>
      </w:r>
      <w:r w:rsidR="000A1D0A">
        <w:rPr>
          <w:color w:val="000000" w:themeColor="text1"/>
          <w:szCs w:val="24"/>
          <w:lang w:val="es-ES_tradnl"/>
        </w:rPr>
        <w:t xml:space="preserve"> que omitieron adjuntar a su solicitud, los cuales se encontraban previamente establecidos </w:t>
      </w:r>
      <w:r w:rsidR="00E4184B">
        <w:rPr>
          <w:color w:val="000000" w:themeColor="text1"/>
          <w:szCs w:val="24"/>
          <w:lang w:val="es-ES_tradnl"/>
        </w:rPr>
        <w:t xml:space="preserve">en le </w:t>
      </w:r>
      <w:r w:rsidR="00E4184B" w:rsidRPr="00E4184B">
        <w:rPr>
          <w:i/>
          <w:color w:val="000000" w:themeColor="text1"/>
          <w:szCs w:val="24"/>
          <w:lang w:val="es-ES_tradnl"/>
        </w:rPr>
        <w:t>Ley de Partidos</w:t>
      </w:r>
      <w:r w:rsidR="00E4184B">
        <w:rPr>
          <w:color w:val="000000" w:themeColor="text1"/>
          <w:szCs w:val="24"/>
          <w:lang w:val="es-ES_tradnl"/>
        </w:rPr>
        <w:t xml:space="preserve"> y del </w:t>
      </w:r>
      <w:r w:rsidR="00E4184B" w:rsidRPr="00E4184B">
        <w:rPr>
          <w:i/>
          <w:color w:val="000000" w:themeColor="text1"/>
          <w:szCs w:val="24"/>
          <w:lang w:val="es-ES_tradnl"/>
        </w:rPr>
        <w:t>Reglamento de Elecciones</w:t>
      </w:r>
      <w:r w:rsidR="00E4184B">
        <w:rPr>
          <w:color w:val="000000" w:themeColor="text1"/>
          <w:szCs w:val="24"/>
          <w:lang w:val="es-ES_tradnl"/>
        </w:rPr>
        <w:t xml:space="preserve"> para el registro del Convenio.</w:t>
      </w:r>
    </w:p>
    <w:p w14:paraId="7658AA71" w14:textId="796E197F" w:rsidR="00B23EE9" w:rsidRDefault="00E4184B" w:rsidP="00CA6E0E">
      <w:pPr>
        <w:pStyle w:val="Prrafodelista"/>
        <w:spacing w:before="100" w:beforeAutospacing="1" w:after="100" w:afterAutospacing="1"/>
        <w:ind w:left="0"/>
        <w:contextualSpacing w:val="0"/>
        <w:rPr>
          <w:color w:val="000000" w:themeColor="text1"/>
          <w:szCs w:val="24"/>
          <w:lang w:val="es-ES_tradnl"/>
        </w:rPr>
      </w:pPr>
      <w:r>
        <w:rPr>
          <w:color w:val="000000" w:themeColor="text1"/>
          <w:szCs w:val="24"/>
          <w:lang w:val="es-ES_tradnl"/>
        </w:rPr>
        <w:t>Dicho requerimiento les fue notificado a los partidos el mismo día de su emisión de la siguiente manera:</w:t>
      </w:r>
    </w:p>
    <w:tbl>
      <w:tblPr>
        <w:tblStyle w:val="Tablaconcuadrcula"/>
        <w:tblW w:w="0" w:type="auto"/>
        <w:jc w:val="center"/>
        <w:tblLook w:val="04A0" w:firstRow="1" w:lastRow="0" w:firstColumn="1" w:lastColumn="0" w:noHBand="0" w:noVBand="1"/>
      </w:tblPr>
      <w:tblGrid>
        <w:gridCol w:w="2293"/>
        <w:gridCol w:w="2385"/>
      </w:tblGrid>
      <w:tr w:rsidR="00E4184B" w14:paraId="25056AFA" w14:textId="77777777" w:rsidTr="00E4184B">
        <w:trPr>
          <w:jc w:val="center"/>
        </w:trPr>
        <w:tc>
          <w:tcPr>
            <w:tcW w:w="2293" w:type="dxa"/>
          </w:tcPr>
          <w:p w14:paraId="1FE0ED3F" w14:textId="691C95B5" w:rsidR="00E4184B" w:rsidRPr="004F09D6" w:rsidRDefault="00E4184B" w:rsidP="00E4184B">
            <w:pPr>
              <w:pStyle w:val="Prrafodelista"/>
              <w:spacing w:before="100" w:beforeAutospacing="1" w:after="100" w:afterAutospacing="1"/>
              <w:ind w:left="0"/>
              <w:contextualSpacing w:val="0"/>
              <w:jc w:val="center"/>
              <w:rPr>
                <w:i/>
                <w:iCs/>
                <w:color w:val="000000" w:themeColor="text1"/>
                <w:szCs w:val="24"/>
                <w:lang w:val="es-ES_tradnl"/>
              </w:rPr>
            </w:pPr>
            <w:r w:rsidRPr="004F09D6">
              <w:rPr>
                <w:i/>
                <w:iCs/>
                <w:color w:val="000000" w:themeColor="text1"/>
                <w:szCs w:val="24"/>
                <w:lang w:val="es-ES_tradnl"/>
              </w:rPr>
              <w:t>PANAL</w:t>
            </w:r>
          </w:p>
        </w:tc>
        <w:tc>
          <w:tcPr>
            <w:tcW w:w="2385" w:type="dxa"/>
          </w:tcPr>
          <w:p w14:paraId="12FA3D11" w14:textId="1C9DDC73" w:rsidR="00E4184B" w:rsidRDefault="00E4184B" w:rsidP="00E4184B">
            <w:pPr>
              <w:pStyle w:val="Prrafodelista"/>
              <w:spacing w:before="100" w:beforeAutospacing="1" w:after="100" w:afterAutospacing="1"/>
              <w:ind w:left="0"/>
              <w:contextualSpacing w:val="0"/>
              <w:jc w:val="center"/>
              <w:rPr>
                <w:color w:val="000000" w:themeColor="text1"/>
                <w:szCs w:val="24"/>
                <w:lang w:val="es-ES_tradnl"/>
              </w:rPr>
            </w:pPr>
            <w:r>
              <w:rPr>
                <w:color w:val="000000" w:themeColor="text1"/>
                <w:szCs w:val="24"/>
                <w:lang w:val="es-ES_tradnl"/>
              </w:rPr>
              <w:t>16:35 horas</w:t>
            </w:r>
          </w:p>
        </w:tc>
      </w:tr>
      <w:tr w:rsidR="00E4184B" w14:paraId="19B592ED" w14:textId="77777777" w:rsidTr="00E4184B">
        <w:trPr>
          <w:jc w:val="center"/>
        </w:trPr>
        <w:tc>
          <w:tcPr>
            <w:tcW w:w="2293" w:type="dxa"/>
          </w:tcPr>
          <w:p w14:paraId="1D7BF803" w14:textId="4DD8C486" w:rsidR="00E4184B" w:rsidRPr="004F09D6" w:rsidRDefault="00E4184B" w:rsidP="00E4184B">
            <w:pPr>
              <w:pStyle w:val="Prrafodelista"/>
              <w:spacing w:before="100" w:beforeAutospacing="1" w:after="100" w:afterAutospacing="1"/>
              <w:ind w:left="0"/>
              <w:contextualSpacing w:val="0"/>
              <w:jc w:val="center"/>
              <w:rPr>
                <w:i/>
                <w:iCs/>
                <w:color w:val="000000" w:themeColor="text1"/>
                <w:szCs w:val="24"/>
                <w:lang w:val="es-ES_tradnl"/>
              </w:rPr>
            </w:pPr>
            <w:r w:rsidRPr="004F09D6">
              <w:rPr>
                <w:i/>
                <w:iCs/>
                <w:color w:val="000000" w:themeColor="text1"/>
                <w:szCs w:val="24"/>
                <w:lang w:val="es-ES_tradnl"/>
              </w:rPr>
              <w:t>PT</w:t>
            </w:r>
          </w:p>
        </w:tc>
        <w:tc>
          <w:tcPr>
            <w:tcW w:w="2385" w:type="dxa"/>
          </w:tcPr>
          <w:p w14:paraId="37E650C6" w14:textId="4D06569B" w:rsidR="00E4184B" w:rsidRDefault="00E4184B" w:rsidP="00E4184B">
            <w:pPr>
              <w:pStyle w:val="Prrafodelista"/>
              <w:spacing w:before="100" w:beforeAutospacing="1" w:after="100" w:afterAutospacing="1"/>
              <w:ind w:left="0"/>
              <w:contextualSpacing w:val="0"/>
              <w:jc w:val="center"/>
              <w:rPr>
                <w:color w:val="000000" w:themeColor="text1"/>
                <w:szCs w:val="24"/>
                <w:lang w:val="es-ES_tradnl"/>
              </w:rPr>
            </w:pPr>
            <w:r>
              <w:rPr>
                <w:color w:val="000000" w:themeColor="text1"/>
                <w:szCs w:val="24"/>
                <w:lang w:val="es-ES_tradnl"/>
              </w:rPr>
              <w:t>17:25 horas</w:t>
            </w:r>
          </w:p>
        </w:tc>
      </w:tr>
      <w:tr w:rsidR="00E4184B" w14:paraId="375568E9" w14:textId="77777777" w:rsidTr="00E4184B">
        <w:trPr>
          <w:jc w:val="center"/>
        </w:trPr>
        <w:tc>
          <w:tcPr>
            <w:tcW w:w="2293" w:type="dxa"/>
          </w:tcPr>
          <w:p w14:paraId="4AFF9D06" w14:textId="29B43292" w:rsidR="00E4184B" w:rsidRDefault="00E4184B" w:rsidP="00E4184B">
            <w:pPr>
              <w:pStyle w:val="Prrafodelista"/>
              <w:spacing w:before="100" w:beforeAutospacing="1" w:after="100" w:afterAutospacing="1"/>
              <w:ind w:left="0"/>
              <w:contextualSpacing w:val="0"/>
              <w:jc w:val="center"/>
              <w:rPr>
                <w:color w:val="000000" w:themeColor="text1"/>
                <w:szCs w:val="24"/>
                <w:lang w:val="es-ES_tradnl"/>
              </w:rPr>
            </w:pPr>
            <w:r>
              <w:rPr>
                <w:color w:val="000000" w:themeColor="text1"/>
                <w:szCs w:val="24"/>
                <w:lang w:val="es-ES_tradnl"/>
              </w:rPr>
              <w:t>MORENA</w:t>
            </w:r>
          </w:p>
        </w:tc>
        <w:tc>
          <w:tcPr>
            <w:tcW w:w="2385" w:type="dxa"/>
          </w:tcPr>
          <w:p w14:paraId="4B37D0E3" w14:textId="1D514DE6" w:rsidR="00E4184B" w:rsidRDefault="00E4184B" w:rsidP="00E4184B">
            <w:pPr>
              <w:pStyle w:val="Prrafodelista"/>
              <w:spacing w:before="100" w:beforeAutospacing="1" w:after="100" w:afterAutospacing="1"/>
              <w:ind w:left="0"/>
              <w:contextualSpacing w:val="0"/>
              <w:jc w:val="center"/>
              <w:rPr>
                <w:color w:val="000000" w:themeColor="text1"/>
                <w:szCs w:val="24"/>
                <w:lang w:val="es-ES_tradnl"/>
              </w:rPr>
            </w:pPr>
            <w:r>
              <w:rPr>
                <w:color w:val="000000" w:themeColor="text1"/>
                <w:szCs w:val="24"/>
                <w:lang w:val="es-ES_tradnl"/>
              </w:rPr>
              <w:t>17:25 horas</w:t>
            </w:r>
          </w:p>
        </w:tc>
      </w:tr>
    </w:tbl>
    <w:p w14:paraId="7AB6C7C3" w14:textId="727FAA6D" w:rsidR="00E4184B" w:rsidRDefault="00B23EE9" w:rsidP="00CA6E0E">
      <w:pPr>
        <w:pStyle w:val="Prrafodelista"/>
        <w:spacing w:before="100" w:beforeAutospacing="1" w:after="100" w:afterAutospacing="1"/>
        <w:ind w:left="0"/>
        <w:contextualSpacing w:val="0"/>
        <w:rPr>
          <w:bCs/>
          <w:szCs w:val="24"/>
          <w:lang w:val="es-ES" w:eastAsia="es-MX"/>
        </w:rPr>
      </w:pPr>
      <w:r>
        <w:rPr>
          <w:b/>
          <w:bCs/>
          <w:szCs w:val="24"/>
          <w:lang w:val="es-ES" w:eastAsia="es-MX"/>
        </w:rPr>
        <w:t xml:space="preserve">1.4. </w:t>
      </w:r>
      <w:r w:rsidR="00E4184B">
        <w:rPr>
          <w:b/>
          <w:bCs/>
          <w:szCs w:val="24"/>
          <w:lang w:val="es-ES" w:eastAsia="es-MX"/>
        </w:rPr>
        <w:t>Contestación al requerimiento</w:t>
      </w:r>
      <w:r w:rsidR="000A1D0A">
        <w:rPr>
          <w:b/>
          <w:bCs/>
          <w:szCs w:val="24"/>
          <w:lang w:val="es-ES" w:eastAsia="es-MX"/>
        </w:rPr>
        <w:t xml:space="preserve">. </w:t>
      </w:r>
      <w:r w:rsidR="000A1D0A">
        <w:rPr>
          <w:bCs/>
          <w:szCs w:val="24"/>
          <w:lang w:val="es-ES" w:eastAsia="es-MX"/>
        </w:rPr>
        <w:t>El veintinueve de diciembre los partidos políticos presentaron escritos, a fin de cumplir con el requerimiento referido en el numeral que antecede de la siguiente manera:</w:t>
      </w:r>
    </w:p>
    <w:tbl>
      <w:tblPr>
        <w:tblStyle w:val="Tablaconcuadrcula"/>
        <w:tblW w:w="0" w:type="auto"/>
        <w:jc w:val="center"/>
        <w:tblLook w:val="04A0" w:firstRow="1" w:lastRow="0" w:firstColumn="1" w:lastColumn="0" w:noHBand="0" w:noVBand="1"/>
      </w:tblPr>
      <w:tblGrid>
        <w:gridCol w:w="2293"/>
        <w:gridCol w:w="3372"/>
      </w:tblGrid>
      <w:tr w:rsidR="000A1D0A" w14:paraId="4B6BCCA0" w14:textId="77777777" w:rsidTr="00576095">
        <w:trPr>
          <w:jc w:val="center"/>
        </w:trPr>
        <w:tc>
          <w:tcPr>
            <w:tcW w:w="2293" w:type="dxa"/>
          </w:tcPr>
          <w:p w14:paraId="4BB2E104" w14:textId="77777777" w:rsidR="000A1D0A" w:rsidRPr="004F09D6" w:rsidRDefault="000A1D0A" w:rsidP="007871E7">
            <w:pPr>
              <w:pStyle w:val="Prrafodelista"/>
              <w:spacing w:before="100" w:beforeAutospacing="1" w:after="100" w:afterAutospacing="1"/>
              <w:ind w:left="0"/>
              <w:contextualSpacing w:val="0"/>
              <w:jc w:val="center"/>
              <w:rPr>
                <w:i/>
                <w:iCs/>
                <w:color w:val="000000" w:themeColor="text1"/>
                <w:szCs w:val="24"/>
                <w:lang w:val="es-ES_tradnl"/>
              </w:rPr>
            </w:pPr>
            <w:r w:rsidRPr="004F09D6">
              <w:rPr>
                <w:i/>
                <w:iCs/>
                <w:color w:val="000000" w:themeColor="text1"/>
                <w:szCs w:val="24"/>
                <w:lang w:val="es-ES_tradnl"/>
              </w:rPr>
              <w:t>PANAL</w:t>
            </w:r>
          </w:p>
        </w:tc>
        <w:tc>
          <w:tcPr>
            <w:tcW w:w="3372" w:type="dxa"/>
          </w:tcPr>
          <w:p w14:paraId="286F285A" w14:textId="37E55AAA" w:rsidR="000A1D0A" w:rsidRDefault="000A1D0A" w:rsidP="007871E7">
            <w:pPr>
              <w:pStyle w:val="Prrafodelista"/>
              <w:spacing w:before="100" w:beforeAutospacing="1" w:after="100" w:afterAutospacing="1"/>
              <w:ind w:left="0"/>
              <w:contextualSpacing w:val="0"/>
              <w:jc w:val="center"/>
              <w:rPr>
                <w:color w:val="000000" w:themeColor="text1"/>
                <w:szCs w:val="24"/>
                <w:lang w:val="es-ES_tradnl"/>
              </w:rPr>
            </w:pPr>
            <w:r>
              <w:rPr>
                <w:color w:val="000000" w:themeColor="text1"/>
                <w:szCs w:val="24"/>
                <w:lang w:val="es-ES_tradnl"/>
              </w:rPr>
              <w:t>16:24 horas</w:t>
            </w:r>
            <w:r w:rsidR="00576095">
              <w:rPr>
                <w:color w:val="000000" w:themeColor="text1"/>
                <w:szCs w:val="24"/>
                <w:lang w:val="es-ES_tradnl"/>
              </w:rPr>
              <w:t xml:space="preserve"> (en tiempo)</w:t>
            </w:r>
          </w:p>
        </w:tc>
      </w:tr>
      <w:tr w:rsidR="000A1D0A" w14:paraId="57CFBBD1" w14:textId="77777777" w:rsidTr="00576095">
        <w:trPr>
          <w:jc w:val="center"/>
        </w:trPr>
        <w:tc>
          <w:tcPr>
            <w:tcW w:w="2293" w:type="dxa"/>
          </w:tcPr>
          <w:p w14:paraId="0195FE5B" w14:textId="14ADD031" w:rsidR="000A1D0A" w:rsidRDefault="000A1D0A" w:rsidP="007871E7">
            <w:pPr>
              <w:pStyle w:val="Prrafodelista"/>
              <w:spacing w:before="100" w:beforeAutospacing="1" w:after="100" w:afterAutospacing="1"/>
              <w:ind w:left="0"/>
              <w:contextualSpacing w:val="0"/>
              <w:jc w:val="center"/>
              <w:rPr>
                <w:color w:val="000000" w:themeColor="text1"/>
                <w:szCs w:val="24"/>
                <w:lang w:val="es-ES_tradnl"/>
              </w:rPr>
            </w:pPr>
            <w:r w:rsidRPr="004F09D6">
              <w:rPr>
                <w:i/>
                <w:iCs/>
                <w:color w:val="000000" w:themeColor="text1"/>
                <w:szCs w:val="24"/>
                <w:lang w:val="es-ES_tradnl"/>
              </w:rPr>
              <w:t>PT</w:t>
            </w:r>
            <w:r>
              <w:rPr>
                <w:rStyle w:val="Refdenotaalpie"/>
                <w:color w:val="000000" w:themeColor="text1"/>
                <w:szCs w:val="24"/>
                <w:lang w:val="es-ES_tradnl"/>
              </w:rPr>
              <w:footnoteReference w:id="2"/>
            </w:r>
          </w:p>
        </w:tc>
        <w:tc>
          <w:tcPr>
            <w:tcW w:w="3372" w:type="dxa"/>
          </w:tcPr>
          <w:p w14:paraId="724B8F92" w14:textId="18D50E8A" w:rsidR="000A1D0A" w:rsidRDefault="000A1D0A" w:rsidP="007871E7">
            <w:pPr>
              <w:pStyle w:val="Prrafodelista"/>
              <w:spacing w:before="100" w:beforeAutospacing="1" w:after="100" w:afterAutospacing="1"/>
              <w:ind w:left="0"/>
              <w:contextualSpacing w:val="0"/>
              <w:jc w:val="center"/>
              <w:rPr>
                <w:color w:val="000000" w:themeColor="text1"/>
                <w:szCs w:val="24"/>
                <w:lang w:val="es-ES_tradnl"/>
              </w:rPr>
            </w:pPr>
            <w:r>
              <w:rPr>
                <w:color w:val="000000" w:themeColor="text1"/>
                <w:szCs w:val="24"/>
                <w:lang w:val="es-ES_tradnl"/>
              </w:rPr>
              <w:t>17:20 horas</w:t>
            </w:r>
            <w:r w:rsidR="00576095">
              <w:rPr>
                <w:color w:val="000000" w:themeColor="text1"/>
                <w:szCs w:val="24"/>
                <w:lang w:val="es-ES_tradnl"/>
              </w:rPr>
              <w:t xml:space="preserve"> (en tiempo)</w:t>
            </w:r>
          </w:p>
        </w:tc>
      </w:tr>
      <w:tr w:rsidR="000A1D0A" w14:paraId="539ACBC3" w14:textId="77777777" w:rsidTr="00576095">
        <w:trPr>
          <w:jc w:val="center"/>
        </w:trPr>
        <w:tc>
          <w:tcPr>
            <w:tcW w:w="2293" w:type="dxa"/>
          </w:tcPr>
          <w:p w14:paraId="576515F8" w14:textId="26A5ED59" w:rsidR="000A1D0A" w:rsidRDefault="000A1D0A" w:rsidP="007871E7">
            <w:pPr>
              <w:pStyle w:val="Prrafodelista"/>
              <w:spacing w:before="100" w:beforeAutospacing="1" w:after="100" w:afterAutospacing="1"/>
              <w:ind w:left="0"/>
              <w:contextualSpacing w:val="0"/>
              <w:jc w:val="center"/>
              <w:rPr>
                <w:color w:val="000000" w:themeColor="text1"/>
                <w:szCs w:val="24"/>
                <w:lang w:val="es-ES_tradnl"/>
              </w:rPr>
            </w:pPr>
            <w:r>
              <w:rPr>
                <w:color w:val="000000" w:themeColor="text1"/>
                <w:szCs w:val="24"/>
                <w:lang w:val="es-ES_tradnl"/>
              </w:rPr>
              <w:t>MORENA</w:t>
            </w:r>
            <w:r>
              <w:rPr>
                <w:rStyle w:val="Refdenotaalpie"/>
                <w:color w:val="000000" w:themeColor="text1"/>
                <w:szCs w:val="24"/>
                <w:lang w:val="es-ES_tradnl"/>
              </w:rPr>
              <w:footnoteReference w:id="3"/>
            </w:r>
          </w:p>
        </w:tc>
        <w:tc>
          <w:tcPr>
            <w:tcW w:w="3372" w:type="dxa"/>
          </w:tcPr>
          <w:p w14:paraId="5C08AB27" w14:textId="71495DF1" w:rsidR="000A1D0A" w:rsidRDefault="000A1D0A" w:rsidP="007871E7">
            <w:pPr>
              <w:pStyle w:val="Prrafodelista"/>
              <w:spacing w:before="100" w:beforeAutospacing="1" w:after="100" w:afterAutospacing="1"/>
              <w:ind w:left="0"/>
              <w:contextualSpacing w:val="0"/>
              <w:jc w:val="center"/>
              <w:rPr>
                <w:color w:val="000000" w:themeColor="text1"/>
                <w:szCs w:val="24"/>
                <w:lang w:val="es-ES_tradnl"/>
              </w:rPr>
            </w:pPr>
            <w:r>
              <w:rPr>
                <w:color w:val="000000" w:themeColor="text1"/>
                <w:szCs w:val="24"/>
                <w:lang w:val="es-ES_tradnl"/>
              </w:rPr>
              <w:t>18:50 horas (extemporáneo)</w:t>
            </w:r>
          </w:p>
        </w:tc>
      </w:tr>
    </w:tbl>
    <w:p w14:paraId="192346CD" w14:textId="11FAC600" w:rsidR="00CA6E0E" w:rsidRPr="00DE053F" w:rsidRDefault="005875CF" w:rsidP="00CA6E0E">
      <w:pPr>
        <w:pStyle w:val="Prrafodelista"/>
        <w:spacing w:before="100" w:beforeAutospacing="1" w:after="100" w:afterAutospacing="1"/>
        <w:ind w:left="0"/>
        <w:contextualSpacing w:val="0"/>
        <w:rPr>
          <w:b/>
          <w:color w:val="000000" w:themeColor="text1"/>
          <w:szCs w:val="24"/>
          <w:lang w:val="es-ES_tradnl"/>
        </w:rPr>
      </w:pPr>
      <w:r w:rsidRPr="001822D9">
        <w:rPr>
          <w:b/>
          <w:bCs/>
          <w:szCs w:val="24"/>
          <w:lang w:val="es-ES" w:eastAsia="es-MX"/>
        </w:rPr>
        <w:t xml:space="preserve">Acuerdo </w:t>
      </w:r>
      <w:r w:rsidR="009E21AC">
        <w:rPr>
          <w:b/>
          <w:bCs/>
          <w:szCs w:val="24"/>
          <w:lang w:val="es-ES" w:eastAsia="es-MX"/>
        </w:rPr>
        <w:t>C</w:t>
      </w:r>
      <w:r w:rsidR="000725DB">
        <w:rPr>
          <w:b/>
          <w:bCs/>
          <w:szCs w:val="24"/>
          <w:lang w:val="es-ES" w:eastAsia="es-MX"/>
        </w:rPr>
        <w:t>GIEE</w:t>
      </w:r>
      <w:r w:rsidRPr="001822D9">
        <w:rPr>
          <w:b/>
          <w:bCs/>
          <w:szCs w:val="24"/>
          <w:lang w:val="es-ES" w:eastAsia="es-MX"/>
        </w:rPr>
        <w:t>G/0</w:t>
      </w:r>
      <w:r w:rsidR="000725DB">
        <w:rPr>
          <w:b/>
          <w:bCs/>
          <w:szCs w:val="24"/>
          <w:lang w:val="es-ES" w:eastAsia="es-MX"/>
        </w:rPr>
        <w:t>02</w:t>
      </w:r>
      <w:r w:rsidRPr="001822D9">
        <w:rPr>
          <w:b/>
          <w:bCs/>
          <w:szCs w:val="24"/>
          <w:lang w:val="es-ES" w:eastAsia="es-MX"/>
        </w:rPr>
        <w:t>/202</w:t>
      </w:r>
      <w:bookmarkEnd w:id="9"/>
      <w:r w:rsidR="000725DB">
        <w:rPr>
          <w:b/>
          <w:bCs/>
          <w:szCs w:val="24"/>
          <w:lang w:val="es-ES" w:eastAsia="es-MX"/>
        </w:rPr>
        <w:t>1</w:t>
      </w:r>
      <w:r w:rsidRPr="001822D9">
        <w:rPr>
          <w:b/>
          <w:szCs w:val="24"/>
          <w:lang w:eastAsia="es-MX"/>
        </w:rPr>
        <w:t xml:space="preserve">. </w:t>
      </w:r>
      <w:r w:rsidRPr="001822D9">
        <w:rPr>
          <w:szCs w:val="24"/>
          <w:lang w:eastAsia="es-MX"/>
        </w:rPr>
        <w:t xml:space="preserve">El </w:t>
      </w:r>
      <w:r w:rsidR="000725DB" w:rsidRPr="000725DB">
        <w:rPr>
          <w:color w:val="000000" w:themeColor="text1"/>
          <w:szCs w:val="24"/>
          <w:lang w:val="es-ES_tradnl"/>
        </w:rPr>
        <w:t xml:space="preserve">uno de enero de dos mil veintiuno, </w:t>
      </w:r>
      <w:r w:rsidR="00576095">
        <w:rPr>
          <w:color w:val="000000" w:themeColor="text1"/>
          <w:szCs w:val="24"/>
          <w:lang w:val="es-ES_tradnl"/>
        </w:rPr>
        <w:t xml:space="preserve">ante el incumplimiento de requisitos, </w:t>
      </w:r>
      <w:r w:rsidR="000725DB" w:rsidRPr="000725DB">
        <w:rPr>
          <w:color w:val="000000" w:themeColor="text1"/>
          <w:szCs w:val="24"/>
          <w:lang w:val="es-ES_tradnl"/>
        </w:rPr>
        <w:t xml:space="preserve">el </w:t>
      </w:r>
      <w:r w:rsidR="000725DB" w:rsidRPr="000725DB">
        <w:rPr>
          <w:i/>
          <w:color w:val="000000" w:themeColor="text1"/>
          <w:szCs w:val="24"/>
          <w:lang w:val="es-ES_tradnl"/>
        </w:rPr>
        <w:t>Consejo General</w:t>
      </w:r>
      <w:r w:rsidR="000725DB" w:rsidRPr="000725DB">
        <w:rPr>
          <w:color w:val="000000" w:themeColor="text1"/>
          <w:szCs w:val="24"/>
          <w:lang w:val="es-ES_tradnl"/>
        </w:rPr>
        <w:t xml:space="preserve"> declaró improcedente el registro del </w:t>
      </w:r>
      <w:r w:rsidR="000725DB">
        <w:rPr>
          <w:i/>
          <w:color w:val="000000" w:themeColor="text1"/>
          <w:szCs w:val="24"/>
          <w:lang w:val="es-ES_tradnl"/>
        </w:rPr>
        <w:t>C</w:t>
      </w:r>
      <w:r w:rsidR="000725DB" w:rsidRPr="000725DB">
        <w:rPr>
          <w:i/>
          <w:color w:val="000000" w:themeColor="text1"/>
          <w:szCs w:val="24"/>
          <w:lang w:val="es-ES_tradnl"/>
        </w:rPr>
        <w:t>onvenio</w:t>
      </w:r>
      <w:r w:rsidR="00375098" w:rsidRPr="00DE053F">
        <w:rPr>
          <w:i/>
          <w:color w:val="000000" w:themeColor="text1"/>
          <w:szCs w:val="24"/>
        </w:rPr>
        <w:t>.</w:t>
      </w:r>
    </w:p>
    <w:p w14:paraId="7AF97C13" w14:textId="7E53C537" w:rsidR="00CA4FF5" w:rsidRPr="000725DB" w:rsidRDefault="00243764" w:rsidP="00C71318">
      <w:pPr>
        <w:pStyle w:val="Prrafodelista"/>
        <w:spacing w:before="100" w:beforeAutospacing="1" w:after="100" w:afterAutospacing="1"/>
        <w:ind w:left="0"/>
        <w:contextualSpacing w:val="0"/>
        <w:rPr>
          <w:color w:val="000000" w:themeColor="text1"/>
          <w:szCs w:val="24"/>
          <w:lang w:val="es-ES_tradnl"/>
        </w:rPr>
      </w:pPr>
      <w:r w:rsidRPr="00DE053F">
        <w:rPr>
          <w:b/>
          <w:color w:val="000000" w:themeColor="text1"/>
          <w:szCs w:val="24"/>
          <w:lang w:val="es-ES_tradnl"/>
        </w:rPr>
        <w:t>1.</w:t>
      </w:r>
      <w:r w:rsidR="00B23EE9">
        <w:rPr>
          <w:b/>
          <w:color w:val="000000" w:themeColor="text1"/>
          <w:szCs w:val="24"/>
          <w:lang w:val="es-ES_tradnl"/>
        </w:rPr>
        <w:t>5</w:t>
      </w:r>
      <w:r w:rsidRPr="00DE053F">
        <w:rPr>
          <w:b/>
          <w:color w:val="000000" w:themeColor="text1"/>
          <w:szCs w:val="24"/>
          <w:lang w:val="es-ES_tradnl"/>
        </w:rPr>
        <w:t xml:space="preserve">. </w:t>
      </w:r>
      <w:r w:rsidR="00375098" w:rsidRPr="00DE053F">
        <w:rPr>
          <w:b/>
          <w:color w:val="000000" w:themeColor="text1"/>
          <w:szCs w:val="24"/>
          <w:lang w:val="es-ES_tradnl"/>
        </w:rPr>
        <w:t xml:space="preserve">Juicio local. </w:t>
      </w:r>
      <w:r w:rsidR="00375098" w:rsidRPr="00DE053F">
        <w:rPr>
          <w:color w:val="000000" w:themeColor="text1"/>
          <w:szCs w:val="24"/>
          <w:lang w:val="es-ES_tradnl"/>
        </w:rPr>
        <w:t>Inconforme con lo anterior, el</w:t>
      </w:r>
      <w:r w:rsidR="002A32A1" w:rsidRPr="00DE053F">
        <w:rPr>
          <w:color w:val="000000" w:themeColor="text1"/>
          <w:szCs w:val="24"/>
          <w:lang w:val="es-ES_tradnl"/>
        </w:rPr>
        <w:t xml:space="preserve"> </w:t>
      </w:r>
      <w:r w:rsidR="000725DB">
        <w:rPr>
          <w:color w:val="000000" w:themeColor="text1"/>
          <w:szCs w:val="24"/>
          <w:lang w:val="es-ES_tradnl"/>
        </w:rPr>
        <w:t>cinco</w:t>
      </w:r>
      <w:r w:rsidR="002A32A1" w:rsidRPr="00DE053F">
        <w:rPr>
          <w:color w:val="000000" w:themeColor="text1"/>
          <w:szCs w:val="24"/>
          <w:lang w:val="es-ES_tradnl"/>
        </w:rPr>
        <w:t xml:space="preserve"> del mismo mes </w:t>
      </w:r>
      <w:r w:rsidR="000725DB">
        <w:rPr>
          <w:color w:val="000000" w:themeColor="text1"/>
          <w:szCs w:val="24"/>
          <w:lang w:val="es-ES_tradnl"/>
        </w:rPr>
        <w:t>los</w:t>
      </w:r>
      <w:r w:rsidR="00375098" w:rsidRPr="00DE053F">
        <w:rPr>
          <w:color w:val="000000" w:themeColor="text1"/>
          <w:szCs w:val="24"/>
          <w:lang w:val="es-ES_tradnl"/>
        </w:rPr>
        <w:t xml:space="preserve"> partido</w:t>
      </w:r>
      <w:r w:rsidR="008F3F27">
        <w:rPr>
          <w:color w:val="000000" w:themeColor="text1"/>
          <w:szCs w:val="24"/>
          <w:lang w:val="es-ES_tradnl"/>
        </w:rPr>
        <w:t>s</w:t>
      </w:r>
      <w:r w:rsidR="00375098" w:rsidRPr="00DE053F">
        <w:rPr>
          <w:color w:val="000000" w:themeColor="text1"/>
          <w:szCs w:val="24"/>
          <w:lang w:val="es-ES_tradnl"/>
        </w:rPr>
        <w:t xml:space="preserve"> actor</w:t>
      </w:r>
      <w:r w:rsidR="000725DB">
        <w:rPr>
          <w:color w:val="000000" w:themeColor="text1"/>
          <w:szCs w:val="24"/>
          <w:lang w:val="es-ES_tradnl"/>
        </w:rPr>
        <w:t>es</w:t>
      </w:r>
      <w:r w:rsidR="00654EFE" w:rsidRPr="00DE053F">
        <w:rPr>
          <w:color w:val="000000" w:themeColor="text1"/>
          <w:szCs w:val="24"/>
          <w:lang w:val="es-ES_tradnl"/>
        </w:rPr>
        <w:t>,</w:t>
      </w:r>
      <w:r w:rsidR="00375098" w:rsidRPr="00DE053F">
        <w:rPr>
          <w:color w:val="000000" w:themeColor="text1"/>
          <w:szCs w:val="24"/>
          <w:lang w:val="es-ES_tradnl"/>
        </w:rPr>
        <w:t xml:space="preserve"> </w:t>
      </w:r>
      <w:r w:rsidR="000725DB" w:rsidRPr="00DE053F">
        <w:rPr>
          <w:color w:val="000000" w:themeColor="text1"/>
          <w:szCs w:val="24"/>
          <w:lang w:val="es-ES_tradnl"/>
        </w:rPr>
        <w:t>interpus</w:t>
      </w:r>
      <w:r w:rsidR="000725DB">
        <w:rPr>
          <w:color w:val="000000" w:themeColor="text1"/>
          <w:szCs w:val="24"/>
          <w:lang w:val="es-ES_tradnl"/>
        </w:rPr>
        <w:t>ieron</w:t>
      </w:r>
      <w:r w:rsidR="000725DB" w:rsidRPr="00BB5BD3">
        <w:rPr>
          <w:strike/>
          <w:color w:val="000000" w:themeColor="text1"/>
          <w:szCs w:val="24"/>
          <w:lang w:val="es-ES_tradnl"/>
        </w:rPr>
        <w:t xml:space="preserve"> </w:t>
      </w:r>
      <w:r w:rsidR="00375098" w:rsidRPr="00DE053F">
        <w:rPr>
          <w:color w:val="000000" w:themeColor="text1"/>
          <w:szCs w:val="24"/>
          <w:lang w:val="es-ES_tradnl"/>
        </w:rPr>
        <w:t xml:space="preserve">recurso de revisión ante el </w:t>
      </w:r>
      <w:r w:rsidR="000725DB">
        <w:rPr>
          <w:i/>
          <w:color w:val="000000" w:themeColor="text1"/>
          <w:szCs w:val="24"/>
          <w:lang w:val="es-ES_tradnl"/>
        </w:rPr>
        <w:t xml:space="preserve">Tribunal Local </w:t>
      </w:r>
      <w:r w:rsidR="008F3F27">
        <w:rPr>
          <w:color w:val="000000" w:themeColor="text1"/>
          <w:szCs w:val="24"/>
          <w:lang w:val="es-ES_tradnl"/>
        </w:rPr>
        <w:t>al</w:t>
      </w:r>
      <w:r w:rsidR="00864ADA" w:rsidRPr="00DE053F">
        <w:rPr>
          <w:color w:val="000000" w:themeColor="text1"/>
          <w:szCs w:val="24"/>
          <w:lang w:val="es-ES_tradnl"/>
        </w:rPr>
        <w:t xml:space="preserve"> considerar que dicho acuerdo violenta los principios constitucionales, registrándo</w:t>
      </w:r>
      <w:r w:rsidR="000725DB">
        <w:rPr>
          <w:color w:val="000000" w:themeColor="text1"/>
          <w:szCs w:val="24"/>
          <w:lang w:val="es-ES_tradnl"/>
        </w:rPr>
        <w:t>se</w:t>
      </w:r>
      <w:r w:rsidR="00864ADA" w:rsidRPr="00DE053F">
        <w:rPr>
          <w:color w:val="000000" w:themeColor="text1"/>
          <w:szCs w:val="24"/>
          <w:lang w:val="es-ES_tradnl"/>
        </w:rPr>
        <w:t xml:space="preserve"> bajo </w:t>
      </w:r>
      <w:r w:rsidR="000725DB">
        <w:rPr>
          <w:color w:val="000000" w:themeColor="text1"/>
          <w:szCs w:val="24"/>
          <w:lang w:val="es-ES_tradnl"/>
        </w:rPr>
        <w:t>los</w:t>
      </w:r>
      <w:r w:rsidR="00864ADA" w:rsidRPr="00DE053F">
        <w:rPr>
          <w:color w:val="000000" w:themeColor="text1"/>
          <w:szCs w:val="24"/>
          <w:lang w:val="es-ES_tradnl"/>
        </w:rPr>
        <w:t xml:space="preserve"> número</w:t>
      </w:r>
      <w:r w:rsidR="000725DB">
        <w:rPr>
          <w:color w:val="000000" w:themeColor="text1"/>
          <w:szCs w:val="24"/>
          <w:lang w:val="es-ES_tradnl"/>
        </w:rPr>
        <w:t>s</w:t>
      </w:r>
      <w:r w:rsidR="00864ADA" w:rsidRPr="00DE053F">
        <w:rPr>
          <w:color w:val="000000" w:themeColor="text1"/>
          <w:szCs w:val="24"/>
          <w:lang w:val="es-ES_tradnl"/>
        </w:rPr>
        <w:t xml:space="preserve"> de </w:t>
      </w:r>
      <w:r w:rsidR="002A32A1" w:rsidRPr="00DE053F">
        <w:rPr>
          <w:color w:val="000000" w:themeColor="text1"/>
          <w:szCs w:val="24"/>
          <w:lang w:val="es-ES_tradnl"/>
        </w:rPr>
        <w:t>expediente</w:t>
      </w:r>
      <w:r w:rsidR="000725DB">
        <w:rPr>
          <w:color w:val="000000" w:themeColor="text1"/>
          <w:szCs w:val="24"/>
          <w:lang w:val="es-ES_tradnl"/>
        </w:rPr>
        <w:t>s</w:t>
      </w:r>
      <w:r w:rsidR="002A32A1" w:rsidRPr="00DE053F">
        <w:rPr>
          <w:color w:val="000000" w:themeColor="text1"/>
          <w:szCs w:val="24"/>
          <w:lang w:val="es-ES_tradnl"/>
        </w:rPr>
        <w:t xml:space="preserve"> </w:t>
      </w:r>
      <w:r w:rsidR="00943E06" w:rsidRPr="00563A19">
        <w:rPr>
          <w:bCs/>
          <w:lang w:val="es-ES_tradnl"/>
        </w:rPr>
        <w:t>TEEG-REV-01/2021</w:t>
      </w:r>
      <w:r w:rsidR="00943E06">
        <w:rPr>
          <w:bCs/>
          <w:lang w:val="es-ES_tradnl"/>
        </w:rPr>
        <w:t xml:space="preserve">, </w:t>
      </w:r>
      <w:r w:rsidR="00943E06" w:rsidRPr="00563A19">
        <w:rPr>
          <w:bCs/>
          <w:lang w:val="es-ES_tradnl"/>
        </w:rPr>
        <w:t>TEEG-REV-02/2021, TEEG-REV-03/2021</w:t>
      </w:r>
      <w:r w:rsidR="00943E06">
        <w:rPr>
          <w:bCs/>
          <w:lang w:val="es-ES_tradnl"/>
        </w:rPr>
        <w:t xml:space="preserve"> y</w:t>
      </w:r>
      <w:r w:rsidR="00943E06" w:rsidRPr="00943E06">
        <w:rPr>
          <w:bCs/>
          <w:lang w:val="es-ES_tradnl"/>
        </w:rPr>
        <w:t xml:space="preserve"> </w:t>
      </w:r>
      <w:r w:rsidR="00943E06" w:rsidRPr="00563A19">
        <w:rPr>
          <w:bCs/>
          <w:lang w:val="es-ES_tradnl"/>
        </w:rPr>
        <w:t>TEEG-REV-04/202</w:t>
      </w:r>
      <w:r w:rsidR="009E21AC">
        <w:rPr>
          <w:bCs/>
          <w:lang w:val="es-ES_tradnl"/>
        </w:rPr>
        <w:t>1</w:t>
      </w:r>
      <w:r w:rsidR="00943E06">
        <w:rPr>
          <w:bCs/>
          <w:lang w:val="es-ES_tradnl"/>
        </w:rPr>
        <w:t>, los dos primeros interpuestos por MORENA y los subsecuentes por el Partido del Trabajo</w:t>
      </w:r>
      <w:r w:rsidR="00943E06" w:rsidRPr="00563A19">
        <w:rPr>
          <w:bCs/>
          <w:lang w:val="es-ES_tradnl"/>
        </w:rPr>
        <w:t xml:space="preserve"> </w:t>
      </w:r>
      <w:r w:rsidR="00943E06">
        <w:rPr>
          <w:bCs/>
          <w:lang w:val="es-ES_tradnl"/>
        </w:rPr>
        <w:t>y Nueva Alianza Guanajuato</w:t>
      </w:r>
      <w:r w:rsidR="002A32A1" w:rsidRPr="00DE053F">
        <w:rPr>
          <w:b/>
          <w:color w:val="000000" w:themeColor="text1"/>
          <w:szCs w:val="24"/>
          <w:lang w:val="es-ES_tradnl"/>
        </w:rPr>
        <w:t>.</w:t>
      </w:r>
      <w:r w:rsidR="00CA4FF5" w:rsidRPr="00DE053F">
        <w:rPr>
          <w:b/>
          <w:i/>
          <w:color w:val="000000" w:themeColor="text1"/>
          <w:szCs w:val="24"/>
          <w:lang w:val="es-ES_tradnl"/>
        </w:rPr>
        <w:t xml:space="preserve"> </w:t>
      </w:r>
    </w:p>
    <w:p w14:paraId="7EC616B8" w14:textId="44DEC8EC" w:rsidR="00D43881" w:rsidRPr="00DE053F" w:rsidRDefault="00D43881" w:rsidP="00C71318">
      <w:pPr>
        <w:pStyle w:val="Prrafodelista"/>
        <w:spacing w:before="100" w:beforeAutospacing="1" w:after="100" w:afterAutospacing="1"/>
        <w:ind w:left="0"/>
        <w:contextualSpacing w:val="0"/>
        <w:rPr>
          <w:color w:val="000000" w:themeColor="text1"/>
          <w:szCs w:val="24"/>
          <w:lang w:val="es-ES_tradnl"/>
        </w:rPr>
      </w:pPr>
      <w:r w:rsidRPr="00DE053F">
        <w:rPr>
          <w:b/>
          <w:color w:val="000000" w:themeColor="text1"/>
          <w:szCs w:val="24"/>
          <w:lang w:val="es-ES_tradnl"/>
        </w:rPr>
        <w:lastRenderedPageBreak/>
        <w:t>1.</w:t>
      </w:r>
      <w:r w:rsidR="00B23EE9">
        <w:rPr>
          <w:b/>
          <w:color w:val="000000" w:themeColor="text1"/>
          <w:szCs w:val="24"/>
          <w:lang w:val="es-ES_tradnl"/>
        </w:rPr>
        <w:t>6</w:t>
      </w:r>
      <w:r w:rsidRPr="00DE053F">
        <w:rPr>
          <w:b/>
          <w:color w:val="000000" w:themeColor="text1"/>
          <w:szCs w:val="24"/>
          <w:lang w:val="es-ES_tradnl"/>
        </w:rPr>
        <w:t>. Re</w:t>
      </w:r>
      <w:r w:rsidR="002A32A1" w:rsidRPr="00DE053F">
        <w:rPr>
          <w:b/>
          <w:color w:val="000000" w:themeColor="text1"/>
          <w:szCs w:val="24"/>
          <w:lang w:val="es-ES_tradnl"/>
        </w:rPr>
        <w:t>solución impugnada</w:t>
      </w:r>
      <w:r w:rsidRPr="00DE053F">
        <w:rPr>
          <w:b/>
          <w:color w:val="000000" w:themeColor="text1"/>
          <w:szCs w:val="24"/>
          <w:lang w:val="es-ES_tradnl"/>
        </w:rPr>
        <w:t>.</w:t>
      </w:r>
      <w:r w:rsidRPr="00DE053F">
        <w:rPr>
          <w:color w:val="000000" w:themeColor="text1"/>
          <w:szCs w:val="24"/>
          <w:lang w:val="es-ES_tradnl"/>
        </w:rPr>
        <w:t xml:space="preserve"> E</w:t>
      </w:r>
      <w:r w:rsidR="002A32A1" w:rsidRPr="00DE053F">
        <w:rPr>
          <w:color w:val="000000" w:themeColor="text1"/>
          <w:szCs w:val="24"/>
          <w:lang w:val="es-ES_tradnl"/>
        </w:rPr>
        <w:t xml:space="preserve">l </w:t>
      </w:r>
      <w:r w:rsidR="00943E06">
        <w:rPr>
          <w:color w:val="000000" w:themeColor="text1"/>
          <w:szCs w:val="24"/>
          <w:lang w:val="es-ES_tradnl"/>
        </w:rPr>
        <w:t>veintinueve</w:t>
      </w:r>
      <w:r w:rsidR="002A32A1" w:rsidRPr="00DE053F">
        <w:rPr>
          <w:color w:val="000000" w:themeColor="text1"/>
          <w:szCs w:val="24"/>
          <w:lang w:val="es-ES_tradnl"/>
        </w:rPr>
        <w:t xml:space="preserve"> siguiente, el </w:t>
      </w:r>
      <w:r w:rsidR="002A32A1" w:rsidRPr="00DE053F">
        <w:rPr>
          <w:i/>
          <w:color w:val="000000" w:themeColor="text1"/>
          <w:szCs w:val="24"/>
          <w:lang w:val="es-ES_tradnl"/>
        </w:rPr>
        <w:t xml:space="preserve">Tribunal </w:t>
      </w:r>
      <w:r w:rsidR="006B08DC" w:rsidRPr="00DE053F">
        <w:rPr>
          <w:i/>
          <w:color w:val="000000" w:themeColor="text1"/>
          <w:szCs w:val="24"/>
          <w:lang w:val="es-ES_tradnl"/>
        </w:rPr>
        <w:t>L</w:t>
      </w:r>
      <w:r w:rsidR="002A32A1" w:rsidRPr="00DE053F">
        <w:rPr>
          <w:i/>
          <w:color w:val="000000" w:themeColor="text1"/>
          <w:szCs w:val="24"/>
          <w:lang w:val="es-ES_tradnl"/>
        </w:rPr>
        <w:t>ocal</w:t>
      </w:r>
      <w:r w:rsidR="002A32A1" w:rsidRPr="00DE053F">
        <w:rPr>
          <w:color w:val="000000" w:themeColor="text1"/>
          <w:szCs w:val="24"/>
          <w:lang w:val="es-ES_tradnl"/>
        </w:rPr>
        <w:t xml:space="preserve"> dictó resolución en el recurso de revisión</w:t>
      </w:r>
      <w:r w:rsidR="00943E06">
        <w:rPr>
          <w:color w:val="000000" w:themeColor="text1"/>
          <w:szCs w:val="24"/>
          <w:lang w:val="es-ES_tradnl"/>
        </w:rPr>
        <w:t xml:space="preserve"> </w:t>
      </w:r>
      <w:r w:rsidR="00943E06" w:rsidRPr="00563A19">
        <w:rPr>
          <w:bCs/>
          <w:lang w:val="es-ES_tradnl"/>
        </w:rPr>
        <w:t>TEEG-REV-01/2021</w:t>
      </w:r>
      <w:r w:rsidR="00943E06">
        <w:rPr>
          <w:bCs/>
          <w:lang w:val="es-ES_tradnl"/>
        </w:rPr>
        <w:t xml:space="preserve"> y sus acumulados</w:t>
      </w:r>
      <w:r w:rsidR="002A32A1" w:rsidRPr="00DE053F">
        <w:rPr>
          <w:color w:val="000000" w:themeColor="text1"/>
          <w:szCs w:val="24"/>
          <w:lang w:val="es-ES_tradnl"/>
        </w:rPr>
        <w:t xml:space="preserve">, </w:t>
      </w:r>
      <w:r w:rsidR="00F5773A" w:rsidRPr="00DE053F">
        <w:rPr>
          <w:color w:val="000000" w:themeColor="text1"/>
          <w:szCs w:val="24"/>
          <w:lang w:val="es-ES_tradnl"/>
        </w:rPr>
        <w:t xml:space="preserve">en el sentido de </w:t>
      </w:r>
      <w:r w:rsidR="002A32A1" w:rsidRPr="00DE053F">
        <w:rPr>
          <w:color w:val="000000" w:themeColor="text1"/>
          <w:szCs w:val="24"/>
          <w:lang w:val="es-ES_tradnl"/>
        </w:rPr>
        <w:t>confirma</w:t>
      </w:r>
      <w:r w:rsidR="00F5773A" w:rsidRPr="00DE053F">
        <w:rPr>
          <w:color w:val="000000" w:themeColor="text1"/>
          <w:szCs w:val="24"/>
          <w:lang w:val="es-ES_tradnl"/>
        </w:rPr>
        <w:t>r</w:t>
      </w:r>
      <w:r w:rsidR="00943E06">
        <w:rPr>
          <w:color w:val="000000" w:themeColor="text1"/>
          <w:szCs w:val="24"/>
          <w:lang w:val="es-ES_tradnl"/>
        </w:rPr>
        <w:t xml:space="preserve"> el </w:t>
      </w:r>
      <w:r w:rsidR="00943E06" w:rsidRPr="00943E06">
        <w:rPr>
          <w:i/>
          <w:color w:val="000000" w:themeColor="text1"/>
          <w:szCs w:val="24"/>
          <w:lang w:val="es-ES_tradnl"/>
        </w:rPr>
        <w:t>Acuerdo</w:t>
      </w:r>
      <w:r w:rsidR="00F5773A" w:rsidRPr="00DE053F">
        <w:rPr>
          <w:i/>
          <w:color w:val="000000" w:themeColor="text1"/>
          <w:szCs w:val="24"/>
          <w:lang w:val="es-ES_tradnl"/>
        </w:rPr>
        <w:t>.</w:t>
      </w:r>
      <w:r w:rsidRPr="00DE053F">
        <w:rPr>
          <w:color w:val="000000" w:themeColor="text1"/>
          <w:szCs w:val="24"/>
          <w:lang w:val="es-ES_tradnl"/>
        </w:rPr>
        <w:t xml:space="preserve"> </w:t>
      </w:r>
    </w:p>
    <w:p w14:paraId="2291CAE4" w14:textId="383B705A" w:rsidR="00D43881" w:rsidRPr="00DE053F" w:rsidRDefault="008236D6" w:rsidP="00C71318">
      <w:pPr>
        <w:pStyle w:val="Prrafodelista"/>
        <w:spacing w:before="100" w:beforeAutospacing="1" w:after="100" w:afterAutospacing="1"/>
        <w:ind w:left="0"/>
        <w:contextualSpacing w:val="0"/>
        <w:rPr>
          <w:color w:val="000000" w:themeColor="text1"/>
          <w:szCs w:val="24"/>
          <w:lang w:val="es-ES_tradnl"/>
        </w:rPr>
      </w:pPr>
      <w:r w:rsidRPr="00DE053F">
        <w:rPr>
          <w:b/>
          <w:color w:val="000000" w:themeColor="text1"/>
          <w:szCs w:val="24"/>
          <w:lang w:val="es-ES_tradnl"/>
        </w:rPr>
        <w:t>1.</w:t>
      </w:r>
      <w:r w:rsidR="00A0297A">
        <w:rPr>
          <w:b/>
          <w:color w:val="000000" w:themeColor="text1"/>
          <w:szCs w:val="24"/>
          <w:lang w:val="es-ES_tradnl"/>
        </w:rPr>
        <w:t>7</w:t>
      </w:r>
      <w:r w:rsidRPr="00DE053F">
        <w:rPr>
          <w:b/>
          <w:color w:val="000000" w:themeColor="text1"/>
          <w:szCs w:val="24"/>
          <w:lang w:val="es-ES_tradnl"/>
        </w:rPr>
        <w:t xml:space="preserve">. Juicio federal. </w:t>
      </w:r>
      <w:r w:rsidRPr="00DE053F">
        <w:rPr>
          <w:color w:val="000000" w:themeColor="text1"/>
          <w:szCs w:val="24"/>
          <w:lang w:val="es-ES_tradnl"/>
        </w:rPr>
        <w:t>Inconforme</w:t>
      </w:r>
      <w:r w:rsidR="00943E06">
        <w:rPr>
          <w:color w:val="000000" w:themeColor="text1"/>
          <w:szCs w:val="24"/>
          <w:lang w:val="es-ES_tradnl"/>
        </w:rPr>
        <w:t>s</w:t>
      </w:r>
      <w:r w:rsidRPr="00DE053F">
        <w:rPr>
          <w:color w:val="000000" w:themeColor="text1"/>
          <w:szCs w:val="24"/>
          <w:lang w:val="es-ES_tradnl"/>
        </w:rPr>
        <w:t xml:space="preserve"> con esa determinación, el </w:t>
      </w:r>
      <w:r w:rsidR="00943E06">
        <w:rPr>
          <w:color w:val="000000" w:themeColor="text1"/>
          <w:szCs w:val="24"/>
          <w:lang w:val="es-ES_tradnl"/>
        </w:rPr>
        <w:t>uno y dos</w:t>
      </w:r>
      <w:r w:rsidR="00F5773A" w:rsidRPr="00DE053F">
        <w:rPr>
          <w:color w:val="000000" w:themeColor="text1"/>
          <w:szCs w:val="24"/>
          <w:lang w:val="es-ES_tradnl"/>
        </w:rPr>
        <w:t xml:space="preserve"> de </w:t>
      </w:r>
      <w:r w:rsidR="00943E06">
        <w:rPr>
          <w:color w:val="000000" w:themeColor="text1"/>
          <w:szCs w:val="24"/>
          <w:lang w:val="es-ES_tradnl"/>
        </w:rPr>
        <w:t>febrero de dos mil veintiuno</w:t>
      </w:r>
      <w:r w:rsidRPr="00DE053F">
        <w:rPr>
          <w:color w:val="000000" w:themeColor="text1"/>
          <w:szCs w:val="24"/>
          <w:lang w:val="es-ES_tradnl"/>
        </w:rPr>
        <w:t xml:space="preserve">, </w:t>
      </w:r>
      <w:r w:rsidR="00943E06">
        <w:rPr>
          <w:color w:val="000000" w:themeColor="text1"/>
          <w:szCs w:val="24"/>
          <w:lang w:val="es-ES_tradnl"/>
        </w:rPr>
        <w:t xml:space="preserve">los partidos actores MORENA y </w:t>
      </w:r>
      <w:r w:rsidR="00B23EE9" w:rsidRPr="00B23EE9">
        <w:rPr>
          <w:i/>
          <w:color w:val="000000" w:themeColor="text1"/>
          <w:szCs w:val="24"/>
          <w:lang w:val="es-ES_tradnl"/>
        </w:rPr>
        <w:t>PT</w:t>
      </w:r>
      <w:r w:rsidR="00943E06">
        <w:rPr>
          <w:color w:val="000000" w:themeColor="text1"/>
          <w:szCs w:val="24"/>
          <w:lang w:val="es-ES_tradnl"/>
        </w:rPr>
        <w:t xml:space="preserve"> </w:t>
      </w:r>
      <w:r w:rsidRPr="00DE053F">
        <w:rPr>
          <w:color w:val="000000" w:themeColor="text1"/>
          <w:szCs w:val="24"/>
          <w:lang w:val="es-ES_tradnl"/>
        </w:rPr>
        <w:t>present</w:t>
      </w:r>
      <w:r w:rsidR="00943E06">
        <w:rPr>
          <w:color w:val="000000" w:themeColor="text1"/>
          <w:szCs w:val="24"/>
          <w:lang w:val="es-ES_tradnl"/>
        </w:rPr>
        <w:t>aron</w:t>
      </w:r>
      <w:r w:rsidRPr="00DE053F">
        <w:rPr>
          <w:color w:val="000000" w:themeColor="text1"/>
          <w:szCs w:val="24"/>
          <w:lang w:val="es-ES_tradnl"/>
        </w:rPr>
        <w:t xml:space="preserve"> en esta Sala Regional</w:t>
      </w:r>
      <w:r w:rsidR="00B754EF" w:rsidRPr="00DE053F">
        <w:rPr>
          <w:color w:val="000000" w:themeColor="text1"/>
          <w:szCs w:val="24"/>
          <w:lang w:val="es-ES_tradnl"/>
        </w:rPr>
        <w:t xml:space="preserve"> juicio de revisión constitucional electoral</w:t>
      </w:r>
      <w:r w:rsidR="00943E06">
        <w:rPr>
          <w:color w:val="000000" w:themeColor="text1"/>
          <w:szCs w:val="24"/>
          <w:lang w:val="es-ES_tradnl"/>
        </w:rPr>
        <w:t xml:space="preserve"> y su acumulad</w:t>
      </w:r>
      <w:r w:rsidR="008F3F27">
        <w:rPr>
          <w:color w:val="000000" w:themeColor="text1"/>
          <w:szCs w:val="24"/>
          <w:lang w:val="es-ES_tradnl"/>
        </w:rPr>
        <w:t>o, mencionados al rubro</w:t>
      </w:r>
      <w:r w:rsidR="00F5773A" w:rsidRPr="00DE053F">
        <w:rPr>
          <w:color w:val="000000" w:themeColor="text1"/>
          <w:szCs w:val="24"/>
          <w:lang w:val="es-ES_tradnl"/>
        </w:rPr>
        <w:t>.</w:t>
      </w:r>
    </w:p>
    <w:p w14:paraId="1F0FECBC" w14:textId="5A00F3B6" w:rsidR="00F9011A" w:rsidRPr="00DE053F" w:rsidRDefault="00094CA0" w:rsidP="00C161C0">
      <w:pPr>
        <w:pStyle w:val="Ttulo1"/>
      </w:pPr>
      <w:bookmarkStart w:id="10" w:name="_Toc27649896"/>
      <w:r w:rsidRPr="00DE053F">
        <w:t xml:space="preserve">2. </w:t>
      </w:r>
      <w:r w:rsidR="00F9011A" w:rsidRPr="00DE053F">
        <w:t>COMPETENCIA</w:t>
      </w:r>
      <w:bookmarkEnd w:id="10"/>
    </w:p>
    <w:p w14:paraId="40F9AD28" w14:textId="6A362565" w:rsidR="00A30A98" w:rsidRDefault="00F9011A" w:rsidP="00C71318">
      <w:pPr>
        <w:spacing w:before="100" w:beforeAutospacing="1" w:after="100" w:afterAutospacing="1"/>
        <w:rPr>
          <w:bCs/>
          <w:szCs w:val="24"/>
          <w:lang w:val="es-ES_tradnl"/>
        </w:rPr>
      </w:pPr>
      <w:r w:rsidRPr="00DE053F">
        <w:rPr>
          <w:bCs/>
          <w:szCs w:val="24"/>
        </w:rPr>
        <w:t xml:space="preserve">Esta Sala Regional es competente para conocer y resolver </w:t>
      </w:r>
      <w:r w:rsidR="00BB5BD3" w:rsidRPr="006C5F90">
        <w:rPr>
          <w:bCs/>
          <w:szCs w:val="24"/>
        </w:rPr>
        <w:t xml:space="preserve">los </w:t>
      </w:r>
      <w:r w:rsidR="00EB2DC3" w:rsidRPr="006C5F90">
        <w:rPr>
          <w:bCs/>
          <w:szCs w:val="24"/>
        </w:rPr>
        <w:t>presente</w:t>
      </w:r>
      <w:r w:rsidR="00BB5BD3" w:rsidRPr="006C5F90">
        <w:rPr>
          <w:bCs/>
          <w:szCs w:val="24"/>
        </w:rPr>
        <w:t>s</w:t>
      </w:r>
      <w:r w:rsidR="00EB2DC3" w:rsidRPr="006C5F90">
        <w:rPr>
          <w:bCs/>
          <w:szCs w:val="24"/>
        </w:rPr>
        <w:t xml:space="preserve"> </w:t>
      </w:r>
      <w:r w:rsidR="00BD6663" w:rsidRPr="006C5F90">
        <w:rPr>
          <w:bCs/>
          <w:szCs w:val="24"/>
        </w:rPr>
        <w:t>medio</w:t>
      </w:r>
      <w:r w:rsidR="00BB5BD3" w:rsidRPr="006C5F90">
        <w:rPr>
          <w:bCs/>
          <w:szCs w:val="24"/>
        </w:rPr>
        <w:t>s</w:t>
      </w:r>
      <w:r w:rsidR="00BD6663" w:rsidRPr="006C5F90">
        <w:rPr>
          <w:bCs/>
          <w:szCs w:val="24"/>
        </w:rPr>
        <w:t xml:space="preserve"> de impugnación</w:t>
      </w:r>
      <w:r w:rsidRPr="006C5F90">
        <w:rPr>
          <w:bCs/>
          <w:szCs w:val="24"/>
        </w:rPr>
        <w:t xml:space="preserve">, </w:t>
      </w:r>
      <w:r w:rsidR="002C3868" w:rsidRPr="006C5F90">
        <w:rPr>
          <w:bCs/>
          <w:szCs w:val="24"/>
        </w:rPr>
        <w:t xml:space="preserve">porque el </w:t>
      </w:r>
      <w:r w:rsidR="000B1575" w:rsidRPr="006C5F90">
        <w:rPr>
          <w:bCs/>
          <w:szCs w:val="24"/>
        </w:rPr>
        <w:t xml:space="preserve">partido </w:t>
      </w:r>
      <w:r w:rsidR="002C3868" w:rsidRPr="006C5F90">
        <w:rPr>
          <w:bCs/>
          <w:szCs w:val="24"/>
        </w:rPr>
        <w:t xml:space="preserve">actor controvierte </w:t>
      </w:r>
      <w:r w:rsidR="000B1575" w:rsidRPr="006C5F90">
        <w:rPr>
          <w:bCs/>
          <w:szCs w:val="24"/>
        </w:rPr>
        <w:t>una sentencia</w:t>
      </w:r>
      <w:r w:rsidR="002C3868" w:rsidRPr="006C5F90">
        <w:rPr>
          <w:bCs/>
          <w:szCs w:val="24"/>
        </w:rPr>
        <w:t xml:space="preserve"> emitid</w:t>
      </w:r>
      <w:r w:rsidR="000B1575" w:rsidRPr="006C5F90">
        <w:rPr>
          <w:bCs/>
          <w:szCs w:val="24"/>
        </w:rPr>
        <w:t>a</w:t>
      </w:r>
      <w:r w:rsidR="002C3868" w:rsidRPr="006C5F90">
        <w:rPr>
          <w:bCs/>
          <w:szCs w:val="24"/>
        </w:rPr>
        <w:t xml:space="preserve"> por el </w:t>
      </w:r>
      <w:r w:rsidR="002C3868" w:rsidRPr="006C5F90">
        <w:rPr>
          <w:bCs/>
          <w:i/>
          <w:szCs w:val="24"/>
        </w:rPr>
        <w:t xml:space="preserve">Tribunal </w:t>
      </w:r>
      <w:r w:rsidR="00B22641" w:rsidRPr="006C5F90">
        <w:rPr>
          <w:bCs/>
          <w:i/>
          <w:szCs w:val="24"/>
        </w:rPr>
        <w:t>local</w:t>
      </w:r>
      <w:r w:rsidR="00B22641" w:rsidRPr="006C5F90">
        <w:rPr>
          <w:bCs/>
          <w:szCs w:val="24"/>
        </w:rPr>
        <w:t xml:space="preserve">, </w:t>
      </w:r>
      <w:r w:rsidR="00056624" w:rsidRPr="006C5F90">
        <w:rPr>
          <w:bCs/>
          <w:szCs w:val="24"/>
        </w:rPr>
        <w:t>relacionada con la negativa de</w:t>
      </w:r>
      <w:r w:rsidR="00576C2D" w:rsidRPr="006C5F90">
        <w:rPr>
          <w:szCs w:val="22"/>
        </w:rPr>
        <w:t xml:space="preserve"> registro de una solicitud de coalición para </w:t>
      </w:r>
      <w:r w:rsidR="00576C2D" w:rsidRPr="006C5F90">
        <w:rPr>
          <w:bCs/>
          <w:szCs w:val="22"/>
        </w:rPr>
        <w:t xml:space="preserve">postular candidaturas a diputaciones locales al Congreso del Estado y para integrar ayuntamientos en el proceso electoral local ordinario 2020-2021 del Estado de </w:t>
      </w:r>
      <w:r w:rsidR="00BB5BD3" w:rsidRPr="006C5F90">
        <w:rPr>
          <w:bCs/>
          <w:szCs w:val="22"/>
        </w:rPr>
        <w:t>Guanajuato</w:t>
      </w:r>
      <w:r w:rsidR="00F5773A" w:rsidRPr="006C5F90">
        <w:rPr>
          <w:szCs w:val="22"/>
        </w:rPr>
        <w:t>,</w:t>
      </w:r>
      <w:r w:rsidR="001A119E" w:rsidRPr="006C5F90">
        <w:rPr>
          <w:bCs/>
          <w:szCs w:val="24"/>
        </w:rPr>
        <w:t xml:space="preserve"> </w:t>
      </w:r>
      <w:r w:rsidRPr="006C5F90">
        <w:rPr>
          <w:bCs/>
          <w:szCs w:val="24"/>
          <w:lang w:val="es-ES_tradnl"/>
        </w:rPr>
        <w:t>entidad federativa</w:t>
      </w:r>
      <w:r w:rsidR="00A30A98" w:rsidRPr="006C5F90">
        <w:rPr>
          <w:bCs/>
          <w:szCs w:val="24"/>
          <w:lang w:val="es-ES_tradnl"/>
        </w:rPr>
        <w:t xml:space="preserve"> que se</w:t>
      </w:r>
      <w:r w:rsidRPr="006C5F90">
        <w:rPr>
          <w:bCs/>
          <w:szCs w:val="24"/>
          <w:lang w:val="es-ES_tradnl"/>
        </w:rPr>
        <w:t xml:space="preserve"> ubica dentro de la Segunda Circunscripción Electoral Plurinominal, en la que se ejerce jurisdicción</w:t>
      </w:r>
      <w:r w:rsidR="00A30A98" w:rsidRPr="006C5F90">
        <w:rPr>
          <w:bCs/>
          <w:szCs w:val="24"/>
          <w:lang w:val="es-ES_tradnl"/>
        </w:rPr>
        <w:t>.</w:t>
      </w:r>
    </w:p>
    <w:p w14:paraId="3E9043B5" w14:textId="2BD4AD7C" w:rsidR="00576C2D" w:rsidRPr="00576C2D" w:rsidRDefault="00A30A98" w:rsidP="00FD2DCA">
      <w:pPr>
        <w:spacing w:after="0"/>
        <w:rPr>
          <w:bCs/>
          <w:szCs w:val="24"/>
          <w:lang w:val="es-ES_tradnl"/>
        </w:rPr>
      </w:pPr>
      <w:r w:rsidRPr="00DE053F">
        <w:rPr>
          <w:bCs/>
          <w:szCs w:val="24"/>
          <w:lang w:val="es-ES_tradnl"/>
        </w:rPr>
        <w:t xml:space="preserve">Lo anterior, de conformidad con lo dispuesto por </w:t>
      </w:r>
      <w:r w:rsidR="00501EEC" w:rsidRPr="00DE053F">
        <w:rPr>
          <w:bCs/>
          <w:szCs w:val="24"/>
          <w:lang w:val="es-ES_tradnl"/>
        </w:rPr>
        <w:t>los</w:t>
      </w:r>
      <w:r w:rsidRPr="00DE053F">
        <w:rPr>
          <w:bCs/>
          <w:szCs w:val="24"/>
          <w:lang w:val="es-ES_tradnl"/>
        </w:rPr>
        <w:t xml:space="preserve"> artículo</w:t>
      </w:r>
      <w:r w:rsidR="00501EEC" w:rsidRPr="00DE053F">
        <w:rPr>
          <w:bCs/>
          <w:szCs w:val="24"/>
          <w:lang w:val="es-ES_tradnl"/>
        </w:rPr>
        <w:t>s</w:t>
      </w:r>
      <w:r w:rsidR="00576C2D">
        <w:rPr>
          <w:bCs/>
          <w:szCs w:val="24"/>
          <w:lang w:val="es-ES_tradnl"/>
        </w:rPr>
        <w:t xml:space="preserve"> 186, fracción III, inciso b) y</w:t>
      </w:r>
      <w:r w:rsidRPr="00DE053F">
        <w:rPr>
          <w:bCs/>
          <w:szCs w:val="24"/>
          <w:lang w:val="es-ES_tradnl"/>
        </w:rPr>
        <w:t xml:space="preserve"> 195, fracción </w:t>
      </w:r>
      <w:r w:rsidR="00BD6663" w:rsidRPr="00DE053F">
        <w:rPr>
          <w:bCs/>
          <w:szCs w:val="24"/>
          <w:lang w:val="es-ES_tradnl"/>
        </w:rPr>
        <w:t>I</w:t>
      </w:r>
      <w:r w:rsidR="003B62C6" w:rsidRPr="00DE053F">
        <w:rPr>
          <w:bCs/>
          <w:szCs w:val="24"/>
          <w:lang w:val="es-ES_tradnl"/>
        </w:rPr>
        <w:t>II</w:t>
      </w:r>
      <w:r w:rsidR="00BD6663" w:rsidRPr="00DE053F">
        <w:rPr>
          <w:bCs/>
          <w:szCs w:val="24"/>
          <w:lang w:val="es-ES_tradnl"/>
        </w:rPr>
        <w:t>,</w:t>
      </w:r>
      <w:r w:rsidRPr="00DE053F">
        <w:rPr>
          <w:bCs/>
          <w:szCs w:val="24"/>
          <w:lang w:val="es-ES_tradnl"/>
        </w:rPr>
        <w:t xml:space="preserve"> de la Ley Orgánica del Poder Judicial de la Federación; </w:t>
      </w:r>
      <w:r w:rsidR="00066100" w:rsidRPr="00DE053F">
        <w:rPr>
          <w:bCs/>
          <w:szCs w:val="24"/>
          <w:lang w:val="es-ES_tradnl"/>
        </w:rPr>
        <w:t>y 87,</w:t>
      </w:r>
      <w:r w:rsidRPr="00DE053F">
        <w:rPr>
          <w:bCs/>
          <w:szCs w:val="24"/>
          <w:lang w:val="es-ES_tradnl"/>
        </w:rPr>
        <w:t xml:space="preserve"> párrafo 1, inciso b), de la </w:t>
      </w:r>
      <w:r w:rsidR="00FD2DCA" w:rsidRPr="00DE053F">
        <w:rPr>
          <w:szCs w:val="24"/>
        </w:rPr>
        <w:t>Ley General del Sistema de Medios de Impugnación en Materia Electoral</w:t>
      </w:r>
      <w:r w:rsidRPr="00DE053F">
        <w:rPr>
          <w:bCs/>
          <w:szCs w:val="24"/>
          <w:lang w:val="es-ES_tradnl"/>
        </w:rPr>
        <w:t>.</w:t>
      </w:r>
      <w:bookmarkStart w:id="11" w:name="_Toc27649899"/>
    </w:p>
    <w:p w14:paraId="25E32A51" w14:textId="77777777" w:rsidR="00943E06" w:rsidRPr="006E2FB3" w:rsidRDefault="00943E06" w:rsidP="00943E06">
      <w:pPr>
        <w:shd w:val="clear" w:color="auto" w:fill="FFFFFF"/>
        <w:spacing w:before="240" w:after="240" w:line="360" w:lineRule="atLeast"/>
        <w:outlineLvl w:val="0"/>
        <w:rPr>
          <w:rFonts w:eastAsia="Times New Roman"/>
          <w:b/>
          <w:kern w:val="36"/>
          <w:szCs w:val="24"/>
          <w:lang w:eastAsia="es-MX"/>
        </w:rPr>
      </w:pPr>
      <w:r w:rsidRPr="006E2FB3">
        <w:rPr>
          <w:rFonts w:eastAsia="Times New Roman"/>
          <w:b/>
          <w:kern w:val="36"/>
          <w:szCs w:val="24"/>
          <w:lang w:eastAsia="es-MX"/>
        </w:rPr>
        <w:t>3. ACUMULACIÓN</w:t>
      </w:r>
    </w:p>
    <w:p w14:paraId="16DB245E" w14:textId="5A0B1533" w:rsidR="00943E06" w:rsidRPr="006E2FB3" w:rsidRDefault="00943E06" w:rsidP="00943E06">
      <w:pPr>
        <w:tabs>
          <w:tab w:val="left" w:pos="5461"/>
        </w:tabs>
        <w:spacing w:before="100" w:beforeAutospacing="1" w:after="100" w:afterAutospacing="1"/>
        <w:rPr>
          <w:rFonts w:eastAsia="Calibri"/>
          <w:bCs/>
          <w:szCs w:val="24"/>
        </w:rPr>
      </w:pPr>
      <w:r w:rsidRPr="006E2FB3">
        <w:rPr>
          <w:rFonts w:eastAsia="Calibri"/>
          <w:bCs/>
          <w:szCs w:val="24"/>
        </w:rPr>
        <w:t xml:space="preserve">Dado que los promoventes controvierten la misma sentencia, relacionada con </w:t>
      </w:r>
      <w:r w:rsidR="00705C97">
        <w:rPr>
          <w:rFonts w:eastAsia="Calibri"/>
          <w:bCs/>
          <w:szCs w:val="24"/>
        </w:rPr>
        <w:t xml:space="preserve">la negativa de </w:t>
      </w:r>
      <w:r w:rsidR="00576C2D" w:rsidRPr="00576C2D">
        <w:rPr>
          <w:rFonts w:eastAsia="Calibri"/>
          <w:bCs/>
          <w:szCs w:val="24"/>
        </w:rPr>
        <w:t xml:space="preserve">registro del </w:t>
      </w:r>
      <w:r w:rsidR="00803371" w:rsidRPr="00803371">
        <w:rPr>
          <w:rFonts w:eastAsia="Calibri"/>
          <w:bCs/>
          <w:i/>
          <w:szCs w:val="24"/>
        </w:rPr>
        <w:t>C</w:t>
      </w:r>
      <w:r w:rsidR="00576C2D" w:rsidRPr="00803371">
        <w:rPr>
          <w:rFonts w:eastAsia="Calibri"/>
          <w:bCs/>
          <w:i/>
          <w:szCs w:val="24"/>
        </w:rPr>
        <w:t>onvenio</w:t>
      </w:r>
      <w:r w:rsidRPr="006E2FB3">
        <w:rPr>
          <w:rFonts w:eastAsia="Calibri"/>
          <w:bCs/>
          <w:szCs w:val="24"/>
        </w:rPr>
        <w:t xml:space="preserve">, procede acumular </w:t>
      </w:r>
      <w:r w:rsidR="00576C2D">
        <w:rPr>
          <w:rFonts w:eastAsia="Calibri"/>
          <w:bCs/>
          <w:szCs w:val="24"/>
        </w:rPr>
        <w:t>e</w:t>
      </w:r>
      <w:r w:rsidRPr="006E2FB3">
        <w:rPr>
          <w:rFonts w:eastAsia="Calibri"/>
          <w:bCs/>
          <w:szCs w:val="24"/>
        </w:rPr>
        <w:t>l expediente SM-JRC-</w:t>
      </w:r>
      <w:r w:rsidR="00576C2D">
        <w:rPr>
          <w:rFonts w:eastAsia="Calibri"/>
          <w:bCs/>
          <w:szCs w:val="24"/>
        </w:rPr>
        <w:t>3</w:t>
      </w:r>
      <w:r w:rsidRPr="006E2FB3">
        <w:rPr>
          <w:rFonts w:eastAsia="Calibri"/>
          <w:bCs/>
          <w:szCs w:val="24"/>
        </w:rPr>
        <w:t>/20</w:t>
      </w:r>
      <w:r w:rsidR="00576C2D">
        <w:rPr>
          <w:rFonts w:eastAsia="Calibri"/>
          <w:bCs/>
          <w:szCs w:val="24"/>
        </w:rPr>
        <w:t>21</w:t>
      </w:r>
      <w:r w:rsidRPr="006E2FB3">
        <w:rPr>
          <w:rFonts w:eastAsia="Calibri"/>
          <w:bCs/>
          <w:szCs w:val="24"/>
        </w:rPr>
        <w:t xml:space="preserve"> al</w:t>
      </w:r>
      <w:r w:rsidRPr="006E2FB3">
        <w:rPr>
          <w:rFonts w:eastAsia="Calibri"/>
          <w:b/>
          <w:bCs/>
          <w:szCs w:val="24"/>
        </w:rPr>
        <w:t xml:space="preserve"> SM-JRC-</w:t>
      </w:r>
      <w:r w:rsidR="00576C2D">
        <w:rPr>
          <w:rFonts w:eastAsia="Calibri"/>
          <w:b/>
          <w:bCs/>
          <w:szCs w:val="24"/>
        </w:rPr>
        <w:t>1</w:t>
      </w:r>
      <w:r w:rsidRPr="006E2FB3">
        <w:rPr>
          <w:rFonts w:eastAsia="Calibri"/>
          <w:b/>
          <w:bCs/>
          <w:szCs w:val="24"/>
        </w:rPr>
        <w:t>/20</w:t>
      </w:r>
      <w:r w:rsidR="00576C2D">
        <w:rPr>
          <w:rFonts w:eastAsia="Calibri"/>
          <w:b/>
          <w:bCs/>
          <w:szCs w:val="24"/>
        </w:rPr>
        <w:t>21</w:t>
      </w:r>
      <w:r w:rsidRPr="006E2FB3">
        <w:rPr>
          <w:rFonts w:eastAsia="Calibri"/>
          <w:bCs/>
          <w:szCs w:val="24"/>
        </w:rPr>
        <w:t>, al ser éste el primero que se recibió en esta Sala Regional. Agréguese copia certificada de los resolutivos de la presente sentencia a</w:t>
      </w:r>
      <w:r w:rsidR="00576C2D">
        <w:rPr>
          <w:rFonts w:eastAsia="Calibri"/>
          <w:bCs/>
          <w:szCs w:val="24"/>
        </w:rPr>
        <w:t>l</w:t>
      </w:r>
      <w:r w:rsidRPr="006E2FB3">
        <w:rPr>
          <w:rFonts w:eastAsia="Calibri"/>
          <w:bCs/>
          <w:szCs w:val="24"/>
        </w:rPr>
        <w:t xml:space="preserve"> expediente acumulado.</w:t>
      </w:r>
    </w:p>
    <w:p w14:paraId="700EF3CD" w14:textId="77777777" w:rsidR="00943E06" w:rsidRPr="006E2FB3" w:rsidRDefault="00943E06" w:rsidP="00943E06">
      <w:pPr>
        <w:tabs>
          <w:tab w:val="left" w:pos="5461"/>
        </w:tabs>
        <w:spacing w:before="100" w:beforeAutospacing="1" w:after="100" w:afterAutospacing="1"/>
        <w:rPr>
          <w:rFonts w:eastAsia="Calibri"/>
          <w:bCs/>
          <w:szCs w:val="24"/>
        </w:rPr>
      </w:pPr>
      <w:r w:rsidRPr="006E2FB3">
        <w:rPr>
          <w:rFonts w:eastAsia="Calibri"/>
          <w:bCs/>
          <w:szCs w:val="24"/>
        </w:rPr>
        <w:t xml:space="preserve">Lo anterior, con fundamento en los artículos 199, fracción XI, de la Ley Orgánica del Poder Judicial de la Federación, 31 de la </w:t>
      </w:r>
      <w:r w:rsidRPr="00833951">
        <w:rPr>
          <w:rFonts w:eastAsia="Calibri"/>
          <w:bCs/>
          <w:i/>
          <w:szCs w:val="24"/>
        </w:rPr>
        <w:t>Ley de Medios</w:t>
      </w:r>
      <w:r w:rsidRPr="006E2FB3">
        <w:rPr>
          <w:rFonts w:eastAsia="Calibri"/>
          <w:bCs/>
          <w:szCs w:val="24"/>
        </w:rPr>
        <w:t xml:space="preserve"> y 79 del Reglamento Interno del Tribunal Electoral.</w:t>
      </w:r>
    </w:p>
    <w:p w14:paraId="285AFFF8" w14:textId="3BB902F2" w:rsidR="004A12E1" w:rsidRDefault="00943E06" w:rsidP="00C161C0">
      <w:pPr>
        <w:pStyle w:val="Ttulo1"/>
      </w:pPr>
      <w:r>
        <w:t>4</w:t>
      </w:r>
      <w:r w:rsidR="00BD6663" w:rsidRPr="00DE053F">
        <w:t xml:space="preserve">. </w:t>
      </w:r>
      <w:r w:rsidR="00F9011A" w:rsidRPr="00DE053F">
        <w:t>PROCEDENCIA</w:t>
      </w:r>
      <w:bookmarkEnd w:id="11"/>
      <w:r w:rsidR="004A12E1" w:rsidRPr="00DE053F">
        <w:t xml:space="preserve"> </w:t>
      </w:r>
    </w:p>
    <w:p w14:paraId="3281C395" w14:textId="77777777" w:rsidR="00656E4B" w:rsidRDefault="00656E4B" w:rsidP="00656E4B">
      <w:pPr>
        <w:spacing w:before="100" w:beforeAutospacing="1" w:after="100" w:afterAutospacing="1"/>
        <w:rPr>
          <w:b/>
          <w:szCs w:val="24"/>
        </w:rPr>
      </w:pPr>
      <w:r w:rsidRPr="00656E4B">
        <w:rPr>
          <w:b/>
        </w:rPr>
        <w:t>4.1</w:t>
      </w:r>
      <w:r>
        <w:t xml:space="preserve"> </w:t>
      </w:r>
      <w:r>
        <w:rPr>
          <w:b/>
          <w:szCs w:val="24"/>
        </w:rPr>
        <w:t>Causal de improcedencia</w:t>
      </w:r>
    </w:p>
    <w:p w14:paraId="6D0F0DD7" w14:textId="33C08899" w:rsidR="00F4010A" w:rsidRDefault="00656E4B" w:rsidP="00656E4B">
      <w:pPr>
        <w:spacing w:before="240" w:after="240"/>
        <w:rPr>
          <w:rFonts w:eastAsia="Times New Roman"/>
          <w:bCs/>
          <w:szCs w:val="24"/>
          <w:lang w:val="es-ES" w:eastAsia="es-ES"/>
        </w:rPr>
      </w:pPr>
      <w:r>
        <w:rPr>
          <w:rFonts w:eastAsia="Times New Roman"/>
          <w:bCs/>
          <w:szCs w:val="24"/>
          <w:lang w:eastAsia="es-ES"/>
        </w:rPr>
        <w:lastRenderedPageBreak/>
        <w:t xml:space="preserve">El </w:t>
      </w:r>
      <w:r w:rsidR="00BB5BD3" w:rsidRPr="006C5F90">
        <w:rPr>
          <w:rFonts w:eastAsia="Times New Roman"/>
          <w:bCs/>
          <w:iCs/>
          <w:szCs w:val="24"/>
          <w:lang w:eastAsia="es-ES"/>
        </w:rPr>
        <w:t>Partido Acción Nacional</w:t>
      </w:r>
      <w:r>
        <w:rPr>
          <w:rFonts w:eastAsia="Times New Roman"/>
          <w:bCs/>
          <w:szCs w:val="24"/>
          <w:lang w:eastAsia="es-ES"/>
        </w:rPr>
        <w:t xml:space="preserve"> en su carácter de tercero interesado</w:t>
      </w:r>
      <w:r w:rsidRPr="00326ED0">
        <w:rPr>
          <w:rFonts w:eastAsia="Times New Roman"/>
          <w:bCs/>
          <w:szCs w:val="24"/>
          <w:lang w:val="es-ES" w:eastAsia="es-ES"/>
        </w:rPr>
        <w:t xml:space="preserve"> </w:t>
      </w:r>
      <w:r>
        <w:rPr>
          <w:rFonts w:eastAsia="Times New Roman"/>
          <w:bCs/>
          <w:szCs w:val="24"/>
          <w:lang w:val="es-ES" w:eastAsia="es-ES"/>
        </w:rPr>
        <w:t>refiere que el</w:t>
      </w:r>
      <w:r w:rsidRPr="00326ED0">
        <w:rPr>
          <w:rFonts w:eastAsia="Times New Roman"/>
          <w:bCs/>
          <w:szCs w:val="24"/>
          <w:lang w:val="es-ES" w:eastAsia="es-ES"/>
        </w:rPr>
        <w:t xml:space="preserve"> juicio </w:t>
      </w:r>
      <w:r>
        <w:rPr>
          <w:rFonts w:eastAsia="Times New Roman"/>
          <w:bCs/>
          <w:szCs w:val="24"/>
          <w:lang w:val="es-ES" w:eastAsia="es-ES"/>
        </w:rPr>
        <w:t xml:space="preserve">promovido por el </w:t>
      </w:r>
      <w:r w:rsidRPr="003B5F39">
        <w:rPr>
          <w:rFonts w:eastAsia="Times New Roman"/>
          <w:bCs/>
          <w:i/>
          <w:szCs w:val="24"/>
          <w:lang w:val="es-ES" w:eastAsia="es-ES"/>
        </w:rPr>
        <w:t>PT</w:t>
      </w:r>
      <w:r>
        <w:rPr>
          <w:rFonts w:eastAsia="Times New Roman"/>
          <w:bCs/>
          <w:szCs w:val="24"/>
          <w:lang w:val="es-ES" w:eastAsia="es-ES"/>
        </w:rPr>
        <w:t xml:space="preserve"> debe ser </w:t>
      </w:r>
      <w:r w:rsidR="00F4010A">
        <w:rPr>
          <w:rFonts w:eastAsia="Times New Roman"/>
          <w:bCs/>
          <w:szCs w:val="24"/>
          <w:lang w:val="es-ES" w:eastAsia="es-ES"/>
        </w:rPr>
        <w:t>desechado</w:t>
      </w:r>
      <w:r>
        <w:rPr>
          <w:rFonts w:eastAsia="Times New Roman"/>
          <w:bCs/>
          <w:szCs w:val="24"/>
          <w:lang w:val="es-ES" w:eastAsia="es-ES"/>
        </w:rPr>
        <w:t xml:space="preserve">, </w:t>
      </w:r>
      <w:r w:rsidR="00267D0C">
        <w:rPr>
          <w:rFonts w:eastAsia="Times New Roman"/>
          <w:bCs/>
          <w:szCs w:val="24"/>
          <w:lang w:val="es-ES" w:eastAsia="es-ES"/>
        </w:rPr>
        <w:t>al actual</w:t>
      </w:r>
      <w:r w:rsidR="00F4010A">
        <w:rPr>
          <w:rFonts w:eastAsia="Times New Roman"/>
          <w:bCs/>
          <w:szCs w:val="24"/>
          <w:lang w:val="es-ES" w:eastAsia="es-ES"/>
        </w:rPr>
        <w:t xml:space="preserve">izarse la causal de improcedencia prevista en el artículo 10, inciso c), de la </w:t>
      </w:r>
      <w:r w:rsidR="00F4010A" w:rsidRPr="00833951">
        <w:rPr>
          <w:rFonts w:eastAsia="Times New Roman"/>
          <w:bCs/>
          <w:i/>
          <w:szCs w:val="24"/>
          <w:lang w:val="es-ES" w:eastAsia="es-ES"/>
        </w:rPr>
        <w:t>Ley de Medios</w:t>
      </w:r>
      <w:r w:rsidR="00F4010A">
        <w:rPr>
          <w:rFonts w:eastAsia="Times New Roman"/>
          <w:bCs/>
          <w:szCs w:val="24"/>
          <w:lang w:val="es-ES" w:eastAsia="es-ES"/>
        </w:rPr>
        <w:t>.</w:t>
      </w:r>
    </w:p>
    <w:p w14:paraId="440655BF" w14:textId="3E97F1FC" w:rsidR="00F4010A" w:rsidRDefault="00F4010A" w:rsidP="00656E4B">
      <w:pPr>
        <w:spacing w:before="240" w:after="240"/>
        <w:rPr>
          <w:rFonts w:eastAsia="Times New Roman"/>
          <w:bCs/>
          <w:szCs w:val="24"/>
          <w:lang w:val="es-ES" w:eastAsia="es-ES"/>
        </w:rPr>
      </w:pPr>
      <w:r>
        <w:rPr>
          <w:rFonts w:eastAsia="Times New Roman"/>
          <w:bCs/>
          <w:szCs w:val="24"/>
          <w:lang w:val="es-ES" w:eastAsia="es-ES"/>
        </w:rPr>
        <w:t xml:space="preserve">Lo anterior, al considerar que el representante del </w:t>
      </w:r>
      <w:r w:rsidRPr="004F09D6">
        <w:rPr>
          <w:rFonts w:eastAsia="Times New Roman"/>
          <w:bCs/>
          <w:i/>
          <w:iCs/>
          <w:szCs w:val="24"/>
          <w:lang w:val="es-ES" w:eastAsia="es-ES"/>
        </w:rPr>
        <w:t>PT</w:t>
      </w:r>
      <w:r>
        <w:rPr>
          <w:rFonts w:eastAsia="Times New Roman"/>
          <w:bCs/>
          <w:szCs w:val="24"/>
          <w:lang w:val="es-ES" w:eastAsia="es-ES"/>
        </w:rPr>
        <w:t xml:space="preserve"> no se encuentra legitimado para promover el medio de impugnación, pues </w:t>
      </w:r>
      <w:r w:rsidR="00656E4B">
        <w:rPr>
          <w:rFonts w:eastAsia="Times New Roman"/>
          <w:bCs/>
          <w:szCs w:val="24"/>
          <w:lang w:val="es-ES" w:eastAsia="es-ES"/>
        </w:rPr>
        <w:t>e</w:t>
      </w:r>
      <w:r>
        <w:rPr>
          <w:rFonts w:eastAsia="Times New Roman"/>
          <w:bCs/>
          <w:szCs w:val="24"/>
          <w:lang w:val="es-ES" w:eastAsia="es-ES"/>
        </w:rPr>
        <w:t>n la suscripción del</w:t>
      </w:r>
      <w:r w:rsidR="00656E4B">
        <w:rPr>
          <w:rFonts w:eastAsia="Times New Roman"/>
          <w:bCs/>
          <w:szCs w:val="24"/>
          <w:lang w:val="es-ES" w:eastAsia="es-ES"/>
        </w:rPr>
        <w:t xml:space="preserve"> </w:t>
      </w:r>
      <w:r w:rsidR="00656E4B" w:rsidRPr="003B5F39">
        <w:rPr>
          <w:rFonts w:eastAsia="Times New Roman"/>
          <w:bCs/>
          <w:i/>
          <w:szCs w:val="24"/>
          <w:lang w:val="es-ES" w:eastAsia="es-ES"/>
        </w:rPr>
        <w:t>Convenio</w:t>
      </w:r>
      <w:r w:rsidR="00656E4B">
        <w:rPr>
          <w:rFonts w:eastAsia="Times New Roman"/>
          <w:bCs/>
          <w:szCs w:val="24"/>
          <w:lang w:val="es-ES" w:eastAsia="es-ES"/>
        </w:rPr>
        <w:t xml:space="preserve"> l</w:t>
      </w:r>
      <w:r>
        <w:rPr>
          <w:rFonts w:eastAsia="Times New Roman"/>
          <w:bCs/>
          <w:szCs w:val="24"/>
          <w:lang w:val="es-ES" w:eastAsia="es-ES"/>
        </w:rPr>
        <w:t xml:space="preserve">os partidos </w:t>
      </w:r>
      <w:r w:rsidR="00803371">
        <w:rPr>
          <w:rFonts w:eastAsia="Times New Roman"/>
          <w:bCs/>
          <w:szCs w:val="24"/>
          <w:lang w:val="es-ES" w:eastAsia="es-ES"/>
        </w:rPr>
        <w:t>convinieron</w:t>
      </w:r>
      <w:r>
        <w:rPr>
          <w:rFonts w:eastAsia="Times New Roman"/>
          <w:bCs/>
          <w:szCs w:val="24"/>
          <w:lang w:val="es-ES" w:eastAsia="es-ES"/>
        </w:rPr>
        <w:t xml:space="preserve"> que </w:t>
      </w:r>
      <w:r w:rsidR="00656E4B">
        <w:rPr>
          <w:rFonts w:eastAsia="Times New Roman"/>
          <w:bCs/>
          <w:szCs w:val="24"/>
          <w:lang w:val="es-ES" w:eastAsia="es-ES"/>
        </w:rPr>
        <w:t>MORENA</w:t>
      </w:r>
      <w:r>
        <w:rPr>
          <w:rFonts w:eastAsia="Times New Roman"/>
          <w:bCs/>
          <w:szCs w:val="24"/>
          <w:lang w:val="es-ES" w:eastAsia="es-ES"/>
        </w:rPr>
        <w:t xml:space="preserve"> </w:t>
      </w:r>
      <w:proofErr w:type="gramStart"/>
      <w:r>
        <w:rPr>
          <w:rFonts w:eastAsia="Times New Roman"/>
          <w:bCs/>
          <w:szCs w:val="24"/>
          <w:lang w:val="es-ES" w:eastAsia="es-ES"/>
        </w:rPr>
        <w:t>tendr</w:t>
      </w:r>
      <w:r w:rsidR="00F36375">
        <w:rPr>
          <w:rFonts w:eastAsia="Times New Roman"/>
          <w:bCs/>
          <w:szCs w:val="24"/>
          <w:lang w:val="es-ES" w:eastAsia="es-ES"/>
        </w:rPr>
        <w:t>í</w:t>
      </w:r>
      <w:r>
        <w:rPr>
          <w:rFonts w:eastAsia="Times New Roman"/>
          <w:bCs/>
          <w:szCs w:val="24"/>
          <w:lang w:val="es-ES" w:eastAsia="es-ES"/>
        </w:rPr>
        <w:t>a</w:t>
      </w:r>
      <w:proofErr w:type="gramEnd"/>
      <w:r>
        <w:rPr>
          <w:rFonts w:eastAsia="Times New Roman"/>
          <w:bCs/>
          <w:szCs w:val="24"/>
          <w:lang w:val="es-ES" w:eastAsia="es-ES"/>
        </w:rPr>
        <w:t xml:space="preserve"> la representación legal para, entre otras cosas, interponer los medios de impugnación electorales.</w:t>
      </w:r>
    </w:p>
    <w:p w14:paraId="55348424" w14:textId="6960D0B1" w:rsidR="008C077E" w:rsidRDefault="00F4010A" w:rsidP="00656E4B">
      <w:pPr>
        <w:spacing w:before="100" w:beforeAutospacing="1" w:after="100" w:afterAutospacing="1"/>
        <w:rPr>
          <w:szCs w:val="24"/>
        </w:rPr>
      </w:pPr>
      <w:r>
        <w:rPr>
          <w:szCs w:val="24"/>
        </w:rPr>
        <w:t xml:space="preserve">De esa manera, sigue señalando que la defensa de la colación le corresponde a MORENA, </w:t>
      </w:r>
      <w:r w:rsidR="008C077E">
        <w:rPr>
          <w:szCs w:val="24"/>
        </w:rPr>
        <w:t xml:space="preserve">lo que genera que los partidos políticos que la integran no puedan promover algún tipo de juicio, además de </w:t>
      </w:r>
      <w:r w:rsidR="00054DE2">
        <w:rPr>
          <w:szCs w:val="24"/>
        </w:rPr>
        <w:t>que MORENA</w:t>
      </w:r>
      <w:r w:rsidR="008C077E">
        <w:rPr>
          <w:szCs w:val="24"/>
        </w:rPr>
        <w:t xml:space="preserve"> ya había impugnado en tiempo y forma, agotando con ello el derecho de volver a hacerlo, </w:t>
      </w:r>
      <w:r w:rsidR="006C5F90">
        <w:rPr>
          <w:szCs w:val="24"/>
        </w:rPr>
        <w:t>aunado a</w:t>
      </w:r>
      <w:r w:rsidR="008C077E">
        <w:rPr>
          <w:szCs w:val="24"/>
        </w:rPr>
        <w:t xml:space="preserve"> que de igual manera se debe desestimar cualquier acto donde se expresen nuevos agravios </w:t>
      </w:r>
      <w:r w:rsidR="00054DE2">
        <w:rPr>
          <w:szCs w:val="24"/>
        </w:rPr>
        <w:t>aun</w:t>
      </w:r>
      <w:r w:rsidR="008C077E">
        <w:rPr>
          <w:szCs w:val="24"/>
        </w:rPr>
        <w:t xml:space="preserve"> cuando no haya fenecido el plazo para su presentación. </w:t>
      </w:r>
    </w:p>
    <w:p w14:paraId="271D41BB" w14:textId="77777777" w:rsidR="00054DE2" w:rsidRDefault="008C077E" w:rsidP="00656E4B">
      <w:pPr>
        <w:spacing w:before="100" w:beforeAutospacing="1" w:after="100" w:afterAutospacing="1"/>
      </w:pPr>
      <w:r>
        <w:rPr>
          <w:szCs w:val="24"/>
        </w:rPr>
        <w:t>D</w:t>
      </w:r>
      <w:r w:rsidR="00656E4B">
        <w:rPr>
          <w:szCs w:val="24"/>
        </w:rPr>
        <w:t xml:space="preserve">ebe desestimarse la improcedencia hecha valer por el </w:t>
      </w:r>
      <w:r w:rsidR="00BB5BD3">
        <w:rPr>
          <w:szCs w:val="24"/>
        </w:rPr>
        <w:t>Partido Acción Nacional</w:t>
      </w:r>
      <w:r>
        <w:rPr>
          <w:szCs w:val="24"/>
        </w:rPr>
        <w:t xml:space="preserve">, </w:t>
      </w:r>
      <w:r w:rsidR="004D1392">
        <w:rPr>
          <w:szCs w:val="24"/>
        </w:rPr>
        <w:t>ya que,</w:t>
      </w:r>
      <w:r w:rsidR="00656E4B">
        <w:rPr>
          <w:szCs w:val="24"/>
        </w:rPr>
        <w:t xml:space="preserve"> </w:t>
      </w:r>
      <w:r w:rsidR="004D1392">
        <w:rPr>
          <w:szCs w:val="24"/>
        </w:rPr>
        <w:t xml:space="preserve">al </w:t>
      </w:r>
      <w:bookmarkStart w:id="12" w:name="_Hlk65232214"/>
      <w:r w:rsidR="004D1392">
        <w:rPr>
          <w:szCs w:val="24"/>
        </w:rPr>
        <w:t xml:space="preserve">resolverse la improcedencia </w:t>
      </w:r>
      <w:r w:rsidR="00656E4B">
        <w:t xml:space="preserve">del </w:t>
      </w:r>
      <w:r w:rsidR="004D1392" w:rsidRPr="004D1392">
        <w:rPr>
          <w:i/>
        </w:rPr>
        <w:t>C</w:t>
      </w:r>
      <w:r w:rsidR="00656E4B" w:rsidRPr="004D1392">
        <w:rPr>
          <w:i/>
        </w:rPr>
        <w:t>onvenio</w:t>
      </w:r>
      <w:r w:rsidR="00656E4B">
        <w:t xml:space="preserve">, </w:t>
      </w:r>
      <w:r w:rsidR="004D1392">
        <w:t>es a los partidos políticos que la integrarían a quienes les genera un menoscabo a sus intereses, y no propiamente a la coalición</w:t>
      </w:r>
      <w:bookmarkEnd w:id="12"/>
      <w:r w:rsidR="00054DE2">
        <w:t>.</w:t>
      </w:r>
    </w:p>
    <w:p w14:paraId="04D27563" w14:textId="76B2E88F" w:rsidR="00B23EE9" w:rsidRDefault="00054DE2" w:rsidP="00656E4B">
      <w:pPr>
        <w:spacing w:before="100" w:beforeAutospacing="1" w:after="100" w:afterAutospacing="1"/>
      </w:pPr>
      <w:r w:rsidRPr="006C5F90">
        <w:t xml:space="preserve">De esa manera, si en autos se encuentra acreditado que el medio de impugnación fue interpuesto por el Representante Propietario del </w:t>
      </w:r>
      <w:r w:rsidRPr="006C5F90">
        <w:rPr>
          <w:i/>
          <w:iCs/>
        </w:rPr>
        <w:t xml:space="preserve">PT </w:t>
      </w:r>
      <w:r w:rsidRPr="006C5F90">
        <w:t xml:space="preserve">acreditado ante el Consejo General del </w:t>
      </w:r>
      <w:r w:rsidRPr="006C5F90">
        <w:rPr>
          <w:i/>
          <w:iCs/>
        </w:rPr>
        <w:t>Instituto Local</w:t>
      </w:r>
      <w:r w:rsidRPr="006C5F90">
        <w:t>,</w:t>
      </w:r>
      <w:r w:rsidRPr="006C5F90">
        <w:rPr>
          <w:rStyle w:val="Refdenotaalpie"/>
        </w:rPr>
        <w:footnoteReference w:id="4"/>
      </w:r>
      <w:r w:rsidRPr="006C5F90">
        <w:t xml:space="preserve"> </w:t>
      </w:r>
      <w:r w:rsidR="004D1392" w:rsidRPr="006C5F90">
        <w:t xml:space="preserve">esta Sala Regional </w:t>
      </w:r>
      <w:bookmarkStart w:id="13" w:name="_Hlk65232235"/>
      <w:r w:rsidR="004D1392" w:rsidRPr="006C5F90">
        <w:t>considera que</w:t>
      </w:r>
      <w:r w:rsidRPr="006C5F90">
        <w:t xml:space="preserve"> quien promueve</w:t>
      </w:r>
      <w:r w:rsidR="004D1392" w:rsidRPr="006C5F90">
        <w:t xml:space="preserve"> </w:t>
      </w:r>
      <w:r w:rsidR="00A7199B">
        <w:t xml:space="preserve">se </w:t>
      </w:r>
      <w:r w:rsidR="004D1392" w:rsidRPr="006C5F90">
        <w:t xml:space="preserve">encuentra legitimado para impugnar la sentencia emitida por el </w:t>
      </w:r>
      <w:r w:rsidR="004D1392" w:rsidRPr="006C5F90">
        <w:rPr>
          <w:i/>
          <w:iCs/>
        </w:rPr>
        <w:t>Tribunal Local</w:t>
      </w:r>
      <w:bookmarkEnd w:id="13"/>
      <w:r w:rsidRPr="006C5F90">
        <w:rPr>
          <w:i/>
          <w:iCs/>
        </w:rPr>
        <w:t xml:space="preserve">, </w:t>
      </w:r>
      <w:r w:rsidRPr="006C5F90">
        <w:t>aunado que es la misma persona que promovió el medio de impugnación local</w:t>
      </w:r>
      <w:r w:rsidR="00B23EE9" w:rsidRPr="006C5F90">
        <w:t>.</w:t>
      </w:r>
    </w:p>
    <w:p w14:paraId="2579304A" w14:textId="5E781A6C" w:rsidR="00803371" w:rsidRPr="00092C56" w:rsidRDefault="00B23EE9" w:rsidP="00656E4B">
      <w:pPr>
        <w:spacing w:before="100" w:beforeAutospacing="1" w:after="100" w:afterAutospacing="1"/>
        <w:rPr>
          <w:lang w:val="es-ES"/>
        </w:rPr>
      </w:pPr>
      <w:r>
        <w:t xml:space="preserve">De igual manera, en base a lo anterior </w:t>
      </w:r>
      <w:r w:rsidR="00803371">
        <w:rPr>
          <w:lang w:val="es-ES"/>
        </w:rPr>
        <w:t>se considera que</w:t>
      </w:r>
      <w:r w:rsidR="004F09D6">
        <w:rPr>
          <w:lang w:val="es-ES"/>
        </w:rPr>
        <w:t>,</w:t>
      </w:r>
      <w:r w:rsidR="00803371">
        <w:rPr>
          <w:lang w:val="es-ES"/>
        </w:rPr>
        <w:t xml:space="preserve"> con la impugnación de </w:t>
      </w:r>
      <w:r>
        <w:rPr>
          <w:lang w:val="es-ES"/>
        </w:rPr>
        <w:t>MORENA,</w:t>
      </w:r>
      <w:r w:rsidR="00803371">
        <w:rPr>
          <w:lang w:val="es-ES"/>
        </w:rPr>
        <w:t xml:space="preserve"> </w:t>
      </w:r>
      <w:r>
        <w:rPr>
          <w:lang w:val="es-ES"/>
        </w:rPr>
        <w:t xml:space="preserve">no </w:t>
      </w:r>
      <w:r w:rsidR="00803371">
        <w:rPr>
          <w:lang w:val="es-ES"/>
        </w:rPr>
        <w:t>se agot</w:t>
      </w:r>
      <w:r>
        <w:rPr>
          <w:lang w:val="es-ES"/>
        </w:rPr>
        <w:t xml:space="preserve">ó </w:t>
      </w:r>
      <w:r w:rsidR="00803371">
        <w:rPr>
          <w:lang w:val="es-ES"/>
        </w:rPr>
        <w:t xml:space="preserve">el derecho de acción del </w:t>
      </w:r>
      <w:r w:rsidR="00803371" w:rsidRPr="004F09D6">
        <w:rPr>
          <w:i/>
          <w:iCs/>
          <w:lang w:val="es-ES"/>
        </w:rPr>
        <w:t>PT,</w:t>
      </w:r>
      <w:r w:rsidR="00803371">
        <w:rPr>
          <w:lang w:val="es-ES"/>
        </w:rPr>
        <w:t xml:space="preserve"> pues como ya se mencionó la negativ</w:t>
      </w:r>
      <w:r>
        <w:rPr>
          <w:lang w:val="es-ES"/>
        </w:rPr>
        <w:t>a</w:t>
      </w:r>
      <w:r w:rsidR="00803371">
        <w:rPr>
          <w:lang w:val="es-ES"/>
        </w:rPr>
        <w:t xml:space="preserve"> de registro del </w:t>
      </w:r>
      <w:r w:rsidR="00803371" w:rsidRPr="00B23EE9">
        <w:rPr>
          <w:i/>
          <w:lang w:val="es-ES"/>
        </w:rPr>
        <w:t>Convenio</w:t>
      </w:r>
      <w:r w:rsidR="00803371">
        <w:rPr>
          <w:lang w:val="es-ES"/>
        </w:rPr>
        <w:t xml:space="preserve"> </w:t>
      </w:r>
      <w:r>
        <w:rPr>
          <w:lang w:val="es-ES"/>
        </w:rPr>
        <w:t>causó un perjuicio a cada uno de los partidos que solicitaron el registro de la coalición, por lo que es evidente que en lo individual tienen el derecho de controvertir las resoluciones que consideren contrarias a sus intereses.</w:t>
      </w:r>
    </w:p>
    <w:p w14:paraId="7ECC6016" w14:textId="1F23707F" w:rsidR="00633362" w:rsidRDefault="00110AEC" w:rsidP="00633362">
      <w:pPr>
        <w:spacing w:before="100" w:beforeAutospacing="1" w:after="100" w:afterAutospacing="1"/>
        <w:rPr>
          <w:szCs w:val="24"/>
        </w:rPr>
      </w:pPr>
      <w:r>
        <w:rPr>
          <w:szCs w:val="24"/>
        </w:rPr>
        <w:t>En tal virtud</w:t>
      </w:r>
      <w:r w:rsidR="00B23EE9">
        <w:rPr>
          <w:szCs w:val="24"/>
        </w:rPr>
        <w:t>,</w:t>
      </w:r>
      <w:r>
        <w:rPr>
          <w:szCs w:val="24"/>
        </w:rPr>
        <w:t xml:space="preserve"> se considera que ambos </w:t>
      </w:r>
      <w:r w:rsidR="00633362" w:rsidRPr="00576C2D">
        <w:rPr>
          <w:szCs w:val="24"/>
        </w:rPr>
        <w:t xml:space="preserve">juicios de revisión constitucional electoral satisfacen los requisitos generales y especiales previstos en los </w:t>
      </w:r>
      <w:r w:rsidR="00633362" w:rsidRPr="00576C2D">
        <w:rPr>
          <w:szCs w:val="24"/>
        </w:rPr>
        <w:lastRenderedPageBreak/>
        <w:t>artículos 8, 9, párrafo 1,</w:t>
      </w:r>
      <w:r w:rsidR="00633362" w:rsidRPr="00576C2D">
        <w:rPr>
          <w:bCs/>
          <w:szCs w:val="24"/>
          <w:lang w:val="es-ES_tradnl"/>
        </w:rPr>
        <w:t xml:space="preserve"> </w:t>
      </w:r>
      <w:r w:rsidR="00633362" w:rsidRPr="00576C2D">
        <w:rPr>
          <w:szCs w:val="24"/>
        </w:rPr>
        <w:t xml:space="preserve">86 y 88 de la </w:t>
      </w:r>
      <w:r w:rsidR="00633362" w:rsidRPr="00576C2D">
        <w:rPr>
          <w:i/>
          <w:szCs w:val="24"/>
        </w:rPr>
        <w:t>Ley de Medios</w:t>
      </w:r>
      <w:r w:rsidR="00633362" w:rsidRPr="00576C2D">
        <w:rPr>
          <w:szCs w:val="24"/>
        </w:rPr>
        <w:t xml:space="preserve">, </w:t>
      </w:r>
      <w:r w:rsidR="00633362" w:rsidRPr="006E2FB3">
        <w:rPr>
          <w:szCs w:val="24"/>
        </w:rPr>
        <w:t>en atención a las consideraciones siguientes.</w:t>
      </w:r>
      <w:bookmarkStart w:id="14" w:name="_Toc27649901"/>
    </w:p>
    <w:p w14:paraId="018F3B1C" w14:textId="6CCBABB7" w:rsidR="00633362" w:rsidRPr="006E2FB3" w:rsidRDefault="00633362" w:rsidP="00633362">
      <w:pPr>
        <w:keepNext/>
        <w:keepLines/>
        <w:spacing w:before="40" w:after="0"/>
        <w:outlineLvl w:val="1"/>
        <w:rPr>
          <w:rFonts w:eastAsiaTheme="majorEastAsia" w:cstheme="majorBidi"/>
          <w:b/>
          <w:szCs w:val="26"/>
        </w:rPr>
      </w:pPr>
      <w:bookmarkStart w:id="15" w:name="_Toc17879126"/>
      <w:r w:rsidRPr="006E2FB3">
        <w:rPr>
          <w:rFonts w:eastAsiaTheme="majorEastAsia" w:cstheme="majorBidi"/>
          <w:b/>
          <w:szCs w:val="26"/>
        </w:rPr>
        <w:t>4.</w:t>
      </w:r>
      <w:r w:rsidR="00110AEC">
        <w:rPr>
          <w:rFonts w:eastAsiaTheme="majorEastAsia" w:cstheme="majorBidi"/>
          <w:b/>
          <w:szCs w:val="26"/>
        </w:rPr>
        <w:t>2</w:t>
      </w:r>
      <w:r w:rsidRPr="006E2FB3">
        <w:rPr>
          <w:rFonts w:eastAsiaTheme="majorEastAsia" w:cstheme="majorBidi"/>
          <w:b/>
          <w:szCs w:val="26"/>
        </w:rPr>
        <w:t>. Requisitos generales</w:t>
      </w:r>
      <w:bookmarkEnd w:id="15"/>
      <w:r w:rsidRPr="006E2FB3">
        <w:rPr>
          <w:rFonts w:eastAsiaTheme="majorEastAsia" w:cstheme="majorBidi"/>
          <w:b/>
          <w:szCs w:val="26"/>
        </w:rPr>
        <w:t xml:space="preserve"> juicios de revisión constitucional electoral</w:t>
      </w:r>
    </w:p>
    <w:p w14:paraId="6EDB523F" w14:textId="77777777" w:rsidR="00633362" w:rsidRDefault="00633362" w:rsidP="00633362">
      <w:pPr>
        <w:spacing w:after="0"/>
        <w:rPr>
          <w:b/>
          <w:szCs w:val="24"/>
        </w:rPr>
      </w:pPr>
    </w:p>
    <w:p w14:paraId="6EEF3A1D" w14:textId="22F1F8F9" w:rsidR="00633362" w:rsidRPr="00C24590" w:rsidRDefault="00633362" w:rsidP="00633362">
      <w:pPr>
        <w:spacing w:after="0"/>
        <w:rPr>
          <w:szCs w:val="24"/>
        </w:rPr>
      </w:pPr>
      <w:r>
        <w:rPr>
          <w:b/>
          <w:szCs w:val="24"/>
        </w:rPr>
        <w:t>4.</w:t>
      </w:r>
      <w:r w:rsidR="0020669E">
        <w:rPr>
          <w:b/>
          <w:szCs w:val="24"/>
        </w:rPr>
        <w:t>2</w:t>
      </w:r>
      <w:r>
        <w:rPr>
          <w:b/>
          <w:szCs w:val="24"/>
        </w:rPr>
        <w:t>.1.</w:t>
      </w:r>
      <w:r w:rsidRPr="00C24590">
        <w:rPr>
          <w:b/>
          <w:szCs w:val="24"/>
        </w:rPr>
        <w:t xml:space="preserve"> Forma. </w:t>
      </w:r>
      <w:r w:rsidRPr="00850F11">
        <w:rPr>
          <w:rFonts w:eastAsia="Calibri"/>
          <w:szCs w:val="24"/>
        </w:rPr>
        <w:t>Las demandas se presentaron por escrito ante la autoridad señalada como responsable, se precisa los partidos políticos actores, el nombre y firma de quienes promueven en su representación, la sentencia que se controvierte, se mencionan hechos, agravios y las disposiciones constitucionales presuntamente no atendidas.</w:t>
      </w:r>
    </w:p>
    <w:p w14:paraId="6A95603F" w14:textId="05B06830" w:rsidR="00633362" w:rsidRPr="002E4E81" w:rsidRDefault="00633362" w:rsidP="00633362">
      <w:pPr>
        <w:spacing w:before="240" w:after="240"/>
        <w:rPr>
          <w:rFonts w:eastAsia="Calibri"/>
          <w:szCs w:val="24"/>
        </w:rPr>
      </w:pPr>
      <w:r>
        <w:rPr>
          <w:b/>
          <w:szCs w:val="24"/>
        </w:rPr>
        <w:t>4.</w:t>
      </w:r>
      <w:r w:rsidR="0020669E">
        <w:rPr>
          <w:b/>
          <w:szCs w:val="24"/>
        </w:rPr>
        <w:t>2</w:t>
      </w:r>
      <w:r>
        <w:rPr>
          <w:b/>
          <w:szCs w:val="24"/>
        </w:rPr>
        <w:t>.2.</w:t>
      </w:r>
      <w:r w:rsidRPr="00C24590">
        <w:rPr>
          <w:b/>
          <w:szCs w:val="24"/>
        </w:rPr>
        <w:t xml:space="preserve"> Oportunidad.</w:t>
      </w:r>
      <w:r w:rsidRPr="00C24590">
        <w:rPr>
          <w:szCs w:val="24"/>
        </w:rPr>
        <w:t xml:space="preserve"> El juicio fue promovido oportunamente, en virtud de que la resolución impugnada fue emitida el </w:t>
      </w:r>
      <w:r>
        <w:rPr>
          <w:szCs w:val="24"/>
        </w:rPr>
        <w:t>veintinueve</w:t>
      </w:r>
      <w:r w:rsidRPr="00C24590">
        <w:rPr>
          <w:szCs w:val="24"/>
        </w:rPr>
        <w:t xml:space="preserve"> de </w:t>
      </w:r>
      <w:r>
        <w:rPr>
          <w:szCs w:val="24"/>
        </w:rPr>
        <w:t>enero</w:t>
      </w:r>
      <w:r w:rsidRPr="00C24590">
        <w:rPr>
          <w:szCs w:val="24"/>
        </w:rPr>
        <w:t>, y la</w:t>
      </w:r>
      <w:r>
        <w:rPr>
          <w:szCs w:val="24"/>
        </w:rPr>
        <w:t>s</w:t>
      </w:r>
      <w:r w:rsidRPr="00C24590">
        <w:rPr>
          <w:szCs w:val="24"/>
        </w:rPr>
        <w:t xml:space="preserve"> demanda</w:t>
      </w:r>
      <w:r>
        <w:rPr>
          <w:szCs w:val="24"/>
        </w:rPr>
        <w:t>s</w:t>
      </w:r>
      <w:r w:rsidRPr="00C24590">
        <w:rPr>
          <w:szCs w:val="24"/>
        </w:rPr>
        <w:t xml:space="preserve"> se present</w:t>
      </w:r>
      <w:r>
        <w:rPr>
          <w:szCs w:val="24"/>
        </w:rPr>
        <w:t>aron</w:t>
      </w:r>
      <w:r w:rsidRPr="00C24590">
        <w:rPr>
          <w:szCs w:val="24"/>
        </w:rPr>
        <w:t xml:space="preserve"> el </w:t>
      </w:r>
      <w:r>
        <w:rPr>
          <w:szCs w:val="24"/>
        </w:rPr>
        <w:t>uno y dos de febrero</w:t>
      </w:r>
      <w:r w:rsidRPr="00C24590">
        <w:rPr>
          <w:szCs w:val="24"/>
        </w:rPr>
        <w:t xml:space="preserve">; </w:t>
      </w:r>
      <w:r w:rsidRPr="002E4E81">
        <w:rPr>
          <w:rFonts w:eastAsia="Calibri"/>
          <w:szCs w:val="24"/>
        </w:rPr>
        <w:t>por lo que se advierte que los juicios fueron promovidos dentro del plazo legal de cuatro días.</w:t>
      </w:r>
    </w:p>
    <w:p w14:paraId="7F9A3882" w14:textId="13FE88BD" w:rsidR="00633362" w:rsidRPr="00C24590" w:rsidRDefault="00633362" w:rsidP="00633362">
      <w:pPr>
        <w:spacing w:after="0"/>
        <w:rPr>
          <w:szCs w:val="24"/>
        </w:rPr>
      </w:pPr>
      <w:r>
        <w:rPr>
          <w:b/>
          <w:szCs w:val="24"/>
        </w:rPr>
        <w:t>4.</w:t>
      </w:r>
      <w:r w:rsidR="0020669E">
        <w:rPr>
          <w:b/>
          <w:szCs w:val="24"/>
        </w:rPr>
        <w:t>2</w:t>
      </w:r>
      <w:r>
        <w:rPr>
          <w:b/>
          <w:szCs w:val="24"/>
        </w:rPr>
        <w:t>.3.</w:t>
      </w:r>
      <w:r w:rsidRPr="00C24590">
        <w:rPr>
          <w:b/>
          <w:szCs w:val="24"/>
        </w:rPr>
        <w:t xml:space="preserve"> Legitimación. </w:t>
      </w:r>
      <w:r w:rsidRPr="006E2FB3">
        <w:rPr>
          <w:bCs/>
          <w:szCs w:val="24"/>
        </w:rPr>
        <w:t>Los</w:t>
      </w:r>
      <w:r w:rsidRPr="006E2FB3">
        <w:rPr>
          <w:szCs w:val="24"/>
        </w:rPr>
        <w:t xml:space="preserve"> actores están legitimados por tratarse de partidos políticos nacionales con acreditación en el estado</w:t>
      </w:r>
      <w:r>
        <w:rPr>
          <w:szCs w:val="24"/>
        </w:rPr>
        <w:t xml:space="preserve"> de Guanajuato</w:t>
      </w:r>
      <w:r w:rsidRPr="00C24590">
        <w:rPr>
          <w:szCs w:val="24"/>
        </w:rPr>
        <w:t xml:space="preserve">. </w:t>
      </w:r>
    </w:p>
    <w:p w14:paraId="5A76DB72" w14:textId="77777777" w:rsidR="00633362" w:rsidRPr="00C24590" w:rsidRDefault="00633362" w:rsidP="00633362">
      <w:pPr>
        <w:spacing w:after="0"/>
        <w:rPr>
          <w:b/>
          <w:szCs w:val="24"/>
        </w:rPr>
      </w:pPr>
    </w:p>
    <w:p w14:paraId="1CCD86F2" w14:textId="28EF5A6B" w:rsidR="00633362" w:rsidRPr="00C24590" w:rsidRDefault="00633362" w:rsidP="00633362">
      <w:pPr>
        <w:spacing w:after="0"/>
        <w:rPr>
          <w:szCs w:val="24"/>
        </w:rPr>
      </w:pPr>
      <w:r>
        <w:rPr>
          <w:b/>
          <w:szCs w:val="24"/>
        </w:rPr>
        <w:t>4.</w:t>
      </w:r>
      <w:r w:rsidR="0020669E">
        <w:rPr>
          <w:b/>
          <w:szCs w:val="24"/>
        </w:rPr>
        <w:t>2</w:t>
      </w:r>
      <w:r>
        <w:rPr>
          <w:b/>
          <w:szCs w:val="24"/>
        </w:rPr>
        <w:t>.4.</w:t>
      </w:r>
      <w:r w:rsidRPr="00C24590">
        <w:rPr>
          <w:b/>
          <w:szCs w:val="24"/>
        </w:rPr>
        <w:t xml:space="preserve"> Personería.</w:t>
      </w:r>
      <w:r w:rsidRPr="00C24590">
        <w:rPr>
          <w:szCs w:val="24"/>
        </w:rPr>
        <w:t xml:space="preserve"> </w:t>
      </w:r>
      <w:r w:rsidRPr="007A7750">
        <w:rPr>
          <w:rFonts w:eastAsia="Calibri"/>
          <w:szCs w:val="24"/>
        </w:rPr>
        <w:t>Quienes acuden en representación de los accionantes cuentan con la personería suficiente para promover los medios de impugnación, pues son las mismas personas que suscribieron los medios de defensa locales.</w:t>
      </w:r>
    </w:p>
    <w:p w14:paraId="13BEC649" w14:textId="77777777" w:rsidR="00633362" w:rsidRPr="00C24590" w:rsidRDefault="00633362" w:rsidP="00633362">
      <w:pPr>
        <w:spacing w:after="0"/>
        <w:rPr>
          <w:szCs w:val="24"/>
        </w:rPr>
      </w:pPr>
    </w:p>
    <w:p w14:paraId="18C9A63B" w14:textId="3A7E3F3A" w:rsidR="00633362" w:rsidRPr="00C24590" w:rsidRDefault="00633362" w:rsidP="00633362">
      <w:pPr>
        <w:spacing w:after="0"/>
        <w:rPr>
          <w:szCs w:val="24"/>
        </w:rPr>
      </w:pPr>
      <w:r>
        <w:rPr>
          <w:b/>
          <w:szCs w:val="24"/>
        </w:rPr>
        <w:t>4.</w:t>
      </w:r>
      <w:r w:rsidR="0020669E">
        <w:rPr>
          <w:b/>
          <w:szCs w:val="24"/>
        </w:rPr>
        <w:t>2</w:t>
      </w:r>
      <w:r>
        <w:rPr>
          <w:b/>
          <w:szCs w:val="24"/>
        </w:rPr>
        <w:t>.5.</w:t>
      </w:r>
      <w:r w:rsidRPr="00C24590">
        <w:rPr>
          <w:b/>
          <w:szCs w:val="24"/>
        </w:rPr>
        <w:t xml:space="preserve"> Interés jurídico.</w:t>
      </w:r>
      <w:r w:rsidRPr="00C24590">
        <w:rPr>
          <w:szCs w:val="24"/>
        </w:rPr>
        <w:t xml:space="preserve"> </w:t>
      </w:r>
      <w:r w:rsidRPr="007A7750">
        <w:rPr>
          <w:rFonts w:eastAsia="Calibri"/>
          <w:szCs w:val="24"/>
        </w:rPr>
        <w:t>Se cumple este requisito porque ambos promoventes controvierten una sentencia que resolvió, de manera adversa a lo que pretendían, los juicios locales que intentaron.</w:t>
      </w:r>
    </w:p>
    <w:p w14:paraId="0AFAD265" w14:textId="77777777" w:rsidR="00633362" w:rsidRPr="00C24590" w:rsidRDefault="00633362" w:rsidP="00633362">
      <w:pPr>
        <w:spacing w:after="0"/>
        <w:rPr>
          <w:color w:val="000000"/>
          <w:szCs w:val="24"/>
        </w:rPr>
      </w:pPr>
    </w:p>
    <w:p w14:paraId="53661F91" w14:textId="242BCD3B" w:rsidR="00633362" w:rsidRDefault="00633362" w:rsidP="00633362">
      <w:pPr>
        <w:spacing w:after="0"/>
        <w:rPr>
          <w:szCs w:val="24"/>
        </w:rPr>
      </w:pPr>
      <w:r>
        <w:rPr>
          <w:b/>
          <w:szCs w:val="24"/>
        </w:rPr>
        <w:t>4.</w:t>
      </w:r>
      <w:r w:rsidR="0020669E">
        <w:rPr>
          <w:b/>
          <w:szCs w:val="24"/>
        </w:rPr>
        <w:t>2</w:t>
      </w:r>
      <w:r>
        <w:rPr>
          <w:b/>
          <w:szCs w:val="24"/>
        </w:rPr>
        <w:t>.6.</w:t>
      </w:r>
      <w:r w:rsidRPr="00C24590">
        <w:rPr>
          <w:b/>
          <w:szCs w:val="24"/>
        </w:rPr>
        <w:t xml:space="preserve"> Definitividad y firmeza.</w:t>
      </w:r>
      <w:r w:rsidRPr="00C24590">
        <w:rPr>
          <w:szCs w:val="24"/>
        </w:rPr>
        <w:t xml:space="preserve"> En la legislación electoral </w:t>
      </w:r>
      <w:r>
        <w:rPr>
          <w:szCs w:val="24"/>
        </w:rPr>
        <w:t>del estado de Guanajuato</w:t>
      </w:r>
      <w:r w:rsidRPr="00C24590">
        <w:rPr>
          <w:szCs w:val="24"/>
        </w:rPr>
        <w:t xml:space="preserve"> </w:t>
      </w:r>
      <w:r w:rsidRPr="007A7750">
        <w:rPr>
          <w:rFonts w:eastAsia="Calibri"/>
          <w:szCs w:val="24"/>
        </w:rPr>
        <w:t xml:space="preserve">no </w:t>
      </w:r>
      <w:r w:rsidR="00BB5BD3" w:rsidRPr="006C5F90">
        <w:rPr>
          <w:rFonts w:eastAsia="Calibri"/>
          <w:szCs w:val="24"/>
        </w:rPr>
        <w:t>se</w:t>
      </w:r>
      <w:r w:rsidR="00BB5BD3">
        <w:rPr>
          <w:rFonts w:eastAsia="Calibri"/>
          <w:szCs w:val="24"/>
        </w:rPr>
        <w:t xml:space="preserve"> </w:t>
      </w:r>
      <w:r w:rsidRPr="007A7750">
        <w:rPr>
          <w:rFonts w:eastAsia="Calibri"/>
          <w:szCs w:val="24"/>
        </w:rPr>
        <w:t>contempla juicio o recurso alguno que deba agotarse previo a la promoción del presente medio de impugnación.</w:t>
      </w:r>
    </w:p>
    <w:p w14:paraId="0FD5E455" w14:textId="206CF668" w:rsidR="00633362" w:rsidRPr="00850F11" w:rsidRDefault="00633362" w:rsidP="00633362">
      <w:pPr>
        <w:keepNext/>
        <w:keepLines/>
        <w:spacing w:before="100" w:beforeAutospacing="1" w:after="100" w:afterAutospacing="1"/>
        <w:outlineLvl w:val="1"/>
        <w:rPr>
          <w:rFonts w:eastAsiaTheme="majorEastAsia" w:cstheme="majorBidi"/>
          <w:b/>
          <w:szCs w:val="26"/>
        </w:rPr>
      </w:pPr>
      <w:bookmarkStart w:id="16" w:name="_Toc17879127"/>
      <w:r w:rsidRPr="006E2FB3">
        <w:rPr>
          <w:rFonts w:eastAsiaTheme="majorEastAsia" w:cstheme="majorBidi"/>
          <w:b/>
          <w:szCs w:val="26"/>
        </w:rPr>
        <w:t>4.</w:t>
      </w:r>
      <w:r w:rsidR="0020669E">
        <w:rPr>
          <w:rFonts w:eastAsiaTheme="majorEastAsia" w:cstheme="majorBidi"/>
          <w:b/>
          <w:szCs w:val="26"/>
        </w:rPr>
        <w:t>3</w:t>
      </w:r>
      <w:r w:rsidRPr="006E2FB3">
        <w:rPr>
          <w:rFonts w:eastAsiaTheme="majorEastAsia" w:cstheme="majorBidi"/>
          <w:b/>
          <w:szCs w:val="26"/>
        </w:rPr>
        <w:t>. Requisitos especiales de los juicios de revisión constitucional electoral</w:t>
      </w:r>
      <w:bookmarkEnd w:id="16"/>
    </w:p>
    <w:p w14:paraId="1BA53E83" w14:textId="1A162CDD" w:rsidR="00633362" w:rsidRDefault="00633362" w:rsidP="00633362">
      <w:pPr>
        <w:spacing w:after="0"/>
        <w:rPr>
          <w:szCs w:val="24"/>
        </w:rPr>
      </w:pPr>
      <w:r>
        <w:rPr>
          <w:b/>
          <w:szCs w:val="24"/>
        </w:rPr>
        <w:t>4.</w:t>
      </w:r>
      <w:r w:rsidR="0020669E">
        <w:rPr>
          <w:b/>
          <w:szCs w:val="24"/>
        </w:rPr>
        <w:t>3</w:t>
      </w:r>
      <w:r>
        <w:rPr>
          <w:b/>
          <w:szCs w:val="24"/>
        </w:rPr>
        <w:t xml:space="preserve">.1. </w:t>
      </w:r>
      <w:r w:rsidRPr="00C24590">
        <w:rPr>
          <w:b/>
          <w:szCs w:val="24"/>
        </w:rPr>
        <w:t>Violación a preceptos constitucionales.</w:t>
      </w:r>
      <w:r w:rsidRPr="00C24590">
        <w:rPr>
          <w:szCs w:val="24"/>
        </w:rPr>
        <w:t xml:space="preserve"> </w:t>
      </w:r>
      <w:r w:rsidRPr="006E2FB3">
        <w:rPr>
          <w:szCs w:val="24"/>
          <w:lang w:val="es-ES"/>
        </w:rPr>
        <w:t>Se cumple con este presupuesto, pues tanto MORENA</w:t>
      </w:r>
      <w:r>
        <w:rPr>
          <w:szCs w:val="24"/>
          <w:lang w:val="es-ES"/>
        </w:rPr>
        <w:t xml:space="preserve"> como el </w:t>
      </w:r>
      <w:r w:rsidRPr="007A7750">
        <w:rPr>
          <w:i/>
          <w:szCs w:val="24"/>
          <w:lang w:val="es-ES"/>
        </w:rPr>
        <w:t>PT</w:t>
      </w:r>
      <w:r w:rsidRPr="006E2FB3">
        <w:rPr>
          <w:szCs w:val="24"/>
          <w:lang w:val="es-ES"/>
        </w:rPr>
        <w:t xml:space="preserve"> señalan los preceptos constitucionales que, desde su perspectiva, el tribunal responsable vulneró.</w:t>
      </w:r>
    </w:p>
    <w:p w14:paraId="2D5BF2D2" w14:textId="77777777" w:rsidR="00633362" w:rsidRPr="00850F11" w:rsidRDefault="00633362" w:rsidP="00633362">
      <w:pPr>
        <w:spacing w:after="0"/>
        <w:rPr>
          <w:szCs w:val="24"/>
        </w:rPr>
      </w:pPr>
    </w:p>
    <w:p w14:paraId="3B7F23DA" w14:textId="67DBCF1D" w:rsidR="00633362" w:rsidRDefault="00633362" w:rsidP="00633362">
      <w:pPr>
        <w:tabs>
          <w:tab w:val="left" w:pos="0"/>
        </w:tabs>
        <w:spacing w:after="0"/>
        <w:rPr>
          <w:rFonts w:eastAsia="Times New Roman"/>
          <w:szCs w:val="24"/>
          <w:lang w:val="es-ES_tradnl" w:eastAsia="es-ES"/>
        </w:rPr>
      </w:pPr>
      <w:r>
        <w:rPr>
          <w:b/>
          <w:szCs w:val="24"/>
        </w:rPr>
        <w:t>4.</w:t>
      </w:r>
      <w:r w:rsidR="0020669E">
        <w:rPr>
          <w:b/>
          <w:szCs w:val="24"/>
        </w:rPr>
        <w:t>3</w:t>
      </w:r>
      <w:r>
        <w:rPr>
          <w:b/>
          <w:szCs w:val="24"/>
        </w:rPr>
        <w:t xml:space="preserve">.2. </w:t>
      </w:r>
      <w:r w:rsidRPr="00C24590">
        <w:rPr>
          <w:b/>
          <w:szCs w:val="24"/>
        </w:rPr>
        <w:t>Violación determinante.</w:t>
      </w:r>
      <w:r w:rsidRPr="00C24590">
        <w:rPr>
          <w:szCs w:val="24"/>
        </w:rPr>
        <w:t xml:space="preserve"> </w:t>
      </w:r>
      <w:r w:rsidRPr="00C24590">
        <w:rPr>
          <w:rFonts w:eastAsia="Times New Roman"/>
          <w:szCs w:val="24"/>
          <w:lang w:val="es-ES_tradnl" w:eastAsia="es-ES"/>
        </w:rPr>
        <w:t>Se surte tal requisito</w:t>
      </w:r>
      <w:r>
        <w:rPr>
          <w:rFonts w:eastAsia="Times New Roman"/>
          <w:szCs w:val="24"/>
          <w:lang w:val="es-ES_tradnl" w:eastAsia="es-ES"/>
        </w:rPr>
        <w:t>,</w:t>
      </w:r>
      <w:r w:rsidRPr="00C24590">
        <w:rPr>
          <w:rFonts w:eastAsia="Times New Roman"/>
          <w:szCs w:val="24"/>
          <w:lang w:val="es-ES_tradnl" w:eastAsia="es-ES"/>
        </w:rPr>
        <w:t xml:space="preserve"> porque de resultar fundados los agravios se podría revocar o modificar la resolución impugnada,</w:t>
      </w:r>
      <w:r>
        <w:rPr>
          <w:rFonts w:eastAsia="Times New Roman"/>
          <w:szCs w:val="24"/>
          <w:lang w:val="es-ES_tradnl" w:eastAsia="es-ES"/>
        </w:rPr>
        <w:t xml:space="preserve"> y</w:t>
      </w:r>
      <w:r w:rsidRPr="00C24590">
        <w:rPr>
          <w:rFonts w:eastAsia="Times New Roman"/>
          <w:szCs w:val="24"/>
          <w:lang w:val="es-ES_tradnl" w:eastAsia="es-ES"/>
        </w:rPr>
        <w:t xml:space="preserve"> </w:t>
      </w:r>
      <w:r w:rsidR="00110AEC">
        <w:rPr>
          <w:rFonts w:eastAsia="Times New Roman"/>
          <w:szCs w:val="24"/>
          <w:lang w:val="es-ES_tradnl" w:eastAsia="es-ES"/>
        </w:rPr>
        <w:t xml:space="preserve">en consecuencia </w:t>
      </w:r>
      <w:r w:rsidRPr="00A06AD2">
        <w:rPr>
          <w:rFonts w:eastAsia="Times New Roman"/>
          <w:bCs/>
          <w:kern w:val="32"/>
          <w:szCs w:val="24"/>
          <w:lang w:val="es-ES_tradnl"/>
        </w:rPr>
        <w:t xml:space="preserve">se deje sin efectos el </w:t>
      </w:r>
      <w:r w:rsidR="00E84675" w:rsidRPr="00E84675">
        <w:rPr>
          <w:rFonts w:eastAsia="Times New Roman"/>
          <w:bCs/>
          <w:i/>
          <w:iCs/>
          <w:kern w:val="32"/>
          <w:szCs w:val="24"/>
          <w:lang w:val="es-ES_tradnl"/>
        </w:rPr>
        <w:t>A</w:t>
      </w:r>
      <w:r w:rsidRPr="00E84675">
        <w:rPr>
          <w:rFonts w:eastAsia="Times New Roman"/>
          <w:bCs/>
          <w:i/>
          <w:iCs/>
          <w:kern w:val="32"/>
          <w:szCs w:val="24"/>
          <w:lang w:val="es-ES_tradnl"/>
        </w:rPr>
        <w:t>cuerdo</w:t>
      </w:r>
      <w:r w:rsidRPr="00A06AD2">
        <w:rPr>
          <w:rFonts w:eastAsia="Times New Roman"/>
          <w:bCs/>
          <w:kern w:val="32"/>
          <w:szCs w:val="24"/>
          <w:lang w:val="es-ES_tradnl"/>
        </w:rPr>
        <w:t xml:space="preserve"> primigeniamente impugnado, </w:t>
      </w:r>
      <w:r w:rsidR="00110AEC">
        <w:rPr>
          <w:rFonts w:eastAsia="Times New Roman"/>
          <w:bCs/>
          <w:kern w:val="32"/>
          <w:szCs w:val="24"/>
          <w:lang w:val="es-ES_tradnl"/>
        </w:rPr>
        <w:lastRenderedPageBreak/>
        <w:t xml:space="preserve">para que, </w:t>
      </w:r>
      <w:r w:rsidRPr="00A06AD2">
        <w:rPr>
          <w:rFonts w:eastAsia="Times New Roman"/>
          <w:bCs/>
          <w:kern w:val="32"/>
          <w:szCs w:val="24"/>
          <w:lang w:val="es-ES_tradnl"/>
        </w:rPr>
        <w:t>con base en ello</w:t>
      </w:r>
      <w:r w:rsidR="00110AEC">
        <w:rPr>
          <w:rFonts w:eastAsia="Times New Roman"/>
          <w:bCs/>
          <w:kern w:val="32"/>
          <w:szCs w:val="24"/>
          <w:lang w:val="es-ES_tradnl"/>
        </w:rPr>
        <w:t>,</w:t>
      </w:r>
      <w:r w:rsidRPr="00C24590">
        <w:rPr>
          <w:rFonts w:eastAsia="Times New Roman"/>
          <w:szCs w:val="24"/>
          <w:lang w:val="es-ES_tradnl" w:eastAsia="es-ES"/>
        </w:rPr>
        <w:t xml:space="preserve"> </w:t>
      </w:r>
      <w:r w:rsidR="00110AEC">
        <w:rPr>
          <w:rFonts w:eastAsia="Times New Roman"/>
          <w:szCs w:val="24"/>
          <w:lang w:val="es-ES_tradnl" w:eastAsia="es-ES"/>
        </w:rPr>
        <w:t>pueda otorgárseles el</w:t>
      </w:r>
      <w:r w:rsidRPr="00930D77">
        <w:rPr>
          <w:rFonts w:eastAsia="Times New Roman"/>
          <w:szCs w:val="24"/>
          <w:lang w:val="es-ES_tradnl" w:eastAsia="es-ES"/>
        </w:rPr>
        <w:t xml:space="preserve"> registro del convenio de coalición parcial </w:t>
      </w:r>
      <w:r w:rsidR="00110AEC">
        <w:rPr>
          <w:rFonts w:eastAsia="Times New Roman"/>
          <w:szCs w:val="24"/>
          <w:lang w:val="es-ES_tradnl" w:eastAsia="es-ES"/>
        </w:rPr>
        <w:t>a fin de</w:t>
      </w:r>
      <w:r w:rsidRPr="00930D77">
        <w:rPr>
          <w:rFonts w:eastAsia="Times New Roman"/>
          <w:szCs w:val="24"/>
          <w:lang w:val="es-ES_tradnl" w:eastAsia="es-ES"/>
        </w:rPr>
        <w:t xml:space="preserve"> </w:t>
      </w:r>
      <w:r w:rsidR="00110AEC">
        <w:rPr>
          <w:rFonts w:eastAsia="Times New Roman"/>
          <w:szCs w:val="24"/>
          <w:lang w:val="es-ES_tradnl" w:eastAsia="es-ES"/>
        </w:rPr>
        <w:t xml:space="preserve">estar en condiciones de </w:t>
      </w:r>
      <w:r w:rsidRPr="00930D77">
        <w:rPr>
          <w:rFonts w:eastAsia="Times New Roman"/>
          <w:szCs w:val="24"/>
          <w:lang w:val="es-ES_tradnl" w:eastAsia="es-ES"/>
        </w:rPr>
        <w:t xml:space="preserve">postular </w:t>
      </w:r>
      <w:r w:rsidR="00110AEC">
        <w:rPr>
          <w:rFonts w:eastAsia="Times New Roman"/>
          <w:szCs w:val="24"/>
          <w:lang w:val="es-ES_tradnl" w:eastAsia="es-ES"/>
        </w:rPr>
        <w:t xml:space="preserve">de manera conjunta </w:t>
      </w:r>
      <w:r w:rsidRPr="00930D77">
        <w:rPr>
          <w:rFonts w:eastAsia="Times New Roman"/>
          <w:szCs w:val="24"/>
          <w:lang w:val="es-ES_tradnl" w:eastAsia="es-ES"/>
        </w:rPr>
        <w:t>candidaturas a diputaciones locales al Congreso del estado y para integrar ayuntamientos en el proceso electoral local ordinario 2020-2021</w:t>
      </w:r>
      <w:r w:rsidRPr="00C24590">
        <w:rPr>
          <w:rFonts w:eastAsia="Times New Roman"/>
          <w:szCs w:val="24"/>
          <w:lang w:val="es-ES_tradnl" w:eastAsia="es-ES"/>
        </w:rPr>
        <w:t>.</w:t>
      </w:r>
    </w:p>
    <w:p w14:paraId="178F3991" w14:textId="77777777" w:rsidR="00633362" w:rsidRDefault="00633362" w:rsidP="00633362">
      <w:pPr>
        <w:tabs>
          <w:tab w:val="left" w:pos="0"/>
        </w:tabs>
        <w:spacing w:after="0"/>
        <w:rPr>
          <w:rFonts w:eastAsia="Times New Roman"/>
          <w:szCs w:val="24"/>
          <w:lang w:val="es-ES_tradnl" w:eastAsia="es-ES"/>
        </w:rPr>
      </w:pPr>
    </w:p>
    <w:p w14:paraId="171F38CE" w14:textId="76A57794" w:rsidR="00803371" w:rsidRDefault="00633362" w:rsidP="00803371">
      <w:pPr>
        <w:spacing w:after="0"/>
        <w:rPr>
          <w:color w:val="000000" w:themeColor="text1"/>
          <w:szCs w:val="24"/>
          <w:lang w:val="es-ES_tradnl" w:eastAsia="es-ES"/>
        </w:rPr>
      </w:pPr>
      <w:r w:rsidRPr="00112915">
        <w:rPr>
          <w:b/>
          <w:color w:val="000000" w:themeColor="text1"/>
          <w:szCs w:val="24"/>
        </w:rPr>
        <w:t>4.</w:t>
      </w:r>
      <w:r w:rsidR="0020669E">
        <w:rPr>
          <w:b/>
          <w:color w:val="000000" w:themeColor="text1"/>
          <w:szCs w:val="24"/>
        </w:rPr>
        <w:t>3</w:t>
      </w:r>
      <w:r w:rsidRPr="00112915">
        <w:rPr>
          <w:b/>
          <w:color w:val="000000" w:themeColor="text1"/>
          <w:szCs w:val="24"/>
        </w:rPr>
        <w:t xml:space="preserve">.3. </w:t>
      </w:r>
      <w:r w:rsidRPr="00112915">
        <w:rPr>
          <w:b/>
          <w:bCs/>
          <w:color w:val="000000" w:themeColor="text1"/>
          <w:szCs w:val="24"/>
        </w:rPr>
        <w:t>Posibilidad jurídica y material de la reparación aducida.</w:t>
      </w:r>
      <w:r w:rsidRPr="00112915">
        <w:rPr>
          <w:color w:val="000000" w:themeColor="text1"/>
          <w:szCs w:val="24"/>
        </w:rPr>
        <w:t xml:space="preserve"> La reparación es viable dentro de los plazos electorales,</w:t>
      </w:r>
      <w:r w:rsidR="00112915" w:rsidRPr="00112915">
        <w:rPr>
          <w:color w:val="000000" w:themeColor="text1"/>
          <w:szCs w:val="24"/>
        </w:rPr>
        <w:t xml:space="preserve"> pues la</w:t>
      </w:r>
      <w:r w:rsidR="00112915" w:rsidRPr="00112915">
        <w:rPr>
          <w:color w:val="000000" w:themeColor="text1"/>
          <w:szCs w:val="24"/>
          <w:shd w:val="clear" w:color="auto" w:fill="FFFFFF"/>
        </w:rPr>
        <w:t xml:space="preserve"> determinación combatida está relacionada con la etapa de preparación de la elección relacionada</w:t>
      </w:r>
      <w:r w:rsidR="00803371">
        <w:rPr>
          <w:color w:val="000000" w:themeColor="text1"/>
          <w:szCs w:val="24"/>
          <w:shd w:val="clear" w:color="auto" w:fill="FFFFFF"/>
        </w:rPr>
        <w:t xml:space="preserve"> con el registro de candidaturas </w:t>
      </w:r>
      <w:r w:rsidR="00112915" w:rsidRPr="00112915">
        <w:rPr>
          <w:color w:val="000000" w:themeColor="text1"/>
          <w:szCs w:val="24"/>
          <w:shd w:val="clear" w:color="auto" w:fill="FFFFFF"/>
        </w:rPr>
        <w:t>la </w:t>
      </w:r>
      <w:r w:rsidR="00803371">
        <w:rPr>
          <w:color w:val="000000" w:themeColor="text1"/>
          <w:szCs w:val="24"/>
          <w:shd w:val="clear" w:color="auto" w:fill="FFFFFF"/>
        </w:rPr>
        <w:t xml:space="preserve">cual </w:t>
      </w:r>
      <w:r w:rsidR="00112915" w:rsidRPr="00112915">
        <w:rPr>
          <w:color w:val="000000" w:themeColor="text1"/>
          <w:szCs w:val="24"/>
          <w:shd w:val="clear" w:color="auto" w:fill="FFFFFF"/>
        </w:rPr>
        <w:t>concluye</w:t>
      </w:r>
      <w:r w:rsidR="00803371">
        <w:rPr>
          <w:color w:val="000000" w:themeColor="text1"/>
          <w:szCs w:val="24"/>
          <w:shd w:val="clear" w:color="auto" w:fill="FFFFFF"/>
        </w:rPr>
        <w:t xml:space="preserve"> </w:t>
      </w:r>
      <w:r w:rsidR="00112915" w:rsidRPr="00112915">
        <w:rPr>
          <w:color w:val="000000" w:themeColor="text1"/>
          <w:szCs w:val="24"/>
          <w:shd w:val="clear" w:color="auto" w:fill="FFFFFF"/>
        </w:rPr>
        <w:t xml:space="preserve">hasta la respectiva jornada electoral; de ahí que sea factible, en su caso, la reparación solicitada para efectos de la procedencia de </w:t>
      </w:r>
      <w:r w:rsidR="00803371">
        <w:rPr>
          <w:color w:val="000000" w:themeColor="text1"/>
          <w:szCs w:val="24"/>
          <w:shd w:val="clear" w:color="auto" w:fill="FFFFFF"/>
        </w:rPr>
        <w:t>los presentes medios</w:t>
      </w:r>
      <w:r w:rsidR="00112915" w:rsidRPr="00112915">
        <w:rPr>
          <w:color w:val="000000" w:themeColor="text1"/>
          <w:szCs w:val="24"/>
          <w:shd w:val="clear" w:color="auto" w:fill="FFFFFF"/>
        </w:rPr>
        <w:t xml:space="preserve"> de impugnación</w:t>
      </w:r>
      <w:r w:rsidRPr="00112915">
        <w:rPr>
          <w:color w:val="000000" w:themeColor="text1"/>
          <w:szCs w:val="24"/>
          <w:lang w:val="es-ES_tradnl" w:eastAsia="es-ES"/>
        </w:rPr>
        <w:t xml:space="preserve">. </w:t>
      </w:r>
      <w:bookmarkEnd w:id="14"/>
    </w:p>
    <w:p w14:paraId="633AD3AC" w14:textId="4D58D08F" w:rsidR="00803371" w:rsidRDefault="00943E06" w:rsidP="00803371">
      <w:pPr>
        <w:spacing w:before="100" w:beforeAutospacing="1" w:after="100" w:afterAutospacing="1"/>
        <w:rPr>
          <w:rFonts w:eastAsia="Times New Roman" w:cs="Times New Roman"/>
          <w:b/>
          <w:bCs/>
          <w:szCs w:val="26"/>
          <w:lang w:val="es-ES_tradnl"/>
        </w:rPr>
      </w:pPr>
      <w:r>
        <w:rPr>
          <w:rFonts w:eastAsia="Times New Roman" w:cs="Times New Roman"/>
          <w:b/>
          <w:bCs/>
          <w:caps/>
          <w:kern w:val="32"/>
          <w:szCs w:val="32"/>
        </w:rPr>
        <w:t>5</w:t>
      </w:r>
      <w:r w:rsidR="00945600" w:rsidRPr="00DE053F">
        <w:rPr>
          <w:rFonts w:eastAsia="Times New Roman" w:cs="Times New Roman"/>
          <w:b/>
          <w:bCs/>
          <w:caps/>
          <w:kern w:val="32"/>
          <w:szCs w:val="32"/>
        </w:rPr>
        <w:t xml:space="preserve">. </w:t>
      </w:r>
      <w:r w:rsidR="00945600" w:rsidRPr="00DE053F">
        <w:rPr>
          <w:rFonts w:eastAsia="Times New Roman" w:cs="Times New Roman"/>
          <w:b/>
          <w:bCs/>
          <w:kern w:val="32"/>
          <w:szCs w:val="32"/>
        </w:rPr>
        <w:t>ESTUDIO DE FONDO</w:t>
      </w:r>
    </w:p>
    <w:p w14:paraId="2335FB50" w14:textId="6345DEAE" w:rsidR="00803371" w:rsidRDefault="00943E06" w:rsidP="00803371">
      <w:pPr>
        <w:spacing w:before="100" w:beforeAutospacing="1" w:after="100" w:afterAutospacing="1"/>
        <w:rPr>
          <w:rFonts w:eastAsia="Times New Roman" w:cs="Times New Roman"/>
          <w:bCs/>
          <w:szCs w:val="26"/>
          <w:lang w:val="es-ES_tradnl"/>
        </w:rPr>
      </w:pPr>
      <w:r>
        <w:rPr>
          <w:rFonts w:eastAsia="Times New Roman" w:cs="Times New Roman"/>
          <w:b/>
          <w:bCs/>
          <w:szCs w:val="26"/>
          <w:lang w:val="es-ES_tradnl"/>
        </w:rPr>
        <w:t>5</w:t>
      </w:r>
      <w:r w:rsidR="00945600" w:rsidRPr="00DE053F">
        <w:rPr>
          <w:rFonts w:eastAsia="Times New Roman" w:cs="Times New Roman"/>
          <w:b/>
          <w:bCs/>
          <w:szCs w:val="26"/>
          <w:lang w:val="es-ES_tradnl"/>
        </w:rPr>
        <w:t>.1. Materia de la Controversia</w:t>
      </w:r>
    </w:p>
    <w:p w14:paraId="2E45E6FA" w14:textId="672B5324" w:rsidR="00F36375" w:rsidRDefault="0052045F" w:rsidP="00F36375">
      <w:pPr>
        <w:spacing w:before="100" w:beforeAutospacing="1" w:after="100" w:afterAutospacing="1"/>
        <w:rPr>
          <w:color w:val="000000" w:themeColor="text1"/>
          <w:szCs w:val="24"/>
          <w:lang w:val="es-ES_tradnl"/>
        </w:rPr>
      </w:pPr>
      <w:r w:rsidRPr="0052045F">
        <w:rPr>
          <w:rFonts w:eastAsia="Times New Roman" w:cs="Times New Roman"/>
          <w:bCs/>
          <w:szCs w:val="26"/>
          <w:lang w:val="es-ES_tradnl"/>
        </w:rPr>
        <w:t xml:space="preserve">El </w:t>
      </w:r>
      <w:r>
        <w:rPr>
          <w:rFonts w:eastAsia="Times New Roman" w:cs="Times New Roman"/>
          <w:bCs/>
          <w:szCs w:val="26"/>
          <w:lang w:val="es-ES_tradnl"/>
        </w:rPr>
        <w:t xml:space="preserve">presente asunto tiene </w:t>
      </w:r>
      <w:r w:rsidR="008425C8">
        <w:rPr>
          <w:rFonts w:eastAsia="Times New Roman" w:cs="Times New Roman"/>
          <w:bCs/>
          <w:szCs w:val="26"/>
          <w:lang w:val="es-ES_tradnl"/>
        </w:rPr>
        <w:t xml:space="preserve">su </w:t>
      </w:r>
      <w:r w:rsidR="0012242C">
        <w:rPr>
          <w:rFonts w:eastAsia="Times New Roman" w:cs="Times New Roman"/>
          <w:bCs/>
          <w:szCs w:val="26"/>
          <w:lang w:val="es-ES_tradnl"/>
        </w:rPr>
        <w:t>origen</w:t>
      </w:r>
      <w:r w:rsidR="008425C8">
        <w:rPr>
          <w:rFonts w:eastAsia="Times New Roman" w:cs="Times New Roman"/>
          <w:bCs/>
          <w:szCs w:val="26"/>
          <w:lang w:val="es-ES_tradnl"/>
        </w:rPr>
        <w:t xml:space="preserve"> </w:t>
      </w:r>
      <w:r>
        <w:rPr>
          <w:rFonts w:eastAsia="Times New Roman" w:cs="Times New Roman"/>
          <w:bCs/>
          <w:szCs w:val="26"/>
          <w:lang w:val="es-ES_tradnl"/>
        </w:rPr>
        <w:t xml:space="preserve">en </w:t>
      </w:r>
      <w:r w:rsidRPr="00563A19">
        <w:rPr>
          <w:color w:val="000000" w:themeColor="text1"/>
          <w:szCs w:val="24"/>
          <w:lang w:val="es-ES_tradnl"/>
        </w:rPr>
        <w:t xml:space="preserve">la solicitud </w:t>
      </w:r>
      <w:r w:rsidR="0012242C">
        <w:rPr>
          <w:color w:val="000000" w:themeColor="text1"/>
          <w:szCs w:val="24"/>
          <w:lang w:val="es-ES_tradnl"/>
        </w:rPr>
        <w:t>de registro del</w:t>
      </w:r>
      <w:r w:rsidR="004D3B6A">
        <w:rPr>
          <w:color w:val="000000" w:themeColor="text1"/>
          <w:szCs w:val="24"/>
          <w:lang w:val="es-ES_tradnl"/>
        </w:rPr>
        <w:t xml:space="preserve"> convenio de l</w:t>
      </w:r>
      <w:r w:rsidR="0012242C">
        <w:rPr>
          <w:color w:val="000000" w:themeColor="text1"/>
          <w:szCs w:val="24"/>
          <w:lang w:val="es-ES_tradnl"/>
        </w:rPr>
        <w:t xml:space="preserve">a coalición parcial presentada por conducto de los representantes de los partidos MORENA, </w:t>
      </w:r>
      <w:r w:rsidR="0012242C" w:rsidRPr="00F36375">
        <w:rPr>
          <w:i/>
          <w:color w:val="000000" w:themeColor="text1"/>
          <w:szCs w:val="24"/>
          <w:lang w:val="es-ES_tradnl"/>
        </w:rPr>
        <w:t xml:space="preserve">PT </w:t>
      </w:r>
      <w:r w:rsidR="0012242C">
        <w:rPr>
          <w:color w:val="000000" w:themeColor="text1"/>
          <w:szCs w:val="24"/>
          <w:lang w:val="es-ES_tradnl"/>
        </w:rPr>
        <w:t xml:space="preserve">y </w:t>
      </w:r>
      <w:r w:rsidR="0012242C" w:rsidRPr="00F36375">
        <w:rPr>
          <w:i/>
          <w:color w:val="000000" w:themeColor="text1"/>
          <w:szCs w:val="24"/>
          <w:lang w:val="es-ES_tradnl"/>
        </w:rPr>
        <w:t>PANAL</w:t>
      </w:r>
      <w:r w:rsidR="0012242C">
        <w:rPr>
          <w:color w:val="000000" w:themeColor="text1"/>
          <w:szCs w:val="24"/>
          <w:lang w:val="es-ES_tradnl"/>
        </w:rPr>
        <w:t>.</w:t>
      </w:r>
    </w:p>
    <w:p w14:paraId="292A72D9" w14:textId="1FDAF717" w:rsidR="0012242C" w:rsidRDefault="0012242C" w:rsidP="00F36375">
      <w:pPr>
        <w:spacing w:before="100" w:beforeAutospacing="1" w:after="100" w:afterAutospacing="1"/>
        <w:rPr>
          <w:color w:val="000000" w:themeColor="text1"/>
          <w:szCs w:val="24"/>
          <w:lang w:val="es-ES_tradnl"/>
        </w:rPr>
      </w:pPr>
      <w:r>
        <w:rPr>
          <w:color w:val="000000" w:themeColor="text1"/>
          <w:szCs w:val="24"/>
          <w:lang w:val="es-ES_tradnl"/>
        </w:rPr>
        <w:t xml:space="preserve">El </w:t>
      </w:r>
      <w:r w:rsidRPr="00C179F4">
        <w:rPr>
          <w:i/>
          <w:color w:val="000000" w:themeColor="text1"/>
          <w:szCs w:val="24"/>
          <w:lang w:val="es-ES_tradnl"/>
        </w:rPr>
        <w:t>Instituto Local</w:t>
      </w:r>
      <w:r w:rsidR="008425C8">
        <w:rPr>
          <w:i/>
          <w:color w:val="000000" w:themeColor="text1"/>
          <w:szCs w:val="24"/>
          <w:lang w:val="es-ES_tradnl"/>
        </w:rPr>
        <w:t xml:space="preserve"> </w:t>
      </w:r>
      <w:r>
        <w:rPr>
          <w:color w:val="000000" w:themeColor="text1"/>
          <w:szCs w:val="24"/>
          <w:lang w:val="es-ES_tradnl"/>
        </w:rPr>
        <w:t xml:space="preserve">al advertir diversas omisiones en los documentos presentados, previno a los partidos suscribientes del </w:t>
      </w:r>
      <w:r w:rsidRPr="0012242C">
        <w:rPr>
          <w:i/>
          <w:color w:val="000000" w:themeColor="text1"/>
          <w:szCs w:val="24"/>
          <w:lang w:val="es-ES_tradnl"/>
        </w:rPr>
        <w:t xml:space="preserve">Convenio </w:t>
      </w:r>
      <w:r>
        <w:rPr>
          <w:color w:val="000000" w:themeColor="text1"/>
          <w:szCs w:val="24"/>
          <w:lang w:val="es-ES_tradnl"/>
        </w:rPr>
        <w:t xml:space="preserve">para </w:t>
      </w:r>
      <w:r w:rsidR="002210F6">
        <w:rPr>
          <w:color w:val="000000" w:themeColor="text1"/>
          <w:szCs w:val="24"/>
          <w:lang w:val="es-ES_tradnl"/>
        </w:rPr>
        <w:t>que,</w:t>
      </w:r>
      <w:r>
        <w:rPr>
          <w:color w:val="000000" w:themeColor="text1"/>
          <w:szCs w:val="24"/>
          <w:lang w:val="es-ES_tradnl"/>
        </w:rPr>
        <w:t xml:space="preserve"> en el plazo de 72 horas, aclararan y en su caso exhibieran los documentos correspondientes.</w:t>
      </w:r>
    </w:p>
    <w:p w14:paraId="56F76440" w14:textId="2A8B2B86" w:rsidR="0052045F" w:rsidRPr="0052045F" w:rsidRDefault="0012242C" w:rsidP="00C30FC0">
      <w:pPr>
        <w:keepNext/>
        <w:keepLines/>
        <w:spacing w:before="240" w:beforeAutospacing="1" w:after="240" w:afterAutospacing="1"/>
        <w:outlineLvl w:val="1"/>
        <w:rPr>
          <w:rFonts w:eastAsia="Times New Roman" w:cs="Times New Roman"/>
          <w:bCs/>
          <w:szCs w:val="26"/>
          <w:lang w:val="es-ES_tradnl"/>
        </w:rPr>
      </w:pPr>
      <w:r>
        <w:rPr>
          <w:color w:val="000000" w:themeColor="text1"/>
          <w:szCs w:val="24"/>
          <w:lang w:val="es-ES_tradnl"/>
        </w:rPr>
        <w:t xml:space="preserve">Posteriormente, el pasado uno de enero mediante </w:t>
      </w:r>
      <w:r w:rsidR="00E84675">
        <w:rPr>
          <w:color w:val="000000" w:themeColor="text1"/>
          <w:szCs w:val="24"/>
          <w:lang w:val="es-ES_tradnl"/>
        </w:rPr>
        <w:t xml:space="preserve">el </w:t>
      </w:r>
      <w:r w:rsidR="00E84675" w:rsidRPr="00E84675">
        <w:rPr>
          <w:i/>
          <w:iCs/>
          <w:color w:val="000000" w:themeColor="text1"/>
          <w:szCs w:val="24"/>
          <w:lang w:val="es-ES_tradnl"/>
        </w:rPr>
        <w:t>A</w:t>
      </w:r>
      <w:r w:rsidRPr="00E84675">
        <w:rPr>
          <w:i/>
          <w:iCs/>
          <w:color w:val="000000" w:themeColor="text1"/>
          <w:szCs w:val="24"/>
          <w:lang w:val="es-ES_tradnl"/>
        </w:rPr>
        <w:t>cuerdo</w:t>
      </w:r>
      <w:r>
        <w:rPr>
          <w:color w:val="000000" w:themeColor="text1"/>
          <w:szCs w:val="24"/>
          <w:lang w:val="es-ES_tradnl"/>
        </w:rPr>
        <w:t>,</w:t>
      </w:r>
      <w:r w:rsidR="008425C8">
        <w:rPr>
          <w:color w:val="000000" w:themeColor="text1"/>
          <w:szCs w:val="24"/>
          <w:lang w:val="es-ES_tradnl"/>
        </w:rPr>
        <w:t xml:space="preserve"> </w:t>
      </w:r>
      <w:r>
        <w:rPr>
          <w:color w:val="000000" w:themeColor="text1"/>
          <w:szCs w:val="24"/>
          <w:lang w:val="es-ES_tradnl"/>
        </w:rPr>
        <w:t xml:space="preserve">el </w:t>
      </w:r>
      <w:r w:rsidRPr="004D3B6A">
        <w:rPr>
          <w:color w:val="000000" w:themeColor="text1"/>
          <w:szCs w:val="24"/>
          <w:lang w:val="es-ES_tradnl"/>
        </w:rPr>
        <w:t>Consejo General</w:t>
      </w:r>
      <w:r w:rsidR="004D3B6A">
        <w:rPr>
          <w:color w:val="000000" w:themeColor="text1"/>
          <w:szCs w:val="24"/>
          <w:lang w:val="es-ES_tradnl"/>
        </w:rPr>
        <w:t xml:space="preserve"> del </w:t>
      </w:r>
      <w:r w:rsidR="004D3B6A" w:rsidRPr="004872F6">
        <w:rPr>
          <w:i/>
          <w:iCs/>
          <w:color w:val="000000" w:themeColor="text1"/>
          <w:szCs w:val="24"/>
          <w:lang w:val="es-ES_tradnl"/>
        </w:rPr>
        <w:t>Instituto Local</w:t>
      </w:r>
      <w:r>
        <w:rPr>
          <w:color w:val="000000" w:themeColor="text1"/>
          <w:szCs w:val="24"/>
          <w:lang w:val="es-ES_tradnl"/>
        </w:rPr>
        <w:t xml:space="preserve"> declaró</w:t>
      </w:r>
      <w:r w:rsidR="008425C8">
        <w:rPr>
          <w:color w:val="000000" w:themeColor="text1"/>
          <w:szCs w:val="24"/>
          <w:lang w:val="es-ES_tradnl"/>
        </w:rPr>
        <w:t xml:space="preserve"> improcedente </w:t>
      </w:r>
      <w:r>
        <w:rPr>
          <w:color w:val="000000" w:themeColor="text1"/>
          <w:szCs w:val="24"/>
          <w:lang w:val="es-ES_tradnl"/>
        </w:rPr>
        <w:t>la referida solicitud de registro</w:t>
      </w:r>
      <w:r w:rsidR="008425C8">
        <w:rPr>
          <w:color w:val="000000" w:themeColor="text1"/>
          <w:szCs w:val="24"/>
          <w:lang w:val="es-ES_tradnl"/>
        </w:rPr>
        <w:t>.</w:t>
      </w:r>
      <w:r w:rsidR="0052045F" w:rsidRPr="008425C8">
        <w:rPr>
          <w:i/>
          <w:color w:val="000000" w:themeColor="text1"/>
          <w:szCs w:val="24"/>
          <w:lang w:val="es-ES_tradnl"/>
        </w:rPr>
        <w:t xml:space="preserve"> </w:t>
      </w:r>
    </w:p>
    <w:p w14:paraId="2C6E12F5" w14:textId="12339E2F" w:rsidR="0024115F" w:rsidRDefault="008425C8" w:rsidP="00705C97">
      <w:pPr>
        <w:spacing w:before="100" w:beforeAutospacing="1" w:after="100" w:afterAutospacing="1"/>
        <w:rPr>
          <w:szCs w:val="24"/>
        </w:rPr>
      </w:pPr>
      <w:r>
        <w:rPr>
          <w:szCs w:val="24"/>
        </w:rPr>
        <w:t>Inconformes con lo anterior</w:t>
      </w:r>
      <w:r w:rsidR="0024115F">
        <w:rPr>
          <w:szCs w:val="24"/>
        </w:rPr>
        <w:t>,</w:t>
      </w:r>
      <w:r>
        <w:rPr>
          <w:szCs w:val="24"/>
        </w:rPr>
        <w:t xml:space="preserve"> en la </w:t>
      </w:r>
      <w:r w:rsidRPr="0024115F">
        <w:rPr>
          <w:b/>
          <w:szCs w:val="24"/>
        </w:rPr>
        <w:t>instancia local</w:t>
      </w:r>
      <w:r>
        <w:rPr>
          <w:szCs w:val="24"/>
        </w:rPr>
        <w:t xml:space="preserve"> los partidos agraviados expusieron los siguientes argumentos</w:t>
      </w:r>
      <w:r w:rsidR="0024115F">
        <w:rPr>
          <w:szCs w:val="24"/>
        </w:rPr>
        <w:t>:</w:t>
      </w:r>
      <w:r w:rsidR="00B35C4D">
        <w:rPr>
          <w:szCs w:val="24"/>
        </w:rPr>
        <w:t xml:space="preserve"> </w:t>
      </w:r>
    </w:p>
    <w:p w14:paraId="7D247026" w14:textId="77777777" w:rsidR="0024115F" w:rsidRPr="0024115F" w:rsidRDefault="0024115F" w:rsidP="0024115F">
      <w:pPr>
        <w:spacing w:before="100" w:beforeAutospacing="1" w:after="100" w:afterAutospacing="1"/>
        <w:ind w:left="720"/>
        <w:contextualSpacing/>
        <w:rPr>
          <w:szCs w:val="24"/>
        </w:rPr>
      </w:pPr>
      <w:r w:rsidRPr="0024115F">
        <w:rPr>
          <w:szCs w:val="24"/>
        </w:rPr>
        <w:t xml:space="preserve">MORENA. </w:t>
      </w:r>
    </w:p>
    <w:p w14:paraId="79EF6EE4" w14:textId="5027EE16" w:rsidR="0024115F" w:rsidRPr="0024115F" w:rsidRDefault="0024115F" w:rsidP="0024115F">
      <w:pPr>
        <w:numPr>
          <w:ilvl w:val="0"/>
          <w:numId w:val="17"/>
        </w:numPr>
        <w:spacing w:before="240" w:after="240"/>
        <w:ind w:left="1077" w:hanging="357"/>
        <w:rPr>
          <w:szCs w:val="24"/>
        </w:rPr>
      </w:pPr>
      <w:r w:rsidRPr="006846D6">
        <w:rPr>
          <w:b/>
          <w:szCs w:val="24"/>
        </w:rPr>
        <w:t>Violación a la garantía de audiencia</w:t>
      </w:r>
      <w:r w:rsidRPr="0024115F">
        <w:rPr>
          <w:szCs w:val="24"/>
        </w:rPr>
        <w:t xml:space="preserve">. Se les limita el derecho de ajustar el convenio de coalición, pues el </w:t>
      </w:r>
      <w:r w:rsidRPr="004872F6">
        <w:rPr>
          <w:i/>
          <w:iCs/>
          <w:szCs w:val="24"/>
        </w:rPr>
        <w:t>Instituto Local</w:t>
      </w:r>
      <w:r w:rsidRPr="0024115F">
        <w:rPr>
          <w:szCs w:val="24"/>
        </w:rPr>
        <w:t xml:space="preserve"> </w:t>
      </w:r>
      <w:r w:rsidR="00D01A90" w:rsidRPr="0024115F">
        <w:rPr>
          <w:szCs w:val="24"/>
        </w:rPr>
        <w:t>tran</w:t>
      </w:r>
      <w:r w:rsidR="00D01A90">
        <w:rPr>
          <w:szCs w:val="24"/>
        </w:rPr>
        <w:t>sgredió</w:t>
      </w:r>
      <w:r w:rsidRPr="0024115F">
        <w:rPr>
          <w:szCs w:val="24"/>
        </w:rPr>
        <w:t xml:space="preserve"> dicho principio en perjuicio de los partidos coaligados al no concederles la oportunidad de actuar ante la emisión del</w:t>
      </w:r>
      <w:r w:rsidR="00E84675">
        <w:rPr>
          <w:szCs w:val="24"/>
        </w:rPr>
        <w:t xml:space="preserve"> </w:t>
      </w:r>
      <w:r w:rsidR="00E84675" w:rsidRPr="00E84675">
        <w:rPr>
          <w:i/>
          <w:iCs/>
          <w:szCs w:val="24"/>
        </w:rPr>
        <w:t>A</w:t>
      </w:r>
      <w:r w:rsidRPr="00E84675">
        <w:rPr>
          <w:i/>
          <w:iCs/>
          <w:szCs w:val="24"/>
        </w:rPr>
        <w:t xml:space="preserve">cuerdo </w:t>
      </w:r>
      <w:r w:rsidRPr="0024115F">
        <w:rPr>
          <w:szCs w:val="24"/>
        </w:rPr>
        <w:t>que les impide registrarse como coalición, aunado a que no se observaron las formalidades esenciales del procedimiento, omitiendo fundar</w:t>
      </w:r>
      <w:r w:rsidR="00E84675">
        <w:rPr>
          <w:szCs w:val="24"/>
        </w:rPr>
        <w:t>lo</w:t>
      </w:r>
      <w:r w:rsidRPr="0024115F">
        <w:rPr>
          <w:szCs w:val="24"/>
        </w:rPr>
        <w:t xml:space="preserve"> y motivar</w:t>
      </w:r>
      <w:r w:rsidR="00E84675">
        <w:rPr>
          <w:szCs w:val="24"/>
        </w:rPr>
        <w:t>lo</w:t>
      </w:r>
      <w:r w:rsidRPr="0024115F">
        <w:rPr>
          <w:szCs w:val="24"/>
        </w:rPr>
        <w:t xml:space="preserve">, pues al momento de detectar las inconsistencias debió requerir y una vez desahogado, en caso de </w:t>
      </w:r>
      <w:r w:rsidRPr="0024115F">
        <w:rPr>
          <w:szCs w:val="24"/>
        </w:rPr>
        <w:lastRenderedPageBreak/>
        <w:t>persistir el incumplimiento de requisitos, volver a requerir al tratarse de un acto complejo.</w:t>
      </w:r>
    </w:p>
    <w:p w14:paraId="717E223A" w14:textId="77777777" w:rsidR="0024115F" w:rsidRPr="0024115F" w:rsidRDefault="0024115F" w:rsidP="0024115F">
      <w:pPr>
        <w:numPr>
          <w:ilvl w:val="0"/>
          <w:numId w:val="17"/>
        </w:numPr>
        <w:spacing w:before="240" w:after="240"/>
        <w:ind w:left="1077" w:hanging="357"/>
        <w:rPr>
          <w:szCs w:val="24"/>
        </w:rPr>
      </w:pPr>
      <w:r w:rsidRPr="006846D6">
        <w:rPr>
          <w:b/>
          <w:szCs w:val="24"/>
        </w:rPr>
        <w:t>Derecho de asociación y de dignidad humana</w:t>
      </w:r>
      <w:r w:rsidRPr="0024115F">
        <w:rPr>
          <w:szCs w:val="24"/>
        </w:rPr>
        <w:t>. Al negárseles el registro les están prescindiendo el goce y el ejercicio del derecho y libertad de participar de manera coaligada y pacífica en los asuntos políticos del país.</w:t>
      </w:r>
    </w:p>
    <w:p w14:paraId="0EF3FF96" w14:textId="52898130" w:rsidR="0024115F" w:rsidRPr="0024115F" w:rsidRDefault="0024115F" w:rsidP="0024115F">
      <w:pPr>
        <w:numPr>
          <w:ilvl w:val="0"/>
          <w:numId w:val="17"/>
        </w:numPr>
        <w:spacing w:before="240" w:after="240"/>
        <w:ind w:left="1077" w:hanging="357"/>
        <w:rPr>
          <w:szCs w:val="24"/>
        </w:rPr>
      </w:pPr>
      <w:r w:rsidRPr="006846D6">
        <w:rPr>
          <w:b/>
          <w:szCs w:val="24"/>
        </w:rPr>
        <w:t>Tutela administrativa efectiva, debido proceso, así como la omisión de dictar una resolución coherente</w:t>
      </w:r>
      <w:r w:rsidRPr="0024115F">
        <w:rPr>
          <w:szCs w:val="24"/>
        </w:rPr>
        <w:t xml:space="preserve">. Que la autoridad no los observó en la emisión del </w:t>
      </w:r>
      <w:r w:rsidR="00E84675" w:rsidRPr="00E84675">
        <w:rPr>
          <w:i/>
          <w:iCs/>
          <w:szCs w:val="24"/>
        </w:rPr>
        <w:t>A</w:t>
      </w:r>
      <w:r w:rsidRPr="00E84675">
        <w:rPr>
          <w:i/>
          <w:iCs/>
          <w:szCs w:val="24"/>
        </w:rPr>
        <w:t>cuerdo</w:t>
      </w:r>
      <w:r w:rsidR="006846D6">
        <w:rPr>
          <w:szCs w:val="24"/>
        </w:rPr>
        <w:t>,</w:t>
      </w:r>
      <w:r w:rsidRPr="0024115F">
        <w:rPr>
          <w:szCs w:val="24"/>
        </w:rPr>
        <w:t xml:space="preserve"> </w:t>
      </w:r>
      <w:r w:rsidR="006846D6">
        <w:rPr>
          <w:szCs w:val="24"/>
        </w:rPr>
        <w:t>ya que, desde su perspectiva,</w:t>
      </w:r>
      <w:r w:rsidR="006846D6" w:rsidRPr="0024115F">
        <w:rPr>
          <w:szCs w:val="24"/>
        </w:rPr>
        <w:t xml:space="preserve"> no</w:t>
      </w:r>
      <w:r w:rsidRPr="0024115F">
        <w:rPr>
          <w:szCs w:val="24"/>
        </w:rPr>
        <w:t xml:space="preserve"> está </w:t>
      </w:r>
      <w:r w:rsidR="006846D6">
        <w:rPr>
          <w:szCs w:val="24"/>
        </w:rPr>
        <w:t xml:space="preserve">debidamente </w:t>
      </w:r>
      <w:r w:rsidRPr="0024115F">
        <w:rPr>
          <w:szCs w:val="24"/>
        </w:rPr>
        <w:t>fundado ni motivado.</w:t>
      </w:r>
    </w:p>
    <w:p w14:paraId="12EFAC9F" w14:textId="7C00FFCA" w:rsidR="00141131" w:rsidRDefault="006846D6" w:rsidP="0024115F">
      <w:pPr>
        <w:numPr>
          <w:ilvl w:val="0"/>
          <w:numId w:val="17"/>
        </w:numPr>
        <w:spacing w:before="240" w:after="240"/>
        <w:ind w:left="1077" w:hanging="357"/>
        <w:rPr>
          <w:szCs w:val="24"/>
        </w:rPr>
      </w:pPr>
      <w:r w:rsidRPr="006846D6">
        <w:rPr>
          <w:b/>
          <w:szCs w:val="24"/>
        </w:rPr>
        <w:t>Fundamentación y motivación.</w:t>
      </w:r>
      <w:r>
        <w:rPr>
          <w:szCs w:val="24"/>
        </w:rPr>
        <w:t xml:space="preserve"> </w:t>
      </w:r>
      <w:r w:rsidR="0024115F" w:rsidRPr="0024115F">
        <w:rPr>
          <w:szCs w:val="24"/>
        </w:rPr>
        <w:t xml:space="preserve">Que el </w:t>
      </w:r>
      <w:r w:rsidR="0024115F" w:rsidRPr="004872F6">
        <w:rPr>
          <w:i/>
          <w:iCs/>
          <w:szCs w:val="24"/>
        </w:rPr>
        <w:t>Instituto Local</w:t>
      </w:r>
      <w:r w:rsidR="0024115F" w:rsidRPr="0024115F">
        <w:rPr>
          <w:szCs w:val="24"/>
        </w:rPr>
        <w:t xml:space="preserve"> debió expresar las razones y motivos pormenorizados que la llevaron a determinar el sentido de su decisión y señalar con precisión los preceptos constitucionales y legales que sustentaron el </w:t>
      </w:r>
      <w:r w:rsidR="00E84675" w:rsidRPr="00E84675">
        <w:rPr>
          <w:i/>
          <w:iCs/>
          <w:szCs w:val="24"/>
        </w:rPr>
        <w:t>A</w:t>
      </w:r>
      <w:r w:rsidR="0024115F" w:rsidRPr="00E84675">
        <w:rPr>
          <w:i/>
          <w:iCs/>
          <w:szCs w:val="24"/>
        </w:rPr>
        <w:t>cuerdo</w:t>
      </w:r>
      <w:r w:rsidR="00141131">
        <w:rPr>
          <w:szCs w:val="24"/>
        </w:rPr>
        <w:t>.</w:t>
      </w:r>
    </w:p>
    <w:p w14:paraId="41A0E25A" w14:textId="04AFD4A3" w:rsidR="0024115F" w:rsidRPr="0024115F" w:rsidRDefault="00141131" w:rsidP="0024115F">
      <w:pPr>
        <w:numPr>
          <w:ilvl w:val="0"/>
          <w:numId w:val="17"/>
        </w:numPr>
        <w:spacing w:before="240" w:after="240"/>
        <w:ind w:left="1077" w:hanging="357"/>
        <w:rPr>
          <w:szCs w:val="24"/>
        </w:rPr>
      </w:pPr>
      <w:r>
        <w:rPr>
          <w:b/>
          <w:szCs w:val="24"/>
        </w:rPr>
        <w:t>Exhaustividad.</w:t>
      </w:r>
      <w:r>
        <w:rPr>
          <w:szCs w:val="24"/>
        </w:rPr>
        <w:t xml:space="preserve"> Q</w:t>
      </w:r>
      <w:r w:rsidR="0024115F" w:rsidRPr="0024115F">
        <w:rPr>
          <w:szCs w:val="24"/>
        </w:rPr>
        <w:t xml:space="preserve">ue </w:t>
      </w:r>
      <w:r w:rsidR="00596E36">
        <w:rPr>
          <w:szCs w:val="24"/>
        </w:rPr>
        <w:t xml:space="preserve">derivado de </w:t>
      </w:r>
      <w:r w:rsidR="000E20D4">
        <w:rPr>
          <w:szCs w:val="24"/>
        </w:rPr>
        <w:t xml:space="preserve">una causal de fuerza mayor existió una dilación ajena a MORENA razón por la que no fue posible presentar el escrito de cumplimiento al requerimiento en el plazo otorgado por </w:t>
      </w:r>
      <w:r w:rsidR="0024115F" w:rsidRPr="0024115F">
        <w:rPr>
          <w:szCs w:val="24"/>
        </w:rPr>
        <w:t xml:space="preserve">el </w:t>
      </w:r>
      <w:r w:rsidR="0024115F" w:rsidRPr="000E20D4">
        <w:rPr>
          <w:i/>
          <w:szCs w:val="24"/>
        </w:rPr>
        <w:t>Instituto Local</w:t>
      </w:r>
      <w:r w:rsidR="000E20D4">
        <w:rPr>
          <w:szCs w:val="24"/>
        </w:rPr>
        <w:t>,</w:t>
      </w:r>
      <w:r w:rsidR="000E20D4">
        <w:rPr>
          <w:rStyle w:val="Refdenotaalpie"/>
          <w:szCs w:val="24"/>
        </w:rPr>
        <w:footnoteReference w:id="5"/>
      </w:r>
      <w:r w:rsidR="0024115F" w:rsidRPr="0024115F">
        <w:rPr>
          <w:szCs w:val="24"/>
        </w:rPr>
        <w:t xml:space="preserve"> </w:t>
      </w:r>
      <w:r w:rsidR="000E20D4">
        <w:rPr>
          <w:szCs w:val="24"/>
        </w:rPr>
        <w:t xml:space="preserve">de esa manera, al considerarlo extemporáneo, </w:t>
      </w:r>
      <w:r w:rsidR="0024115F" w:rsidRPr="0024115F">
        <w:rPr>
          <w:szCs w:val="24"/>
        </w:rPr>
        <w:t>omit</w:t>
      </w:r>
      <w:r w:rsidR="006846D6">
        <w:rPr>
          <w:szCs w:val="24"/>
        </w:rPr>
        <w:t>ió</w:t>
      </w:r>
      <w:r w:rsidR="0024115F" w:rsidRPr="0024115F">
        <w:rPr>
          <w:szCs w:val="24"/>
        </w:rPr>
        <w:t xml:space="preserve"> apreciar los argumentos vertidos en su </w:t>
      </w:r>
      <w:r w:rsidR="000E20D4">
        <w:rPr>
          <w:szCs w:val="24"/>
        </w:rPr>
        <w:t xml:space="preserve">escrito de </w:t>
      </w:r>
      <w:r w:rsidR="0024115F" w:rsidRPr="0024115F">
        <w:rPr>
          <w:szCs w:val="24"/>
        </w:rPr>
        <w:t xml:space="preserve">respuesta al requerimiento, realizando </w:t>
      </w:r>
      <w:r w:rsidR="000E20D4">
        <w:rPr>
          <w:szCs w:val="24"/>
        </w:rPr>
        <w:t xml:space="preserve">con ello </w:t>
      </w:r>
      <w:r w:rsidR="0024115F" w:rsidRPr="0024115F">
        <w:rPr>
          <w:szCs w:val="24"/>
        </w:rPr>
        <w:t>una interpretación restrictiva, no progresiva ni garantista del derecho de asociación</w:t>
      </w:r>
      <w:r w:rsidR="006846D6">
        <w:rPr>
          <w:szCs w:val="24"/>
        </w:rPr>
        <w:t xml:space="preserve">, debiendo privilegiar el principio general del derecho de la conservación de los actos válidamente celebrados y respetando el principio de </w:t>
      </w:r>
      <w:r>
        <w:rPr>
          <w:szCs w:val="24"/>
        </w:rPr>
        <w:t>autoorganización</w:t>
      </w:r>
      <w:r w:rsidR="006846D6">
        <w:rPr>
          <w:szCs w:val="24"/>
        </w:rPr>
        <w:t xml:space="preserve"> </w:t>
      </w:r>
      <w:r>
        <w:rPr>
          <w:szCs w:val="24"/>
        </w:rPr>
        <w:t>de los partidos políticos</w:t>
      </w:r>
      <w:r w:rsidR="0024115F" w:rsidRPr="0024115F">
        <w:rPr>
          <w:szCs w:val="24"/>
        </w:rPr>
        <w:t>.</w:t>
      </w:r>
    </w:p>
    <w:p w14:paraId="54186DC3" w14:textId="77777777" w:rsidR="0024115F" w:rsidRPr="00141131" w:rsidRDefault="0024115F" w:rsidP="0024115F">
      <w:pPr>
        <w:spacing w:before="100" w:beforeAutospacing="1" w:after="100" w:afterAutospacing="1"/>
        <w:rPr>
          <w:b/>
          <w:szCs w:val="24"/>
        </w:rPr>
      </w:pPr>
      <w:r w:rsidRPr="004F09D6">
        <w:rPr>
          <w:b/>
          <w:i/>
          <w:iCs/>
          <w:szCs w:val="24"/>
        </w:rPr>
        <w:t>PT</w:t>
      </w:r>
      <w:r w:rsidRPr="00141131">
        <w:rPr>
          <w:b/>
          <w:szCs w:val="24"/>
        </w:rPr>
        <w:t xml:space="preserve"> y </w:t>
      </w:r>
      <w:r w:rsidRPr="004F09D6">
        <w:rPr>
          <w:b/>
          <w:i/>
          <w:iCs/>
          <w:szCs w:val="24"/>
        </w:rPr>
        <w:t>PANAL</w:t>
      </w:r>
    </w:p>
    <w:p w14:paraId="4837AE3A" w14:textId="77777777" w:rsidR="0024115F" w:rsidRPr="0024115F" w:rsidRDefault="0024115F" w:rsidP="0024115F">
      <w:pPr>
        <w:numPr>
          <w:ilvl w:val="0"/>
          <w:numId w:val="18"/>
        </w:numPr>
        <w:spacing w:before="240" w:after="240"/>
        <w:rPr>
          <w:szCs w:val="24"/>
        </w:rPr>
      </w:pPr>
      <w:r w:rsidRPr="00141131">
        <w:rPr>
          <w:b/>
          <w:szCs w:val="24"/>
        </w:rPr>
        <w:t>Violación al principio de legalidad, debida fundamentación y motivación</w:t>
      </w:r>
      <w:r w:rsidRPr="0024115F">
        <w:rPr>
          <w:szCs w:val="24"/>
        </w:rPr>
        <w:t xml:space="preserve">. Que contrario a lo razonado por el </w:t>
      </w:r>
      <w:r w:rsidRPr="004872F6">
        <w:rPr>
          <w:i/>
          <w:iCs/>
          <w:szCs w:val="24"/>
        </w:rPr>
        <w:t>Instituto Local</w:t>
      </w:r>
      <w:r w:rsidRPr="0024115F">
        <w:rPr>
          <w:szCs w:val="24"/>
        </w:rPr>
        <w:t xml:space="preserve">, </w:t>
      </w:r>
      <w:bookmarkStart w:id="17" w:name="_Hlk64226975"/>
      <w:r w:rsidRPr="0024115F">
        <w:rPr>
          <w:szCs w:val="24"/>
        </w:rPr>
        <w:t>si se adjuntó el requisito consistente en la plataforma electoral y el programa de gobierno</w:t>
      </w:r>
      <w:bookmarkEnd w:id="17"/>
      <w:r w:rsidRPr="0024115F">
        <w:rPr>
          <w:szCs w:val="24"/>
        </w:rPr>
        <w:t>, por lo que no debió negárseles el registro.</w:t>
      </w:r>
    </w:p>
    <w:p w14:paraId="1B23BF7D" w14:textId="59C07DF4" w:rsidR="0024115F" w:rsidRPr="0024115F" w:rsidRDefault="0024115F" w:rsidP="0024115F">
      <w:pPr>
        <w:numPr>
          <w:ilvl w:val="0"/>
          <w:numId w:val="18"/>
        </w:numPr>
        <w:spacing w:before="240" w:after="240"/>
        <w:rPr>
          <w:szCs w:val="24"/>
        </w:rPr>
      </w:pPr>
      <w:r w:rsidRPr="00141131">
        <w:rPr>
          <w:b/>
          <w:szCs w:val="24"/>
        </w:rPr>
        <w:t xml:space="preserve">Violación al principio de legalidad, seguridad jurídica, libertad para convenir, autorregulación de los institutos políticos, así como extralimitación de facultades por parte del </w:t>
      </w:r>
      <w:r w:rsidRPr="004872F6">
        <w:rPr>
          <w:b/>
          <w:i/>
          <w:iCs/>
          <w:szCs w:val="24"/>
        </w:rPr>
        <w:t>Instituto Local</w:t>
      </w:r>
      <w:r w:rsidRPr="0024115F">
        <w:rPr>
          <w:szCs w:val="24"/>
        </w:rPr>
        <w:t xml:space="preserve">. Que indebidamente el </w:t>
      </w:r>
      <w:r w:rsidRPr="004872F6">
        <w:rPr>
          <w:i/>
          <w:iCs/>
          <w:szCs w:val="24"/>
        </w:rPr>
        <w:t>Instituto Local</w:t>
      </w:r>
      <w:r w:rsidRPr="0024115F">
        <w:rPr>
          <w:szCs w:val="24"/>
        </w:rPr>
        <w:t xml:space="preserve"> consideró que los órganos facultados por los estatutos de los partidos no aprobaron la participación en </w:t>
      </w:r>
      <w:r w:rsidRPr="0024115F">
        <w:rPr>
          <w:szCs w:val="24"/>
        </w:rPr>
        <w:lastRenderedPageBreak/>
        <w:t>coalición, ni la plataforma y programa de gobierno, pues desde su perceptiva si fue aprobada por éstos, aunado a que los partidos políticos tienen plena capacidad de decidir, convenir, celebrar y elegir el tipo de convenio, además de la capacidad de modificar su contenido.</w:t>
      </w:r>
    </w:p>
    <w:p w14:paraId="4575DEC6" w14:textId="77777777" w:rsidR="0024115F" w:rsidRPr="0024115F" w:rsidRDefault="0024115F" w:rsidP="0024115F">
      <w:pPr>
        <w:numPr>
          <w:ilvl w:val="0"/>
          <w:numId w:val="18"/>
        </w:numPr>
        <w:spacing w:before="240" w:after="240"/>
        <w:rPr>
          <w:szCs w:val="24"/>
        </w:rPr>
      </w:pPr>
      <w:r w:rsidRPr="00141131">
        <w:rPr>
          <w:b/>
          <w:szCs w:val="24"/>
        </w:rPr>
        <w:t>Violación al principio de exhaustividad</w:t>
      </w:r>
      <w:r w:rsidRPr="0024115F">
        <w:rPr>
          <w:szCs w:val="24"/>
        </w:rPr>
        <w:t>. Que la autoridad negó el registro bajo el argumento de que no precisaron el método de selección de candidaturas, siendo que se subsanó en la contestación al requerimiento.</w:t>
      </w:r>
    </w:p>
    <w:p w14:paraId="55F02CE4" w14:textId="77777777" w:rsidR="0024115F" w:rsidRPr="0024115F" w:rsidRDefault="0024115F" w:rsidP="0024115F">
      <w:pPr>
        <w:numPr>
          <w:ilvl w:val="0"/>
          <w:numId w:val="18"/>
        </w:numPr>
        <w:spacing w:before="240" w:after="240"/>
        <w:rPr>
          <w:szCs w:val="24"/>
        </w:rPr>
      </w:pPr>
      <w:r w:rsidRPr="00141131">
        <w:rPr>
          <w:b/>
          <w:szCs w:val="24"/>
        </w:rPr>
        <w:t>Violación al principio de garantía de audiencia</w:t>
      </w:r>
      <w:r w:rsidRPr="0024115F">
        <w:rPr>
          <w:szCs w:val="24"/>
        </w:rPr>
        <w:t>. Que la autoridad negó el registro en virtud de que no se ajustó al anexo 2, en el que se debía adjuntar la lista de postulaciones de candidaturas a regidurías al ayuntamiento de León, las postulaciones de las sindicaturas a los demás municipios indicando el origen partidista, los bloques de distritos y municipios que corresponden a alta, media y baja votación, indicando las que conciernen a hombres y mujeres.</w:t>
      </w:r>
    </w:p>
    <w:p w14:paraId="79F7144C" w14:textId="77777777" w:rsidR="0024115F" w:rsidRPr="0024115F" w:rsidRDefault="0024115F" w:rsidP="0024115F">
      <w:pPr>
        <w:spacing w:before="240" w:after="240"/>
        <w:ind w:left="720"/>
        <w:rPr>
          <w:szCs w:val="24"/>
        </w:rPr>
      </w:pPr>
      <w:r w:rsidRPr="0024115F">
        <w:rPr>
          <w:szCs w:val="24"/>
        </w:rPr>
        <w:t>Que el Instituto Electoral no realizó una interpretación conforme y que se les debió tener por presentados los escritos de cumplimiento al existir una causa de fuerza mayor, aunado a que se debió agotar el plazo que tenían los institutos políticos para coaligarse (tres de enero de 2021), por lo que se debían realizar más requerimientos hasta que se cumplieran con los requisitos.</w:t>
      </w:r>
    </w:p>
    <w:p w14:paraId="67D7E995" w14:textId="3FB1A7CC" w:rsidR="0024115F" w:rsidRDefault="0024115F" w:rsidP="00705C97">
      <w:pPr>
        <w:spacing w:before="100" w:beforeAutospacing="1" w:after="100" w:afterAutospacing="1"/>
        <w:rPr>
          <w:szCs w:val="24"/>
        </w:rPr>
      </w:pPr>
      <w:r>
        <w:rPr>
          <w:szCs w:val="24"/>
        </w:rPr>
        <w:t>El veintinueve de enero</w:t>
      </w:r>
      <w:r w:rsidR="00141131">
        <w:rPr>
          <w:szCs w:val="24"/>
        </w:rPr>
        <w:t xml:space="preserve"> del año en curso</w:t>
      </w:r>
      <w:r>
        <w:rPr>
          <w:szCs w:val="24"/>
        </w:rPr>
        <w:t xml:space="preserve"> el </w:t>
      </w:r>
      <w:r w:rsidRPr="00141131">
        <w:rPr>
          <w:i/>
          <w:szCs w:val="24"/>
        </w:rPr>
        <w:t>Tribunal Local</w:t>
      </w:r>
      <w:r>
        <w:rPr>
          <w:szCs w:val="24"/>
        </w:rPr>
        <w:t xml:space="preserve"> confirmó el </w:t>
      </w:r>
      <w:r w:rsidR="00E84675" w:rsidRPr="00E84675">
        <w:rPr>
          <w:i/>
          <w:iCs/>
          <w:szCs w:val="24"/>
        </w:rPr>
        <w:t>A</w:t>
      </w:r>
      <w:r w:rsidRPr="00E84675">
        <w:rPr>
          <w:i/>
          <w:iCs/>
          <w:szCs w:val="24"/>
        </w:rPr>
        <w:t>cuerdo</w:t>
      </w:r>
      <w:r>
        <w:rPr>
          <w:szCs w:val="24"/>
        </w:rPr>
        <w:t xml:space="preserve"> controvertido bajo los siguientes argumentos:</w:t>
      </w:r>
    </w:p>
    <w:p w14:paraId="657BF71F" w14:textId="1F751F84" w:rsidR="00C923DB" w:rsidRPr="00C923DB" w:rsidRDefault="00C923DB" w:rsidP="00F65C85">
      <w:pPr>
        <w:numPr>
          <w:ilvl w:val="0"/>
          <w:numId w:val="15"/>
        </w:numPr>
        <w:spacing w:before="100" w:beforeAutospacing="1" w:after="100" w:afterAutospacing="1"/>
        <w:ind w:left="714" w:hanging="357"/>
        <w:contextualSpacing/>
        <w:rPr>
          <w:szCs w:val="24"/>
        </w:rPr>
      </w:pPr>
      <w:r w:rsidRPr="00C923DB">
        <w:rPr>
          <w:szCs w:val="24"/>
        </w:rPr>
        <w:t>Que no existía violación a la garantía de audiencia, al debido proceso, acceso a la justicia y a la tutela judicial efectiva, en virtud de que no era obligación de la responsable formular un número indefinido de requerimientos</w:t>
      </w:r>
      <w:r w:rsidRPr="00C923DB">
        <w:rPr>
          <w:szCs w:val="24"/>
          <w:vertAlign w:val="superscript"/>
        </w:rPr>
        <w:footnoteReference w:id="6"/>
      </w:r>
      <w:r w:rsidRPr="00C923DB">
        <w:rPr>
          <w:szCs w:val="24"/>
        </w:rPr>
        <w:t xml:space="preserve"> </w:t>
      </w:r>
      <w:r w:rsidR="00900F0A" w:rsidRPr="006C5F90">
        <w:rPr>
          <w:szCs w:val="24"/>
        </w:rPr>
        <w:t>a</w:t>
      </w:r>
      <w:r w:rsidRPr="006C5F90">
        <w:rPr>
          <w:szCs w:val="24"/>
        </w:rPr>
        <w:t>nte</w:t>
      </w:r>
      <w:r w:rsidRPr="00C923DB">
        <w:rPr>
          <w:szCs w:val="24"/>
        </w:rPr>
        <w:t xml:space="preserve"> el incumplimiento de requisitos para el registro de una coalición o su presentación fuera del plazo otorgado.</w:t>
      </w:r>
    </w:p>
    <w:p w14:paraId="5FC44663" w14:textId="77777777" w:rsidR="00C923DB" w:rsidRPr="00C923DB" w:rsidRDefault="00C923DB" w:rsidP="00C923DB">
      <w:pPr>
        <w:spacing w:before="240" w:after="240"/>
        <w:ind w:left="720"/>
        <w:contextualSpacing/>
        <w:rPr>
          <w:szCs w:val="24"/>
        </w:rPr>
      </w:pPr>
    </w:p>
    <w:p w14:paraId="07CD33E9" w14:textId="77777777" w:rsidR="00C923DB" w:rsidRPr="00C923DB" w:rsidRDefault="00C923DB" w:rsidP="00C923DB">
      <w:pPr>
        <w:spacing w:before="240" w:after="240"/>
        <w:ind w:left="720"/>
        <w:contextualSpacing/>
        <w:rPr>
          <w:szCs w:val="24"/>
        </w:rPr>
      </w:pPr>
      <w:r w:rsidRPr="00C923DB">
        <w:rPr>
          <w:szCs w:val="24"/>
        </w:rPr>
        <w:t>De esa manera consideró que, si los partidos políticos habían sido requeridos a fin de cumplir con los requisitos necesarios para el registro de la coalición dentro de un plazo adecuado, se les garantizó su derecho de audiencia, asociación política y libertad de convenir, toda vez que tuvieron la oportunidad de acudir a defender sus intereses para participar de manera coaligada.</w:t>
      </w:r>
    </w:p>
    <w:p w14:paraId="664D335B" w14:textId="77777777" w:rsidR="00C923DB" w:rsidRPr="00C923DB" w:rsidRDefault="00C923DB" w:rsidP="00C923DB">
      <w:pPr>
        <w:spacing w:before="240" w:after="240"/>
        <w:ind w:left="720"/>
        <w:contextualSpacing/>
        <w:rPr>
          <w:szCs w:val="24"/>
        </w:rPr>
      </w:pPr>
    </w:p>
    <w:p w14:paraId="3AB80F5D" w14:textId="4AFE5084" w:rsidR="00C923DB" w:rsidRPr="00C923DB" w:rsidRDefault="004D3B6A" w:rsidP="00C923DB">
      <w:pPr>
        <w:spacing w:before="240" w:after="240"/>
        <w:ind w:left="720"/>
        <w:contextualSpacing/>
        <w:rPr>
          <w:szCs w:val="24"/>
        </w:rPr>
      </w:pPr>
      <w:r w:rsidRPr="00C923DB">
        <w:rPr>
          <w:szCs w:val="24"/>
        </w:rPr>
        <w:t>Que,</w:t>
      </w:r>
      <w:r w:rsidR="00C923DB" w:rsidRPr="00C923DB">
        <w:rPr>
          <w:szCs w:val="24"/>
        </w:rPr>
        <w:t xml:space="preserve"> con los escritos presentados para cumplir con el requerimiento, aun siendo exhibidos en tiempo, los inconformes </w:t>
      </w:r>
      <w:r w:rsidR="00C923DB" w:rsidRPr="00C923DB">
        <w:rPr>
          <w:b/>
          <w:szCs w:val="24"/>
          <w:u w:val="single"/>
        </w:rPr>
        <w:t>no cubrieron</w:t>
      </w:r>
      <w:r w:rsidR="00C923DB" w:rsidRPr="00C923DB">
        <w:rPr>
          <w:szCs w:val="24"/>
        </w:rPr>
        <w:t xml:space="preserve"> los requisitos exigidos, de esa manera el </w:t>
      </w:r>
      <w:r w:rsidR="00C923DB" w:rsidRPr="004872F6">
        <w:rPr>
          <w:i/>
          <w:iCs/>
          <w:szCs w:val="24"/>
        </w:rPr>
        <w:t>Instituto Local</w:t>
      </w:r>
      <w:r w:rsidR="00C923DB" w:rsidRPr="00C923DB">
        <w:rPr>
          <w:szCs w:val="24"/>
        </w:rPr>
        <w:t xml:space="preserve"> no podía otorgarles el registro ni se encontraba obligado a realizar un nuevo requerimiento. así con mayor razón ya que uno fue extemporáneo, y el presentado en tiempo, no estaba firmado por el representante propietario de MORENA, por lo que su sola presentación no implicaba que con él se dio el debido cumplimiento a la totalidad de los requisitos exigidos. </w:t>
      </w:r>
    </w:p>
    <w:p w14:paraId="42322C71" w14:textId="77777777" w:rsidR="00C923DB" w:rsidRPr="00C923DB" w:rsidRDefault="00C923DB" w:rsidP="00C923DB">
      <w:pPr>
        <w:spacing w:before="240" w:after="240"/>
        <w:ind w:left="720"/>
        <w:contextualSpacing/>
        <w:rPr>
          <w:rFonts w:asciiTheme="minorHAnsi" w:hAnsiTheme="minorHAnsi" w:cstheme="minorBidi"/>
          <w:sz w:val="22"/>
          <w:szCs w:val="22"/>
        </w:rPr>
      </w:pPr>
    </w:p>
    <w:p w14:paraId="19DFB3BC" w14:textId="16B074DB" w:rsidR="00C923DB" w:rsidRPr="00C923DB" w:rsidRDefault="00900F0A" w:rsidP="00C923DB">
      <w:pPr>
        <w:spacing w:before="240" w:after="240"/>
        <w:ind w:left="720"/>
        <w:contextualSpacing/>
        <w:rPr>
          <w:szCs w:val="24"/>
        </w:rPr>
      </w:pPr>
      <w:r w:rsidRPr="006C5F90">
        <w:rPr>
          <w:szCs w:val="24"/>
        </w:rPr>
        <w:t>A</w:t>
      </w:r>
      <w:r w:rsidR="00C923DB" w:rsidRPr="006C5F90">
        <w:rPr>
          <w:szCs w:val="24"/>
        </w:rPr>
        <w:t>simismo,</w:t>
      </w:r>
      <w:r w:rsidR="00C923DB" w:rsidRPr="00C923DB">
        <w:rPr>
          <w:szCs w:val="24"/>
        </w:rPr>
        <w:t xml:space="preserve"> señaló que el </w:t>
      </w:r>
      <w:r w:rsidR="00C923DB" w:rsidRPr="004872F6">
        <w:rPr>
          <w:i/>
          <w:iCs/>
          <w:szCs w:val="24"/>
        </w:rPr>
        <w:t>Instituto Local</w:t>
      </w:r>
      <w:r w:rsidR="00C923DB" w:rsidRPr="00C923DB">
        <w:rPr>
          <w:szCs w:val="24"/>
        </w:rPr>
        <w:t xml:space="preserve"> solo se encontraba obligado a revisar los requisitos del registro y no así a hacer un pronunciamiento sobre el cumplimiento de </w:t>
      </w:r>
      <w:proofErr w:type="gramStart"/>
      <w:r w:rsidR="00C923DB" w:rsidRPr="00C923DB">
        <w:rPr>
          <w:szCs w:val="24"/>
        </w:rPr>
        <w:t>los mismos</w:t>
      </w:r>
      <w:proofErr w:type="gramEnd"/>
      <w:r w:rsidR="00C923DB" w:rsidRPr="00C923DB">
        <w:rPr>
          <w:szCs w:val="24"/>
        </w:rPr>
        <w:t xml:space="preserve"> (requerimiento). </w:t>
      </w:r>
    </w:p>
    <w:p w14:paraId="35FEEE1E" w14:textId="77777777" w:rsidR="00C923DB" w:rsidRPr="00C923DB" w:rsidRDefault="00C923DB" w:rsidP="00C923DB">
      <w:pPr>
        <w:spacing w:before="240" w:after="240"/>
        <w:ind w:left="720"/>
        <w:contextualSpacing/>
        <w:rPr>
          <w:szCs w:val="24"/>
        </w:rPr>
      </w:pPr>
    </w:p>
    <w:p w14:paraId="1001BEEE" w14:textId="77777777" w:rsidR="00C923DB" w:rsidRPr="00C923DB" w:rsidRDefault="00C923DB" w:rsidP="00C923DB">
      <w:pPr>
        <w:spacing w:before="240" w:after="240"/>
        <w:ind w:left="720"/>
        <w:contextualSpacing/>
        <w:rPr>
          <w:szCs w:val="24"/>
        </w:rPr>
      </w:pPr>
      <w:r w:rsidRPr="00C923DB">
        <w:rPr>
          <w:szCs w:val="24"/>
        </w:rPr>
        <w:t>Por lo que sí realizó uno, hacer un segundo requerimiento excedería el tiempo establecido en la Ley de Partidos para pronunciarse respecto del registro peticionado, generando una cadena indeterminada de requerimientos, violando con ello el principio de equidad en relación con los demás partidos que cumplieron en tiempo y forma con los requisitos establecidos.</w:t>
      </w:r>
    </w:p>
    <w:p w14:paraId="2E06759F" w14:textId="77777777" w:rsidR="00C923DB" w:rsidRPr="00C923DB" w:rsidRDefault="00C923DB" w:rsidP="00C923DB">
      <w:pPr>
        <w:spacing w:before="240" w:after="240"/>
        <w:ind w:left="720"/>
        <w:contextualSpacing/>
        <w:rPr>
          <w:szCs w:val="24"/>
        </w:rPr>
      </w:pPr>
    </w:p>
    <w:p w14:paraId="48DB2157" w14:textId="77777777" w:rsidR="00C923DB" w:rsidRPr="00C923DB" w:rsidRDefault="00C923DB" w:rsidP="00C923DB">
      <w:pPr>
        <w:spacing w:before="240" w:after="240"/>
        <w:ind w:left="720"/>
        <w:contextualSpacing/>
        <w:rPr>
          <w:szCs w:val="24"/>
        </w:rPr>
      </w:pPr>
      <w:r w:rsidRPr="00C923DB">
        <w:rPr>
          <w:szCs w:val="24"/>
        </w:rPr>
        <w:t>Por último, que quedó evidenciado que los partidos no cumplieron con la totalidad de los requisitos exigidos por la normativa para lograr la aprobación de su convenio, pues posterior al requerimiento siguieron persistiendo la inobservancia de algunos.</w:t>
      </w:r>
      <w:r w:rsidRPr="00C923DB">
        <w:rPr>
          <w:szCs w:val="24"/>
          <w:vertAlign w:val="superscript"/>
        </w:rPr>
        <w:footnoteReference w:id="7"/>
      </w:r>
    </w:p>
    <w:p w14:paraId="199AD283" w14:textId="6C03D1CB" w:rsidR="00C923DB" w:rsidRPr="00C923DB" w:rsidRDefault="00C923DB" w:rsidP="00F65C85">
      <w:pPr>
        <w:spacing w:before="100" w:beforeAutospacing="1" w:after="100" w:afterAutospacing="1"/>
        <w:ind w:left="720"/>
        <w:contextualSpacing/>
        <w:rPr>
          <w:szCs w:val="24"/>
        </w:rPr>
      </w:pPr>
    </w:p>
    <w:p w14:paraId="638A9F23" w14:textId="4E83B2ED" w:rsidR="00C923DB" w:rsidRPr="00C923DB" w:rsidRDefault="00C923DB" w:rsidP="004D3B6A">
      <w:pPr>
        <w:numPr>
          <w:ilvl w:val="0"/>
          <w:numId w:val="15"/>
        </w:numPr>
        <w:spacing w:before="240" w:after="240"/>
        <w:rPr>
          <w:szCs w:val="24"/>
        </w:rPr>
      </w:pPr>
      <w:r w:rsidRPr="00C923DB">
        <w:rPr>
          <w:szCs w:val="24"/>
        </w:rPr>
        <w:t>Que con la presentación de uno de los escritos en tiempo y forma (</w:t>
      </w:r>
      <w:r w:rsidRPr="004872F6">
        <w:rPr>
          <w:i/>
          <w:iCs/>
          <w:szCs w:val="24"/>
        </w:rPr>
        <w:t>PANAL</w:t>
      </w:r>
      <w:r w:rsidRPr="00C923DB">
        <w:rPr>
          <w:szCs w:val="24"/>
        </w:rPr>
        <w:t xml:space="preserve">) no se superaba la deficiencia en el cumplimiento al </w:t>
      </w:r>
      <w:r w:rsidRPr="00C923DB">
        <w:rPr>
          <w:szCs w:val="24"/>
        </w:rPr>
        <w:lastRenderedPageBreak/>
        <w:t xml:space="preserve">requerimiento; asimismo, los presentados por MORENA y </w:t>
      </w:r>
      <w:r w:rsidRPr="004F09D6">
        <w:rPr>
          <w:i/>
          <w:iCs/>
          <w:szCs w:val="24"/>
        </w:rPr>
        <w:t>PT</w:t>
      </w:r>
      <w:r w:rsidRPr="00C923DB">
        <w:rPr>
          <w:szCs w:val="24"/>
        </w:rPr>
        <w:t xml:space="preserve"> el que estaba </w:t>
      </w:r>
      <w:r w:rsidR="00900F0A" w:rsidRPr="006C5F90">
        <w:rPr>
          <w:szCs w:val="24"/>
        </w:rPr>
        <w:t>dentro del término</w:t>
      </w:r>
      <w:r w:rsidRPr="00C923DB">
        <w:rPr>
          <w:szCs w:val="24"/>
        </w:rPr>
        <w:t xml:space="preserve"> carecía de firma autógrafa y el segundo de ellos era extemporáneo.</w:t>
      </w:r>
    </w:p>
    <w:p w14:paraId="4610681D" w14:textId="14C86985" w:rsidR="00C923DB" w:rsidRDefault="00C923DB" w:rsidP="004D3B6A">
      <w:pPr>
        <w:numPr>
          <w:ilvl w:val="0"/>
          <w:numId w:val="15"/>
        </w:numPr>
        <w:spacing w:before="240" w:after="240"/>
        <w:ind w:left="714" w:hanging="357"/>
        <w:rPr>
          <w:szCs w:val="24"/>
        </w:rPr>
      </w:pPr>
      <w:r w:rsidRPr="00C923DB">
        <w:rPr>
          <w:szCs w:val="24"/>
        </w:rPr>
        <w:t xml:space="preserve">Que el agravio relativo a la falta de fundamentación y motivación era inoperante toda vez que la parte actora fue omisa en atacar las razones, motivos y fundamentos del </w:t>
      </w:r>
      <w:r w:rsidR="00900F0A" w:rsidRPr="00900F0A">
        <w:rPr>
          <w:i/>
          <w:iCs/>
          <w:szCs w:val="24"/>
        </w:rPr>
        <w:t>A</w:t>
      </w:r>
      <w:r w:rsidRPr="00900F0A">
        <w:rPr>
          <w:i/>
          <w:iCs/>
          <w:szCs w:val="24"/>
        </w:rPr>
        <w:t>cuerdo</w:t>
      </w:r>
      <w:r w:rsidRPr="00C923DB">
        <w:rPr>
          <w:szCs w:val="24"/>
        </w:rPr>
        <w:t xml:space="preserve"> recurrido, dejando de controvertir la fundamentación realizada por el </w:t>
      </w:r>
      <w:r w:rsidRPr="004872F6">
        <w:rPr>
          <w:i/>
          <w:iCs/>
          <w:szCs w:val="24"/>
        </w:rPr>
        <w:t>Instituto Local</w:t>
      </w:r>
      <w:r w:rsidRPr="00C923DB">
        <w:rPr>
          <w:szCs w:val="24"/>
        </w:rPr>
        <w:t>, aunado a que sí fundó y motivó su decisión, pues invocó los preceptos legales en los que basó su decisión, adicionando las razones pormenorizadas del por qué no era procedente el otorgamiento del registro de la coalición, refiriendo cada uno de los requisitos incumplidos.</w:t>
      </w:r>
    </w:p>
    <w:p w14:paraId="7E76EF22" w14:textId="77777777" w:rsidR="00C923DB" w:rsidRPr="00C923DB" w:rsidRDefault="00C923DB" w:rsidP="004D3B6A">
      <w:pPr>
        <w:numPr>
          <w:ilvl w:val="0"/>
          <w:numId w:val="15"/>
        </w:numPr>
        <w:spacing w:before="240" w:after="240"/>
        <w:ind w:left="714" w:hanging="357"/>
        <w:rPr>
          <w:szCs w:val="24"/>
        </w:rPr>
      </w:pPr>
      <w:r w:rsidRPr="00C923DB">
        <w:rPr>
          <w:szCs w:val="24"/>
        </w:rPr>
        <w:t xml:space="preserve">Que no se cumplió con los requisitos de adjuntar la plataforma electoral y el programa de gobierno, el método de selección de candidaturas y el ajuste del anexo 2 del convenio, incumpliéndose con el requisito señalado por el artículo 276 numeral I, inciso c), del reglamento de elecciones, </w:t>
      </w:r>
      <w:bookmarkStart w:id="18" w:name="_Hlk64486339"/>
      <w:bookmarkStart w:id="19" w:name="_Hlk64487656"/>
      <w:r w:rsidRPr="00C923DB">
        <w:rPr>
          <w:szCs w:val="24"/>
        </w:rPr>
        <w:t>al no presentar documento alguno que acreditara que la coalición fue aprobada por los órganos de dirección de conformidad con los estatutos de MORENA</w:t>
      </w:r>
      <w:bookmarkEnd w:id="18"/>
      <w:r w:rsidRPr="00C923DB">
        <w:rPr>
          <w:szCs w:val="24"/>
        </w:rPr>
        <w:t>.</w:t>
      </w:r>
    </w:p>
    <w:p w14:paraId="33C0D9F2" w14:textId="77777777" w:rsidR="00C923DB" w:rsidRPr="00C923DB" w:rsidRDefault="00C923DB" w:rsidP="00C923DB">
      <w:pPr>
        <w:spacing w:before="240" w:after="240"/>
        <w:ind w:left="714"/>
        <w:rPr>
          <w:szCs w:val="24"/>
        </w:rPr>
      </w:pPr>
      <w:r w:rsidRPr="00C923DB">
        <w:rPr>
          <w:szCs w:val="24"/>
        </w:rPr>
        <w:t>De esa manera, señaló que no existía documento que evidenciara que el convenio fuera válido al no desprenderse la aprobación de coalición alguna para el Estado de Guanajuato, aunado a que, con la escritura pública anexada con el escrito de cumplimiento, tampoco se observaba la aprobación de una coalición para el estado de Guanajuato entre MORENA y cualquier otro partido</w:t>
      </w:r>
      <w:bookmarkEnd w:id="19"/>
      <w:r w:rsidRPr="00C923DB">
        <w:rPr>
          <w:szCs w:val="24"/>
        </w:rPr>
        <w:t>.</w:t>
      </w:r>
    </w:p>
    <w:p w14:paraId="0875F6A7" w14:textId="77777777" w:rsidR="00C923DB" w:rsidRPr="00C923DB" w:rsidRDefault="00C923DB" w:rsidP="00C923DB">
      <w:pPr>
        <w:spacing w:before="240" w:after="240"/>
        <w:ind w:left="714"/>
        <w:rPr>
          <w:szCs w:val="24"/>
        </w:rPr>
      </w:pPr>
      <w:r w:rsidRPr="00C923DB">
        <w:rPr>
          <w:szCs w:val="24"/>
        </w:rPr>
        <w:t>En cuanto al programa de gobierno, no bastaba con que se hubiere exhibido un documento impreso con la leyenda “Plataforma Electoral Guanajuato 2020-2021” pues debió agregarse en formato digital, además de que debían acreditar que la coalición fue aprobada por los órganos nacionales facultados para ello; lo mismo replicó en relación con el método de candidaturas.</w:t>
      </w:r>
    </w:p>
    <w:p w14:paraId="30842110" w14:textId="7A013690" w:rsidR="00C923DB" w:rsidRPr="00C923DB" w:rsidRDefault="00C923DB" w:rsidP="00C923DB">
      <w:pPr>
        <w:spacing w:before="240" w:after="240"/>
        <w:ind w:left="714"/>
        <w:rPr>
          <w:szCs w:val="24"/>
        </w:rPr>
      </w:pPr>
      <w:r w:rsidRPr="00C923DB">
        <w:rPr>
          <w:szCs w:val="24"/>
        </w:rPr>
        <w:t xml:space="preserve">Por lo que hacía al ajuste del anexo 2 del convenio, refirió que los partidos fueron omisos en atacar las razones, motivos y contendidos del </w:t>
      </w:r>
      <w:r w:rsidRPr="00C923DB">
        <w:rPr>
          <w:i/>
          <w:szCs w:val="24"/>
        </w:rPr>
        <w:t>Acuerdo</w:t>
      </w:r>
      <w:r w:rsidRPr="00C923DB">
        <w:rPr>
          <w:szCs w:val="24"/>
        </w:rPr>
        <w:t>, dejando de controvertir la fundamentación realizada por e</w:t>
      </w:r>
      <w:r w:rsidR="004872F6">
        <w:rPr>
          <w:szCs w:val="24"/>
        </w:rPr>
        <w:t>l</w:t>
      </w:r>
      <w:r w:rsidRPr="00C923DB">
        <w:rPr>
          <w:szCs w:val="24"/>
        </w:rPr>
        <w:t xml:space="preserve"> </w:t>
      </w:r>
      <w:r w:rsidRPr="004872F6">
        <w:rPr>
          <w:i/>
          <w:iCs/>
          <w:szCs w:val="24"/>
        </w:rPr>
        <w:t>Instituto Local</w:t>
      </w:r>
      <w:r w:rsidRPr="00C923DB">
        <w:rPr>
          <w:szCs w:val="24"/>
        </w:rPr>
        <w:t>, teniendo la carga procesal de demostrar su ilegalidad, situación que en el caso no ocurrió.</w:t>
      </w:r>
    </w:p>
    <w:p w14:paraId="57F525B9" w14:textId="77777777" w:rsidR="00C923DB" w:rsidRPr="00C923DB" w:rsidRDefault="00C923DB" w:rsidP="00C923DB">
      <w:pPr>
        <w:spacing w:before="240" w:after="240"/>
        <w:ind w:left="714"/>
        <w:rPr>
          <w:szCs w:val="24"/>
        </w:rPr>
      </w:pPr>
      <w:r w:rsidRPr="00C923DB">
        <w:rPr>
          <w:szCs w:val="24"/>
        </w:rPr>
        <w:lastRenderedPageBreak/>
        <w:t xml:space="preserve">Que era inatendible por genérica y abstracta la afirmación del recurrente en el sentido de argumentar que el </w:t>
      </w:r>
      <w:r w:rsidRPr="004872F6">
        <w:rPr>
          <w:i/>
          <w:iCs/>
          <w:szCs w:val="24"/>
        </w:rPr>
        <w:t>Instituto Local</w:t>
      </w:r>
      <w:r w:rsidRPr="00C923DB">
        <w:rPr>
          <w:szCs w:val="24"/>
        </w:rPr>
        <w:t xml:space="preserve"> no tomó en consideración las causas de fuerza mayor que invocó, pues no explicó o estableció las bases que las motivó ni como incidieron en el asunto.</w:t>
      </w:r>
    </w:p>
    <w:p w14:paraId="72B50BE9" w14:textId="77777777" w:rsidR="00C923DB" w:rsidRPr="00C923DB" w:rsidRDefault="00C923DB" w:rsidP="00C923DB">
      <w:pPr>
        <w:spacing w:before="240" w:after="240"/>
        <w:ind w:left="714"/>
        <w:rPr>
          <w:szCs w:val="24"/>
        </w:rPr>
      </w:pPr>
      <w:r w:rsidRPr="00C923DB">
        <w:rPr>
          <w:szCs w:val="24"/>
        </w:rPr>
        <w:t xml:space="preserve">Que el </w:t>
      </w:r>
      <w:r w:rsidRPr="004872F6">
        <w:rPr>
          <w:i/>
          <w:iCs/>
          <w:szCs w:val="24"/>
        </w:rPr>
        <w:t>Instituto Local</w:t>
      </w:r>
      <w:r w:rsidRPr="00C923DB">
        <w:rPr>
          <w:szCs w:val="24"/>
        </w:rPr>
        <w:t xml:space="preserve"> durante todo el procedimiento ajustó su actuar en el marco legal (leyes y reglamento), por lo que al advertir que los partidos incumplieron requisitos para el registro del convenio, emitió el requerimiento para que los partidos subsanaran los requisitos omitidos.</w:t>
      </w:r>
    </w:p>
    <w:p w14:paraId="2696E474" w14:textId="77777777" w:rsidR="00C923DB" w:rsidRPr="00C923DB" w:rsidRDefault="00C923DB" w:rsidP="00C923DB">
      <w:pPr>
        <w:spacing w:before="240" w:after="240"/>
        <w:ind w:left="714"/>
        <w:rPr>
          <w:szCs w:val="24"/>
        </w:rPr>
      </w:pPr>
      <w:r w:rsidRPr="00C923DB">
        <w:rPr>
          <w:szCs w:val="24"/>
        </w:rPr>
        <w:t xml:space="preserve">Que el </w:t>
      </w:r>
      <w:r w:rsidRPr="004872F6">
        <w:rPr>
          <w:i/>
          <w:iCs/>
          <w:szCs w:val="24"/>
        </w:rPr>
        <w:t>Instituto Local</w:t>
      </w:r>
      <w:r w:rsidRPr="00C923DB">
        <w:rPr>
          <w:szCs w:val="24"/>
        </w:rPr>
        <w:t xml:space="preserve"> no tomó en consideración los escritos presentados el 29 de diciembre a las 17:20 y 18:50 en virtud de que el primero de ellos carecía de firma autógrafa de quien suscribía el escrito (representante de MORENA), por lo que, si solo había sido signado por el </w:t>
      </w:r>
      <w:r w:rsidRPr="004F09D6">
        <w:rPr>
          <w:i/>
          <w:iCs/>
          <w:szCs w:val="24"/>
        </w:rPr>
        <w:t>PT</w:t>
      </w:r>
      <w:r w:rsidRPr="00C923DB">
        <w:rPr>
          <w:szCs w:val="24"/>
        </w:rPr>
        <w:t>, con ello no se suplía dicha deficiencia pues no se expresaba la voluntad de conformidad con el contenido del escrito, y el segundo por haber sido presentado de manera extemporánea.</w:t>
      </w:r>
    </w:p>
    <w:p w14:paraId="05C704E5" w14:textId="77777777" w:rsidR="00C923DB" w:rsidRPr="00C923DB" w:rsidRDefault="00C923DB" w:rsidP="00F65C85">
      <w:pPr>
        <w:numPr>
          <w:ilvl w:val="0"/>
          <w:numId w:val="15"/>
        </w:numPr>
        <w:spacing w:before="100" w:beforeAutospacing="1" w:after="100" w:afterAutospacing="1"/>
        <w:contextualSpacing/>
        <w:rPr>
          <w:szCs w:val="24"/>
        </w:rPr>
      </w:pPr>
      <w:r w:rsidRPr="00C923DB">
        <w:rPr>
          <w:szCs w:val="24"/>
        </w:rPr>
        <w:t xml:space="preserve">En cuanto al agravio relacionado con las causas ajenas y de fuerza mayor en el incumplimiento del requerimiento en tiempo y forma, en el que exponen como hecho público y notorio la obstrucción parcial por obras de mantenimiento en la carretera por la que transitaron durante su traslado para presentar su escrito, el </w:t>
      </w:r>
      <w:r w:rsidRPr="00900F0A">
        <w:rPr>
          <w:i/>
          <w:iCs/>
          <w:szCs w:val="24"/>
        </w:rPr>
        <w:t>Tribunal Local</w:t>
      </w:r>
      <w:r w:rsidRPr="00C923DB">
        <w:rPr>
          <w:szCs w:val="24"/>
        </w:rPr>
        <w:t xml:space="preserve"> sostuvo que la jurisprudencia invocada no era aplicable, en virtud de que el hecho público y notorio excluían del todo al caso fortuito y la fuerza mayor.</w:t>
      </w:r>
    </w:p>
    <w:p w14:paraId="3F1374FF" w14:textId="77777777" w:rsidR="00C923DB" w:rsidRPr="00C923DB" w:rsidRDefault="00C923DB" w:rsidP="00F65C85">
      <w:pPr>
        <w:spacing w:before="100" w:beforeAutospacing="1" w:after="100" w:afterAutospacing="1"/>
        <w:ind w:left="714"/>
        <w:rPr>
          <w:szCs w:val="24"/>
        </w:rPr>
      </w:pPr>
      <w:r w:rsidRPr="00C923DB">
        <w:rPr>
          <w:szCs w:val="24"/>
        </w:rPr>
        <w:t xml:space="preserve">Por lo que si los partidos no se encontraban en un supuesto de excepción y el requerimiento tenía un término, fue correcto que el </w:t>
      </w:r>
      <w:r w:rsidRPr="004872F6">
        <w:rPr>
          <w:i/>
          <w:iCs/>
          <w:szCs w:val="24"/>
        </w:rPr>
        <w:t>Instituto Local</w:t>
      </w:r>
      <w:r w:rsidRPr="00C923DB">
        <w:rPr>
          <w:szCs w:val="24"/>
        </w:rPr>
        <w:t xml:space="preserve"> lo tuviera como extemporáneo de conformidad con la normativa.</w:t>
      </w:r>
    </w:p>
    <w:p w14:paraId="687C3021" w14:textId="1D965D3E" w:rsidR="00C923DB" w:rsidRDefault="004561FC" w:rsidP="00F65C85">
      <w:pPr>
        <w:numPr>
          <w:ilvl w:val="0"/>
          <w:numId w:val="15"/>
        </w:numPr>
        <w:spacing w:before="100" w:beforeAutospacing="1" w:after="100" w:afterAutospacing="1"/>
        <w:ind w:left="714"/>
        <w:contextualSpacing/>
        <w:rPr>
          <w:szCs w:val="24"/>
        </w:rPr>
      </w:pPr>
      <w:r w:rsidRPr="00C923DB">
        <w:rPr>
          <w:szCs w:val="24"/>
        </w:rPr>
        <w:t>En relación con</w:t>
      </w:r>
      <w:r w:rsidR="00C923DB" w:rsidRPr="00C923DB">
        <w:rPr>
          <w:szCs w:val="24"/>
        </w:rPr>
        <w:t xml:space="preserve"> que el escrito extemporáneo estaba en tiempo, pues el </w:t>
      </w:r>
      <w:r w:rsidR="00C923DB" w:rsidRPr="004872F6">
        <w:rPr>
          <w:i/>
          <w:iCs/>
          <w:szCs w:val="24"/>
        </w:rPr>
        <w:t>Instituto Local</w:t>
      </w:r>
      <w:r w:rsidR="00C923DB" w:rsidRPr="00C923DB">
        <w:rPr>
          <w:szCs w:val="24"/>
        </w:rPr>
        <w:t xml:space="preserve"> tenía hasta el tres de enero para emitir el acuerdo, dicha circunstancia no era aplicable pues en el Convenio además de candidaturas a diputaciones, contenía también candidaturas a ayuntamientos, teniendo como límite el 24 de diciembre para el registro de estos últimos. </w:t>
      </w:r>
    </w:p>
    <w:p w14:paraId="2C83E054" w14:textId="77777777" w:rsidR="004561FC" w:rsidRPr="00C923DB" w:rsidRDefault="004561FC" w:rsidP="004561FC">
      <w:pPr>
        <w:spacing w:before="100" w:beforeAutospacing="1" w:after="100" w:afterAutospacing="1"/>
        <w:ind w:left="714"/>
        <w:contextualSpacing/>
        <w:rPr>
          <w:szCs w:val="24"/>
        </w:rPr>
      </w:pPr>
    </w:p>
    <w:p w14:paraId="7F4F457D" w14:textId="29002491" w:rsidR="00C923DB" w:rsidRPr="00C923DB" w:rsidRDefault="00C923DB" w:rsidP="00F65C85">
      <w:pPr>
        <w:numPr>
          <w:ilvl w:val="0"/>
          <w:numId w:val="15"/>
        </w:numPr>
        <w:spacing w:before="100" w:beforeAutospacing="1" w:after="100" w:afterAutospacing="1"/>
        <w:ind w:left="714" w:hanging="357"/>
        <w:rPr>
          <w:szCs w:val="24"/>
        </w:rPr>
      </w:pPr>
      <w:r w:rsidRPr="00C923DB">
        <w:rPr>
          <w:szCs w:val="24"/>
        </w:rPr>
        <w:t>Por último</w:t>
      </w:r>
      <w:r w:rsidR="00F65C85" w:rsidRPr="00F65C85">
        <w:rPr>
          <w:szCs w:val="24"/>
        </w:rPr>
        <w:t>,</w:t>
      </w:r>
      <w:r w:rsidRPr="00C923DB">
        <w:rPr>
          <w:szCs w:val="24"/>
        </w:rPr>
        <w:t xml:space="preserve"> concluyó que</w:t>
      </w:r>
      <w:r w:rsidR="00F65C85" w:rsidRPr="00F65C85">
        <w:rPr>
          <w:szCs w:val="24"/>
        </w:rPr>
        <w:t>,</w:t>
      </w:r>
      <w:r w:rsidRPr="00C923DB">
        <w:rPr>
          <w:szCs w:val="24"/>
        </w:rPr>
        <w:t xml:space="preserve"> con las documentales de autos, se advertía que no se vulneraron los derechos humanos de asociación política, derecho a la dignidad humana, autorregulación de los partidos políticos, por haberse realizado una interpretación más favorable del artículo 1° </w:t>
      </w:r>
      <w:r w:rsidRPr="00C923DB">
        <w:rPr>
          <w:szCs w:val="24"/>
        </w:rPr>
        <w:lastRenderedPageBreak/>
        <w:t>de la Constitución Federal, ni los principios de equidad, acceso a la justicia y congruencia en atención a lo siguiente:</w:t>
      </w:r>
    </w:p>
    <w:p w14:paraId="1F29D502" w14:textId="66D12B15" w:rsidR="00C923DB" w:rsidRPr="00C923DB" w:rsidRDefault="00C923DB" w:rsidP="00F65C85">
      <w:pPr>
        <w:numPr>
          <w:ilvl w:val="0"/>
          <w:numId w:val="19"/>
        </w:numPr>
        <w:spacing w:before="240" w:after="240"/>
        <w:rPr>
          <w:szCs w:val="24"/>
        </w:rPr>
      </w:pPr>
      <w:r w:rsidRPr="00C923DB">
        <w:rPr>
          <w:szCs w:val="24"/>
        </w:rPr>
        <w:t xml:space="preserve">Que el </w:t>
      </w:r>
      <w:r w:rsidRPr="004872F6">
        <w:rPr>
          <w:i/>
          <w:iCs/>
          <w:szCs w:val="24"/>
        </w:rPr>
        <w:t>Instituto Local</w:t>
      </w:r>
      <w:r w:rsidRPr="00C923DB">
        <w:rPr>
          <w:szCs w:val="24"/>
        </w:rPr>
        <w:t xml:space="preserve"> realizó una interpretación amplia, progresista y garantista del derecho de asociación política de la militancia de MORENA, </w:t>
      </w:r>
      <w:r w:rsidRPr="004F09D6">
        <w:rPr>
          <w:i/>
          <w:iCs/>
          <w:szCs w:val="24"/>
        </w:rPr>
        <w:t>PT</w:t>
      </w:r>
      <w:r w:rsidRPr="00C923DB">
        <w:rPr>
          <w:szCs w:val="24"/>
        </w:rPr>
        <w:t xml:space="preserve"> y </w:t>
      </w:r>
      <w:r w:rsidRPr="004872F6">
        <w:rPr>
          <w:i/>
          <w:iCs/>
          <w:szCs w:val="24"/>
        </w:rPr>
        <w:t>PANAL</w:t>
      </w:r>
      <w:r w:rsidRPr="00C923DB">
        <w:rPr>
          <w:szCs w:val="24"/>
        </w:rPr>
        <w:t xml:space="preserve"> al haber otorgado la posibilidad de subsanar las deficiencias en su solicitud en un plazo razonable y de conformidad con la normativa, sin requerir requisito adicional a lo establecido en la ley, por lo que no se extralimitó en sus facultades pues se apegó en todo momento a los principios que rigen su función</w:t>
      </w:r>
    </w:p>
    <w:p w14:paraId="22DD664D" w14:textId="77777777" w:rsidR="00C923DB" w:rsidRPr="00C923DB" w:rsidRDefault="00C923DB" w:rsidP="00F65C85">
      <w:pPr>
        <w:numPr>
          <w:ilvl w:val="0"/>
          <w:numId w:val="19"/>
        </w:numPr>
        <w:spacing w:before="240" w:after="240"/>
        <w:rPr>
          <w:szCs w:val="24"/>
        </w:rPr>
      </w:pPr>
      <w:r w:rsidRPr="00C923DB">
        <w:rPr>
          <w:szCs w:val="24"/>
        </w:rPr>
        <w:t>Se garantizó la dignidad humana de la militancia de los partidos inconformes durante el trámite dado a su solicitud de registro, debido a que no es contraria a la Constitución Federal ni a los tratados internacionales.</w:t>
      </w:r>
    </w:p>
    <w:p w14:paraId="22AA50C5" w14:textId="77777777" w:rsidR="00C923DB" w:rsidRPr="00C923DB" w:rsidRDefault="00C923DB" w:rsidP="00F65C85">
      <w:pPr>
        <w:numPr>
          <w:ilvl w:val="0"/>
          <w:numId w:val="19"/>
        </w:numPr>
        <w:spacing w:before="240" w:after="240"/>
        <w:rPr>
          <w:szCs w:val="24"/>
        </w:rPr>
      </w:pPr>
      <w:r w:rsidRPr="00C923DB">
        <w:rPr>
          <w:szCs w:val="24"/>
        </w:rPr>
        <w:t>Al respetarse la libertad de convenir, de participar de manera coaligada, así como el de petición, respecto al otorgamiento del registro de la coalición pretendida, se protegió el derecho a la autodeterminación de los partidos políticos, debido a que únicamente debían cumplir con los requisitos establecidos en la normativa.</w:t>
      </w:r>
    </w:p>
    <w:p w14:paraId="7AE96344" w14:textId="77777777" w:rsidR="00C923DB" w:rsidRPr="00C923DB" w:rsidRDefault="00C923DB" w:rsidP="00F65C85">
      <w:pPr>
        <w:numPr>
          <w:ilvl w:val="0"/>
          <w:numId w:val="19"/>
        </w:numPr>
        <w:spacing w:before="240" w:after="240"/>
        <w:rPr>
          <w:szCs w:val="24"/>
        </w:rPr>
      </w:pPr>
      <w:r w:rsidRPr="00C923DB">
        <w:rPr>
          <w:szCs w:val="24"/>
        </w:rPr>
        <w:t>El goce y ejercicio de los derechos que tienen como partidos no se veía limitado ni vulnerado al establecerse en base a la normatividad requisitos para participar en coalición.</w:t>
      </w:r>
    </w:p>
    <w:p w14:paraId="66920F67" w14:textId="77777777" w:rsidR="00C923DB" w:rsidRPr="00C923DB" w:rsidRDefault="00C923DB" w:rsidP="00F65C85">
      <w:pPr>
        <w:numPr>
          <w:ilvl w:val="0"/>
          <w:numId w:val="19"/>
        </w:numPr>
        <w:spacing w:before="240" w:after="240"/>
        <w:rPr>
          <w:szCs w:val="24"/>
        </w:rPr>
      </w:pPr>
      <w:r w:rsidRPr="00C923DB">
        <w:rPr>
          <w:szCs w:val="24"/>
        </w:rPr>
        <w:t>La negativa de registro de su convenio no infringía el artículo 1° de la Constitución Federal, pues los derechos que ostentan no son absolutos, y en el caso estaban sujetos a su cumplimiento.</w:t>
      </w:r>
    </w:p>
    <w:p w14:paraId="0C65CB3F" w14:textId="77777777" w:rsidR="00C923DB" w:rsidRPr="00C923DB" w:rsidRDefault="00C923DB" w:rsidP="00F65C85">
      <w:pPr>
        <w:numPr>
          <w:ilvl w:val="0"/>
          <w:numId w:val="19"/>
        </w:numPr>
        <w:spacing w:before="240" w:after="240"/>
        <w:rPr>
          <w:szCs w:val="24"/>
        </w:rPr>
      </w:pPr>
      <w:r w:rsidRPr="00C923DB">
        <w:rPr>
          <w:szCs w:val="24"/>
        </w:rPr>
        <w:t>No se infringieron los principios de equidad, acceso a la justicia y congruencia, pues su solicitud fue valorada con los mismos requisitos y procedimientos establecidos para cualquier otra.</w:t>
      </w:r>
    </w:p>
    <w:p w14:paraId="7F5D0341" w14:textId="703B50F3" w:rsidR="00DD42A5" w:rsidRPr="00F65C85" w:rsidRDefault="00DD42A5" w:rsidP="00705C97">
      <w:pPr>
        <w:spacing w:before="100" w:beforeAutospacing="1" w:after="100" w:afterAutospacing="1"/>
        <w:rPr>
          <w:rFonts w:eastAsia="Calibri"/>
          <w:bCs/>
          <w:szCs w:val="24"/>
        </w:rPr>
      </w:pPr>
      <w:r w:rsidRPr="00F65C85">
        <w:rPr>
          <w:rFonts w:eastAsia="Calibri"/>
          <w:bCs/>
          <w:szCs w:val="24"/>
        </w:rPr>
        <w:t xml:space="preserve">En su demanda los partidos pretenden que esta Sala Regional revoque la sentencia del </w:t>
      </w:r>
      <w:r w:rsidRPr="00F65C85">
        <w:rPr>
          <w:rFonts w:eastAsia="Calibri"/>
          <w:bCs/>
          <w:i/>
          <w:szCs w:val="24"/>
        </w:rPr>
        <w:t>Tribunal Local</w:t>
      </w:r>
      <w:r w:rsidRPr="00F65C85">
        <w:rPr>
          <w:rFonts w:eastAsia="Calibri"/>
          <w:bCs/>
          <w:szCs w:val="24"/>
        </w:rPr>
        <w:t xml:space="preserve"> y, en consecuencia,</w:t>
      </w:r>
      <w:r w:rsidR="00F65C85" w:rsidRPr="00F65C85">
        <w:rPr>
          <w:rFonts w:eastAsia="Calibri"/>
          <w:bCs/>
          <w:szCs w:val="24"/>
        </w:rPr>
        <w:t xml:space="preserve"> el </w:t>
      </w:r>
      <w:r w:rsidR="00F65C85" w:rsidRPr="00900F0A">
        <w:rPr>
          <w:rFonts w:eastAsia="Calibri"/>
          <w:bCs/>
          <w:i/>
          <w:iCs/>
          <w:szCs w:val="24"/>
        </w:rPr>
        <w:t>Acuerdo</w:t>
      </w:r>
      <w:r w:rsidR="00F65C85" w:rsidRPr="00F65C85">
        <w:rPr>
          <w:rFonts w:eastAsia="Calibri"/>
          <w:bCs/>
          <w:szCs w:val="24"/>
        </w:rPr>
        <w:t xml:space="preserve"> para que </w:t>
      </w:r>
      <w:r w:rsidRPr="00F65C85">
        <w:rPr>
          <w:rFonts w:eastAsia="Calibri"/>
          <w:bCs/>
          <w:szCs w:val="24"/>
        </w:rPr>
        <w:t>el convenio de coalición</w:t>
      </w:r>
      <w:r w:rsidR="00F65C85" w:rsidRPr="00F65C85">
        <w:rPr>
          <w:rFonts w:eastAsia="Calibri"/>
          <w:bCs/>
          <w:szCs w:val="24"/>
        </w:rPr>
        <w:t xml:space="preserve"> se aprobado</w:t>
      </w:r>
      <w:r w:rsidRPr="00F65C85">
        <w:rPr>
          <w:rFonts w:eastAsia="Calibri"/>
          <w:bCs/>
          <w:szCs w:val="24"/>
        </w:rPr>
        <w:t>, en base a los siguientes agravios:</w:t>
      </w:r>
    </w:p>
    <w:p w14:paraId="15DF8BA5" w14:textId="4404988C" w:rsidR="00705C97" w:rsidRPr="00F65C85" w:rsidRDefault="00705C97" w:rsidP="00705C97">
      <w:pPr>
        <w:spacing w:before="100" w:beforeAutospacing="1" w:after="100" w:afterAutospacing="1"/>
        <w:rPr>
          <w:szCs w:val="24"/>
        </w:rPr>
      </w:pPr>
      <w:r w:rsidRPr="00F65C85">
        <w:rPr>
          <w:szCs w:val="24"/>
        </w:rPr>
        <w:t xml:space="preserve"> MORENA</w:t>
      </w:r>
    </w:p>
    <w:p w14:paraId="02D19AED" w14:textId="3F73C305" w:rsidR="0046669B" w:rsidRPr="0038192E" w:rsidRDefault="0046669B" w:rsidP="0038192E">
      <w:pPr>
        <w:pStyle w:val="Prrafodelista"/>
        <w:numPr>
          <w:ilvl w:val="0"/>
          <w:numId w:val="34"/>
        </w:numPr>
        <w:spacing w:before="240" w:after="240"/>
        <w:rPr>
          <w:szCs w:val="24"/>
        </w:rPr>
      </w:pPr>
      <w:r w:rsidRPr="0038192E">
        <w:rPr>
          <w:szCs w:val="24"/>
        </w:rPr>
        <w:lastRenderedPageBreak/>
        <w:t xml:space="preserve">Que el </w:t>
      </w:r>
      <w:r w:rsidRPr="0038192E">
        <w:rPr>
          <w:i/>
          <w:szCs w:val="24"/>
        </w:rPr>
        <w:t>Tribunal Local</w:t>
      </w:r>
      <w:r w:rsidR="00DD42A5" w:rsidRPr="0038192E">
        <w:rPr>
          <w:szCs w:val="24"/>
        </w:rPr>
        <w:t xml:space="preserve"> </w:t>
      </w:r>
      <w:bookmarkStart w:id="20" w:name="_Hlk64486013"/>
      <w:r w:rsidR="00DD42A5" w:rsidRPr="0038192E">
        <w:rPr>
          <w:szCs w:val="24"/>
        </w:rPr>
        <w:t xml:space="preserve">analizó de manera indebida su planteamiento relacionado con las atribuciones que tenían el </w:t>
      </w:r>
      <w:proofErr w:type="gramStart"/>
      <w:r w:rsidR="00DD42A5" w:rsidRPr="0038192E">
        <w:rPr>
          <w:color w:val="000000" w:themeColor="text1"/>
          <w:szCs w:val="24"/>
        </w:rPr>
        <w:t>Presidente</w:t>
      </w:r>
      <w:proofErr w:type="gramEnd"/>
      <w:r w:rsidR="00DD42A5" w:rsidRPr="0038192E">
        <w:rPr>
          <w:color w:val="000000" w:themeColor="text1"/>
          <w:szCs w:val="24"/>
        </w:rPr>
        <w:t xml:space="preserve"> y la Secretaria General del </w:t>
      </w:r>
      <w:r w:rsidR="00DD42A5" w:rsidRPr="00986F75">
        <w:rPr>
          <w:i/>
          <w:iCs/>
          <w:color w:val="000000" w:themeColor="text1"/>
          <w:szCs w:val="24"/>
        </w:rPr>
        <w:t>CEN</w:t>
      </w:r>
      <w:r w:rsidR="00DD42A5" w:rsidRPr="0038192E">
        <w:rPr>
          <w:szCs w:val="24"/>
        </w:rPr>
        <w:t xml:space="preserve"> para la suscripción del Convenio</w:t>
      </w:r>
      <w:r w:rsidR="00DD42A5" w:rsidRPr="00F65C85">
        <w:t>, lo que se demostraba con los documentos anexados a su solicitud</w:t>
      </w:r>
      <w:bookmarkEnd w:id="20"/>
      <w:r w:rsidRPr="0038192E">
        <w:rPr>
          <w:szCs w:val="24"/>
        </w:rPr>
        <w:t>.</w:t>
      </w:r>
    </w:p>
    <w:p w14:paraId="3E312EAB" w14:textId="23815A86" w:rsidR="0046669B" w:rsidRPr="00F65C85" w:rsidRDefault="00DD42A5" w:rsidP="0046669B">
      <w:pPr>
        <w:spacing w:before="240" w:after="240"/>
        <w:ind w:left="720"/>
        <w:rPr>
          <w:szCs w:val="24"/>
        </w:rPr>
      </w:pPr>
      <w:r w:rsidRPr="00F65C85">
        <w:rPr>
          <w:szCs w:val="24"/>
        </w:rPr>
        <w:t>Asimismo</w:t>
      </w:r>
      <w:r w:rsidR="0046669B" w:rsidRPr="00F65C85">
        <w:rPr>
          <w:szCs w:val="24"/>
        </w:rPr>
        <w:t xml:space="preserve">, que el </w:t>
      </w:r>
      <w:r w:rsidR="0046669B" w:rsidRPr="00900F0A">
        <w:rPr>
          <w:i/>
          <w:iCs/>
          <w:szCs w:val="24"/>
        </w:rPr>
        <w:t>Tribunal Local</w:t>
      </w:r>
      <w:r w:rsidR="0046669B" w:rsidRPr="00F65C85">
        <w:rPr>
          <w:szCs w:val="24"/>
        </w:rPr>
        <w:t xml:space="preserve"> omitió estudiar el argumento </w:t>
      </w:r>
      <w:r w:rsidRPr="00F65C85">
        <w:rPr>
          <w:szCs w:val="24"/>
        </w:rPr>
        <w:t>con el</w:t>
      </w:r>
      <w:r w:rsidR="0046669B" w:rsidRPr="00F65C85">
        <w:rPr>
          <w:szCs w:val="24"/>
        </w:rPr>
        <w:t xml:space="preserve"> que se </w:t>
      </w:r>
      <w:bookmarkStart w:id="21" w:name="_Hlk64998362"/>
      <w:r w:rsidR="0046669B" w:rsidRPr="00F65C85">
        <w:rPr>
          <w:szCs w:val="24"/>
        </w:rPr>
        <w:t>pretendía demostrar que la presentación extemporánea del escrito con el que se daba cumplimiento al requerimiento se debió a causas ajenas y de fuerza mayor</w:t>
      </w:r>
      <w:bookmarkEnd w:id="21"/>
      <w:r w:rsidR="0046669B" w:rsidRPr="00F65C85">
        <w:rPr>
          <w:szCs w:val="24"/>
        </w:rPr>
        <w:t xml:space="preserve">, </w:t>
      </w:r>
      <w:bookmarkStart w:id="22" w:name="_Hlk64988819"/>
      <w:r w:rsidR="0046669B" w:rsidRPr="00F65C85">
        <w:rPr>
          <w:szCs w:val="24"/>
        </w:rPr>
        <w:t>aunado que los elementos probatorios que fueron ofrecidos por su partido no fueron desahogados.</w:t>
      </w:r>
    </w:p>
    <w:bookmarkEnd w:id="22"/>
    <w:p w14:paraId="7FD83547" w14:textId="43BDBB52" w:rsidR="0046669B" w:rsidRPr="00F65C85" w:rsidRDefault="0046669B" w:rsidP="0046669B">
      <w:pPr>
        <w:spacing w:before="240" w:after="240"/>
        <w:ind w:left="720"/>
        <w:rPr>
          <w:szCs w:val="24"/>
        </w:rPr>
      </w:pPr>
      <w:r w:rsidRPr="00F65C85">
        <w:rPr>
          <w:szCs w:val="24"/>
        </w:rPr>
        <w:t xml:space="preserve">De esa manera, señala que </w:t>
      </w:r>
      <w:r w:rsidRPr="00900F0A">
        <w:rPr>
          <w:i/>
          <w:iCs/>
          <w:szCs w:val="24"/>
        </w:rPr>
        <w:t>Tribunal Local</w:t>
      </w:r>
      <w:r w:rsidRPr="00F65C85">
        <w:rPr>
          <w:szCs w:val="24"/>
        </w:rPr>
        <w:t xml:space="preserve"> resolvió de manera contraria al criterio contenido en la sentencia ST-JDC-503/2015, </w:t>
      </w:r>
      <w:bookmarkStart w:id="23" w:name="_Hlk65012658"/>
      <w:r w:rsidRPr="00F65C85">
        <w:rPr>
          <w:szCs w:val="24"/>
        </w:rPr>
        <w:t>además que esta Sala Regional debe tomar en cuenta lo resuelto en los expedientes SUP-JDC-33/2021 y acumulados</w:t>
      </w:r>
      <w:bookmarkEnd w:id="23"/>
      <w:r w:rsidRPr="00F65C85">
        <w:rPr>
          <w:szCs w:val="24"/>
        </w:rPr>
        <w:t>.</w:t>
      </w:r>
    </w:p>
    <w:p w14:paraId="2480EFDD" w14:textId="77777777" w:rsidR="0046669B" w:rsidRPr="00F65C85" w:rsidRDefault="0046669B" w:rsidP="0046669B">
      <w:pPr>
        <w:spacing w:before="240" w:after="240"/>
        <w:rPr>
          <w:szCs w:val="24"/>
        </w:rPr>
      </w:pPr>
      <w:r w:rsidRPr="00F65C85">
        <w:rPr>
          <w:szCs w:val="24"/>
        </w:rPr>
        <w:t xml:space="preserve">Agravios de MORENA y </w:t>
      </w:r>
      <w:r w:rsidRPr="004F09D6">
        <w:rPr>
          <w:i/>
          <w:iCs/>
          <w:szCs w:val="24"/>
        </w:rPr>
        <w:t>PT</w:t>
      </w:r>
    </w:p>
    <w:p w14:paraId="017EA98F" w14:textId="373A43B9" w:rsidR="0046669B" w:rsidRPr="0038192E" w:rsidRDefault="0046669B" w:rsidP="0038192E">
      <w:pPr>
        <w:pStyle w:val="Prrafodelista"/>
        <w:numPr>
          <w:ilvl w:val="0"/>
          <w:numId w:val="34"/>
        </w:numPr>
        <w:spacing w:before="240" w:after="240"/>
        <w:rPr>
          <w:szCs w:val="24"/>
        </w:rPr>
      </w:pPr>
      <w:r w:rsidRPr="0038192E">
        <w:rPr>
          <w:szCs w:val="24"/>
        </w:rPr>
        <w:t xml:space="preserve">Que </w:t>
      </w:r>
      <w:r w:rsidR="00782675" w:rsidRPr="0038192E">
        <w:rPr>
          <w:szCs w:val="24"/>
        </w:rPr>
        <w:t>la sentencia no es exhaustiva, al no abordar las razones por las cuales es legal y constitucional negar su registro como coalición,</w:t>
      </w:r>
      <w:r w:rsidRPr="0038192E">
        <w:rPr>
          <w:szCs w:val="24"/>
        </w:rPr>
        <w:t xml:space="preserve"> </w:t>
      </w:r>
      <w:r w:rsidR="00782675" w:rsidRPr="0038192E">
        <w:rPr>
          <w:szCs w:val="24"/>
        </w:rPr>
        <w:t xml:space="preserve">limitándose a transcribir la normativa que según se dejó de observar, sin pronunciarse sobre si fue o no constitucional y legal el </w:t>
      </w:r>
      <w:r w:rsidR="00782675" w:rsidRPr="0038192E">
        <w:rPr>
          <w:i/>
          <w:szCs w:val="24"/>
        </w:rPr>
        <w:t>Acuerdo</w:t>
      </w:r>
      <w:r w:rsidR="00782675" w:rsidRPr="0038192E">
        <w:rPr>
          <w:szCs w:val="24"/>
        </w:rPr>
        <w:t xml:space="preserve"> que se impugna; además que </w:t>
      </w:r>
      <w:r w:rsidRPr="0038192E">
        <w:rPr>
          <w:szCs w:val="24"/>
        </w:rPr>
        <w:t xml:space="preserve">no realizó un análisis de fondo ni se pronunció sobre los documentos exhibidos. </w:t>
      </w:r>
    </w:p>
    <w:p w14:paraId="733B963B" w14:textId="16C984F5" w:rsidR="0046669B" w:rsidRPr="0046669B" w:rsidRDefault="0046669B" w:rsidP="0038192E">
      <w:pPr>
        <w:numPr>
          <w:ilvl w:val="0"/>
          <w:numId w:val="34"/>
        </w:numPr>
        <w:spacing w:before="240" w:after="240"/>
        <w:rPr>
          <w:szCs w:val="24"/>
        </w:rPr>
      </w:pPr>
      <w:r w:rsidRPr="00F65C85">
        <w:rPr>
          <w:szCs w:val="24"/>
        </w:rPr>
        <w:t xml:space="preserve">Que el </w:t>
      </w:r>
      <w:r w:rsidRPr="00900F0A">
        <w:rPr>
          <w:i/>
          <w:iCs/>
          <w:szCs w:val="24"/>
        </w:rPr>
        <w:t>Tribunal Local</w:t>
      </w:r>
      <w:r w:rsidRPr="00F65C85">
        <w:rPr>
          <w:szCs w:val="24"/>
        </w:rPr>
        <w:t xml:space="preserve"> con el escrito presentado por el </w:t>
      </w:r>
      <w:r w:rsidRPr="004872F6">
        <w:rPr>
          <w:i/>
          <w:iCs/>
          <w:szCs w:val="24"/>
        </w:rPr>
        <w:t>PANAL</w:t>
      </w:r>
      <w:r w:rsidRPr="00F65C85">
        <w:rPr>
          <w:szCs w:val="24"/>
        </w:rPr>
        <w:t xml:space="preserve">, </w:t>
      </w:r>
      <w:bookmarkStart w:id="24" w:name="_Hlk64457438"/>
      <w:r w:rsidRPr="00F65C85">
        <w:rPr>
          <w:szCs w:val="24"/>
        </w:rPr>
        <w:t>debió tener cumplido el req</w:t>
      </w:r>
      <w:r w:rsidRPr="0046669B">
        <w:rPr>
          <w:szCs w:val="24"/>
        </w:rPr>
        <w:t xml:space="preserve">uisito </w:t>
      </w:r>
      <w:r w:rsidR="00007B19">
        <w:rPr>
          <w:szCs w:val="24"/>
        </w:rPr>
        <w:t>y haber</w:t>
      </w:r>
      <w:r w:rsidRPr="0046669B">
        <w:rPr>
          <w:szCs w:val="24"/>
        </w:rPr>
        <w:t xml:space="preserve"> entrado al fondo del análisis de sus agravios planteados en la instancia local, pues la idea de coalición implica que los partidos que tienen un interés por participar de manera conjunta en una elección deben tomarse como una sola unidad o fuerza política, de esa manera, sus actos deben ser considerados en el mismo sentido</w:t>
      </w:r>
      <w:bookmarkEnd w:id="24"/>
      <w:r w:rsidRPr="0046669B">
        <w:rPr>
          <w:szCs w:val="24"/>
        </w:rPr>
        <w:t>.</w:t>
      </w:r>
    </w:p>
    <w:p w14:paraId="4FFF59FB" w14:textId="77777777" w:rsidR="0046669B" w:rsidRPr="0046669B" w:rsidRDefault="0046669B" w:rsidP="0046669B">
      <w:pPr>
        <w:spacing w:before="240" w:after="240"/>
        <w:ind w:left="720"/>
        <w:rPr>
          <w:szCs w:val="24"/>
        </w:rPr>
      </w:pPr>
      <w:r w:rsidRPr="0046669B">
        <w:rPr>
          <w:szCs w:val="24"/>
        </w:rPr>
        <w:t xml:space="preserve">Que el </w:t>
      </w:r>
      <w:r w:rsidRPr="00900F0A">
        <w:rPr>
          <w:i/>
          <w:iCs/>
          <w:szCs w:val="24"/>
        </w:rPr>
        <w:t>Tribunal Local</w:t>
      </w:r>
      <w:r w:rsidRPr="0046669B">
        <w:rPr>
          <w:szCs w:val="24"/>
        </w:rPr>
        <w:t xml:space="preserve"> no realizó sus propios razonamientos, haciendo </w:t>
      </w:r>
      <w:bookmarkStart w:id="25" w:name="_Hlk64457864"/>
      <w:r w:rsidRPr="0046669B">
        <w:rPr>
          <w:szCs w:val="24"/>
        </w:rPr>
        <w:t>solo una interpretación restrictiva, inconstitucional y desproporcional del artículo 89 de la Ley de Partidos y el inciso a), numeral 1, del artículo 276 del reglamento de elecciones</w:t>
      </w:r>
      <w:bookmarkEnd w:id="25"/>
      <w:r w:rsidRPr="0046669B">
        <w:rPr>
          <w:szCs w:val="24"/>
        </w:rPr>
        <w:t xml:space="preserve">, por lo que, al validar el </w:t>
      </w:r>
      <w:r w:rsidRPr="0046669B">
        <w:rPr>
          <w:i/>
          <w:szCs w:val="24"/>
        </w:rPr>
        <w:t>Acuerdo</w:t>
      </w:r>
      <w:r w:rsidRPr="0046669B">
        <w:rPr>
          <w:szCs w:val="24"/>
        </w:rPr>
        <w:t xml:space="preserve"> primigeniamente impugnado, limitó la posibilidad de los partidos interesados de participar de manera conjunta en las elecciones locales.</w:t>
      </w:r>
    </w:p>
    <w:p w14:paraId="122BE401" w14:textId="77777777" w:rsidR="0046669B" w:rsidRPr="0046669B" w:rsidRDefault="0046669B" w:rsidP="0046669B">
      <w:pPr>
        <w:spacing w:before="240" w:after="240"/>
        <w:ind w:left="720"/>
        <w:rPr>
          <w:szCs w:val="24"/>
        </w:rPr>
      </w:pPr>
      <w:r w:rsidRPr="0046669B">
        <w:rPr>
          <w:szCs w:val="24"/>
        </w:rPr>
        <w:t xml:space="preserve">Asimismo, que </w:t>
      </w:r>
      <w:bookmarkStart w:id="26" w:name="_Hlk64458638"/>
      <w:r w:rsidRPr="0046669B">
        <w:rPr>
          <w:szCs w:val="24"/>
        </w:rPr>
        <w:t xml:space="preserve">la normativa no establece de manera expresa que es necesario integrar las firmas de cada uno de los interesados en conformar una coalición, siendo que de conformidad con la tesis </w:t>
      </w:r>
      <w:r w:rsidRPr="0046669B">
        <w:rPr>
          <w:szCs w:val="24"/>
        </w:rPr>
        <w:lastRenderedPageBreak/>
        <w:t>jurisprudencial XXXVI/2002, debiendo bastar la expresión de uno solo de los interesados en conformar la coalición para que ésta sea registrada</w:t>
      </w:r>
      <w:bookmarkEnd w:id="26"/>
      <w:r w:rsidRPr="0046669B">
        <w:rPr>
          <w:szCs w:val="24"/>
        </w:rPr>
        <w:t xml:space="preserve">, por lo que con el escrito presentado por el </w:t>
      </w:r>
      <w:r w:rsidRPr="004872F6">
        <w:rPr>
          <w:i/>
          <w:iCs/>
          <w:szCs w:val="24"/>
        </w:rPr>
        <w:t>PANAL</w:t>
      </w:r>
      <w:r w:rsidRPr="0046669B">
        <w:rPr>
          <w:szCs w:val="24"/>
        </w:rPr>
        <w:t xml:space="preserve"> se debió tener por cumplido el requisito de las firmas. </w:t>
      </w:r>
    </w:p>
    <w:p w14:paraId="38D6AA78" w14:textId="779EEF39" w:rsidR="0046669B" w:rsidRPr="0038192E" w:rsidRDefault="0046669B" w:rsidP="0038192E">
      <w:pPr>
        <w:pStyle w:val="Prrafodelista"/>
        <w:numPr>
          <w:ilvl w:val="0"/>
          <w:numId w:val="34"/>
        </w:numPr>
        <w:spacing w:before="240" w:after="240"/>
        <w:rPr>
          <w:szCs w:val="24"/>
        </w:rPr>
      </w:pPr>
      <w:r w:rsidRPr="0038192E">
        <w:rPr>
          <w:szCs w:val="24"/>
        </w:rPr>
        <w:t xml:space="preserve">Que </w:t>
      </w:r>
      <w:bookmarkStart w:id="27" w:name="_Hlk64458817"/>
      <w:r w:rsidRPr="0038192E">
        <w:rPr>
          <w:szCs w:val="24"/>
        </w:rPr>
        <w:t xml:space="preserve">ilegalmente el </w:t>
      </w:r>
      <w:r w:rsidRPr="00900F0A">
        <w:rPr>
          <w:i/>
          <w:iCs/>
          <w:szCs w:val="24"/>
        </w:rPr>
        <w:t>Tribunal Local</w:t>
      </w:r>
      <w:r w:rsidRPr="0038192E">
        <w:rPr>
          <w:szCs w:val="24"/>
        </w:rPr>
        <w:t xml:space="preserve"> </w:t>
      </w:r>
      <w:bookmarkStart w:id="28" w:name="_Hlk64460365"/>
      <w:r w:rsidRPr="0038192E">
        <w:rPr>
          <w:szCs w:val="24"/>
        </w:rPr>
        <w:t xml:space="preserve">invalidó el primer escrito presentado, pues </w:t>
      </w:r>
      <w:r w:rsidR="006C5F90" w:rsidRPr="0038192E">
        <w:rPr>
          <w:szCs w:val="24"/>
        </w:rPr>
        <w:t>aún</w:t>
      </w:r>
      <w:r w:rsidRPr="0038192E">
        <w:rPr>
          <w:szCs w:val="24"/>
        </w:rPr>
        <w:t xml:space="preserve"> y que no se encontraba firmado por el representante de MORENA, no tomó en cuenta</w:t>
      </w:r>
      <w:r w:rsidRPr="0038192E">
        <w:rPr>
          <w:color w:val="990000"/>
          <w:szCs w:val="24"/>
          <w:shd w:val="clear" w:color="auto" w:fill="FFFFFF"/>
        </w:rPr>
        <w:t xml:space="preserve"> </w:t>
      </w:r>
      <w:r w:rsidRPr="0038192E">
        <w:rPr>
          <w:color w:val="000000" w:themeColor="text1"/>
          <w:szCs w:val="24"/>
          <w:shd w:val="clear" w:color="auto" w:fill="FFFFFF"/>
        </w:rPr>
        <w:t xml:space="preserve">la tesis </w:t>
      </w:r>
      <w:r w:rsidRPr="0038192E">
        <w:rPr>
          <w:b/>
          <w:bCs/>
          <w:color w:val="000000" w:themeColor="text1"/>
          <w:szCs w:val="24"/>
          <w:shd w:val="clear" w:color="auto" w:fill="FFFFFF"/>
        </w:rPr>
        <w:t>XXXVI/2002</w:t>
      </w:r>
      <w:bookmarkEnd w:id="28"/>
      <w:r w:rsidRPr="0038192E">
        <w:rPr>
          <w:szCs w:val="24"/>
        </w:rPr>
        <w:t>, insistiendo en que resolvió sin entrar al estudio del documento presentado en cumplimiento al requerimiento, determinando solamente que no se cumplió con requisitos formales, señalando únicamente los preceptos de manera genérica sin realizar un razonamiento lógico deductivo sobre cuáles eran los artículos vulnerados.</w:t>
      </w:r>
    </w:p>
    <w:p w14:paraId="1E568899" w14:textId="6C23BD36" w:rsidR="0046669B" w:rsidRDefault="0046669B" w:rsidP="0038192E">
      <w:pPr>
        <w:numPr>
          <w:ilvl w:val="0"/>
          <w:numId w:val="34"/>
        </w:numPr>
        <w:spacing w:before="240" w:after="240"/>
        <w:ind w:left="714" w:hanging="357"/>
        <w:rPr>
          <w:szCs w:val="24"/>
        </w:rPr>
      </w:pPr>
      <w:bookmarkStart w:id="29" w:name="_Hlk64491701"/>
      <w:bookmarkEnd w:id="27"/>
      <w:r w:rsidRPr="0046669B">
        <w:rPr>
          <w:szCs w:val="24"/>
        </w:rPr>
        <w:t xml:space="preserve">Que el </w:t>
      </w:r>
      <w:r w:rsidRPr="00900F0A">
        <w:rPr>
          <w:i/>
          <w:iCs/>
          <w:szCs w:val="24"/>
        </w:rPr>
        <w:t>Tribunal Local</w:t>
      </w:r>
      <w:r w:rsidRPr="0046669B">
        <w:rPr>
          <w:szCs w:val="24"/>
        </w:rPr>
        <w:t xml:space="preserve"> no dejó abierta la posibilidad de formular un nuevo requerimiento, aun y cuando no existía una limitante legal para ello, debiéndose garantizar su derecho de participación en la contienda como coalición, ignorando además la jurisprudencia invocada en la demanda primigenia (42/2002</w:t>
      </w:r>
      <w:bookmarkEnd w:id="29"/>
      <w:r w:rsidRPr="0046669B">
        <w:rPr>
          <w:szCs w:val="24"/>
        </w:rPr>
        <w:t>).</w:t>
      </w:r>
    </w:p>
    <w:p w14:paraId="63133BDC" w14:textId="13475BE3" w:rsidR="00E21C39" w:rsidRPr="00E21C39" w:rsidRDefault="00E21C39" w:rsidP="00E21C39">
      <w:pPr>
        <w:spacing w:before="100" w:beforeAutospacing="1" w:after="100" w:afterAutospacing="1"/>
        <w:rPr>
          <w:rFonts w:eastAsia="Times New Roman"/>
          <w:szCs w:val="24"/>
          <w:lang w:val="es-ES_tradnl"/>
        </w:rPr>
      </w:pPr>
      <w:r w:rsidRPr="00E21C39">
        <w:rPr>
          <w:rFonts w:eastAsia="Times New Roman"/>
          <w:szCs w:val="24"/>
          <w:lang w:val="es-ES_tradnl"/>
        </w:rPr>
        <w:t>Atendiendo a la síntesis de los agravios, así como a la temática que les corresponde, se considera que, en primer término, se deben de analizar los relacionados con la falta de exhaustividad</w:t>
      </w:r>
      <w:r w:rsidR="00790572">
        <w:rPr>
          <w:rFonts w:eastAsia="Times New Roman"/>
          <w:szCs w:val="24"/>
          <w:lang w:val="es-ES_tradnl"/>
        </w:rPr>
        <w:t xml:space="preserve"> y congruencia</w:t>
      </w:r>
      <w:r w:rsidRPr="00E21C39">
        <w:rPr>
          <w:rFonts w:eastAsia="Times New Roman"/>
          <w:szCs w:val="24"/>
          <w:lang w:val="es-ES_tradnl"/>
        </w:rPr>
        <w:t xml:space="preserve"> de la resolución, y en su caso, los atinentes a la legalidad de los razonamientos en que el </w:t>
      </w:r>
      <w:r w:rsidRPr="00262563">
        <w:rPr>
          <w:rFonts w:eastAsia="Times New Roman"/>
          <w:i/>
          <w:iCs/>
          <w:szCs w:val="24"/>
          <w:lang w:val="es-ES_tradnl"/>
        </w:rPr>
        <w:t>Tribunal local</w:t>
      </w:r>
      <w:r w:rsidRPr="00E21C39">
        <w:rPr>
          <w:rFonts w:eastAsia="Times New Roman"/>
          <w:szCs w:val="24"/>
          <w:lang w:val="es-ES_tradnl"/>
        </w:rPr>
        <w:t xml:space="preserve"> sostiene sus conclusiones.</w:t>
      </w:r>
    </w:p>
    <w:p w14:paraId="19CBC2A2" w14:textId="339CDB06" w:rsidR="009445DC" w:rsidRDefault="009445DC" w:rsidP="009445DC">
      <w:pPr>
        <w:spacing w:before="100" w:beforeAutospacing="1" w:after="100" w:afterAutospacing="1"/>
        <w:rPr>
          <w:rFonts w:eastAsia="Times New Roman"/>
          <w:b/>
          <w:szCs w:val="24"/>
          <w:lang w:val="es-ES_tradnl"/>
        </w:rPr>
      </w:pPr>
      <w:proofErr w:type="gramStart"/>
      <w:r w:rsidRPr="00E21C39">
        <w:rPr>
          <w:rFonts w:eastAsia="Times New Roman"/>
          <w:b/>
          <w:szCs w:val="24"/>
          <w:lang w:val="es-ES_tradnl"/>
        </w:rPr>
        <w:t>Cuestión a resolver</w:t>
      </w:r>
      <w:proofErr w:type="gramEnd"/>
      <w:r w:rsidRPr="00E21C39">
        <w:rPr>
          <w:rFonts w:eastAsia="Times New Roman"/>
          <w:b/>
          <w:szCs w:val="24"/>
          <w:lang w:val="es-ES_tradnl"/>
        </w:rPr>
        <w:t>.</w:t>
      </w:r>
    </w:p>
    <w:p w14:paraId="0448D2C0" w14:textId="19BC8D51" w:rsidR="00D325F1" w:rsidRDefault="00D325F1" w:rsidP="00D325F1">
      <w:pPr>
        <w:spacing w:before="240" w:after="240"/>
        <w:rPr>
          <w:rFonts w:eastAsia="Times New Roman"/>
          <w:szCs w:val="24"/>
          <w:lang w:val="es-ES_tradnl"/>
        </w:rPr>
      </w:pPr>
      <w:r>
        <w:rPr>
          <w:rFonts w:eastAsia="Times New Roman"/>
          <w:szCs w:val="24"/>
          <w:lang w:val="es-ES_tradnl"/>
        </w:rPr>
        <w:t>Esta Sala deberá determinar</w:t>
      </w:r>
      <w:bookmarkStart w:id="30" w:name="_Hlk64397981"/>
      <w:r>
        <w:rPr>
          <w:rFonts w:eastAsia="Times New Roman"/>
          <w:szCs w:val="24"/>
          <w:lang w:val="es-ES_tradnl"/>
        </w:rPr>
        <w:t xml:space="preserve"> </w:t>
      </w:r>
      <w:r w:rsidR="00F26FE0" w:rsidRPr="00E21C39">
        <w:rPr>
          <w:rFonts w:eastAsia="Times New Roman"/>
          <w:szCs w:val="24"/>
          <w:lang w:val="es-ES_tradnl"/>
        </w:rPr>
        <w:t>si</w:t>
      </w:r>
      <w:r w:rsidR="00F26FE0">
        <w:rPr>
          <w:rFonts w:eastAsia="Times New Roman"/>
          <w:szCs w:val="24"/>
          <w:lang w:val="es-ES_tradnl"/>
        </w:rPr>
        <w:t xml:space="preserve"> fue correcto que</w:t>
      </w:r>
      <w:r w:rsidR="00F26FE0" w:rsidRPr="00E21C39">
        <w:rPr>
          <w:rFonts w:eastAsia="Times New Roman"/>
          <w:szCs w:val="24"/>
          <w:lang w:val="es-ES_tradnl"/>
        </w:rPr>
        <w:t xml:space="preserve"> </w:t>
      </w:r>
      <w:r w:rsidR="00F26FE0">
        <w:rPr>
          <w:rFonts w:eastAsia="Times New Roman"/>
          <w:szCs w:val="24"/>
          <w:lang w:val="es-ES_tradnl"/>
        </w:rPr>
        <w:t xml:space="preserve">el </w:t>
      </w:r>
      <w:r w:rsidR="00F26FE0" w:rsidRPr="00262563">
        <w:rPr>
          <w:rFonts w:eastAsia="Times New Roman"/>
          <w:i/>
          <w:iCs/>
          <w:szCs w:val="24"/>
          <w:lang w:val="es-ES_tradnl"/>
        </w:rPr>
        <w:t>Tribunal Local</w:t>
      </w:r>
      <w:r w:rsidR="00F26FE0">
        <w:rPr>
          <w:rFonts w:eastAsia="Times New Roman"/>
          <w:szCs w:val="24"/>
          <w:lang w:val="es-ES_tradnl"/>
        </w:rPr>
        <w:t xml:space="preserve"> </w:t>
      </w:r>
      <w:r w:rsidR="00780F9F">
        <w:rPr>
          <w:rFonts w:eastAsia="Times New Roman"/>
          <w:szCs w:val="24"/>
          <w:lang w:val="es-ES_tradnl"/>
        </w:rPr>
        <w:t xml:space="preserve">en su sentencia </w:t>
      </w:r>
      <w:r w:rsidR="00F26FE0">
        <w:rPr>
          <w:rFonts w:eastAsia="Times New Roman"/>
          <w:szCs w:val="24"/>
          <w:lang w:val="es-ES_tradnl"/>
        </w:rPr>
        <w:t xml:space="preserve">confirmara el </w:t>
      </w:r>
      <w:r w:rsidR="00F26FE0" w:rsidRPr="00D607A4">
        <w:rPr>
          <w:rFonts w:eastAsia="Times New Roman"/>
          <w:i/>
          <w:szCs w:val="24"/>
          <w:lang w:val="es-ES_tradnl"/>
        </w:rPr>
        <w:t>Acuerdo</w:t>
      </w:r>
      <w:r w:rsidR="00F26FE0">
        <w:rPr>
          <w:rFonts w:eastAsia="Times New Roman"/>
          <w:i/>
          <w:szCs w:val="24"/>
          <w:lang w:val="es-ES_tradnl"/>
        </w:rPr>
        <w:t xml:space="preserve"> </w:t>
      </w:r>
      <w:r w:rsidR="00F26FE0">
        <w:rPr>
          <w:rFonts w:eastAsia="Times New Roman"/>
          <w:szCs w:val="24"/>
          <w:lang w:val="es-ES_tradnl"/>
        </w:rPr>
        <w:t>impugnado</w:t>
      </w:r>
      <w:r w:rsidR="00780F9F">
        <w:rPr>
          <w:rFonts w:eastAsia="Times New Roman"/>
          <w:szCs w:val="24"/>
          <w:lang w:val="es-ES_tradnl"/>
        </w:rPr>
        <w:t xml:space="preserve"> en base a lo siguiente</w:t>
      </w:r>
      <w:r>
        <w:rPr>
          <w:rFonts w:eastAsia="Times New Roman"/>
          <w:szCs w:val="24"/>
          <w:lang w:val="es-ES_tradnl"/>
        </w:rPr>
        <w:t>:</w:t>
      </w:r>
    </w:p>
    <w:p w14:paraId="06A67FD8" w14:textId="1768BA41" w:rsidR="00D325F1" w:rsidRDefault="002E125C" w:rsidP="00D325F1">
      <w:pPr>
        <w:pStyle w:val="Prrafodelista"/>
        <w:numPr>
          <w:ilvl w:val="0"/>
          <w:numId w:val="30"/>
        </w:numPr>
        <w:spacing w:before="240" w:after="240"/>
        <w:ind w:left="714" w:hanging="357"/>
        <w:contextualSpacing w:val="0"/>
        <w:rPr>
          <w:rFonts w:eastAsia="Times New Roman"/>
          <w:szCs w:val="24"/>
          <w:lang w:val="es-ES" w:eastAsia="es-ES"/>
        </w:rPr>
      </w:pPr>
      <w:r>
        <w:rPr>
          <w:rFonts w:eastAsia="Times New Roman"/>
          <w:szCs w:val="24"/>
          <w:lang w:val="es-ES" w:eastAsia="es-ES"/>
        </w:rPr>
        <w:t>Fue</w:t>
      </w:r>
      <w:r w:rsidR="00D325F1" w:rsidRPr="00D325F1">
        <w:rPr>
          <w:rFonts w:eastAsia="Times New Roman"/>
          <w:szCs w:val="24"/>
          <w:lang w:val="es-ES" w:eastAsia="es-ES"/>
        </w:rPr>
        <w:t xml:space="preserve"> congruente en relación con el planteamiento relacionado con las atribuciones que tenían el </w:t>
      </w:r>
      <w:proofErr w:type="gramStart"/>
      <w:r w:rsidR="00D325F1" w:rsidRPr="00D325F1">
        <w:rPr>
          <w:rFonts w:eastAsia="Times New Roman"/>
          <w:color w:val="000000" w:themeColor="text1"/>
          <w:szCs w:val="24"/>
          <w:lang w:val="es-ES" w:eastAsia="es-ES"/>
        </w:rPr>
        <w:t>Presidente</w:t>
      </w:r>
      <w:proofErr w:type="gramEnd"/>
      <w:r w:rsidR="00D325F1" w:rsidRPr="00D325F1">
        <w:rPr>
          <w:rFonts w:eastAsia="Times New Roman"/>
          <w:color w:val="000000" w:themeColor="text1"/>
          <w:szCs w:val="24"/>
          <w:lang w:val="es-ES" w:eastAsia="es-ES"/>
        </w:rPr>
        <w:t xml:space="preserve"> y la Secretaria General del </w:t>
      </w:r>
      <w:r w:rsidR="00D325F1" w:rsidRPr="00986F75">
        <w:rPr>
          <w:rFonts w:eastAsia="Times New Roman"/>
          <w:i/>
          <w:iCs/>
          <w:color w:val="000000" w:themeColor="text1"/>
          <w:szCs w:val="24"/>
          <w:lang w:val="es-ES" w:eastAsia="es-ES"/>
        </w:rPr>
        <w:t>CEN</w:t>
      </w:r>
      <w:r w:rsidR="00D325F1" w:rsidRPr="00D325F1">
        <w:rPr>
          <w:rFonts w:eastAsia="Times New Roman"/>
          <w:szCs w:val="24"/>
          <w:lang w:val="es-ES" w:eastAsia="es-ES"/>
        </w:rPr>
        <w:t xml:space="preserve"> para la suscripción del Convenio</w:t>
      </w:r>
      <w:bookmarkEnd w:id="30"/>
      <w:r w:rsidR="00D325F1">
        <w:rPr>
          <w:rFonts w:eastAsia="Times New Roman"/>
          <w:szCs w:val="24"/>
          <w:lang w:val="es-ES" w:eastAsia="es-ES"/>
        </w:rPr>
        <w:t xml:space="preserve"> y por ende si debió</w:t>
      </w:r>
      <w:r w:rsidR="000F2116">
        <w:rPr>
          <w:rFonts w:eastAsia="Times New Roman"/>
          <w:szCs w:val="24"/>
          <w:lang w:val="es-ES" w:eastAsia="es-ES"/>
        </w:rPr>
        <w:t xml:space="preserve"> emitirse el requerimiento</w:t>
      </w:r>
      <w:r w:rsidR="00D325F1" w:rsidRPr="00D325F1">
        <w:rPr>
          <w:rFonts w:eastAsia="Times New Roman"/>
          <w:szCs w:val="24"/>
          <w:lang w:val="es-ES" w:eastAsia="es-ES"/>
        </w:rPr>
        <w:t>.</w:t>
      </w:r>
    </w:p>
    <w:p w14:paraId="2C77E6D2" w14:textId="32838662" w:rsidR="00D325F1" w:rsidRDefault="00D325F1" w:rsidP="000F2116">
      <w:pPr>
        <w:pStyle w:val="Prrafodelista"/>
        <w:numPr>
          <w:ilvl w:val="0"/>
          <w:numId w:val="30"/>
        </w:numPr>
        <w:spacing w:before="240" w:after="240"/>
        <w:ind w:left="714" w:hanging="357"/>
        <w:contextualSpacing w:val="0"/>
        <w:rPr>
          <w:rFonts w:eastAsia="Times New Roman"/>
          <w:szCs w:val="24"/>
          <w:lang w:val="es-ES" w:eastAsia="es-ES"/>
        </w:rPr>
      </w:pPr>
      <w:r w:rsidRPr="000F2116">
        <w:rPr>
          <w:rFonts w:eastAsia="Calibri"/>
          <w:szCs w:val="24"/>
        </w:rPr>
        <w:t xml:space="preserve">Si la sentencia fue exhaustiva y atendió los agravios referentes a </w:t>
      </w:r>
      <w:r w:rsidRPr="000F2116">
        <w:rPr>
          <w:rFonts w:eastAsia="Times New Roman"/>
          <w:szCs w:val="24"/>
          <w:lang w:val="es-ES" w:eastAsia="es-ES"/>
        </w:rPr>
        <w:t xml:space="preserve">la causa ajena y de fuerza mayor en la presentación extemporánea del escrito; </w:t>
      </w:r>
      <w:r w:rsidR="000F2116">
        <w:rPr>
          <w:rFonts w:eastAsia="Times New Roman"/>
          <w:szCs w:val="24"/>
          <w:lang w:val="es-ES" w:eastAsia="es-ES"/>
        </w:rPr>
        <w:t>la falta de pronunciamiento sobre si el</w:t>
      </w:r>
      <w:r w:rsidR="000F2116" w:rsidRPr="000F2116">
        <w:rPr>
          <w:rFonts w:eastAsia="Times New Roman"/>
          <w:szCs w:val="24"/>
          <w:lang w:val="es-ES" w:eastAsia="es-ES"/>
        </w:rPr>
        <w:t xml:space="preserve"> </w:t>
      </w:r>
      <w:r w:rsidR="000F2116" w:rsidRPr="00900F0A">
        <w:rPr>
          <w:rFonts w:eastAsia="Times New Roman"/>
          <w:i/>
          <w:iCs/>
          <w:szCs w:val="24"/>
          <w:lang w:val="es-ES" w:eastAsia="es-ES"/>
        </w:rPr>
        <w:t>Acuerdo</w:t>
      </w:r>
      <w:r w:rsidR="000F2116" w:rsidRPr="000F2116">
        <w:rPr>
          <w:rFonts w:eastAsia="Times New Roman"/>
          <w:szCs w:val="24"/>
          <w:lang w:val="es-ES" w:eastAsia="es-ES"/>
        </w:rPr>
        <w:t xml:space="preserve"> fue legal o no</w:t>
      </w:r>
      <w:r w:rsidR="000F2116">
        <w:rPr>
          <w:rFonts w:eastAsia="Times New Roman"/>
          <w:szCs w:val="24"/>
          <w:lang w:val="es-ES" w:eastAsia="es-ES"/>
        </w:rPr>
        <w:t xml:space="preserve"> y</w:t>
      </w:r>
      <w:r w:rsidRPr="000F2116">
        <w:rPr>
          <w:rFonts w:eastAsia="Times New Roman"/>
          <w:szCs w:val="24"/>
          <w:lang w:val="es-ES" w:eastAsia="es-ES"/>
        </w:rPr>
        <w:t xml:space="preserve"> los elementos probatorios ofrecidos en el escrito presentado en tiempo y el </w:t>
      </w:r>
      <w:r w:rsidR="004561FC" w:rsidRPr="000F2116">
        <w:rPr>
          <w:rFonts w:eastAsia="Times New Roman"/>
          <w:szCs w:val="24"/>
          <w:lang w:val="es-ES" w:eastAsia="es-ES"/>
        </w:rPr>
        <w:t>extemporáneo</w:t>
      </w:r>
      <w:r w:rsidR="004561FC">
        <w:rPr>
          <w:rFonts w:eastAsia="Times New Roman"/>
          <w:szCs w:val="24"/>
          <w:lang w:val="es-ES" w:eastAsia="es-ES"/>
        </w:rPr>
        <w:t>.</w:t>
      </w:r>
    </w:p>
    <w:p w14:paraId="0EDED8F0" w14:textId="4B7D20C8" w:rsidR="00D325F1" w:rsidRPr="00462DC2" w:rsidRDefault="000F2116" w:rsidP="00462DC2">
      <w:pPr>
        <w:pStyle w:val="Prrafodelista"/>
        <w:numPr>
          <w:ilvl w:val="0"/>
          <w:numId w:val="30"/>
        </w:numPr>
        <w:spacing w:before="240" w:after="240"/>
        <w:ind w:left="714" w:hanging="357"/>
        <w:contextualSpacing w:val="0"/>
        <w:rPr>
          <w:rFonts w:eastAsia="Times New Roman"/>
          <w:szCs w:val="24"/>
          <w:lang w:val="es-ES" w:eastAsia="es-ES"/>
        </w:rPr>
      </w:pPr>
      <w:r w:rsidRPr="00462DC2">
        <w:rPr>
          <w:rFonts w:eastAsia="Times New Roman"/>
          <w:szCs w:val="24"/>
          <w:lang w:val="es-ES" w:eastAsia="es-ES"/>
        </w:rPr>
        <w:lastRenderedPageBreak/>
        <w:t xml:space="preserve">Si con el escrito presentado por el </w:t>
      </w:r>
      <w:r w:rsidRPr="004872F6">
        <w:rPr>
          <w:rFonts w:eastAsia="Times New Roman"/>
          <w:i/>
          <w:iCs/>
          <w:szCs w:val="24"/>
          <w:lang w:val="es-ES" w:eastAsia="es-ES"/>
        </w:rPr>
        <w:t>PANAL</w:t>
      </w:r>
      <w:r w:rsidRPr="00462DC2">
        <w:rPr>
          <w:rFonts w:eastAsia="Times New Roman"/>
          <w:szCs w:val="24"/>
          <w:lang w:val="es-ES" w:eastAsia="es-ES"/>
        </w:rPr>
        <w:t xml:space="preserve"> se debió tener por cumplido el requisito </w:t>
      </w:r>
      <w:r w:rsidR="00462DC2" w:rsidRPr="00462DC2">
        <w:rPr>
          <w:rFonts w:eastAsia="Times New Roman"/>
          <w:szCs w:val="24"/>
          <w:lang w:val="es-ES" w:eastAsia="es-ES"/>
        </w:rPr>
        <w:t>para el otorgamiento del registro</w:t>
      </w:r>
      <w:r w:rsidR="002E125C">
        <w:rPr>
          <w:rFonts w:eastAsia="Times New Roman"/>
          <w:szCs w:val="24"/>
          <w:lang w:val="es-ES" w:eastAsia="es-ES"/>
        </w:rPr>
        <w:t xml:space="preserve"> de la coalición y si fue </w:t>
      </w:r>
      <w:r w:rsidR="000808D0">
        <w:rPr>
          <w:rFonts w:eastAsia="Times New Roman"/>
          <w:szCs w:val="24"/>
          <w:lang w:val="es-ES" w:eastAsia="es-ES"/>
        </w:rPr>
        <w:t xml:space="preserve">ilegal </w:t>
      </w:r>
      <w:r w:rsidR="002E125C">
        <w:rPr>
          <w:rFonts w:eastAsia="Times New Roman"/>
          <w:szCs w:val="24"/>
          <w:lang w:val="es-ES" w:eastAsia="es-ES"/>
        </w:rPr>
        <w:t xml:space="preserve">que </w:t>
      </w:r>
      <w:r w:rsidR="002E125C" w:rsidRPr="0046669B">
        <w:rPr>
          <w:szCs w:val="24"/>
        </w:rPr>
        <w:t>invalid</w:t>
      </w:r>
      <w:r w:rsidR="002E125C">
        <w:rPr>
          <w:szCs w:val="24"/>
        </w:rPr>
        <w:t>ara</w:t>
      </w:r>
      <w:r w:rsidR="002E125C" w:rsidRPr="0046669B">
        <w:rPr>
          <w:szCs w:val="24"/>
        </w:rPr>
        <w:t xml:space="preserve"> el primer escrito presentado</w:t>
      </w:r>
      <w:r w:rsidR="002E125C" w:rsidRPr="002E125C">
        <w:rPr>
          <w:szCs w:val="24"/>
        </w:rPr>
        <w:t xml:space="preserve"> </w:t>
      </w:r>
      <w:r w:rsidR="002E125C">
        <w:rPr>
          <w:szCs w:val="24"/>
        </w:rPr>
        <w:t xml:space="preserve">por </w:t>
      </w:r>
      <w:r w:rsidR="002E125C" w:rsidRPr="0046669B">
        <w:rPr>
          <w:szCs w:val="24"/>
        </w:rPr>
        <w:t xml:space="preserve">MORENA, pues </w:t>
      </w:r>
      <w:r w:rsidR="0089209A" w:rsidRPr="0046669B">
        <w:rPr>
          <w:szCs w:val="24"/>
        </w:rPr>
        <w:t>aún</w:t>
      </w:r>
      <w:r w:rsidR="002E125C" w:rsidRPr="0046669B">
        <w:rPr>
          <w:szCs w:val="24"/>
        </w:rPr>
        <w:t xml:space="preserve"> y que no se encontraba firmado por el representante</w:t>
      </w:r>
      <w:r w:rsidR="000808D0">
        <w:rPr>
          <w:szCs w:val="24"/>
        </w:rPr>
        <w:t>,</w:t>
      </w:r>
      <w:r w:rsidR="002E125C" w:rsidRPr="0046669B">
        <w:rPr>
          <w:szCs w:val="24"/>
        </w:rPr>
        <w:t xml:space="preserve"> no tomó en cuenta</w:t>
      </w:r>
      <w:r w:rsidR="002E125C" w:rsidRPr="0046669B">
        <w:rPr>
          <w:color w:val="990000"/>
          <w:szCs w:val="24"/>
          <w:shd w:val="clear" w:color="auto" w:fill="FFFFFF"/>
        </w:rPr>
        <w:t xml:space="preserve"> </w:t>
      </w:r>
      <w:r w:rsidR="002E125C" w:rsidRPr="0046669B">
        <w:rPr>
          <w:color w:val="000000" w:themeColor="text1"/>
          <w:szCs w:val="24"/>
          <w:shd w:val="clear" w:color="auto" w:fill="FFFFFF"/>
        </w:rPr>
        <w:t xml:space="preserve">la tesis </w:t>
      </w:r>
      <w:r w:rsidR="002E125C" w:rsidRPr="0046669B">
        <w:rPr>
          <w:b/>
          <w:bCs/>
          <w:color w:val="000000" w:themeColor="text1"/>
          <w:szCs w:val="24"/>
          <w:shd w:val="clear" w:color="auto" w:fill="FFFFFF"/>
        </w:rPr>
        <w:t>XXXVI/2002</w:t>
      </w:r>
      <w:r w:rsidR="00462DC2" w:rsidRPr="00462DC2">
        <w:rPr>
          <w:rFonts w:eastAsia="Times New Roman"/>
          <w:szCs w:val="24"/>
          <w:lang w:val="es-ES" w:eastAsia="es-ES"/>
        </w:rPr>
        <w:t>.</w:t>
      </w:r>
    </w:p>
    <w:p w14:paraId="6469545B" w14:textId="1A5F84EE" w:rsidR="00D325F1" w:rsidRDefault="00462DC2" w:rsidP="00011D76">
      <w:pPr>
        <w:pStyle w:val="Prrafodelista"/>
        <w:numPr>
          <w:ilvl w:val="0"/>
          <w:numId w:val="30"/>
        </w:numPr>
        <w:spacing w:before="100" w:beforeAutospacing="1" w:after="100" w:afterAutospacing="1"/>
        <w:rPr>
          <w:rFonts w:eastAsia="Times New Roman"/>
          <w:szCs w:val="24"/>
          <w:lang w:val="es-ES_tradnl"/>
        </w:rPr>
      </w:pPr>
      <w:r>
        <w:rPr>
          <w:rFonts w:eastAsia="Times New Roman"/>
          <w:szCs w:val="24"/>
          <w:lang w:val="es-ES_tradnl"/>
        </w:rPr>
        <w:t xml:space="preserve">Si </w:t>
      </w:r>
      <w:r w:rsidR="000A0236">
        <w:rPr>
          <w:rFonts w:eastAsia="Times New Roman"/>
          <w:szCs w:val="24"/>
          <w:lang w:val="es-ES_tradnl"/>
        </w:rPr>
        <w:t xml:space="preserve">el </w:t>
      </w:r>
      <w:r w:rsidR="000A0236" w:rsidRPr="00262563">
        <w:rPr>
          <w:rFonts w:eastAsia="Times New Roman"/>
          <w:i/>
          <w:iCs/>
          <w:szCs w:val="24"/>
          <w:lang w:val="es-ES_tradnl"/>
        </w:rPr>
        <w:t>Tribunal Local</w:t>
      </w:r>
      <w:r w:rsidR="000A0236">
        <w:rPr>
          <w:rFonts w:eastAsia="Times New Roman"/>
          <w:szCs w:val="24"/>
          <w:lang w:val="es-ES_tradnl"/>
        </w:rPr>
        <w:t xml:space="preserve"> deb</w:t>
      </w:r>
      <w:r w:rsidR="000808D0">
        <w:rPr>
          <w:rFonts w:eastAsia="Times New Roman"/>
          <w:szCs w:val="24"/>
          <w:lang w:val="es-ES_tradnl"/>
        </w:rPr>
        <w:t>ía</w:t>
      </w:r>
      <w:r w:rsidR="000A0236">
        <w:rPr>
          <w:rFonts w:eastAsia="Times New Roman"/>
          <w:szCs w:val="24"/>
          <w:lang w:val="es-ES_tradnl"/>
        </w:rPr>
        <w:t xml:space="preserve"> considera</w:t>
      </w:r>
      <w:r w:rsidR="000808D0">
        <w:rPr>
          <w:rFonts w:eastAsia="Times New Roman"/>
          <w:szCs w:val="24"/>
          <w:lang w:val="es-ES_tradnl"/>
        </w:rPr>
        <w:t>r</w:t>
      </w:r>
      <w:r w:rsidR="000A0236">
        <w:rPr>
          <w:rFonts w:eastAsia="Times New Roman"/>
          <w:szCs w:val="24"/>
          <w:lang w:val="es-ES_tradnl"/>
        </w:rPr>
        <w:t xml:space="preserve"> que se debió emitir </w:t>
      </w:r>
      <w:r>
        <w:rPr>
          <w:rFonts w:eastAsia="Times New Roman"/>
          <w:szCs w:val="24"/>
          <w:lang w:val="es-ES_tradnl"/>
        </w:rPr>
        <w:t>un nuevo requerimiento.</w:t>
      </w:r>
    </w:p>
    <w:p w14:paraId="4B2C771D" w14:textId="37529D0E" w:rsidR="00E21C39" w:rsidRPr="00E21C39" w:rsidRDefault="0020669E" w:rsidP="00E21C39">
      <w:pPr>
        <w:spacing w:before="100" w:beforeAutospacing="1" w:after="100" w:afterAutospacing="1"/>
        <w:rPr>
          <w:rFonts w:eastAsia="Times New Roman"/>
          <w:b/>
          <w:szCs w:val="24"/>
          <w:lang w:val="es-ES_tradnl"/>
        </w:rPr>
      </w:pPr>
      <w:r>
        <w:rPr>
          <w:rFonts w:eastAsia="Times New Roman"/>
          <w:b/>
          <w:szCs w:val="24"/>
          <w:lang w:val="es-ES_tradnl"/>
        </w:rPr>
        <w:t>5</w:t>
      </w:r>
      <w:r w:rsidR="00E21C39" w:rsidRPr="00E21C39">
        <w:rPr>
          <w:rFonts w:eastAsia="Times New Roman"/>
          <w:b/>
          <w:szCs w:val="24"/>
          <w:lang w:val="es-ES_tradnl"/>
        </w:rPr>
        <w:t>.2. Decisi</w:t>
      </w:r>
      <w:r>
        <w:rPr>
          <w:rFonts w:eastAsia="Times New Roman"/>
          <w:b/>
          <w:szCs w:val="24"/>
          <w:lang w:val="es-ES_tradnl"/>
        </w:rPr>
        <w:t>o</w:t>
      </w:r>
      <w:r w:rsidR="00E21C39" w:rsidRPr="00E21C39">
        <w:rPr>
          <w:rFonts w:eastAsia="Times New Roman"/>
          <w:b/>
          <w:szCs w:val="24"/>
          <w:lang w:val="es-ES_tradnl"/>
        </w:rPr>
        <w:t>n</w:t>
      </w:r>
      <w:r>
        <w:rPr>
          <w:rFonts w:eastAsia="Times New Roman"/>
          <w:b/>
          <w:szCs w:val="24"/>
          <w:lang w:val="es-ES_tradnl"/>
        </w:rPr>
        <w:t>es</w:t>
      </w:r>
    </w:p>
    <w:p w14:paraId="4472B818" w14:textId="2E3BDEEA" w:rsidR="005D66A6" w:rsidRDefault="00E21C39" w:rsidP="00691CE9">
      <w:pPr>
        <w:spacing w:after="0"/>
        <w:contextualSpacing/>
        <w:rPr>
          <w:rFonts w:eastAsia="Times New Roman"/>
          <w:szCs w:val="24"/>
          <w:lang w:val="es-ES_tradnl"/>
        </w:rPr>
      </w:pPr>
      <w:bookmarkStart w:id="31" w:name="_Hlk65232430"/>
      <w:r w:rsidRPr="00E21C39">
        <w:rPr>
          <w:rFonts w:eastAsia="Times New Roman"/>
          <w:szCs w:val="24"/>
          <w:lang w:val="es-ES_tradnl"/>
        </w:rPr>
        <w:t xml:space="preserve">Esta Sala Regional </w:t>
      </w:r>
      <w:bookmarkStart w:id="32" w:name="_Hlk58515700"/>
      <w:r w:rsidRPr="00E21C39">
        <w:rPr>
          <w:rFonts w:eastAsia="Times New Roman"/>
          <w:szCs w:val="24"/>
          <w:lang w:val="es-ES_tradnl"/>
        </w:rPr>
        <w:t xml:space="preserve">considera que la sentencia impugnada debe </w:t>
      </w:r>
      <w:r w:rsidR="00EA7D8A">
        <w:rPr>
          <w:rFonts w:eastAsia="Times New Roman"/>
          <w:szCs w:val="24"/>
          <w:lang w:val="es-ES_tradnl"/>
        </w:rPr>
        <w:t>confirmarse</w:t>
      </w:r>
      <w:r w:rsidR="005D66A6">
        <w:rPr>
          <w:rFonts w:eastAsia="Times New Roman"/>
          <w:szCs w:val="24"/>
          <w:lang w:val="es-ES_tradnl"/>
        </w:rPr>
        <w:t xml:space="preserve"> </w:t>
      </w:r>
      <w:r w:rsidR="00D779A9">
        <w:rPr>
          <w:rFonts w:eastAsia="Times New Roman"/>
          <w:szCs w:val="24"/>
          <w:lang w:val="es-ES_tradnl"/>
        </w:rPr>
        <w:t>en atención a lo siguiente</w:t>
      </w:r>
      <w:r w:rsidR="005D66A6">
        <w:rPr>
          <w:rFonts w:eastAsia="Times New Roman"/>
          <w:szCs w:val="24"/>
          <w:lang w:val="es-ES_tradnl"/>
        </w:rPr>
        <w:t>:</w:t>
      </w:r>
    </w:p>
    <w:p w14:paraId="55E003A9" w14:textId="151521FF" w:rsidR="00D63721" w:rsidRPr="00D779A9" w:rsidRDefault="00D779A9" w:rsidP="00D779A9">
      <w:pPr>
        <w:pStyle w:val="Prrafodelista"/>
        <w:numPr>
          <w:ilvl w:val="0"/>
          <w:numId w:val="35"/>
        </w:numPr>
        <w:spacing w:before="240" w:after="240"/>
        <w:contextualSpacing w:val="0"/>
        <w:rPr>
          <w:rFonts w:eastAsia="Times New Roman"/>
          <w:szCs w:val="24"/>
          <w:lang w:val="es-ES_tradnl"/>
        </w:rPr>
      </w:pPr>
      <w:r w:rsidRPr="00D779A9">
        <w:rPr>
          <w:color w:val="000000" w:themeColor="text1"/>
          <w:shd w:val="clear" w:color="auto" w:fill="FFFFFF"/>
        </w:rPr>
        <w:t>La resolución es congruente y exhaustiva pues</w:t>
      </w:r>
      <w:r>
        <w:rPr>
          <w:color w:val="555555"/>
          <w:shd w:val="clear" w:color="auto" w:fill="FFFFFF"/>
        </w:rPr>
        <w:t xml:space="preserve"> </w:t>
      </w:r>
      <w:r w:rsidR="0009333A" w:rsidRPr="00D779A9">
        <w:rPr>
          <w:rFonts w:eastAsia="Calibri" w:cs="Times New Roman"/>
          <w:szCs w:val="22"/>
        </w:rPr>
        <w:t>los planteamientos expuestos en la instancia local fueron atendidos en su totalidad</w:t>
      </w:r>
      <w:bookmarkStart w:id="33" w:name="_Hlk38367372"/>
      <w:r w:rsidR="0009333A" w:rsidRPr="00D779A9">
        <w:rPr>
          <w:rFonts w:eastAsia="Times New Roman"/>
          <w:szCs w:val="24"/>
          <w:lang w:val="es-ES_tradnl"/>
        </w:rPr>
        <w:t xml:space="preserve"> por el </w:t>
      </w:r>
      <w:r w:rsidR="0009333A" w:rsidRPr="00262563">
        <w:rPr>
          <w:rFonts w:eastAsia="Times New Roman"/>
          <w:i/>
          <w:szCs w:val="24"/>
          <w:lang w:val="es-ES_tradnl"/>
        </w:rPr>
        <w:t>Tribunal Local</w:t>
      </w:r>
      <w:r w:rsidR="00691CE9" w:rsidRPr="00D779A9">
        <w:rPr>
          <w:rFonts w:eastAsia="Calibri"/>
          <w:bCs/>
          <w:iCs/>
          <w:szCs w:val="24"/>
        </w:rPr>
        <w:t>.</w:t>
      </w:r>
      <w:bookmarkEnd w:id="33"/>
    </w:p>
    <w:p w14:paraId="0F7F8903" w14:textId="247D8C43" w:rsidR="002337B3" w:rsidRPr="0020669E" w:rsidRDefault="0020669E" w:rsidP="00D779A9">
      <w:pPr>
        <w:pStyle w:val="Prrafodelista"/>
        <w:numPr>
          <w:ilvl w:val="0"/>
          <w:numId w:val="35"/>
        </w:numPr>
        <w:spacing w:before="240" w:after="240"/>
        <w:contextualSpacing w:val="0"/>
        <w:rPr>
          <w:rFonts w:eastAsia="Times New Roman"/>
          <w:szCs w:val="24"/>
          <w:lang w:val="es-ES_tradnl"/>
        </w:rPr>
      </w:pPr>
      <w:bookmarkStart w:id="34" w:name="_Hlk65013794"/>
      <w:r w:rsidRPr="0020669E">
        <w:rPr>
          <w:szCs w:val="24"/>
        </w:rPr>
        <w:t xml:space="preserve">No era obligación del </w:t>
      </w:r>
      <w:r w:rsidRPr="004872F6">
        <w:rPr>
          <w:i/>
          <w:iCs/>
          <w:szCs w:val="24"/>
        </w:rPr>
        <w:t>Instituto Local</w:t>
      </w:r>
      <w:r w:rsidRPr="0020669E">
        <w:rPr>
          <w:szCs w:val="24"/>
        </w:rPr>
        <w:t xml:space="preserve"> formular un nuevo requerimiento</w:t>
      </w:r>
      <w:bookmarkEnd w:id="34"/>
      <w:r w:rsidRPr="0020669E">
        <w:rPr>
          <w:szCs w:val="24"/>
        </w:rPr>
        <w:t>.</w:t>
      </w:r>
    </w:p>
    <w:p w14:paraId="66C5EF5A" w14:textId="357C2B25" w:rsidR="00D779A9" w:rsidRPr="00D779A9" w:rsidRDefault="00D779A9" w:rsidP="00D779A9">
      <w:pPr>
        <w:pStyle w:val="Prrafodelista"/>
        <w:numPr>
          <w:ilvl w:val="0"/>
          <w:numId w:val="35"/>
        </w:numPr>
        <w:spacing w:before="240" w:after="240"/>
        <w:contextualSpacing w:val="0"/>
        <w:rPr>
          <w:rFonts w:eastAsia="Times New Roman"/>
          <w:szCs w:val="24"/>
          <w:lang w:val="es-ES_tradnl"/>
        </w:rPr>
      </w:pPr>
      <w:r w:rsidRPr="00D779A9">
        <w:rPr>
          <w:rFonts w:eastAsia="Calibri"/>
          <w:szCs w:val="24"/>
        </w:rPr>
        <w:t xml:space="preserve">Son ineficaces por novedosos los agravios en los que refiere que el </w:t>
      </w:r>
      <w:r w:rsidRPr="00262563">
        <w:rPr>
          <w:rFonts w:eastAsia="Calibri"/>
          <w:i/>
          <w:iCs/>
          <w:szCs w:val="24"/>
        </w:rPr>
        <w:t>Tribunal Local</w:t>
      </w:r>
      <w:r w:rsidRPr="00D779A9">
        <w:rPr>
          <w:rFonts w:eastAsia="Calibri"/>
          <w:szCs w:val="24"/>
        </w:rPr>
        <w:t xml:space="preserve"> debió tener por cumplido el requisito requerido para la aprobación del convenio con el escrito presentado por </w:t>
      </w:r>
      <w:r>
        <w:rPr>
          <w:rFonts w:eastAsia="Calibri"/>
        </w:rPr>
        <w:t xml:space="preserve">Nueva Alianza Guanajuato y </w:t>
      </w:r>
      <w:r w:rsidRPr="00D779A9">
        <w:rPr>
          <w:rFonts w:eastAsia="Calibri"/>
          <w:szCs w:val="24"/>
        </w:rPr>
        <w:t xml:space="preserve">que no se tomó en cuenta la tesis XXXVI/2002 al invalidar el primer escrito presentado por MORENA y el </w:t>
      </w:r>
      <w:r w:rsidRPr="004F09D6">
        <w:rPr>
          <w:rFonts w:eastAsia="Calibri"/>
          <w:i/>
          <w:iCs/>
          <w:szCs w:val="24"/>
        </w:rPr>
        <w:t>PT</w:t>
      </w:r>
      <w:r>
        <w:rPr>
          <w:rFonts w:eastAsia="Calibri"/>
          <w:szCs w:val="24"/>
        </w:rPr>
        <w:t>.</w:t>
      </w:r>
    </w:p>
    <w:bookmarkEnd w:id="31"/>
    <w:bookmarkEnd w:id="32"/>
    <w:p w14:paraId="7661D43E" w14:textId="385364A4" w:rsidR="00E21C39" w:rsidRPr="00E21C39" w:rsidRDefault="0020669E" w:rsidP="00E21C39">
      <w:pPr>
        <w:spacing w:before="100" w:beforeAutospacing="1" w:after="100" w:afterAutospacing="1"/>
        <w:rPr>
          <w:rFonts w:eastAsia="Times New Roman"/>
          <w:b/>
          <w:szCs w:val="24"/>
          <w:lang w:val="es-ES_tradnl"/>
        </w:rPr>
      </w:pPr>
      <w:r>
        <w:rPr>
          <w:rFonts w:eastAsia="Times New Roman"/>
          <w:b/>
          <w:szCs w:val="24"/>
          <w:lang w:val="es-ES_tradnl"/>
        </w:rPr>
        <w:t>5</w:t>
      </w:r>
      <w:r w:rsidR="00E21C39" w:rsidRPr="00E21C39">
        <w:rPr>
          <w:rFonts w:eastAsia="Times New Roman"/>
          <w:b/>
          <w:szCs w:val="24"/>
          <w:lang w:val="es-ES_tradnl"/>
        </w:rPr>
        <w:t>.3. Justificación de la decisión</w:t>
      </w:r>
    </w:p>
    <w:p w14:paraId="03D90580" w14:textId="6B847F4D" w:rsidR="00AC4296" w:rsidRPr="00AC4296" w:rsidRDefault="0020669E" w:rsidP="00AC4296">
      <w:pPr>
        <w:keepNext/>
        <w:keepLines/>
        <w:spacing w:before="100" w:beforeAutospacing="1" w:after="100" w:afterAutospacing="1"/>
        <w:contextualSpacing/>
        <w:outlineLvl w:val="1"/>
        <w:rPr>
          <w:rFonts w:eastAsia="Times New Roman"/>
          <w:b/>
          <w:bCs/>
          <w:color w:val="000000"/>
          <w:szCs w:val="24"/>
          <w:lang w:val="es-ES_tradnl"/>
        </w:rPr>
      </w:pPr>
      <w:r>
        <w:rPr>
          <w:rFonts w:eastAsia="Times New Roman"/>
          <w:b/>
          <w:bCs/>
          <w:color w:val="000000"/>
          <w:szCs w:val="24"/>
          <w:lang w:val="es-ES_tradnl"/>
        </w:rPr>
        <w:t>5</w:t>
      </w:r>
      <w:r w:rsidR="00AC4296">
        <w:rPr>
          <w:rFonts w:eastAsia="Times New Roman"/>
          <w:b/>
          <w:bCs/>
          <w:color w:val="000000"/>
          <w:szCs w:val="24"/>
          <w:lang w:val="es-ES_tradnl"/>
        </w:rPr>
        <w:t xml:space="preserve">.3.1. </w:t>
      </w:r>
      <w:r w:rsidR="00AC4296" w:rsidRPr="00AC4296">
        <w:rPr>
          <w:rFonts w:eastAsia="Times New Roman"/>
          <w:b/>
          <w:bCs/>
          <w:color w:val="000000"/>
          <w:szCs w:val="24"/>
          <w:lang w:val="es-ES_tradnl"/>
        </w:rPr>
        <w:t>Marco normativo sobre exhaustividad y congruencia</w:t>
      </w:r>
    </w:p>
    <w:p w14:paraId="37B4B513" w14:textId="77777777" w:rsidR="00AC4296" w:rsidRPr="00AC4296" w:rsidRDefault="00AC4296" w:rsidP="00AC4296">
      <w:pPr>
        <w:spacing w:before="100" w:beforeAutospacing="1" w:after="100" w:afterAutospacing="1"/>
        <w:contextualSpacing/>
        <w:rPr>
          <w:rFonts w:eastAsia="Calibri"/>
          <w:bCs/>
          <w:color w:val="000000"/>
          <w:szCs w:val="24"/>
        </w:rPr>
      </w:pPr>
    </w:p>
    <w:p w14:paraId="2A936EDF" w14:textId="77777777" w:rsidR="00AC4296" w:rsidRPr="00AC4296" w:rsidRDefault="00AC4296" w:rsidP="00AC4296">
      <w:pPr>
        <w:spacing w:before="100" w:beforeAutospacing="1" w:after="100" w:afterAutospacing="1"/>
        <w:contextualSpacing/>
        <w:rPr>
          <w:rFonts w:eastAsia="Calibri"/>
          <w:bCs/>
          <w:color w:val="000000"/>
          <w:szCs w:val="24"/>
        </w:rPr>
      </w:pPr>
      <w:r w:rsidRPr="00AC4296">
        <w:rPr>
          <w:rFonts w:eastAsia="Calibri"/>
          <w:bCs/>
          <w:color w:val="000000"/>
          <w:szCs w:val="24"/>
        </w:rPr>
        <w:t>El principio de exhaustividad implica que las autoridades electorales, administrativas y/o jurisdiccionales, en sus resoluciones, están obligadas a estudiar completamente todos y cada uno de los puntos integrantes de las cuestiones o pretensiones sometidas a su conocimiento y no únicamente algún aspecto concreto, por más que lo crean suficiente para sustentar una decisión desestimatoria, así como valorar los medios de prueba aportados o allegados legalmente al proceso, como base para resolver sobre las pretensiones</w:t>
      </w:r>
      <w:r w:rsidRPr="00AC4296">
        <w:rPr>
          <w:rFonts w:eastAsia="Calibri"/>
          <w:bCs/>
          <w:color w:val="000000"/>
          <w:szCs w:val="24"/>
          <w:vertAlign w:val="superscript"/>
        </w:rPr>
        <w:footnoteReference w:id="8"/>
      </w:r>
      <w:r w:rsidRPr="00AC4296">
        <w:rPr>
          <w:rFonts w:eastAsia="Calibri"/>
          <w:bCs/>
          <w:color w:val="000000"/>
          <w:szCs w:val="24"/>
        </w:rPr>
        <w:t>.</w:t>
      </w:r>
    </w:p>
    <w:p w14:paraId="75113A19" w14:textId="77777777" w:rsidR="00AC4296" w:rsidRPr="00AC4296" w:rsidRDefault="00AC4296" w:rsidP="00AC4296">
      <w:pPr>
        <w:spacing w:before="100" w:beforeAutospacing="1" w:after="100" w:afterAutospacing="1"/>
        <w:contextualSpacing/>
        <w:rPr>
          <w:rFonts w:eastAsia="Calibri"/>
          <w:bCs/>
          <w:color w:val="000000"/>
          <w:szCs w:val="24"/>
        </w:rPr>
      </w:pPr>
    </w:p>
    <w:p w14:paraId="30EED029" w14:textId="77777777" w:rsidR="00AC4296" w:rsidRPr="00AC4296" w:rsidRDefault="00AC4296" w:rsidP="00AC4296">
      <w:pPr>
        <w:spacing w:before="100" w:beforeAutospacing="1" w:after="100" w:afterAutospacing="1"/>
        <w:contextualSpacing/>
        <w:rPr>
          <w:rFonts w:eastAsia="Calibri"/>
          <w:bCs/>
          <w:color w:val="000000"/>
          <w:szCs w:val="24"/>
        </w:rPr>
      </w:pPr>
      <w:r w:rsidRPr="00AC4296">
        <w:rPr>
          <w:rFonts w:eastAsia="Calibri"/>
          <w:bCs/>
          <w:color w:val="000000"/>
          <w:szCs w:val="24"/>
        </w:rPr>
        <w:t xml:space="preserve">Al respecto la Sala Superior ha establecido que este principio impone a los juzgadores, el deber de agotar cuidadosamente en la sentencia, todos y cada </w:t>
      </w:r>
      <w:r w:rsidRPr="00AC4296">
        <w:rPr>
          <w:rFonts w:eastAsia="Calibri"/>
          <w:bCs/>
          <w:color w:val="000000"/>
          <w:szCs w:val="24"/>
        </w:rPr>
        <w:lastRenderedPageBreak/>
        <w:t>uno de los planteamientos hechos por las partes durante la integración de la litis, en apoyo de sus pretensiones</w:t>
      </w:r>
      <w:r w:rsidRPr="00AC4296">
        <w:rPr>
          <w:rFonts w:eastAsia="Calibri"/>
          <w:bCs/>
          <w:color w:val="000000"/>
          <w:szCs w:val="24"/>
          <w:vertAlign w:val="superscript"/>
        </w:rPr>
        <w:footnoteReference w:id="9"/>
      </w:r>
      <w:r w:rsidRPr="00AC4296">
        <w:rPr>
          <w:rFonts w:eastAsia="Calibri"/>
          <w:bCs/>
          <w:color w:val="000000"/>
          <w:szCs w:val="24"/>
        </w:rPr>
        <w:t>.</w:t>
      </w:r>
    </w:p>
    <w:p w14:paraId="54B49121" w14:textId="77777777" w:rsidR="00AC4296" w:rsidRPr="00AC4296" w:rsidRDefault="00AC4296" w:rsidP="00AC4296">
      <w:pPr>
        <w:tabs>
          <w:tab w:val="left" w:pos="1134"/>
        </w:tabs>
        <w:spacing w:before="100" w:beforeAutospacing="1" w:after="100" w:afterAutospacing="1"/>
        <w:contextualSpacing/>
        <w:rPr>
          <w:rFonts w:eastAsia="Calibri"/>
          <w:color w:val="000000"/>
          <w:szCs w:val="24"/>
        </w:rPr>
      </w:pPr>
    </w:p>
    <w:p w14:paraId="2E308FD5" w14:textId="77777777" w:rsidR="00AC4296" w:rsidRPr="00AC4296" w:rsidRDefault="00AC4296" w:rsidP="00AC4296">
      <w:pPr>
        <w:tabs>
          <w:tab w:val="left" w:pos="1134"/>
        </w:tabs>
        <w:spacing w:before="100" w:beforeAutospacing="1" w:after="100" w:afterAutospacing="1"/>
        <w:contextualSpacing/>
        <w:rPr>
          <w:rFonts w:eastAsia="Calibri"/>
          <w:color w:val="000000"/>
          <w:szCs w:val="24"/>
        </w:rPr>
      </w:pPr>
      <w:r w:rsidRPr="00AC4296">
        <w:rPr>
          <w:rFonts w:eastAsia="Calibri"/>
          <w:color w:val="000000"/>
          <w:szCs w:val="24"/>
        </w:rPr>
        <w:t>El principio de congruencia consiste en la correspondencia o relación lógica entre lo aducido por las partes, lo considerado y resuelto por la responsable, y consta de dos vertientes, la interna y la externa.</w:t>
      </w:r>
    </w:p>
    <w:p w14:paraId="180AA6FD" w14:textId="77777777" w:rsidR="00AC4296" w:rsidRPr="00AC4296" w:rsidRDefault="00AC4296" w:rsidP="00AC4296">
      <w:pPr>
        <w:tabs>
          <w:tab w:val="left" w:pos="1134"/>
        </w:tabs>
        <w:spacing w:before="100" w:beforeAutospacing="1" w:after="100" w:afterAutospacing="1"/>
        <w:contextualSpacing/>
        <w:rPr>
          <w:rFonts w:eastAsia="Calibri"/>
          <w:color w:val="000000"/>
          <w:szCs w:val="24"/>
        </w:rPr>
      </w:pPr>
    </w:p>
    <w:p w14:paraId="6BB4EBC2" w14:textId="77777777" w:rsidR="00AC4296" w:rsidRPr="00AC4296" w:rsidRDefault="00AC4296" w:rsidP="00AC4296">
      <w:pPr>
        <w:spacing w:before="100" w:beforeAutospacing="1" w:after="100" w:afterAutospacing="1"/>
        <w:contextualSpacing/>
        <w:rPr>
          <w:rFonts w:eastAsia="Times New Roman"/>
          <w:color w:val="000000"/>
          <w:szCs w:val="24"/>
          <w:lang w:eastAsia="es-MX"/>
        </w:rPr>
      </w:pPr>
      <w:r w:rsidRPr="00AC4296">
        <w:rPr>
          <w:rFonts w:eastAsia="Times New Roman"/>
          <w:color w:val="000000"/>
          <w:szCs w:val="24"/>
          <w:lang w:eastAsia="es-MX"/>
        </w:rPr>
        <w:t>La congruencia interna exige que en la resolución no se contengan consideraciones contrarias entre sí o con los puntos resolutivos, y la congruencia externa, impone la plena coincidencia que debe existir entre lo resuelto por la autoridad con la controversia planteada por las partes en el escrito de demanda</w:t>
      </w:r>
      <w:r w:rsidRPr="00AC4296">
        <w:rPr>
          <w:rFonts w:eastAsia="Times New Roman"/>
          <w:bCs/>
          <w:color w:val="000000"/>
          <w:szCs w:val="24"/>
          <w:vertAlign w:val="superscript"/>
          <w:lang w:eastAsia="es-MX"/>
        </w:rPr>
        <w:footnoteReference w:id="10"/>
      </w:r>
      <w:r w:rsidRPr="00AC4296">
        <w:rPr>
          <w:rFonts w:eastAsia="Times New Roman"/>
          <w:color w:val="000000"/>
          <w:szCs w:val="24"/>
          <w:lang w:eastAsia="es-MX"/>
        </w:rPr>
        <w:t>.</w:t>
      </w:r>
    </w:p>
    <w:p w14:paraId="16C565FE" w14:textId="77777777" w:rsidR="00AC4296" w:rsidRPr="00AC4296" w:rsidRDefault="00AC4296" w:rsidP="00AC4296">
      <w:pPr>
        <w:spacing w:before="100" w:beforeAutospacing="1" w:after="100" w:afterAutospacing="1"/>
        <w:contextualSpacing/>
        <w:rPr>
          <w:rFonts w:eastAsia="Times New Roman"/>
          <w:i/>
          <w:color w:val="000000"/>
          <w:szCs w:val="24"/>
          <w:lang w:eastAsia="es-MX"/>
        </w:rPr>
      </w:pPr>
    </w:p>
    <w:p w14:paraId="2DE68622" w14:textId="77777777" w:rsidR="00AC4296" w:rsidRPr="00AC4296" w:rsidRDefault="00AC4296" w:rsidP="00AC4296">
      <w:pPr>
        <w:spacing w:before="100" w:beforeAutospacing="1" w:after="100" w:afterAutospacing="1"/>
        <w:contextualSpacing/>
        <w:rPr>
          <w:rFonts w:eastAsia="Times New Roman"/>
          <w:color w:val="000000"/>
          <w:szCs w:val="24"/>
          <w:lang w:eastAsia="es-MX"/>
        </w:rPr>
      </w:pPr>
      <w:r w:rsidRPr="00AC4296">
        <w:rPr>
          <w:rFonts w:eastAsia="Times New Roman"/>
          <w:color w:val="000000"/>
          <w:szCs w:val="24"/>
          <w:lang w:eastAsia="es-MX"/>
        </w:rPr>
        <w:t xml:space="preserve">Conforme a lo anterior, será incongruente aquella resolución que contenga razonamientos contradictorios o que no exista correspondencia entre éstos y lo resuelto; o bien, omita, rebase o contraríe lo pedido por las partes. </w:t>
      </w:r>
    </w:p>
    <w:p w14:paraId="5EEB7FFB" w14:textId="489A32D9" w:rsidR="00AC4296" w:rsidRPr="00AC4296" w:rsidRDefault="00AC4296" w:rsidP="00AC4296">
      <w:pPr>
        <w:pStyle w:val="Prrafodelista"/>
        <w:numPr>
          <w:ilvl w:val="2"/>
          <w:numId w:val="33"/>
        </w:numPr>
        <w:tabs>
          <w:tab w:val="left" w:pos="2646"/>
        </w:tabs>
        <w:spacing w:before="240" w:after="240"/>
        <w:rPr>
          <w:rFonts w:eastAsia="Calibri"/>
          <w:b/>
          <w:color w:val="000000"/>
          <w:szCs w:val="24"/>
        </w:rPr>
      </w:pPr>
      <w:r w:rsidRPr="00AC4296">
        <w:rPr>
          <w:rFonts w:eastAsia="Calibri"/>
          <w:b/>
          <w:color w:val="000000"/>
          <w:szCs w:val="24"/>
        </w:rPr>
        <w:t>Caso concreto</w:t>
      </w:r>
    </w:p>
    <w:p w14:paraId="176AA756" w14:textId="77777777" w:rsidR="005A0E4B" w:rsidRDefault="00AC4296" w:rsidP="00AC4296">
      <w:pPr>
        <w:tabs>
          <w:tab w:val="left" w:pos="2646"/>
        </w:tabs>
        <w:spacing w:before="240" w:after="240"/>
        <w:rPr>
          <w:rFonts w:eastAsia="Times New Roman"/>
          <w:szCs w:val="24"/>
          <w:lang w:val="es-ES_tradnl"/>
        </w:rPr>
      </w:pPr>
      <w:r w:rsidRPr="00AC4296">
        <w:rPr>
          <w:rFonts w:eastAsia="Calibri"/>
          <w:szCs w:val="22"/>
        </w:rPr>
        <w:t>En su escrito de demanda,</w:t>
      </w:r>
      <w:r w:rsidRPr="00AC4296">
        <w:rPr>
          <w:rFonts w:eastAsia="Calibri"/>
          <w:szCs w:val="24"/>
          <w:lang w:val="es-ES_tradnl"/>
        </w:rPr>
        <w:t xml:space="preserve"> en uno de sus agravios MORENA refiere que la sentencia emitida por el </w:t>
      </w:r>
      <w:r w:rsidRPr="00AC4296">
        <w:rPr>
          <w:rFonts w:eastAsia="Calibri"/>
          <w:i/>
          <w:szCs w:val="24"/>
          <w:lang w:val="es-ES_tradnl"/>
        </w:rPr>
        <w:t>Tribunal Local</w:t>
      </w:r>
      <w:r w:rsidRPr="00AC4296">
        <w:rPr>
          <w:rFonts w:eastAsia="Calibri"/>
          <w:szCs w:val="24"/>
          <w:lang w:val="es-ES_tradnl"/>
        </w:rPr>
        <w:t xml:space="preserve"> no fue </w:t>
      </w:r>
      <w:r w:rsidRPr="00AC4296">
        <w:rPr>
          <w:rFonts w:eastAsia="Calibri"/>
          <w:szCs w:val="22"/>
        </w:rPr>
        <w:t>exhaustiva, toda vez que</w:t>
      </w:r>
      <w:r w:rsidRPr="00AC4296">
        <w:rPr>
          <w:szCs w:val="24"/>
        </w:rPr>
        <w:t xml:space="preserve"> omitió estudiar el argumento señalado en la cuestión previa de su demanda local, </w:t>
      </w:r>
      <w:r w:rsidRPr="00AC4296">
        <w:rPr>
          <w:rFonts w:eastAsia="Calibri"/>
          <w:szCs w:val="24"/>
          <w:lang w:val="es-ES_tradnl"/>
        </w:rPr>
        <w:t>relacionado</w:t>
      </w:r>
      <w:r w:rsidRPr="00AC4296">
        <w:rPr>
          <w:rFonts w:eastAsia="Times New Roman"/>
          <w:szCs w:val="24"/>
          <w:lang w:val="es-ES_tradnl"/>
        </w:rPr>
        <w:t xml:space="preserve"> con la existencia de una causal de fuerza mayor que imposibilitó al partido a presentar en tiempo y forma el escrito con el que se pretendía dar cumplimiento al requerimiento</w:t>
      </w:r>
      <w:r w:rsidR="005A0E4B">
        <w:rPr>
          <w:rFonts w:eastAsia="Times New Roman"/>
          <w:szCs w:val="24"/>
          <w:lang w:val="es-ES_tradnl"/>
        </w:rPr>
        <w:t>.</w:t>
      </w:r>
    </w:p>
    <w:p w14:paraId="244E58EE" w14:textId="274C675A" w:rsidR="00AC4296" w:rsidRPr="00AC4296" w:rsidRDefault="005A0E4B" w:rsidP="00AC4296">
      <w:pPr>
        <w:tabs>
          <w:tab w:val="left" w:pos="2646"/>
        </w:tabs>
        <w:spacing w:before="240" w:after="240"/>
        <w:rPr>
          <w:rFonts w:eastAsia="Calibri"/>
          <w:b/>
          <w:color w:val="000000"/>
          <w:szCs w:val="24"/>
        </w:rPr>
      </w:pPr>
      <w:r>
        <w:rPr>
          <w:rFonts w:eastAsia="Times New Roman"/>
          <w:szCs w:val="24"/>
          <w:lang w:val="es-ES_tradnl"/>
        </w:rPr>
        <w:t xml:space="preserve">Lo que trajo como consecuencia </w:t>
      </w:r>
      <w:r w:rsidR="00AC4296" w:rsidRPr="00AC4296">
        <w:rPr>
          <w:rFonts w:eastAsia="Times New Roman"/>
          <w:szCs w:val="24"/>
          <w:lang w:val="es-ES_tradnl"/>
        </w:rPr>
        <w:t xml:space="preserve">que el </w:t>
      </w:r>
      <w:r w:rsidR="00AC4296" w:rsidRPr="00AC4296">
        <w:rPr>
          <w:rFonts w:eastAsia="Times New Roman"/>
          <w:i/>
          <w:szCs w:val="24"/>
          <w:lang w:val="es-ES_tradnl"/>
        </w:rPr>
        <w:t>Instituto Local</w:t>
      </w:r>
      <w:r w:rsidR="00AC4296" w:rsidRPr="00AC4296">
        <w:rPr>
          <w:rFonts w:eastAsia="Times New Roman"/>
          <w:szCs w:val="24"/>
          <w:lang w:val="es-ES_tradnl"/>
        </w:rPr>
        <w:t xml:space="preserve"> no desahogara los elementos probatorios y las manifestaciones ofrecidas en dicho escrito, </w:t>
      </w:r>
      <w:r w:rsidR="00AC4296" w:rsidRPr="00AC4296">
        <w:rPr>
          <w:szCs w:val="24"/>
        </w:rPr>
        <w:t>resolviendo de manera contraria al criterio contenido en la sentencia ST-JDC-503/2015</w:t>
      </w:r>
      <w:r w:rsidR="00AC4296">
        <w:rPr>
          <w:szCs w:val="24"/>
        </w:rPr>
        <w:t>.</w:t>
      </w:r>
    </w:p>
    <w:p w14:paraId="44AA3FFC" w14:textId="18F3BF24" w:rsidR="005A0E4B" w:rsidRDefault="00AC4296" w:rsidP="00AC4296">
      <w:pPr>
        <w:tabs>
          <w:tab w:val="left" w:pos="2646"/>
        </w:tabs>
        <w:spacing w:before="240" w:after="240"/>
        <w:rPr>
          <w:szCs w:val="24"/>
        </w:rPr>
      </w:pPr>
      <w:r>
        <w:rPr>
          <w:szCs w:val="24"/>
        </w:rPr>
        <w:t xml:space="preserve">Que el </w:t>
      </w:r>
      <w:r w:rsidRPr="00262563">
        <w:rPr>
          <w:i/>
          <w:iCs/>
          <w:szCs w:val="24"/>
        </w:rPr>
        <w:t>Tribunal Local</w:t>
      </w:r>
      <w:r>
        <w:rPr>
          <w:szCs w:val="24"/>
        </w:rPr>
        <w:t xml:space="preserve"> no </w:t>
      </w:r>
      <w:r w:rsidR="001A2852">
        <w:rPr>
          <w:szCs w:val="24"/>
        </w:rPr>
        <w:t>abordó las razones por las cuales es legal y constitucional negar su registro como coalición,</w:t>
      </w:r>
      <w:r w:rsidR="001A2852" w:rsidRPr="0046669B">
        <w:rPr>
          <w:szCs w:val="24"/>
        </w:rPr>
        <w:t xml:space="preserve"> limitándose a transcribir la normativa que según se dejó de observar, sin pronunciarse sobre si fue o no </w:t>
      </w:r>
      <w:r w:rsidR="001A2852" w:rsidRPr="0046669B">
        <w:rPr>
          <w:szCs w:val="24"/>
        </w:rPr>
        <w:lastRenderedPageBreak/>
        <w:t xml:space="preserve">constitucional y legal el </w:t>
      </w:r>
      <w:r w:rsidR="001A2852" w:rsidRPr="0046669B">
        <w:rPr>
          <w:i/>
          <w:szCs w:val="24"/>
        </w:rPr>
        <w:t>Acuerdo</w:t>
      </w:r>
      <w:r w:rsidR="001A2852">
        <w:rPr>
          <w:i/>
          <w:szCs w:val="24"/>
        </w:rPr>
        <w:t>,</w:t>
      </w:r>
      <w:r w:rsidR="001A2852" w:rsidRPr="0046669B">
        <w:rPr>
          <w:szCs w:val="24"/>
        </w:rPr>
        <w:t xml:space="preserve"> </w:t>
      </w:r>
      <w:r w:rsidR="001A2852">
        <w:rPr>
          <w:szCs w:val="24"/>
        </w:rPr>
        <w:t xml:space="preserve">además de que no </w:t>
      </w:r>
      <w:r w:rsidRPr="00705C97">
        <w:rPr>
          <w:szCs w:val="24"/>
        </w:rPr>
        <w:t xml:space="preserve">se pronunció sobre los documentos presentados, refiriendo </w:t>
      </w:r>
      <w:r w:rsidR="00262A8B">
        <w:rPr>
          <w:szCs w:val="24"/>
        </w:rPr>
        <w:t xml:space="preserve">únicamente </w:t>
      </w:r>
      <w:r w:rsidRPr="00705C97">
        <w:rPr>
          <w:szCs w:val="24"/>
        </w:rPr>
        <w:t xml:space="preserve">que </w:t>
      </w:r>
      <w:r w:rsidR="00262A8B">
        <w:rPr>
          <w:szCs w:val="24"/>
        </w:rPr>
        <w:t>el</w:t>
      </w:r>
      <w:r w:rsidRPr="00705C97">
        <w:rPr>
          <w:szCs w:val="24"/>
        </w:rPr>
        <w:t xml:space="preserve"> mismo se exhibi</w:t>
      </w:r>
      <w:r w:rsidR="00262A8B">
        <w:rPr>
          <w:szCs w:val="24"/>
        </w:rPr>
        <w:t>ó</w:t>
      </w:r>
      <w:r w:rsidRPr="00705C97">
        <w:rPr>
          <w:szCs w:val="24"/>
        </w:rPr>
        <w:t xml:space="preserve"> de forma extemporánea</w:t>
      </w:r>
      <w:r w:rsidR="001A2852">
        <w:rPr>
          <w:szCs w:val="24"/>
        </w:rPr>
        <w:t>.</w:t>
      </w:r>
    </w:p>
    <w:p w14:paraId="2C3F1083" w14:textId="375981B7" w:rsidR="00AC4296" w:rsidRDefault="005A0E4B" w:rsidP="00AC4296">
      <w:pPr>
        <w:tabs>
          <w:tab w:val="left" w:pos="2646"/>
        </w:tabs>
        <w:spacing w:before="240" w:after="240"/>
        <w:rPr>
          <w:rFonts w:eastAsia="Calibri"/>
          <w:szCs w:val="24"/>
          <w:lang w:val="es-ES_tradnl"/>
        </w:rPr>
      </w:pPr>
      <w:r>
        <w:rPr>
          <w:szCs w:val="24"/>
        </w:rPr>
        <w:t xml:space="preserve">Asimismo, refiere que el </w:t>
      </w:r>
      <w:r w:rsidRPr="005A0E4B">
        <w:rPr>
          <w:i/>
          <w:szCs w:val="24"/>
        </w:rPr>
        <w:t>Tribunal Local</w:t>
      </w:r>
      <w:r w:rsidR="00AC4296" w:rsidRPr="00705C97">
        <w:rPr>
          <w:szCs w:val="24"/>
        </w:rPr>
        <w:t xml:space="preserve"> no hace un pronunciamiento sobre el motivo que originó el requerimiento</w:t>
      </w:r>
      <w:r w:rsidR="00AC4296">
        <w:rPr>
          <w:szCs w:val="24"/>
        </w:rPr>
        <w:t>.</w:t>
      </w:r>
    </w:p>
    <w:p w14:paraId="0A694909" w14:textId="65D89B58" w:rsidR="00AC4296" w:rsidRPr="00DF6E13" w:rsidRDefault="00AC4296" w:rsidP="00AC4296">
      <w:pPr>
        <w:spacing w:before="100" w:beforeAutospacing="1" w:after="100" w:afterAutospacing="1"/>
        <w:rPr>
          <w:rFonts w:eastAsia="Calibri"/>
          <w:szCs w:val="22"/>
        </w:rPr>
      </w:pPr>
      <w:r>
        <w:rPr>
          <w:rFonts w:eastAsia="Calibri"/>
          <w:szCs w:val="22"/>
        </w:rPr>
        <w:t xml:space="preserve">De lo anterior, se </w:t>
      </w:r>
      <w:r w:rsidRPr="00E21C39">
        <w:rPr>
          <w:rFonts w:eastAsia="Calibri"/>
          <w:szCs w:val="22"/>
        </w:rPr>
        <w:t xml:space="preserve">puede concluir que su intención es evidenciar que el </w:t>
      </w:r>
      <w:r w:rsidRPr="00262563">
        <w:rPr>
          <w:rFonts w:eastAsia="Calibri"/>
          <w:i/>
          <w:iCs/>
          <w:szCs w:val="22"/>
        </w:rPr>
        <w:t>Tribunal local</w:t>
      </w:r>
      <w:r w:rsidRPr="00E21C39">
        <w:rPr>
          <w:rFonts w:eastAsia="Calibri"/>
          <w:szCs w:val="22"/>
        </w:rPr>
        <w:t xml:space="preserve"> no realizó un análisis sobre </w:t>
      </w:r>
      <w:r w:rsidR="00262A8B">
        <w:rPr>
          <w:rFonts w:eastAsia="Calibri"/>
          <w:szCs w:val="22"/>
        </w:rPr>
        <w:t>sus</w:t>
      </w:r>
      <w:r w:rsidRPr="00E21C39">
        <w:rPr>
          <w:rFonts w:eastAsia="Calibri"/>
          <w:szCs w:val="22"/>
        </w:rPr>
        <w:t xml:space="preserve"> agravios relacionados </w:t>
      </w:r>
      <w:r>
        <w:rPr>
          <w:rFonts w:eastAsia="Calibri"/>
          <w:szCs w:val="22"/>
        </w:rPr>
        <w:t>con:</w:t>
      </w:r>
    </w:p>
    <w:p w14:paraId="042390C6" w14:textId="3E4CB7DC" w:rsidR="00AC4296" w:rsidRPr="00DF6E13" w:rsidRDefault="00AC4296" w:rsidP="00AC4296">
      <w:pPr>
        <w:pStyle w:val="Prrafodelista"/>
        <w:numPr>
          <w:ilvl w:val="0"/>
          <w:numId w:val="23"/>
        </w:numPr>
        <w:spacing w:before="100" w:beforeAutospacing="1" w:after="100" w:afterAutospacing="1"/>
        <w:rPr>
          <w:rFonts w:eastAsia="Calibri"/>
          <w:szCs w:val="22"/>
        </w:rPr>
      </w:pPr>
      <w:bookmarkStart w:id="35" w:name="_Hlk64480755"/>
      <w:r>
        <w:rPr>
          <w:rFonts w:eastAsia="Calibri"/>
          <w:szCs w:val="22"/>
        </w:rPr>
        <w:t xml:space="preserve">La </w:t>
      </w:r>
      <w:r w:rsidRPr="00DF6E13">
        <w:rPr>
          <w:rFonts w:eastAsia="Calibri"/>
          <w:szCs w:val="22"/>
        </w:rPr>
        <w:t>causa de fuera mayor que imposibilitó a MORENA a dar cumplimiento en tiempo y forma</w:t>
      </w:r>
      <w:r w:rsidR="00262A8B">
        <w:rPr>
          <w:rFonts w:eastAsia="Calibri"/>
          <w:szCs w:val="22"/>
        </w:rPr>
        <w:t xml:space="preserve"> al requerimiento</w:t>
      </w:r>
      <w:r w:rsidR="0066243B">
        <w:rPr>
          <w:rFonts w:eastAsia="Calibri"/>
          <w:szCs w:val="22"/>
        </w:rPr>
        <w:t xml:space="preserve"> y si este era legal</w:t>
      </w:r>
      <w:r>
        <w:rPr>
          <w:rFonts w:eastAsia="Calibri"/>
          <w:i/>
          <w:szCs w:val="22"/>
        </w:rPr>
        <w:t>.</w:t>
      </w:r>
    </w:p>
    <w:p w14:paraId="6375BFBD" w14:textId="75A44101" w:rsidR="00AC4296" w:rsidRDefault="00AC4296" w:rsidP="00AC4296">
      <w:pPr>
        <w:pStyle w:val="Prrafodelista"/>
        <w:numPr>
          <w:ilvl w:val="0"/>
          <w:numId w:val="23"/>
        </w:numPr>
        <w:spacing w:before="100" w:beforeAutospacing="1" w:after="100" w:afterAutospacing="1"/>
        <w:rPr>
          <w:rFonts w:eastAsia="Calibri"/>
          <w:szCs w:val="22"/>
        </w:rPr>
      </w:pPr>
      <w:r>
        <w:rPr>
          <w:rFonts w:eastAsia="Calibri"/>
          <w:szCs w:val="22"/>
        </w:rPr>
        <w:t>L</w:t>
      </w:r>
      <w:r w:rsidRPr="00DF6E13">
        <w:rPr>
          <w:rFonts w:eastAsia="Calibri"/>
          <w:szCs w:val="22"/>
        </w:rPr>
        <w:t xml:space="preserve">a valoración </w:t>
      </w:r>
      <w:r>
        <w:rPr>
          <w:rFonts w:eastAsia="Calibri"/>
          <w:szCs w:val="22"/>
        </w:rPr>
        <w:t>d</w:t>
      </w:r>
      <w:r w:rsidRPr="00DF6E13">
        <w:rPr>
          <w:rFonts w:eastAsia="Calibri"/>
          <w:szCs w:val="22"/>
        </w:rPr>
        <w:t>e</w:t>
      </w:r>
      <w:r w:rsidR="0066243B">
        <w:rPr>
          <w:rFonts w:eastAsia="Calibri"/>
          <w:szCs w:val="22"/>
        </w:rPr>
        <w:t xml:space="preserve"> </w:t>
      </w:r>
      <w:r w:rsidRPr="00DF6E13">
        <w:rPr>
          <w:rFonts w:eastAsia="Calibri"/>
          <w:szCs w:val="22"/>
        </w:rPr>
        <w:t>l</w:t>
      </w:r>
      <w:r w:rsidR="0066243B">
        <w:rPr>
          <w:rFonts w:eastAsia="Calibri"/>
          <w:szCs w:val="22"/>
        </w:rPr>
        <w:t>os</w:t>
      </w:r>
      <w:r w:rsidRPr="00DF6E13">
        <w:rPr>
          <w:rFonts w:eastAsia="Calibri"/>
          <w:szCs w:val="22"/>
        </w:rPr>
        <w:t xml:space="preserve"> documento</w:t>
      </w:r>
      <w:r w:rsidR="0066243B">
        <w:rPr>
          <w:rFonts w:eastAsia="Calibri"/>
          <w:szCs w:val="22"/>
        </w:rPr>
        <w:t>s</w:t>
      </w:r>
      <w:r w:rsidRPr="00DF6E13">
        <w:rPr>
          <w:rFonts w:eastAsia="Calibri"/>
          <w:szCs w:val="22"/>
        </w:rPr>
        <w:t xml:space="preserve"> </w:t>
      </w:r>
      <w:r>
        <w:rPr>
          <w:rFonts w:eastAsia="Calibri"/>
          <w:szCs w:val="22"/>
        </w:rPr>
        <w:t>exhibido</w:t>
      </w:r>
      <w:r w:rsidR="0066243B">
        <w:rPr>
          <w:rFonts w:eastAsia="Calibri"/>
          <w:szCs w:val="22"/>
        </w:rPr>
        <w:t>s</w:t>
      </w:r>
      <w:r>
        <w:rPr>
          <w:rFonts w:eastAsia="Calibri"/>
          <w:szCs w:val="22"/>
        </w:rPr>
        <w:t xml:space="preserve"> con </w:t>
      </w:r>
      <w:r w:rsidR="0066243B">
        <w:rPr>
          <w:rFonts w:eastAsia="Calibri"/>
          <w:szCs w:val="22"/>
        </w:rPr>
        <w:t>los</w:t>
      </w:r>
      <w:r>
        <w:rPr>
          <w:rFonts w:eastAsia="Calibri"/>
          <w:szCs w:val="22"/>
        </w:rPr>
        <w:t xml:space="preserve"> que se pretendía dar cumplimiento</w:t>
      </w:r>
      <w:r w:rsidR="0066243B">
        <w:rPr>
          <w:rFonts w:eastAsia="Calibri"/>
          <w:szCs w:val="22"/>
        </w:rPr>
        <w:t xml:space="preserve"> al requerimiento</w:t>
      </w:r>
      <w:r>
        <w:rPr>
          <w:rFonts w:eastAsia="Calibri"/>
          <w:szCs w:val="22"/>
        </w:rPr>
        <w:t>.</w:t>
      </w:r>
      <w:r w:rsidRPr="00DF6E13">
        <w:rPr>
          <w:rFonts w:eastAsia="Calibri"/>
          <w:szCs w:val="22"/>
        </w:rPr>
        <w:t xml:space="preserve"> </w:t>
      </w:r>
    </w:p>
    <w:p w14:paraId="37499E43" w14:textId="6AE465A4" w:rsidR="00AC4296" w:rsidRPr="00DF6E13" w:rsidRDefault="00374820" w:rsidP="00AC4296">
      <w:pPr>
        <w:pStyle w:val="Prrafodelista"/>
        <w:numPr>
          <w:ilvl w:val="0"/>
          <w:numId w:val="23"/>
        </w:numPr>
        <w:spacing w:before="100" w:beforeAutospacing="1" w:after="100" w:afterAutospacing="1"/>
        <w:rPr>
          <w:rFonts w:eastAsia="Calibri"/>
          <w:szCs w:val="22"/>
        </w:rPr>
      </w:pPr>
      <w:r>
        <w:rPr>
          <w:szCs w:val="24"/>
        </w:rPr>
        <w:t xml:space="preserve">Sí el tribunal expuso las razones por las que el </w:t>
      </w:r>
      <w:r w:rsidRPr="004872F6">
        <w:rPr>
          <w:i/>
          <w:iCs/>
          <w:szCs w:val="24"/>
        </w:rPr>
        <w:t>Instituto Local</w:t>
      </w:r>
      <w:r>
        <w:rPr>
          <w:szCs w:val="24"/>
        </w:rPr>
        <w:t xml:space="preserve"> negó su registro como coalición</w:t>
      </w:r>
      <w:bookmarkEnd w:id="35"/>
      <w:r w:rsidR="00AC4296">
        <w:rPr>
          <w:rFonts w:eastAsia="Calibri"/>
          <w:szCs w:val="22"/>
        </w:rPr>
        <w:t>.</w:t>
      </w:r>
    </w:p>
    <w:p w14:paraId="267E06F8" w14:textId="5E9D8EAA" w:rsidR="00E21C39" w:rsidRPr="00E21C39" w:rsidRDefault="00483762" w:rsidP="00E21C39">
      <w:pPr>
        <w:spacing w:before="100" w:beforeAutospacing="1" w:after="100" w:afterAutospacing="1"/>
        <w:rPr>
          <w:rFonts w:eastAsia="Times New Roman"/>
          <w:b/>
          <w:szCs w:val="24"/>
          <w:lang w:val="es-ES_tradnl"/>
        </w:rPr>
      </w:pPr>
      <w:r>
        <w:rPr>
          <w:rFonts w:eastAsia="Times New Roman"/>
          <w:b/>
          <w:szCs w:val="24"/>
          <w:lang w:val="es-ES_tradnl"/>
        </w:rPr>
        <w:t>5</w:t>
      </w:r>
      <w:r w:rsidR="00E21C39" w:rsidRPr="00E21C39">
        <w:rPr>
          <w:rFonts w:eastAsia="Times New Roman"/>
          <w:b/>
          <w:szCs w:val="24"/>
          <w:lang w:val="es-ES_tradnl"/>
        </w:rPr>
        <w:t>.3.</w:t>
      </w:r>
      <w:r>
        <w:rPr>
          <w:rFonts w:eastAsia="Times New Roman"/>
          <w:b/>
          <w:szCs w:val="24"/>
          <w:lang w:val="es-ES_tradnl"/>
        </w:rPr>
        <w:t>2.</w:t>
      </w:r>
      <w:r w:rsidR="00E21C39" w:rsidRPr="00E21C39">
        <w:rPr>
          <w:rFonts w:eastAsia="Times New Roman"/>
          <w:b/>
          <w:szCs w:val="24"/>
          <w:lang w:val="es-ES_tradnl"/>
        </w:rPr>
        <w:t xml:space="preserve">1. El </w:t>
      </w:r>
      <w:r w:rsidR="00E21C39" w:rsidRPr="00E21C39">
        <w:rPr>
          <w:rFonts w:eastAsia="Times New Roman"/>
          <w:b/>
          <w:i/>
          <w:szCs w:val="24"/>
          <w:lang w:val="es-ES_tradnl"/>
        </w:rPr>
        <w:t xml:space="preserve">Tribunal </w:t>
      </w:r>
      <w:r w:rsidR="00F9405B" w:rsidRPr="008E791C">
        <w:rPr>
          <w:rFonts w:eastAsia="Times New Roman"/>
          <w:b/>
          <w:i/>
          <w:szCs w:val="24"/>
          <w:lang w:val="es-ES_tradnl"/>
        </w:rPr>
        <w:t>L</w:t>
      </w:r>
      <w:r w:rsidR="00E21C39" w:rsidRPr="00E21C39">
        <w:rPr>
          <w:rFonts w:eastAsia="Times New Roman"/>
          <w:b/>
          <w:i/>
          <w:szCs w:val="24"/>
          <w:lang w:val="es-ES_tradnl"/>
        </w:rPr>
        <w:t>ocal</w:t>
      </w:r>
      <w:r w:rsidR="00E21C39" w:rsidRPr="00E21C39">
        <w:rPr>
          <w:rFonts w:eastAsia="Times New Roman"/>
          <w:b/>
          <w:szCs w:val="24"/>
          <w:lang w:val="es-ES_tradnl"/>
        </w:rPr>
        <w:t xml:space="preserve"> </w:t>
      </w:r>
      <w:r w:rsidR="002F59C1">
        <w:rPr>
          <w:rFonts w:eastAsia="Times New Roman"/>
          <w:b/>
          <w:szCs w:val="24"/>
          <w:lang w:val="es-ES_tradnl"/>
        </w:rPr>
        <w:t>sí fue exhaustivo</w:t>
      </w:r>
      <w:r w:rsidR="00374820">
        <w:rPr>
          <w:rFonts w:eastAsia="Times New Roman"/>
          <w:b/>
          <w:szCs w:val="24"/>
          <w:lang w:val="es-ES_tradnl"/>
        </w:rPr>
        <w:t xml:space="preserve"> y congruente</w:t>
      </w:r>
    </w:p>
    <w:p w14:paraId="162FF658" w14:textId="2DF30B4E" w:rsidR="00524838" w:rsidRPr="00524838" w:rsidRDefault="00524838" w:rsidP="00524838">
      <w:pPr>
        <w:shd w:val="clear" w:color="auto" w:fill="FFFFFF"/>
        <w:spacing w:before="100" w:beforeAutospacing="1" w:after="100" w:afterAutospacing="1"/>
        <w:rPr>
          <w:rFonts w:eastAsia="Calibri"/>
          <w:bCs/>
          <w:color w:val="000000"/>
          <w:szCs w:val="24"/>
        </w:rPr>
      </w:pPr>
      <w:r w:rsidRPr="00524838">
        <w:rPr>
          <w:rFonts w:eastAsia="Calibri"/>
          <w:b/>
          <w:bCs/>
          <w:color w:val="000000"/>
          <w:szCs w:val="24"/>
        </w:rPr>
        <w:t>No le asiste la razón</w:t>
      </w:r>
      <w:r w:rsidR="00455F7F">
        <w:rPr>
          <w:rFonts w:eastAsia="Calibri"/>
          <w:b/>
          <w:bCs/>
          <w:color w:val="000000"/>
          <w:szCs w:val="24"/>
        </w:rPr>
        <w:t xml:space="preserve"> a MORENA</w:t>
      </w:r>
      <w:r w:rsidRPr="00524838">
        <w:rPr>
          <w:rFonts w:eastAsia="Calibri"/>
          <w:bCs/>
          <w:color w:val="000000"/>
          <w:szCs w:val="24"/>
        </w:rPr>
        <w:t xml:space="preserve">, toda vez que del análisis efectuado al juicio ciudadano interpuesto ante el </w:t>
      </w:r>
      <w:r w:rsidR="00262563" w:rsidRPr="00262563">
        <w:rPr>
          <w:rFonts w:eastAsia="Calibri"/>
          <w:bCs/>
          <w:i/>
          <w:iCs/>
          <w:color w:val="000000"/>
          <w:szCs w:val="24"/>
        </w:rPr>
        <w:t>T</w:t>
      </w:r>
      <w:r w:rsidRPr="00262563">
        <w:rPr>
          <w:rFonts w:eastAsia="Calibri"/>
          <w:bCs/>
          <w:i/>
          <w:iCs/>
          <w:color w:val="000000"/>
          <w:szCs w:val="24"/>
        </w:rPr>
        <w:t xml:space="preserve">ribunal </w:t>
      </w:r>
      <w:r w:rsidR="00262563" w:rsidRPr="00262563">
        <w:rPr>
          <w:rFonts w:eastAsia="Calibri"/>
          <w:bCs/>
          <w:i/>
          <w:iCs/>
          <w:color w:val="000000"/>
          <w:szCs w:val="24"/>
        </w:rPr>
        <w:t>Local</w:t>
      </w:r>
      <w:r w:rsidRPr="00524838">
        <w:rPr>
          <w:rFonts w:eastAsia="Calibri"/>
          <w:bCs/>
          <w:color w:val="000000"/>
          <w:szCs w:val="24"/>
        </w:rPr>
        <w:t xml:space="preserve"> y a la sentencia que se impugna, se advierte claramente que </w:t>
      </w:r>
      <w:r w:rsidR="00262563">
        <w:rPr>
          <w:rFonts w:eastAsia="Calibri"/>
          <w:bCs/>
          <w:color w:val="000000"/>
          <w:szCs w:val="24"/>
        </w:rPr>
        <w:t>éste</w:t>
      </w:r>
      <w:r w:rsidRPr="00524838">
        <w:rPr>
          <w:rFonts w:eastAsia="Calibri"/>
          <w:bCs/>
          <w:color w:val="000000"/>
          <w:szCs w:val="24"/>
        </w:rPr>
        <w:t xml:space="preserve"> atendió los argumentos que </w:t>
      </w:r>
      <w:r w:rsidR="009E7E8A">
        <w:rPr>
          <w:rFonts w:eastAsia="Calibri"/>
          <w:bCs/>
          <w:color w:val="000000"/>
          <w:szCs w:val="24"/>
        </w:rPr>
        <w:t>se le plantearon</w:t>
      </w:r>
      <w:r w:rsidRPr="00524838">
        <w:rPr>
          <w:rFonts w:eastAsia="Calibri"/>
          <w:bCs/>
          <w:color w:val="000000"/>
          <w:szCs w:val="24"/>
        </w:rPr>
        <w:t>.</w:t>
      </w:r>
    </w:p>
    <w:p w14:paraId="7D02D33C" w14:textId="7D0F8CA0" w:rsidR="00862199" w:rsidRDefault="00524838" w:rsidP="00524838">
      <w:pPr>
        <w:shd w:val="clear" w:color="auto" w:fill="FFFFFF"/>
        <w:spacing w:before="100" w:beforeAutospacing="1" w:after="100" w:afterAutospacing="1"/>
        <w:rPr>
          <w:rFonts w:eastAsia="Calibri"/>
          <w:bCs/>
          <w:color w:val="000000"/>
          <w:szCs w:val="24"/>
        </w:rPr>
      </w:pPr>
      <w:r w:rsidRPr="00524838">
        <w:rPr>
          <w:rFonts w:eastAsia="Calibri"/>
          <w:bCs/>
          <w:color w:val="000000"/>
          <w:szCs w:val="24"/>
        </w:rPr>
        <w:t>En concreto</w:t>
      </w:r>
      <w:r w:rsidR="00B32940">
        <w:rPr>
          <w:rFonts w:eastAsia="Calibri"/>
          <w:bCs/>
          <w:color w:val="000000"/>
          <w:szCs w:val="24"/>
        </w:rPr>
        <w:t xml:space="preserve">, </w:t>
      </w:r>
      <w:r w:rsidRPr="00524838">
        <w:rPr>
          <w:rFonts w:eastAsia="Calibri"/>
          <w:bCs/>
          <w:color w:val="000000"/>
          <w:szCs w:val="24"/>
        </w:rPr>
        <w:t xml:space="preserve">en la instancia local hizo valer los siguientes argumentos: </w:t>
      </w:r>
    </w:p>
    <w:p w14:paraId="45E8B8A7" w14:textId="4E74A87B" w:rsidR="00862199" w:rsidRPr="00862199" w:rsidRDefault="00862199" w:rsidP="00862199">
      <w:pPr>
        <w:pStyle w:val="Prrafodelista"/>
        <w:numPr>
          <w:ilvl w:val="0"/>
          <w:numId w:val="24"/>
        </w:numPr>
        <w:shd w:val="clear" w:color="auto" w:fill="FFFFFF"/>
        <w:spacing w:before="100" w:beforeAutospacing="1" w:after="100" w:afterAutospacing="1"/>
        <w:rPr>
          <w:rFonts w:eastAsia="Calibri"/>
          <w:bCs/>
          <w:color w:val="000000"/>
          <w:szCs w:val="24"/>
        </w:rPr>
      </w:pPr>
      <w:r w:rsidRPr="00862199">
        <w:rPr>
          <w:szCs w:val="24"/>
        </w:rPr>
        <w:t xml:space="preserve">Que derivado de una causal de fuerza mayor existió una dilación ajena a MORENA razón por la que no fue posible presentar el escrito de cumplimiento al requerimiento en el plazo otorgado por el </w:t>
      </w:r>
      <w:r w:rsidRPr="00862199">
        <w:rPr>
          <w:i/>
          <w:szCs w:val="24"/>
        </w:rPr>
        <w:t>Instituto Local</w:t>
      </w:r>
      <w:r w:rsidR="0066243B">
        <w:rPr>
          <w:szCs w:val="24"/>
        </w:rPr>
        <w:t>.</w:t>
      </w:r>
      <w:r w:rsidRPr="00862199">
        <w:rPr>
          <w:rFonts w:asciiTheme="minorHAnsi" w:hAnsiTheme="minorHAnsi" w:cstheme="minorBidi"/>
          <w:sz w:val="22"/>
          <w:szCs w:val="22"/>
          <w:vertAlign w:val="superscript"/>
        </w:rPr>
        <w:footnoteReference w:id="11"/>
      </w:r>
      <w:r w:rsidRPr="00862199">
        <w:rPr>
          <w:szCs w:val="24"/>
        </w:rPr>
        <w:t xml:space="preserve"> </w:t>
      </w:r>
    </w:p>
    <w:p w14:paraId="490A4EEE" w14:textId="546D9782" w:rsidR="00524838" w:rsidRPr="00793FF5" w:rsidRDefault="00862199" w:rsidP="00862199">
      <w:pPr>
        <w:pStyle w:val="Prrafodelista"/>
        <w:numPr>
          <w:ilvl w:val="0"/>
          <w:numId w:val="24"/>
        </w:numPr>
        <w:shd w:val="clear" w:color="auto" w:fill="FFFFFF"/>
        <w:spacing w:before="100" w:beforeAutospacing="1" w:after="100" w:afterAutospacing="1"/>
        <w:rPr>
          <w:rFonts w:eastAsia="Calibri"/>
          <w:bCs/>
          <w:color w:val="000000"/>
          <w:szCs w:val="24"/>
        </w:rPr>
      </w:pPr>
      <w:r>
        <w:rPr>
          <w:szCs w:val="24"/>
        </w:rPr>
        <w:t>Que al</w:t>
      </w:r>
      <w:r w:rsidRPr="00862199">
        <w:rPr>
          <w:szCs w:val="24"/>
        </w:rPr>
        <w:t xml:space="preserve"> considerar</w:t>
      </w:r>
      <w:r>
        <w:rPr>
          <w:szCs w:val="24"/>
        </w:rPr>
        <w:t xml:space="preserve"> </w:t>
      </w:r>
      <w:r w:rsidRPr="00862199">
        <w:rPr>
          <w:szCs w:val="24"/>
        </w:rPr>
        <w:t>extemporáneo</w:t>
      </w:r>
      <w:r>
        <w:rPr>
          <w:szCs w:val="24"/>
        </w:rPr>
        <w:t xml:space="preserve"> el escrito</w:t>
      </w:r>
      <w:r w:rsidRPr="00862199">
        <w:rPr>
          <w:szCs w:val="24"/>
        </w:rPr>
        <w:t xml:space="preserve">, </w:t>
      </w:r>
      <w:r w:rsidR="00374820">
        <w:rPr>
          <w:szCs w:val="24"/>
        </w:rPr>
        <w:t xml:space="preserve">el </w:t>
      </w:r>
      <w:r w:rsidR="00374820" w:rsidRPr="004872F6">
        <w:rPr>
          <w:i/>
          <w:iCs/>
          <w:szCs w:val="24"/>
        </w:rPr>
        <w:t>Instituto local</w:t>
      </w:r>
      <w:r w:rsidR="00374820">
        <w:rPr>
          <w:szCs w:val="24"/>
        </w:rPr>
        <w:t xml:space="preserve"> </w:t>
      </w:r>
      <w:r w:rsidRPr="00862199">
        <w:rPr>
          <w:szCs w:val="24"/>
        </w:rPr>
        <w:t>omitió apreciar los argumentos vertidos en su respuesta,</w:t>
      </w:r>
      <w:r w:rsidR="00374820">
        <w:rPr>
          <w:szCs w:val="24"/>
        </w:rPr>
        <w:t xml:space="preserve"> con las que se pretendía evidenciar que sí cumplieron con los requisitos para que se les otorgara el registro como coalición</w:t>
      </w:r>
      <w:r w:rsidR="00793FF5">
        <w:rPr>
          <w:szCs w:val="24"/>
        </w:rPr>
        <w:t>.</w:t>
      </w:r>
    </w:p>
    <w:p w14:paraId="611FF753" w14:textId="4FC57102" w:rsidR="00524838" w:rsidRDefault="00524838" w:rsidP="00524838">
      <w:pPr>
        <w:shd w:val="clear" w:color="auto" w:fill="FFFFFF"/>
        <w:spacing w:before="100" w:beforeAutospacing="1" w:after="100" w:afterAutospacing="1"/>
        <w:rPr>
          <w:rFonts w:eastAsia="Calibri"/>
          <w:bCs/>
          <w:color w:val="000000"/>
          <w:szCs w:val="24"/>
        </w:rPr>
      </w:pPr>
      <w:r w:rsidRPr="00524838">
        <w:rPr>
          <w:rFonts w:eastAsia="Calibri"/>
          <w:bCs/>
          <w:color w:val="000000"/>
          <w:szCs w:val="24"/>
        </w:rPr>
        <w:t xml:space="preserve">Por su parte, el </w:t>
      </w:r>
      <w:r w:rsidR="00262563" w:rsidRPr="00262563">
        <w:rPr>
          <w:rFonts w:eastAsia="Calibri"/>
          <w:bCs/>
          <w:i/>
          <w:iCs/>
          <w:color w:val="000000"/>
          <w:szCs w:val="24"/>
        </w:rPr>
        <w:t>T</w:t>
      </w:r>
      <w:r w:rsidRPr="00262563">
        <w:rPr>
          <w:rFonts w:eastAsia="Calibri"/>
          <w:bCs/>
          <w:i/>
          <w:iCs/>
          <w:color w:val="000000"/>
          <w:szCs w:val="24"/>
        </w:rPr>
        <w:t xml:space="preserve">ribunal </w:t>
      </w:r>
      <w:r w:rsidR="00374820" w:rsidRPr="00262563">
        <w:rPr>
          <w:rFonts w:eastAsia="Calibri"/>
          <w:bCs/>
          <w:i/>
          <w:iCs/>
          <w:color w:val="000000"/>
          <w:szCs w:val="24"/>
        </w:rPr>
        <w:t>Local</w:t>
      </w:r>
      <w:r w:rsidR="00374820">
        <w:rPr>
          <w:rFonts w:eastAsia="Calibri"/>
          <w:bCs/>
          <w:color w:val="000000"/>
          <w:szCs w:val="24"/>
        </w:rPr>
        <w:t xml:space="preserve"> sostuvo lo siguiente en su </w:t>
      </w:r>
      <w:r w:rsidR="009E7E8A">
        <w:rPr>
          <w:rFonts w:eastAsia="Calibri"/>
          <w:bCs/>
          <w:color w:val="000000"/>
          <w:szCs w:val="24"/>
        </w:rPr>
        <w:t>sentencia</w:t>
      </w:r>
      <w:r w:rsidRPr="00524838">
        <w:rPr>
          <w:rFonts w:eastAsia="Calibri"/>
          <w:bCs/>
          <w:color w:val="000000"/>
          <w:szCs w:val="24"/>
        </w:rPr>
        <w:t>:</w:t>
      </w:r>
    </w:p>
    <w:p w14:paraId="11EA83AC" w14:textId="2D698700" w:rsidR="004643EF" w:rsidRPr="004B2050" w:rsidRDefault="004B2050" w:rsidP="004B2050">
      <w:pPr>
        <w:spacing w:before="240" w:after="240"/>
        <w:rPr>
          <w:szCs w:val="24"/>
        </w:rPr>
      </w:pPr>
      <w:r>
        <w:rPr>
          <w:rFonts w:eastAsia="Calibri"/>
          <w:bCs/>
          <w:color w:val="000000"/>
          <w:szCs w:val="24"/>
        </w:rPr>
        <w:t xml:space="preserve">1. </w:t>
      </w:r>
      <w:r w:rsidR="00374820" w:rsidRPr="004B2050">
        <w:rPr>
          <w:rFonts w:eastAsia="Calibri"/>
          <w:bCs/>
          <w:color w:val="000000"/>
          <w:szCs w:val="24"/>
        </w:rPr>
        <w:t xml:space="preserve">En primer término, </w:t>
      </w:r>
      <w:r w:rsidR="004643EF" w:rsidRPr="004B2050">
        <w:rPr>
          <w:rFonts w:eastAsia="Calibri"/>
          <w:bCs/>
          <w:color w:val="000000"/>
          <w:szCs w:val="24"/>
        </w:rPr>
        <w:t>en el apartado 3.12. estableció un marco normativo en el que señaló los requisitos que debían cumplir los partidos que quisieren conformar una colación</w:t>
      </w:r>
      <w:r w:rsidR="004643EF">
        <w:rPr>
          <w:rStyle w:val="Refdenotaalpie"/>
          <w:rFonts w:eastAsia="Calibri"/>
          <w:bCs/>
          <w:color w:val="000000"/>
          <w:szCs w:val="24"/>
        </w:rPr>
        <w:footnoteReference w:id="12"/>
      </w:r>
      <w:r w:rsidR="004643EF" w:rsidRPr="004B2050">
        <w:rPr>
          <w:rFonts w:eastAsia="Calibri"/>
          <w:bCs/>
          <w:color w:val="000000"/>
          <w:szCs w:val="24"/>
        </w:rPr>
        <w:t xml:space="preserve">, asimismo, hizo referencia al considerando 6 del </w:t>
      </w:r>
      <w:r w:rsidR="004643EF" w:rsidRPr="004B2050">
        <w:rPr>
          <w:rFonts w:eastAsia="Calibri"/>
          <w:bCs/>
          <w:i/>
          <w:color w:val="000000"/>
          <w:szCs w:val="24"/>
        </w:rPr>
        <w:lastRenderedPageBreak/>
        <w:t>Acuerdo</w:t>
      </w:r>
      <w:r w:rsidR="004643EF" w:rsidRPr="004B2050">
        <w:rPr>
          <w:rFonts w:eastAsia="Calibri"/>
          <w:bCs/>
          <w:color w:val="000000"/>
          <w:szCs w:val="24"/>
        </w:rPr>
        <w:t>, en el que se abordaron</w:t>
      </w:r>
      <w:r>
        <w:rPr>
          <w:rFonts w:eastAsia="Calibri"/>
          <w:bCs/>
          <w:color w:val="000000"/>
          <w:szCs w:val="24"/>
        </w:rPr>
        <w:t xml:space="preserve"> </w:t>
      </w:r>
      <w:r w:rsidR="004643EF" w:rsidRPr="004B2050">
        <w:rPr>
          <w:rFonts w:eastAsia="Calibri"/>
          <w:bCs/>
          <w:color w:val="000000"/>
          <w:szCs w:val="24"/>
        </w:rPr>
        <w:t>los requisitos a cumplir para registrar convenios de coalición.</w:t>
      </w:r>
    </w:p>
    <w:p w14:paraId="3320A621" w14:textId="6CAACEFB" w:rsidR="004643EF" w:rsidRPr="004B2050" w:rsidRDefault="004643EF" w:rsidP="004B2050">
      <w:pPr>
        <w:spacing w:before="240" w:after="240"/>
        <w:rPr>
          <w:szCs w:val="24"/>
        </w:rPr>
      </w:pPr>
      <w:r w:rsidRPr="004B2050">
        <w:rPr>
          <w:szCs w:val="24"/>
        </w:rPr>
        <w:t xml:space="preserve">Posteriormente, </w:t>
      </w:r>
      <w:r w:rsidR="008B7FCE" w:rsidRPr="004B2050">
        <w:rPr>
          <w:szCs w:val="24"/>
        </w:rPr>
        <w:t xml:space="preserve">hizo alusión al oficio SE/2033/2020, través del cual el </w:t>
      </w:r>
      <w:r w:rsidR="008B7FCE" w:rsidRPr="004872F6">
        <w:rPr>
          <w:i/>
          <w:iCs/>
          <w:szCs w:val="24"/>
        </w:rPr>
        <w:t>Instituto Local</w:t>
      </w:r>
      <w:r w:rsidR="008B7FCE" w:rsidRPr="004B2050">
        <w:rPr>
          <w:szCs w:val="24"/>
        </w:rPr>
        <w:t xml:space="preserve"> requirió a los partidos solicitantes, pues de la valoración de la solicitud del convenio y los documentos aportados, concluyo que habían incumplido la totalidad de los requisitos necesarios para obtener el registro.</w:t>
      </w:r>
      <w:r w:rsidR="004B2050" w:rsidRPr="004B2050">
        <w:rPr>
          <w:rStyle w:val="Refdenotaalpie"/>
          <w:rFonts w:eastAsia="Calibri"/>
          <w:bCs/>
          <w:color w:val="000000"/>
          <w:szCs w:val="24"/>
        </w:rPr>
        <w:t xml:space="preserve"> </w:t>
      </w:r>
      <w:r w:rsidR="004B2050">
        <w:rPr>
          <w:rStyle w:val="Refdenotaalpie"/>
          <w:rFonts w:eastAsia="Calibri"/>
          <w:bCs/>
          <w:color w:val="000000"/>
          <w:szCs w:val="24"/>
        </w:rPr>
        <w:footnoteReference w:id="13"/>
      </w:r>
    </w:p>
    <w:p w14:paraId="0869EB44" w14:textId="62734E57" w:rsidR="00011D76" w:rsidRDefault="00011D76" w:rsidP="004643EF">
      <w:pPr>
        <w:pStyle w:val="Prrafodelista"/>
        <w:spacing w:before="240" w:after="240"/>
        <w:ind w:left="714"/>
        <w:rPr>
          <w:szCs w:val="24"/>
        </w:rPr>
      </w:pPr>
    </w:p>
    <w:p w14:paraId="40B03CD4" w14:textId="6294DEEC" w:rsidR="00011D76" w:rsidRDefault="00011D76" w:rsidP="004643EF">
      <w:pPr>
        <w:pStyle w:val="Prrafodelista"/>
        <w:spacing w:before="240" w:after="240"/>
        <w:ind w:left="714"/>
      </w:pPr>
      <w:r>
        <w:lastRenderedPageBreak/>
        <w:t xml:space="preserve">Asimismo, </w:t>
      </w:r>
      <w:r w:rsidR="004B2050">
        <w:t xml:space="preserve">realizó el análisis de </w:t>
      </w:r>
      <w:r>
        <w:t>las fechas y horas de notificación de dicho oficio a los partidos, el plazo de 72 horas con que contaban para realizar la contestación y las fechas y horas en que se presentaron los escritos.</w:t>
      </w:r>
    </w:p>
    <w:p w14:paraId="45511BEB" w14:textId="77777777" w:rsidR="00011D76" w:rsidRDefault="00011D76" w:rsidP="004643EF">
      <w:pPr>
        <w:pStyle w:val="Prrafodelista"/>
        <w:spacing w:before="240" w:after="240"/>
        <w:ind w:left="714"/>
      </w:pPr>
    </w:p>
    <w:tbl>
      <w:tblPr>
        <w:tblStyle w:val="Tablaconcuadrcula"/>
        <w:tblW w:w="0" w:type="auto"/>
        <w:tblInd w:w="714" w:type="dxa"/>
        <w:tblLook w:val="04A0" w:firstRow="1" w:lastRow="0" w:firstColumn="1" w:lastColumn="0" w:noHBand="0" w:noVBand="1"/>
      </w:tblPr>
      <w:tblGrid>
        <w:gridCol w:w="1408"/>
        <w:gridCol w:w="1842"/>
        <w:gridCol w:w="1985"/>
        <w:gridCol w:w="2314"/>
      </w:tblGrid>
      <w:tr w:rsidR="00011D76" w:rsidRPr="00011D76" w14:paraId="5EFED8FF" w14:textId="77777777" w:rsidTr="00024A20">
        <w:tc>
          <w:tcPr>
            <w:tcW w:w="1408" w:type="dxa"/>
          </w:tcPr>
          <w:p w14:paraId="37B0F733" w14:textId="7BA2142E" w:rsidR="00011D76" w:rsidRPr="00024A20" w:rsidRDefault="00011D76" w:rsidP="00024A20">
            <w:pPr>
              <w:pStyle w:val="Prrafodelista"/>
              <w:spacing w:before="240" w:after="240"/>
              <w:ind w:left="0"/>
              <w:jc w:val="center"/>
              <w:rPr>
                <w:sz w:val="16"/>
                <w:szCs w:val="16"/>
              </w:rPr>
            </w:pPr>
            <w:r w:rsidRPr="00024A20">
              <w:rPr>
                <w:sz w:val="16"/>
                <w:szCs w:val="16"/>
              </w:rPr>
              <w:t>Partido político</w:t>
            </w:r>
          </w:p>
        </w:tc>
        <w:tc>
          <w:tcPr>
            <w:tcW w:w="1842" w:type="dxa"/>
          </w:tcPr>
          <w:p w14:paraId="1B0832ED" w14:textId="4AA8FBEE" w:rsidR="00011D76" w:rsidRPr="00024A20" w:rsidRDefault="00011D76" w:rsidP="00024A20">
            <w:pPr>
              <w:pStyle w:val="Prrafodelista"/>
              <w:spacing w:before="240" w:after="240"/>
              <w:ind w:left="0"/>
              <w:jc w:val="center"/>
              <w:rPr>
                <w:sz w:val="16"/>
                <w:szCs w:val="16"/>
              </w:rPr>
            </w:pPr>
            <w:r w:rsidRPr="00024A20">
              <w:rPr>
                <w:sz w:val="16"/>
                <w:szCs w:val="16"/>
              </w:rPr>
              <w:t>Fecha en que se notificó</w:t>
            </w:r>
          </w:p>
        </w:tc>
        <w:tc>
          <w:tcPr>
            <w:tcW w:w="1985" w:type="dxa"/>
          </w:tcPr>
          <w:p w14:paraId="249667F2" w14:textId="649EFF34" w:rsidR="00011D76" w:rsidRPr="00024A20" w:rsidRDefault="00011D76" w:rsidP="00024A20">
            <w:pPr>
              <w:pStyle w:val="Prrafodelista"/>
              <w:spacing w:before="240" w:after="240"/>
              <w:ind w:left="0"/>
              <w:jc w:val="center"/>
              <w:rPr>
                <w:sz w:val="16"/>
                <w:szCs w:val="16"/>
              </w:rPr>
            </w:pPr>
            <w:r w:rsidRPr="00024A20">
              <w:rPr>
                <w:sz w:val="16"/>
                <w:szCs w:val="16"/>
              </w:rPr>
              <w:t>Vencimiento del término</w:t>
            </w:r>
          </w:p>
        </w:tc>
        <w:tc>
          <w:tcPr>
            <w:tcW w:w="2314" w:type="dxa"/>
          </w:tcPr>
          <w:p w14:paraId="391E6B15" w14:textId="0CB1A668" w:rsidR="00011D76" w:rsidRPr="00024A20" w:rsidRDefault="00011D76" w:rsidP="00024A20">
            <w:pPr>
              <w:pStyle w:val="Prrafodelista"/>
              <w:spacing w:before="240" w:after="240"/>
              <w:ind w:left="0"/>
              <w:jc w:val="center"/>
              <w:rPr>
                <w:sz w:val="16"/>
                <w:szCs w:val="16"/>
              </w:rPr>
            </w:pPr>
            <w:r w:rsidRPr="00024A20">
              <w:rPr>
                <w:sz w:val="16"/>
                <w:szCs w:val="16"/>
              </w:rPr>
              <w:t>Momento en que se presentó la contestación</w:t>
            </w:r>
          </w:p>
        </w:tc>
      </w:tr>
      <w:tr w:rsidR="00011D76" w:rsidRPr="00011D76" w14:paraId="0319D5CE" w14:textId="77777777" w:rsidTr="00024A20">
        <w:tc>
          <w:tcPr>
            <w:tcW w:w="1408" w:type="dxa"/>
          </w:tcPr>
          <w:p w14:paraId="71D79CB4" w14:textId="22B6F98C" w:rsidR="00011D76" w:rsidRPr="004872F6" w:rsidRDefault="00280A4F" w:rsidP="00024A20">
            <w:pPr>
              <w:pStyle w:val="Prrafodelista"/>
              <w:spacing w:before="240" w:after="240"/>
              <w:ind w:left="0"/>
              <w:jc w:val="center"/>
              <w:rPr>
                <w:i/>
                <w:iCs/>
                <w:sz w:val="16"/>
                <w:szCs w:val="16"/>
              </w:rPr>
            </w:pPr>
            <w:r w:rsidRPr="004872F6">
              <w:rPr>
                <w:i/>
                <w:iCs/>
                <w:sz w:val="16"/>
                <w:szCs w:val="16"/>
              </w:rPr>
              <w:t>PANAL</w:t>
            </w:r>
          </w:p>
        </w:tc>
        <w:tc>
          <w:tcPr>
            <w:tcW w:w="1842" w:type="dxa"/>
          </w:tcPr>
          <w:p w14:paraId="77A39F12" w14:textId="02DF3F9F" w:rsidR="00011D76" w:rsidRPr="00024A20" w:rsidRDefault="00280A4F" w:rsidP="00024A20">
            <w:pPr>
              <w:pStyle w:val="Prrafodelista"/>
              <w:spacing w:before="240" w:after="240"/>
              <w:ind w:left="0"/>
              <w:jc w:val="center"/>
              <w:rPr>
                <w:sz w:val="16"/>
                <w:szCs w:val="16"/>
              </w:rPr>
            </w:pPr>
            <w:r w:rsidRPr="00024A20">
              <w:rPr>
                <w:sz w:val="16"/>
                <w:szCs w:val="16"/>
              </w:rPr>
              <w:t>26 diciembre 2020 a las 16:35 horas</w:t>
            </w:r>
          </w:p>
        </w:tc>
        <w:tc>
          <w:tcPr>
            <w:tcW w:w="1985" w:type="dxa"/>
          </w:tcPr>
          <w:p w14:paraId="5B1A7524" w14:textId="638611EB" w:rsidR="00011D76" w:rsidRPr="00024A20" w:rsidRDefault="00280A4F" w:rsidP="00024A20">
            <w:pPr>
              <w:pStyle w:val="Prrafodelista"/>
              <w:spacing w:before="240" w:after="240"/>
              <w:ind w:left="0"/>
              <w:jc w:val="center"/>
              <w:rPr>
                <w:sz w:val="16"/>
                <w:szCs w:val="16"/>
              </w:rPr>
            </w:pPr>
            <w:r w:rsidRPr="00024A20">
              <w:rPr>
                <w:sz w:val="16"/>
                <w:szCs w:val="16"/>
              </w:rPr>
              <w:t>29 diciembre 2020 a las 16:35 horas</w:t>
            </w:r>
          </w:p>
        </w:tc>
        <w:tc>
          <w:tcPr>
            <w:tcW w:w="2314" w:type="dxa"/>
          </w:tcPr>
          <w:p w14:paraId="210CCCCF" w14:textId="06D2406C" w:rsidR="00011D76" w:rsidRPr="00024A20" w:rsidRDefault="00280A4F" w:rsidP="00024A20">
            <w:pPr>
              <w:pStyle w:val="Prrafodelista"/>
              <w:spacing w:before="240" w:after="240"/>
              <w:ind w:left="0"/>
              <w:jc w:val="center"/>
              <w:rPr>
                <w:sz w:val="16"/>
                <w:szCs w:val="16"/>
              </w:rPr>
            </w:pPr>
            <w:r w:rsidRPr="00024A20">
              <w:rPr>
                <w:sz w:val="16"/>
                <w:szCs w:val="16"/>
              </w:rPr>
              <w:t>29 diciembre 2020 a las 16:24 horas</w:t>
            </w:r>
          </w:p>
        </w:tc>
      </w:tr>
      <w:tr w:rsidR="00011D76" w:rsidRPr="00011D76" w14:paraId="2B79CD32" w14:textId="77777777" w:rsidTr="00024A20">
        <w:tc>
          <w:tcPr>
            <w:tcW w:w="1408" w:type="dxa"/>
          </w:tcPr>
          <w:p w14:paraId="112BE095" w14:textId="4ADBE0B5" w:rsidR="00011D76" w:rsidRPr="004F09D6" w:rsidRDefault="00024A20" w:rsidP="00024A20">
            <w:pPr>
              <w:pStyle w:val="Prrafodelista"/>
              <w:spacing w:before="240" w:after="240"/>
              <w:ind w:left="0"/>
              <w:jc w:val="center"/>
              <w:rPr>
                <w:i/>
                <w:iCs/>
                <w:sz w:val="16"/>
                <w:szCs w:val="16"/>
              </w:rPr>
            </w:pPr>
            <w:r w:rsidRPr="004F09D6">
              <w:rPr>
                <w:i/>
                <w:iCs/>
                <w:sz w:val="16"/>
                <w:szCs w:val="16"/>
              </w:rPr>
              <w:t>PT</w:t>
            </w:r>
          </w:p>
        </w:tc>
        <w:tc>
          <w:tcPr>
            <w:tcW w:w="1842" w:type="dxa"/>
          </w:tcPr>
          <w:p w14:paraId="5B537611" w14:textId="7C0AEDC3" w:rsidR="00011D76" w:rsidRPr="00024A20" w:rsidRDefault="00024A20" w:rsidP="00024A20">
            <w:pPr>
              <w:pStyle w:val="Prrafodelista"/>
              <w:spacing w:before="240" w:after="240"/>
              <w:ind w:left="0"/>
              <w:jc w:val="center"/>
              <w:rPr>
                <w:sz w:val="16"/>
                <w:szCs w:val="16"/>
              </w:rPr>
            </w:pPr>
            <w:r w:rsidRPr="00024A20">
              <w:rPr>
                <w:sz w:val="16"/>
                <w:szCs w:val="16"/>
              </w:rPr>
              <w:t>26 diciembre 2020 a las 17:25 horas</w:t>
            </w:r>
          </w:p>
        </w:tc>
        <w:tc>
          <w:tcPr>
            <w:tcW w:w="1985" w:type="dxa"/>
          </w:tcPr>
          <w:p w14:paraId="2BE55506" w14:textId="6A3B01FF" w:rsidR="00011D76" w:rsidRPr="00024A20" w:rsidRDefault="00024A20" w:rsidP="00024A20">
            <w:pPr>
              <w:pStyle w:val="Prrafodelista"/>
              <w:spacing w:before="240" w:after="240"/>
              <w:ind w:left="0"/>
              <w:jc w:val="center"/>
              <w:rPr>
                <w:sz w:val="16"/>
                <w:szCs w:val="16"/>
              </w:rPr>
            </w:pPr>
            <w:r w:rsidRPr="00024A20">
              <w:rPr>
                <w:sz w:val="16"/>
                <w:szCs w:val="16"/>
              </w:rPr>
              <w:t>29 diciembre 2020 a las 17:25 horas</w:t>
            </w:r>
          </w:p>
        </w:tc>
        <w:tc>
          <w:tcPr>
            <w:tcW w:w="2314" w:type="dxa"/>
          </w:tcPr>
          <w:p w14:paraId="17FBA1C5" w14:textId="525CABD7" w:rsidR="00011D76" w:rsidRPr="00024A20" w:rsidRDefault="00024A20" w:rsidP="00024A20">
            <w:pPr>
              <w:pStyle w:val="Prrafodelista"/>
              <w:spacing w:before="240" w:after="240"/>
              <w:ind w:left="0"/>
              <w:jc w:val="center"/>
              <w:rPr>
                <w:sz w:val="16"/>
                <w:szCs w:val="16"/>
              </w:rPr>
            </w:pPr>
            <w:r w:rsidRPr="00024A20">
              <w:rPr>
                <w:sz w:val="16"/>
                <w:szCs w:val="16"/>
              </w:rPr>
              <w:t>Dio contestación en los escritos presentados por MORENA</w:t>
            </w:r>
          </w:p>
        </w:tc>
      </w:tr>
      <w:tr w:rsidR="00011D76" w:rsidRPr="00011D76" w14:paraId="453206EE" w14:textId="77777777" w:rsidTr="00024A20">
        <w:trPr>
          <w:trHeight w:val="828"/>
        </w:trPr>
        <w:tc>
          <w:tcPr>
            <w:tcW w:w="1408" w:type="dxa"/>
          </w:tcPr>
          <w:p w14:paraId="7AC1CDB4" w14:textId="12BD7D76" w:rsidR="00011D76" w:rsidRPr="00024A20" w:rsidRDefault="00024A20" w:rsidP="00024A20">
            <w:pPr>
              <w:pStyle w:val="Prrafodelista"/>
              <w:spacing w:before="240" w:after="240"/>
              <w:ind w:left="0"/>
              <w:jc w:val="center"/>
              <w:rPr>
                <w:sz w:val="16"/>
                <w:szCs w:val="16"/>
              </w:rPr>
            </w:pPr>
            <w:r w:rsidRPr="00024A20">
              <w:rPr>
                <w:sz w:val="16"/>
                <w:szCs w:val="16"/>
              </w:rPr>
              <w:t>MORENA</w:t>
            </w:r>
          </w:p>
        </w:tc>
        <w:tc>
          <w:tcPr>
            <w:tcW w:w="1842" w:type="dxa"/>
          </w:tcPr>
          <w:p w14:paraId="77FD6AB9" w14:textId="70B02263" w:rsidR="00011D76" w:rsidRPr="00024A20" w:rsidRDefault="00024A20" w:rsidP="00024A20">
            <w:pPr>
              <w:pStyle w:val="Prrafodelista"/>
              <w:spacing w:before="240" w:after="240"/>
              <w:ind w:left="0"/>
              <w:jc w:val="center"/>
              <w:rPr>
                <w:sz w:val="16"/>
                <w:szCs w:val="16"/>
              </w:rPr>
            </w:pPr>
            <w:r w:rsidRPr="00024A20">
              <w:rPr>
                <w:sz w:val="16"/>
                <w:szCs w:val="16"/>
              </w:rPr>
              <w:t>26 diciembre 2020 a las 17:25 horas</w:t>
            </w:r>
          </w:p>
        </w:tc>
        <w:tc>
          <w:tcPr>
            <w:tcW w:w="1985" w:type="dxa"/>
          </w:tcPr>
          <w:p w14:paraId="4FF4309E" w14:textId="59895725" w:rsidR="00011D76" w:rsidRPr="00024A20" w:rsidRDefault="00024A20" w:rsidP="00024A20">
            <w:pPr>
              <w:pStyle w:val="Prrafodelista"/>
              <w:spacing w:before="240" w:after="240"/>
              <w:ind w:left="0"/>
              <w:jc w:val="center"/>
              <w:rPr>
                <w:sz w:val="16"/>
                <w:szCs w:val="16"/>
              </w:rPr>
            </w:pPr>
            <w:r w:rsidRPr="00024A20">
              <w:rPr>
                <w:sz w:val="16"/>
                <w:szCs w:val="16"/>
              </w:rPr>
              <w:t>29 diciembre 2020 a las 17:25 horas</w:t>
            </w:r>
          </w:p>
        </w:tc>
        <w:tc>
          <w:tcPr>
            <w:tcW w:w="2314" w:type="dxa"/>
          </w:tcPr>
          <w:p w14:paraId="3A39AEE8" w14:textId="77777777" w:rsidR="00024A20" w:rsidRDefault="00024A20" w:rsidP="00024A20">
            <w:pPr>
              <w:spacing w:before="240" w:after="240"/>
              <w:rPr>
                <w:sz w:val="16"/>
                <w:szCs w:val="16"/>
              </w:rPr>
            </w:pPr>
            <w:r w:rsidRPr="00024A20">
              <w:rPr>
                <w:sz w:val="16"/>
                <w:szCs w:val="16"/>
              </w:rPr>
              <w:t xml:space="preserve">Primer escrito presentado, 29 diciembre 2020 a las 17:20 horas </w:t>
            </w:r>
          </w:p>
          <w:p w14:paraId="65FA0F83" w14:textId="07466F98" w:rsidR="00011D76" w:rsidRPr="00024A20" w:rsidRDefault="00024A20" w:rsidP="00024A20">
            <w:pPr>
              <w:spacing w:before="240" w:after="240"/>
              <w:rPr>
                <w:sz w:val="16"/>
                <w:szCs w:val="16"/>
              </w:rPr>
            </w:pPr>
            <w:r w:rsidRPr="00024A20">
              <w:rPr>
                <w:sz w:val="16"/>
                <w:szCs w:val="16"/>
              </w:rPr>
              <w:t>Segundo escrito, 29 diciembre 2020 a las 18:50 horas</w:t>
            </w:r>
          </w:p>
        </w:tc>
      </w:tr>
    </w:tbl>
    <w:p w14:paraId="6602E417" w14:textId="17F52CDC" w:rsidR="00024A20" w:rsidRDefault="00024A20" w:rsidP="00024A20">
      <w:pPr>
        <w:spacing w:before="240" w:after="240"/>
      </w:pPr>
      <w:r w:rsidRPr="00024A20">
        <w:rPr>
          <w:szCs w:val="24"/>
        </w:rPr>
        <w:t xml:space="preserve">De lo anterior, </w:t>
      </w:r>
      <w:r>
        <w:t xml:space="preserve">concluyó que: </w:t>
      </w:r>
    </w:p>
    <w:p w14:paraId="69D9A5A7" w14:textId="2E06DF40" w:rsidR="00024A20" w:rsidRDefault="00024A20" w:rsidP="00024A20">
      <w:pPr>
        <w:spacing w:before="240" w:after="240"/>
      </w:pPr>
      <w:r>
        <w:t xml:space="preserve">a) El escrito del </w:t>
      </w:r>
      <w:r w:rsidRPr="004872F6">
        <w:rPr>
          <w:i/>
          <w:iCs/>
        </w:rPr>
        <w:t>PANAL</w:t>
      </w:r>
      <w:r>
        <w:t xml:space="preserve"> se presentó en tiempo y forma, encontrándose firmado por el presidente de su Comité de Dirección Estatal.</w:t>
      </w:r>
    </w:p>
    <w:p w14:paraId="6E6DA67B" w14:textId="27EF8293" w:rsidR="00024A20" w:rsidRDefault="00024A20" w:rsidP="00024A20">
      <w:pPr>
        <w:spacing w:before="240" w:after="240"/>
      </w:pPr>
      <w:r>
        <w:t>b) El primer escrito con membrete de MORENA</w:t>
      </w:r>
      <w:r w:rsidR="004B2050" w:rsidRPr="004B2050">
        <w:t xml:space="preserve"> </w:t>
      </w:r>
      <w:r w:rsidR="004B2050">
        <w:t xml:space="preserve">firmado por los representantes suplentes del </w:t>
      </w:r>
      <w:proofErr w:type="gramStart"/>
      <w:r w:rsidR="004B2050" w:rsidRPr="003C3D9D">
        <w:rPr>
          <w:i/>
        </w:rPr>
        <w:t>PT</w:t>
      </w:r>
      <w:proofErr w:type="gramEnd"/>
      <w:r w:rsidR="004B2050">
        <w:t xml:space="preserve"> pero sin la del representante propietario de MORENA</w:t>
      </w:r>
      <w:r>
        <w:t xml:space="preserve">, se presentó en tiempo, pero no en forma. </w:t>
      </w:r>
    </w:p>
    <w:p w14:paraId="19233557" w14:textId="0389EB7B" w:rsidR="00024A20" w:rsidRPr="004B2050" w:rsidRDefault="00024A20" w:rsidP="004B2050">
      <w:pPr>
        <w:spacing w:before="240" w:after="240"/>
        <w:rPr>
          <w:szCs w:val="24"/>
        </w:rPr>
      </w:pPr>
      <w:r>
        <w:t xml:space="preserve">c) En cuanto al segundo escrito con membrete de MORENA, suscrito por la representante suplente de MORENA y el de </w:t>
      </w:r>
      <w:r w:rsidRPr="004872F6">
        <w:rPr>
          <w:i/>
          <w:iCs/>
        </w:rPr>
        <w:t>PT</w:t>
      </w:r>
      <w:r>
        <w:t xml:space="preserve">, así como el presidente del Comité de Dirección Estatal del </w:t>
      </w:r>
      <w:r w:rsidRPr="004872F6">
        <w:rPr>
          <w:i/>
          <w:iCs/>
        </w:rPr>
        <w:t>PANAL</w:t>
      </w:r>
      <w:r>
        <w:t>, era extemporáneo al haberse exhibido fuera del plazo.</w:t>
      </w:r>
    </w:p>
    <w:p w14:paraId="5C9DBCF8" w14:textId="13B6426F" w:rsidR="002C18FB" w:rsidRDefault="004B2050" w:rsidP="002C18FB">
      <w:pPr>
        <w:spacing w:before="240" w:after="240"/>
        <w:contextualSpacing/>
        <w:rPr>
          <w:szCs w:val="24"/>
        </w:rPr>
      </w:pPr>
      <w:r>
        <w:rPr>
          <w:rFonts w:eastAsia="Calibri"/>
          <w:bCs/>
          <w:color w:val="000000"/>
          <w:szCs w:val="24"/>
        </w:rPr>
        <w:t>E</w:t>
      </w:r>
      <w:r w:rsidR="00374820" w:rsidRPr="004B2050">
        <w:rPr>
          <w:rFonts w:eastAsia="Calibri"/>
          <w:bCs/>
          <w:color w:val="000000"/>
          <w:szCs w:val="24"/>
        </w:rPr>
        <w:t>n el apartado</w:t>
      </w:r>
      <w:r w:rsidR="007F1DC8">
        <w:rPr>
          <w:rFonts w:eastAsia="Calibri"/>
          <w:bCs/>
          <w:color w:val="000000"/>
          <w:szCs w:val="24"/>
        </w:rPr>
        <w:t xml:space="preserve"> 3.13.3 el </w:t>
      </w:r>
      <w:r w:rsidR="007F1DC8" w:rsidRPr="002C18FB">
        <w:rPr>
          <w:rFonts w:eastAsia="Calibri"/>
          <w:bCs/>
          <w:i/>
          <w:color w:val="000000"/>
          <w:szCs w:val="24"/>
        </w:rPr>
        <w:t>Tribunal Local</w:t>
      </w:r>
      <w:r w:rsidR="007F1DC8">
        <w:rPr>
          <w:rFonts w:eastAsia="Calibri"/>
          <w:bCs/>
          <w:color w:val="000000"/>
          <w:szCs w:val="24"/>
        </w:rPr>
        <w:t xml:space="preserve"> refirió</w:t>
      </w:r>
      <w:r w:rsidR="00CD25CF">
        <w:rPr>
          <w:rFonts w:eastAsia="Calibri"/>
          <w:bCs/>
          <w:color w:val="000000"/>
          <w:szCs w:val="24"/>
        </w:rPr>
        <w:t xml:space="preserve"> que</w:t>
      </w:r>
      <w:r w:rsidR="003C3D9D">
        <w:rPr>
          <w:rFonts w:eastAsia="Calibri"/>
          <w:bCs/>
          <w:color w:val="000000"/>
          <w:szCs w:val="24"/>
        </w:rPr>
        <w:t>,</w:t>
      </w:r>
      <w:r w:rsidR="00CD25CF">
        <w:rPr>
          <w:rFonts w:eastAsia="Calibri"/>
          <w:bCs/>
          <w:color w:val="000000"/>
          <w:szCs w:val="24"/>
        </w:rPr>
        <w:t xml:space="preserve"> </w:t>
      </w:r>
      <w:r w:rsidR="002C18FB" w:rsidRPr="002C18FB">
        <w:rPr>
          <w:szCs w:val="24"/>
        </w:rPr>
        <w:t xml:space="preserve">con los escritos presentados para cumplir con el requerimiento, aun siendo exhibidos en tiempo, </w:t>
      </w:r>
      <w:r w:rsidR="002C18FB">
        <w:rPr>
          <w:szCs w:val="24"/>
        </w:rPr>
        <w:t>los partidos</w:t>
      </w:r>
      <w:r w:rsidR="002C18FB" w:rsidRPr="002C18FB">
        <w:rPr>
          <w:szCs w:val="24"/>
        </w:rPr>
        <w:t xml:space="preserve"> </w:t>
      </w:r>
      <w:r w:rsidR="002C18FB" w:rsidRPr="002C18FB">
        <w:rPr>
          <w:b/>
          <w:szCs w:val="24"/>
          <w:u w:val="single"/>
        </w:rPr>
        <w:t>no cubrieron</w:t>
      </w:r>
      <w:r w:rsidR="002C18FB" w:rsidRPr="002C18FB">
        <w:rPr>
          <w:szCs w:val="24"/>
        </w:rPr>
        <w:t xml:space="preserve"> los requisitos exigidos, de esa manera el </w:t>
      </w:r>
      <w:r w:rsidR="002C18FB" w:rsidRPr="004872F6">
        <w:rPr>
          <w:i/>
          <w:iCs/>
          <w:szCs w:val="24"/>
        </w:rPr>
        <w:t>Instituto Local</w:t>
      </w:r>
      <w:r w:rsidR="002C18FB" w:rsidRPr="002C18FB">
        <w:rPr>
          <w:szCs w:val="24"/>
        </w:rPr>
        <w:t xml:space="preserve"> no podía otorgarles el registro ni se encontraba obligado a realizar un nuevo requerimiento</w:t>
      </w:r>
      <w:r w:rsidR="002C18FB">
        <w:rPr>
          <w:szCs w:val="24"/>
        </w:rPr>
        <w:t>.</w:t>
      </w:r>
    </w:p>
    <w:p w14:paraId="5CA28542" w14:textId="77777777" w:rsidR="002C18FB" w:rsidRDefault="002C18FB" w:rsidP="002C18FB">
      <w:pPr>
        <w:spacing w:before="240" w:after="240"/>
        <w:contextualSpacing/>
        <w:rPr>
          <w:szCs w:val="24"/>
        </w:rPr>
      </w:pPr>
    </w:p>
    <w:p w14:paraId="54F2D6A1" w14:textId="38BADFC9" w:rsidR="002C18FB" w:rsidRPr="002C18FB" w:rsidRDefault="002C18FB" w:rsidP="002C18FB">
      <w:pPr>
        <w:spacing w:before="240" w:after="240"/>
        <w:contextualSpacing/>
        <w:rPr>
          <w:szCs w:val="24"/>
        </w:rPr>
      </w:pPr>
      <w:r>
        <w:rPr>
          <w:szCs w:val="24"/>
        </w:rPr>
        <w:t>C</w:t>
      </w:r>
      <w:r w:rsidRPr="002C18FB">
        <w:rPr>
          <w:szCs w:val="24"/>
        </w:rPr>
        <w:t xml:space="preserve">on mayor razón </w:t>
      </w:r>
      <w:r>
        <w:rPr>
          <w:szCs w:val="24"/>
        </w:rPr>
        <w:t>si los escritos no fueron exhibidos en tiempo y forma</w:t>
      </w:r>
      <w:r w:rsidRPr="002C18FB">
        <w:rPr>
          <w:szCs w:val="24"/>
        </w:rPr>
        <w:t xml:space="preserve">, y el presentado en tiempo, no estaba firmado por el representante propietario de MORENA, por lo que su sola presentación no implicaba que con él se dio el debido cumplimiento a la totalidad de los requisitos exigidos. </w:t>
      </w:r>
    </w:p>
    <w:p w14:paraId="0F2C2AA2" w14:textId="4CB4F39E" w:rsidR="007F1DC8" w:rsidRDefault="007F1DC8" w:rsidP="004B2050">
      <w:pPr>
        <w:spacing w:before="240" w:after="240"/>
        <w:contextualSpacing/>
        <w:rPr>
          <w:rFonts w:eastAsia="Calibri"/>
          <w:bCs/>
          <w:color w:val="000000"/>
          <w:szCs w:val="24"/>
        </w:rPr>
      </w:pPr>
    </w:p>
    <w:p w14:paraId="43123E16" w14:textId="65A713A8" w:rsidR="009652F5" w:rsidRDefault="003C0BBD" w:rsidP="004B2050">
      <w:pPr>
        <w:spacing w:before="240" w:after="240"/>
        <w:rPr>
          <w:szCs w:val="24"/>
        </w:rPr>
      </w:pPr>
      <w:r>
        <w:rPr>
          <w:rFonts w:eastAsia="Calibri"/>
          <w:bCs/>
          <w:color w:val="000000"/>
          <w:szCs w:val="24"/>
        </w:rPr>
        <w:t>A continuación,</w:t>
      </w:r>
      <w:r w:rsidR="002C18FB">
        <w:rPr>
          <w:rFonts w:eastAsia="Calibri"/>
          <w:bCs/>
          <w:color w:val="000000"/>
          <w:szCs w:val="24"/>
        </w:rPr>
        <w:t xml:space="preserve"> en el apartado </w:t>
      </w:r>
      <w:r w:rsidR="00374820" w:rsidRPr="004B2050">
        <w:rPr>
          <w:rFonts w:eastAsia="Calibri"/>
          <w:bCs/>
          <w:color w:val="000000"/>
          <w:szCs w:val="24"/>
        </w:rPr>
        <w:t>3.14.3</w:t>
      </w:r>
      <w:r w:rsidR="004B2050">
        <w:rPr>
          <w:rFonts w:eastAsia="Calibri"/>
          <w:bCs/>
          <w:color w:val="000000"/>
          <w:szCs w:val="24"/>
        </w:rPr>
        <w:t>. señaló q</w:t>
      </w:r>
      <w:r w:rsidR="009E7E8A" w:rsidRPr="004B2050">
        <w:rPr>
          <w:szCs w:val="24"/>
        </w:rPr>
        <w:t xml:space="preserve">ue los partidos </w:t>
      </w:r>
      <w:r w:rsidR="009652F5">
        <w:rPr>
          <w:szCs w:val="24"/>
        </w:rPr>
        <w:t>incumplieron</w:t>
      </w:r>
      <w:r w:rsidR="007871E7" w:rsidRPr="004B2050">
        <w:rPr>
          <w:szCs w:val="24"/>
        </w:rPr>
        <w:t xml:space="preserve"> con el requisito señalado por el artículo 276 numeral I, inciso c), del reglamento de elecciones, </w:t>
      </w:r>
      <w:r w:rsidR="004B2050">
        <w:rPr>
          <w:szCs w:val="24"/>
        </w:rPr>
        <w:t>pues no presentaron</w:t>
      </w:r>
      <w:r w:rsidR="007871E7" w:rsidRPr="004B2050">
        <w:rPr>
          <w:szCs w:val="24"/>
        </w:rPr>
        <w:t xml:space="preserve"> documento alguno que acreditara que la coalición fue aprobada por los órganos de dirección de conformidad con los estatutos de MORENA</w:t>
      </w:r>
      <w:r w:rsidR="009652F5">
        <w:rPr>
          <w:szCs w:val="24"/>
        </w:rPr>
        <w:t>.</w:t>
      </w:r>
    </w:p>
    <w:p w14:paraId="15D40C90" w14:textId="2E520D7E" w:rsidR="007871E7" w:rsidRDefault="003C0BBD" w:rsidP="003C0BBD">
      <w:pPr>
        <w:spacing w:before="240" w:after="240"/>
        <w:rPr>
          <w:szCs w:val="24"/>
        </w:rPr>
      </w:pPr>
      <w:bookmarkStart w:id="36" w:name="_Hlk64487976"/>
      <w:r>
        <w:rPr>
          <w:szCs w:val="24"/>
        </w:rPr>
        <w:t>P</w:t>
      </w:r>
      <w:r w:rsidR="007871E7" w:rsidRPr="004B2050">
        <w:rPr>
          <w:szCs w:val="24"/>
        </w:rPr>
        <w:t>or lo que no exist</w:t>
      </w:r>
      <w:r w:rsidR="009652F5">
        <w:rPr>
          <w:szCs w:val="24"/>
        </w:rPr>
        <w:t>ía</w:t>
      </w:r>
      <w:r w:rsidR="007871E7" w:rsidRPr="004B2050">
        <w:rPr>
          <w:szCs w:val="24"/>
        </w:rPr>
        <w:t xml:space="preserve"> evidencia de que el convenio </w:t>
      </w:r>
      <w:r w:rsidR="004B2050">
        <w:rPr>
          <w:szCs w:val="24"/>
        </w:rPr>
        <w:t>fuere</w:t>
      </w:r>
      <w:r w:rsidR="007871E7" w:rsidRPr="004B2050">
        <w:rPr>
          <w:szCs w:val="24"/>
        </w:rPr>
        <w:t xml:space="preserve"> válido</w:t>
      </w:r>
      <w:r>
        <w:rPr>
          <w:szCs w:val="24"/>
        </w:rPr>
        <w:t>,</w:t>
      </w:r>
      <w:r w:rsidR="007871E7" w:rsidRPr="004B2050">
        <w:rPr>
          <w:szCs w:val="24"/>
        </w:rPr>
        <w:t xml:space="preserve"> al no desprenderse la aprobación de coalición</w:t>
      </w:r>
      <w:r w:rsidR="004B2050">
        <w:rPr>
          <w:szCs w:val="24"/>
        </w:rPr>
        <w:t xml:space="preserve"> </w:t>
      </w:r>
      <w:r w:rsidR="007871E7" w:rsidRPr="004B2050">
        <w:rPr>
          <w:szCs w:val="24"/>
        </w:rPr>
        <w:t xml:space="preserve">alguna para el Estado de Guanajuato, aunado a </w:t>
      </w:r>
      <w:r w:rsidRPr="004B2050">
        <w:rPr>
          <w:szCs w:val="24"/>
        </w:rPr>
        <w:t>que,</w:t>
      </w:r>
      <w:r w:rsidR="007871E7" w:rsidRPr="004B2050">
        <w:rPr>
          <w:szCs w:val="24"/>
        </w:rPr>
        <w:t xml:space="preserve"> de la escritura pública valorada</w:t>
      </w:r>
      <w:r>
        <w:rPr>
          <w:szCs w:val="24"/>
        </w:rPr>
        <w:t xml:space="preserve"> (anexada extemporáneamente en cumplimiento al requerimiento)</w:t>
      </w:r>
      <w:r w:rsidR="007871E7" w:rsidRPr="004B2050">
        <w:rPr>
          <w:szCs w:val="24"/>
        </w:rPr>
        <w:t>, no se desprendía la aprobación de coalición para el estado de Guanajuato entre MORENA y cualquier otro partido</w:t>
      </w:r>
      <w:bookmarkEnd w:id="36"/>
      <w:r w:rsidR="007871E7" w:rsidRPr="004B2050">
        <w:rPr>
          <w:szCs w:val="24"/>
        </w:rPr>
        <w:t>.</w:t>
      </w:r>
    </w:p>
    <w:p w14:paraId="68A67262" w14:textId="3FD18E47" w:rsidR="007871E7" w:rsidRPr="003C0BBD" w:rsidRDefault="007871E7" w:rsidP="003C0BBD">
      <w:pPr>
        <w:spacing w:before="240" w:after="240"/>
        <w:rPr>
          <w:szCs w:val="24"/>
        </w:rPr>
      </w:pPr>
      <w:r w:rsidRPr="003C0BBD">
        <w:rPr>
          <w:szCs w:val="24"/>
        </w:rPr>
        <w:t xml:space="preserve">Que el </w:t>
      </w:r>
      <w:r w:rsidRPr="004872F6">
        <w:rPr>
          <w:i/>
          <w:iCs/>
          <w:szCs w:val="24"/>
        </w:rPr>
        <w:t>Instituto Local</w:t>
      </w:r>
      <w:r w:rsidRPr="003C0BBD">
        <w:rPr>
          <w:szCs w:val="24"/>
        </w:rPr>
        <w:t xml:space="preserve"> durante todo el procedimiento ajustó su actuar en el marco legal (leyes y reglamento), por lo que al advertir que los partidos incumplieron requisitos para el registro del convenio, emitió el requerimiento para que los partidos subsanaran los requisitos omitidos.</w:t>
      </w:r>
    </w:p>
    <w:p w14:paraId="547F1A07" w14:textId="4BAB50AE" w:rsidR="007871E7" w:rsidRPr="003C0BBD" w:rsidRDefault="007871E7" w:rsidP="003C0BBD">
      <w:pPr>
        <w:spacing w:before="240" w:after="240"/>
        <w:rPr>
          <w:szCs w:val="24"/>
        </w:rPr>
      </w:pPr>
      <w:r w:rsidRPr="003C0BBD">
        <w:rPr>
          <w:szCs w:val="24"/>
        </w:rPr>
        <w:t xml:space="preserve">Que el </w:t>
      </w:r>
      <w:r w:rsidRPr="004872F6">
        <w:rPr>
          <w:i/>
          <w:iCs/>
          <w:szCs w:val="24"/>
        </w:rPr>
        <w:t>Instituto Local</w:t>
      </w:r>
      <w:r w:rsidRPr="003C0BBD">
        <w:rPr>
          <w:szCs w:val="24"/>
        </w:rPr>
        <w:t xml:space="preserve"> no tomó en consideración los escritos presentados el 29 de diciembre a las 17:20 y 18:50 en virtud de que el primero de ellos carecía de firma autógrafa de una de las partes (MORENA), de esa manera, si solo había sido signado por el </w:t>
      </w:r>
      <w:r w:rsidRPr="004872F6">
        <w:rPr>
          <w:i/>
          <w:iCs/>
          <w:szCs w:val="24"/>
        </w:rPr>
        <w:t>PT</w:t>
      </w:r>
      <w:r w:rsidRPr="003C0BBD">
        <w:rPr>
          <w:szCs w:val="24"/>
        </w:rPr>
        <w:t xml:space="preserve"> no se suplía dicha deficiencia pues no se expresaba la voluntad de estar conforme con el contenido del escrito, y el segundo por haber sido presentado de manera extemporánea.</w:t>
      </w:r>
    </w:p>
    <w:p w14:paraId="3D2F4A88" w14:textId="4165AE7C" w:rsidR="00F873FD" w:rsidRPr="003C0BBD" w:rsidRDefault="002217C7" w:rsidP="003C0BBD">
      <w:pPr>
        <w:spacing w:before="240" w:after="240"/>
        <w:rPr>
          <w:szCs w:val="24"/>
        </w:rPr>
      </w:pPr>
      <w:r w:rsidRPr="003C0BBD">
        <w:rPr>
          <w:szCs w:val="24"/>
        </w:rPr>
        <w:t xml:space="preserve">Que el </w:t>
      </w:r>
      <w:r w:rsidR="007871E7" w:rsidRPr="003C0BBD">
        <w:rPr>
          <w:szCs w:val="24"/>
        </w:rPr>
        <w:t xml:space="preserve">agravio relacionado con las causas ajenas y de fuerza mayor </w:t>
      </w:r>
      <w:r w:rsidRPr="003C0BBD">
        <w:rPr>
          <w:szCs w:val="24"/>
        </w:rPr>
        <w:t>en el que</w:t>
      </w:r>
      <w:r w:rsidR="007871E7" w:rsidRPr="003C0BBD">
        <w:rPr>
          <w:szCs w:val="24"/>
        </w:rPr>
        <w:t xml:space="preserve"> expone como hecho público y notorio la obstrucción parcial por obras de mantenimiento en la carretera por la que transitaron durante su traslado para presentar su escrito, el </w:t>
      </w:r>
      <w:r w:rsidR="007871E7" w:rsidRPr="00262563">
        <w:rPr>
          <w:i/>
          <w:iCs/>
          <w:szCs w:val="24"/>
        </w:rPr>
        <w:t>Tribunal Local</w:t>
      </w:r>
      <w:r w:rsidR="007871E7" w:rsidRPr="003C0BBD">
        <w:rPr>
          <w:szCs w:val="24"/>
        </w:rPr>
        <w:t xml:space="preserve"> sostuvo que la jurisprudencia invocada no era aplicable, en virtud de que el hecho público y notorio excluían del todo al caso fortuito y la fuerza mayor.</w:t>
      </w:r>
    </w:p>
    <w:p w14:paraId="015B5643" w14:textId="77777777" w:rsidR="00F873FD" w:rsidRPr="003C0BBD" w:rsidRDefault="00F873FD" w:rsidP="003C0BBD">
      <w:pPr>
        <w:spacing w:before="240" w:after="240"/>
        <w:rPr>
          <w:szCs w:val="24"/>
        </w:rPr>
      </w:pPr>
      <w:r w:rsidRPr="003C0BBD">
        <w:rPr>
          <w:szCs w:val="24"/>
        </w:rPr>
        <w:t xml:space="preserve">Por lo que si los partidos no se encontraban en un supuesto de excepción y el requerimiento tenía un término, fue correcto que el </w:t>
      </w:r>
      <w:r w:rsidRPr="004872F6">
        <w:rPr>
          <w:i/>
          <w:iCs/>
          <w:szCs w:val="24"/>
        </w:rPr>
        <w:t>Instituto Local</w:t>
      </w:r>
      <w:r w:rsidRPr="003C0BBD">
        <w:rPr>
          <w:szCs w:val="24"/>
        </w:rPr>
        <w:t xml:space="preserve"> lo tuviera como extemporáneo de conformidad con la normativa.</w:t>
      </w:r>
    </w:p>
    <w:p w14:paraId="19B28335" w14:textId="77777777" w:rsidR="00D72DAA" w:rsidRDefault="003C0BBD" w:rsidP="003C0BBD">
      <w:pPr>
        <w:spacing w:before="100" w:beforeAutospacing="1" w:after="100" w:afterAutospacing="1"/>
        <w:rPr>
          <w:rFonts w:eastAsia="Calibri"/>
          <w:bCs/>
          <w:color w:val="000000"/>
          <w:szCs w:val="24"/>
        </w:rPr>
      </w:pPr>
      <w:r>
        <w:rPr>
          <w:rFonts w:eastAsia="Calibri"/>
          <w:bCs/>
          <w:color w:val="000000"/>
          <w:szCs w:val="24"/>
        </w:rPr>
        <w:t>De lo anterior, se puede advertir que,</w:t>
      </w:r>
      <w:r w:rsidR="00524838" w:rsidRPr="003107F5">
        <w:rPr>
          <w:rFonts w:eastAsia="Calibri"/>
          <w:bCs/>
          <w:color w:val="000000"/>
          <w:szCs w:val="24"/>
        </w:rPr>
        <w:t xml:space="preserve"> contrario a lo sostenido por </w:t>
      </w:r>
      <w:r w:rsidR="003107F5" w:rsidRPr="003107F5">
        <w:rPr>
          <w:rFonts w:eastAsia="Calibri"/>
          <w:bCs/>
          <w:color w:val="000000"/>
          <w:szCs w:val="24"/>
        </w:rPr>
        <w:t>MORENA</w:t>
      </w:r>
      <w:r w:rsidR="00524838" w:rsidRPr="003107F5">
        <w:rPr>
          <w:rFonts w:eastAsia="Calibri"/>
          <w:bCs/>
          <w:color w:val="000000"/>
          <w:szCs w:val="24"/>
        </w:rPr>
        <w:t xml:space="preserve">, el </w:t>
      </w:r>
      <w:r w:rsidR="003107F5" w:rsidRPr="00262563">
        <w:rPr>
          <w:rFonts w:eastAsia="Calibri"/>
          <w:bCs/>
          <w:i/>
          <w:iCs/>
          <w:color w:val="000000"/>
          <w:szCs w:val="24"/>
        </w:rPr>
        <w:t>T</w:t>
      </w:r>
      <w:r w:rsidR="00524838" w:rsidRPr="00262563">
        <w:rPr>
          <w:rFonts w:eastAsia="Calibri"/>
          <w:bCs/>
          <w:i/>
          <w:iCs/>
          <w:color w:val="000000"/>
          <w:szCs w:val="24"/>
        </w:rPr>
        <w:t xml:space="preserve">ribunal </w:t>
      </w:r>
      <w:r w:rsidR="003107F5" w:rsidRPr="00262563">
        <w:rPr>
          <w:rFonts w:eastAsia="Calibri"/>
          <w:bCs/>
          <w:i/>
          <w:iCs/>
          <w:color w:val="000000"/>
          <w:szCs w:val="24"/>
        </w:rPr>
        <w:t>L</w:t>
      </w:r>
      <w:r w:rsidR="00524838" w:rsidRPr="00262563">
        <w:rPr>
          <w:rFonts w:eastAsia="Calibri"/>
          <w:bCs/>
          <w:i/>
          <w:iCs/>
          <w:color w:val="000000"/>
          <w:szCs w:val="24"/>
        </w:rPr>
        <w:t>ocal</w:t>
      </w:r>
      <w:r w:rsidR="00524838" w:rsidRPr="003107F5">
        <w:rPr>
          <w:rFonts w:eastAsia="Calibri"/>
          <w:bCs/>
          <w:color w:val="000000"/>
          <w:szCs w:val="24"/>
        </w:rPr>
        <w:t>, sí tomó en cuenta los argumentos que le fueron planteados</w:t>
      </w:r>
      <w:r>
        <w:rPr>
          <w:rFonts w:eastAsia="Calibri"/>
          <w:bCs/>
          <w:color w:val="000000"/>
          <w:szCs w:val="24"/>
        </w:rPr>
        <w:t xml:space="preserve"> en la instancia local, ya que,  sí se pronunció sobre la supuesta </w:t>
      </w:r>
      <w:r w:rsidRPr="003C0BBD">
        <w:rPr>
          <w:rFonts w:eastAsia="Calibri"/>
          <w:bCs/>
          <w:color w:val="000000"/>
          <w:szCs w:val="24"/>
        </w:rPr>
        <w:t>causa de fuer</w:t>
      </w:r>
      <w:r>
        <w:rPr>
          <w:rFonts w:eastAsia="Calibri"/>
          <w:bCs/>
          <w:color w:val="000000"/>
          <w:szCs w:val="24"/>
        </w:rPr>
        <w:t>za</w:t>
      </w:r>
      <w:r w:rsidRPr="003C0BBD">
        <w:rPr>
          <w:rFonts w:eastAsia="Calibri"/>
          <w:bCs/>
          <w:color w:val="000000"/>
          <w:szCs w:val="24"/>
        </w:rPr>
        <w:t xml:space="preserve"> mayor que imposibilitó a MORENA a dar cumplimiento en tiempo y forma al requerimiento</w:t>
      </w:r>
      <w:r>
        <w:rPr>
          <w:rFonts w:eastAsia="Calibri"/>
          <w:bCs/>
          <w:color w:val="000000"/>
          <w:szCs w:val="24"/>
        </w:rPr>
        <w:t>, realizó l</w:t>
      </w:r>
      <w:r w:rsidRPr="003C0BBD">
        <w:rPr>
          <w:rFonts w:eastAsia="Calibri"/>
          <w:bCs/>
          <w:color w:val="000000"/>
          <w:szCs w:val="24"/>
        </w:rPr>
        <w:t xml:space="preserve">a valoración de los documentos exhibidos </w:t>
      </w:r>
      <w:r>
        <w:rPr>
          <w:rFonts w:eastAsia="Calibri"/>
          <w:bCs/>
          <w:color w:val="000000"/>
          <w:szCs w:val="24"/>
        </w:rPr>
        <w:t>en</w:t>
      </w:r>
      <w:r w:rsidRPr="003C0BBD">
        <w:rPr>
          <w:rFonts w:eastAsia="Calibri"/>
          <w:bCs/>
          <w:color w:val="000000"/>
          <w:szCs w:val="24"/>
        </w:rPr>
        <w:t xml:space="preserve"> </w:t>
      </w:r>
      <w:r w:rsidRPr="003C0BBD">
        <w:rPr>
          <w:rFonts w:eastAsia="Calibri"/>
          <w:bCs/>
          <w:color w:val="000000"/>
          <w:szCs w:val="24"/>
        </w:rPr>
        <w:lastRenderedPageBreak/>
        <w:t>cumplimiento al requerimiento</w:t>
      </w:r>
      <w:r>
        <w:rPr>
          <w:rFonts w:eastAsia="Calibri"/>
          <w:bCs/>
          <w:color w:val="000000"/>
          <w:szCs w:val="24"/>
        </w:rPr>
        <w:t xml:space="preserve"> a pesar de que no se presentaron en tiempo y forma</w:t>
      </w:r>
      <w:r w:rsidR="00D72DAA">
        <w:rPr>
          <w:rFonts w:eastAsia="Calibri"/>
          <w:bCs/>
          <w:color w:val="000000"/>
          <w:szCs w:val="24"/>
        </w:rPr>
        <w:t xml:space="preserve"> y finalmente </w:t>
      </w:r>
      <w:r w:rsidRPr="003C0BBD">
        <w:rPr>
          <w:rFonts w:eastAsia="Calibri"/>
          <w:bCs/>
          <w:color w:val="000000"/>
          <w:szCs w:val="24"/>
        </w:rPr>
        <w:t xml:space="preserve">expuso las razones por las que el </w:t>
      </w:r>
      <w:r w:rsidRPr="004872F6">
        <w:rPr>
          <w:rFonts w:eastAsia="Calibri"/>
          <w:bCs/>
          <w:i/>
          <w:iCs/>
          <w:color w:val="000000"/>
          <w:szCs w:val="24"/>
        </w:rPr>
        <w:t>Instituto Local</w:t>
      </w:r>
      <w:r w:rsidRPr="003C0BBD">
        <w:rPr>
          <w:rFonts w:eastAsia="Calibri"/>
          <w:bCs/>
          <w:color w:val="000000"/>
          <w:szCs w:val="24"/>
        </w:rPr>
        <w:t xml:space="preserve"> negó su registro como coalición</w:t>
      </w:r>
      <w:r w:rsidR="00D72DAA">
        <w:rPr>
          <w:rFonts w:eastAsia="Calibri"/>
          <w:bCs/>
          <w:color w:val="000000"/>
          <w:szCs w:val="24"/>
        </w:rPr>
        <w:t>.</w:t>
      </w:r>
    </w:p>
    <w:p w14:paraId="0275A6AC" w14:textId="77777777" w:rsidR="00843125" w:rsidRDefault="00D72DAA" w:rsidP="00843125">
      <w:pPr>
        <w:spacing w:before="100" w:beforeAutospacing="1" w:after="100" w:afterAutospacing="1"/>
        <w:rPr>
          <w:rFonts w:eastAsia="Calibri"/>
          <w:bCs/>
          <w:color w:val="000000"/>
          <w:szCs w:val="24"/>
        </w:rPr>
      </w:pPr>
      <w:r>
        <w:rPr>
          <w:rFonts w:eastAsia="Calibri"/>
          <w:bCs/>
          <w:color w:val="000000"/>
          <w:szCs w:val="24"/>
        </w:rPr>
        <w:t>D</w:t>
      </w:r>
      <w:r w:rsidR="00524838" w:rsidRPr="00524838">
        <w:rPr>
          <w:rFonts w:eastAsia="Calibri"/>
          <w:bCs/>
          <w:color w:val="000000"/>
          <w:szCs w:val="24"/>
        </w:rPr>
        <w:t>e ahí lo infundado de su argumento, pues es evidente que la responsable fue exhaustiva y no omitió el estudio de algún agravio planteado.</w:t>
      </w:r>
      <w:r w:rsidR="00843125" w:rsidRPr="00843125">
        <w:rPr>
          <w:rFonts w:eastAsia="Calibri"/>
          <w:bCs/>
          <w:color w:val="000000"/>
          <w:szCs w:val="24"/>
        </w:rPr>
        <w:t xml:space="preserve"> </w:t>
      </w:r>
    </w:p>
    <w:p w14:paraId="612AED2A" w14:textId="1FF3D974" w:rsidR="00E50A89" w:rsidRDefault="00E50A89" w:rsidP="00E50A89">
      <w:pPr>
        <w:shd w:val="clear" w:color="auto" w:fill="FFFFFF"/>
        <w:spacing w:before="100" w:beforeAutospacing="1" w:after="100" w:afterAutospacing="1"/>
        <w:rPr>
          <w:szCs w:val="24"/>
        </w:rPr>
      </w:pPr>
      <w:r w:rsidRPr="00E50A89">
        <w:rPr>
          <w:rFonts w:eastAsia="Times New Roman"/>
          <w:szCs w:val="24"/>
          <w:lang w:eastAsia="es-MX"/>
        </w:rPr>
        <w:t xml:space="preserve">Por otra parte, MORENA se duele de que la sentencia no es congruente al plantear que el </w:t>
      </w:r>
      <w:r w:rsidRPr="00262563">
        <w:rPr>
          <w:rFonts w:eastAsia="Times New Roman"/>
          <w:i/>
          <w:iCs/>
          <w:szCs w:val="24"/>
          <w:lang w:eastAsia="es-MX"/>
        </w:rPr>
        <w:t>Tribunal Local</w:t>
      </w:r>
      <w:r w:rsidRPr="00E50A89">
        <w:rPr>
          <w:rFonts w:eastAsia="Times New Roman"/>
          <w:szCs w:val="24"/>
          <w:lang w:eastAsia="es-MX"/>
        </w:rPr>
        <w:t xml:space="preserve"> </w:t>
      </w:r>
      <w:r w:rsidRPr="00E50A89">
        <w:rPr>
          <w:szCs w:val="24"/>
        </w:rPr>
        <w:t xml:space="preserve">analizó de manera indebida su planteamiento relacionado con las atribuciones que tenían el </w:t>
      </w:r>
      <w:proofErr w:type="gramStart"/>
      <w:r w:rsidRPr="00E50A89">
        <w:rPr>
          <w:color w:val="000000" w:themeColor="text1"/>
          <w:szCs w:val="24"/>
        </w:rPr>
        <w:t>Presidente</w:t>
      </w:r>
      <w:proofErr w:type="gramEnd"/>
      <w:r w:rsidRPr="00E50A89">
        <w:rPr>
          <w:color w:val="000000" w:themeColor="text1"/>
          <w:szCs w:val="24"/>
        </w:rPr>
        <w:t xml:space="preserve"> y la Secretaria General del </w:t>
      </w:r>
      <w:r w:rsidRPr="00986F75">
        <w:rPr>
          <w:i/>
          <w:iCs/>
          <w:color w:val="000000" w:themeColor="text1"/>
          <w:szCs w:val="24"/>
        </w:rPr>
        <w:t>CEN</w:t>
      </w:r>
      <w:r w:rsidRPr="00E50A89">
        <w:rPr>
          <w:szCs w:val="24"/>
        </w:rPr>
        <w:t xml:space="preserve"> para la suscripción del Convenio, lo que se demostraba con los documentos anexados a su solicitud.</w:t>
      </w:r>
    </w:p>
    <w:p w14:paraId="17EDDBDC" w14:textId="77777777" w:rsidR="00E50A89" w:rsidRPr="00E50A89" w:rsidRDefault="00E50A89" w:rsidP="00E50A89">
      <w:pPr>
        <w:shd w:val="clear" w:color="auto" w:fill="FFFFFF"/>
        <w:spacing w:before="100" w:beforeAutospacing="1" w:after="100" w:afterAutospacing="1"/>
        <w:rPr>
          <w:rFonts w:eastAsia="Times New Roman"/>
          <w:szCs w:val="24"/>
          <w:lang w:eastAsia="es-MX"/>
        </w:rPr>
      </w:pPr>
      <w:r w:rsidRPr="00E50A89">
        <w:rPr>
          <w:rFonts w:eastAsia="Times New Roman"/>
          <w:szCs w:val="24"/>
          <w:lang w:eastAsia="es-MX"/>
        </w:rPr>
        <w:t xml:space="preserve">Para esta Sala Regional dicho agravio es </w:t>
      </w:r>
      <w:r w:rsidRPr="00E50A89">
        <w:rPr>
          <w:rFonts w:eastAsia="Times New Roman"/>
          <w:b/>
          <w:szCs w:val="24"/>
          <w:lang w:eastAsia="es-MX"/>
        </w:rPr>
        <w:t>infundad</w:t>
      </w:r>
      <w:bookmarkStart w:id="37" w:name="_Hlk523021316"/>
      <w:r w:rsidRPr="00E50A89">
        <w:rPr>
          <w:rFonts w:eastAsia="Times New Roman"/>
          <w:b/>
          <w:szCs w:val="24"/>
          <w:lang w:eastAsia="es-MX"/>
        </w:rPr>
        <w:t xml:space="preserve">o </w:t>
      </w:r>
      <w:r w:rsidRPr="00E50A89">
        <w:rPr>
          <w:rFonts w:eastAsia="Times New Roman"/>
          <w:szCs w:val="24"/>
          <w:lang w:eastAsia="es-MX"/>
        </w:rPr>
        <w:t xml:space="preserve">porque contrario a lo que refiere, el </w:t>
      </w:r>
      <w:r w:rsidRPr="00262563">
        <w:rPr>
          <w:rFonts w:eastAsia="Times New Roman"/>
          <w:i/>
          <w:iCs/>
          <w:szCs w:val="24"/>
          <w:lang w:eastAsia="es-MX"/>
        </w:rPr>
        <w:t>Tribunal Local</w:t>
      </w:r>
      <w:r w:rsidRPr="00E50A89">
        <w:rPr>
          <w:rFonts w:eastAsia="Times New Roman"/>
          <w:szCs w:val="24"/>
          <w:lang w:eastAsia="es-MX"/>
        </w:rPr>
        <w:t xml:space="preserve"> sí tomó en cuenta el planteamiento de MORENA.</w:t>
      </w:r>
    </w:p>
    <w:p w14:paraId="0B45EF93" w14:textId="1BC8C7C4" w:rsidR="00E50A89" w:rsidRPr="00E50A89" w:rsidRDefault="00E50A89" w:rsidP="00E50A89">
      <w:pPr>
        <w:shd w:val="clear" w:color="auto" w:fill="FFFFFF"/>
        <w:spacing w:before="100" w:beforeAutospacing="1" w:after="100" w:afterAutospacing="1"/>
        <w:rPr>
          <w:rFonts w:eastAsia="Times New Roman"/>
          <w:b/>
          <w:szCs w:val="24"/>
          <w:lang w:eastAsia="es-MX"/>
        </w:rPr>
      </w:pPr>
      <w:r w:rsidRPr="00E50A89">
        <w:rPr>
          <w:rFonts w:eastAsia="Times New Roman"/>
          <w:szCs w:val="24"/>
          <w:lang w:eastAsia="es-MX"/>
        </w:rPr>
        <w:t xml:space="preserve">Lo anterior ya que de la sentencia se observa que, al fijar la litis el </w:t>
      </w:r>
      <w:r w:rsidRPr="00262563">
        <w:rPr>
          <w:rFonts w:eastAsia="Times New Roman"/>
          <w:i/>
          <w:iCs/>
          <w:szCs w:val="24"/>
          <w:lang w:eastAsia="es-MX"/>
        </w:rPr>
        <w:t xml:space="preserve">Tribunal </w:t>
      </w:r>
      <w:r w:rsidR="00262563">
        <w:rPr>
          <w:rFonts w:eastAsia="Times New Roman"/>
          <w:i/>
          <w:iCs/>
          <w:szCs w:val="24"/>
          <w:lang w:eastAsia="es-MX"/>
        </w:rPr>
        <w:t>L</w:t>
      </w:r>
      <w:r w:rsidRPr="00262563">
        <w:rPr>
          <w:rFonts w:eastAsia="Times New Roman"/>
          <w:i/>
          <w:iCs/>
          <w:szCs w:val="24"/>
          <w:lang w:eastAsia="es-MX"/>
        </w:rPr>
        <w:t>ocal</w:t>
      </w:r>
      <w:r w:rsidRPr="00E50A89">
        <w:rPr>
          <w:rFonts w:eastAsia="Times New Roman"/>
          <w:szCs w:val="24"/>
          <w:lang w:eastAsia="es-MX"/>
        </w:rPr>
        <w:t xml:space="preserve"> indicó que se constreñía a determinar la legalidad del </w:t>
      </w:r>
      <w:r w:rsidR="00900F0A" w:rsidRPr="00900F0A">
        <w:rPr>
          <w:rFonts w:eastAsia="Times New Roman"/>
          <w:i/>
          <w:iCs/>
          <w:szCs w:val="24"/>
          <w:lang w:eastAsia="es-MX"/>
        </w:rPr>
        <w:t>A</w:t>
      </w:r>
      <w:r w:rsidRPr="00900F0A">
        <w:rPr>
          <w:rFonts w:eastAsia="Times New Roman"/>
          <w:i/>
          <w:iCs/>
          <w:szCs w:val="24"/>
          <w:lang w:eastAsia="es-MX"/>
        </w:rPr>
        <w:t>cuerdo</w:t>
      </w:r>
      <w:r w:rsidRPr="00E50A89">
        <w:rPr>
          <w:rFonts w:eastAsia="Times New Roman"/>
          <w:szCs w:val="24"/>
          <w:lang w:eastAsia="es-MX"/>
        </w:rPr>
        <w:t xml:space="preserve"> en relación con la negativa por parte del Consejo General del </w:t>
      </w:r>
      <w:r w:rsidRPr="004872F6">
        <w:rPr>
          <w:rFonts w:eastAsia="Times New Roman"/>
          <w:i/>
          <w:iCs/>
          <w:szCs w:val="24"/>
          <w:lang w:eastAsia="es-MX"/>
        </w:rPr>
        <w:t>Instituto Local</w:t>
      </w:r>
      <w:r w:rsidRPr="00E50A89">
        <w:rPr>
          <w:rFonts w:eastAsia="Times New Roman"/>
          <w:szCs w:val="24"/>
          <w:lang w:eastAsia="es-MX"/>
        </w:rPr>
        <w:t xml:space="preserve"> de aprobar la solicitud de su registro del </w:t>
      </w:r>
      <w:r w:rsidRPr="00E50A89">
        <w:rPr>
          <w:rFonts w:eastAsia="Times New Roman"/>
          <w:i/>
          <w:szCs w:val="24"/>
          <w:lang w:eastAsia="es-MX"/>
        </w:rPr>
        <w:t>Convenio</w:t>
      </w:r>
      <w:r w:rsidRPr="00E50A89">
        <w:rPr>
          <w:rFonts w:eastAsia="Times New Roman"/>
          <w:szCs w:val="24"/>
          <w:lang w:eastAsia="es-MX"/>
        </w:rPr>
        <w:t>; en el método de estudio en lo que interesa, estableció que los agravios se analizarían de forma conjunta, agrupando los que fueren coincidentes sin que esto causara un perjuicio, pues lo relevante era que todos fueran revisados</w:t>
      </w:r>
      <w:r w:rsidRPr="00E50A89">
        <w:rPr>
          <w:rFonts w:eastAsia="Times New Roman"/>
          <w:b/>
          <w:szCs w:val="24"/>
          <w:lang w:eastAsia="es-MX"/>
        </w:rPr>
        <w:t>.</w:t>
      </w:r>
    </w:p>
    <w:bookmarkEnd w:id="37"/>
    <w:p w14:paraId="6CC92B21" w14:textId="4B3D1149" w:rsidR="00E50A89" w:rsidRPr="00E50A89" w:rsidRDefault="00E50A89" w:rsidP="00E50A89">
      <w:pPr>
        <w:widowControl w:val="0"/>
        <w:autoSpaceDE w:val="0"/>
        <w:autoSpaceDN w:val="0"/>
        <w:adjustRightInd w:val="0"/>
        <w:spacing w:before="100" w:beforeAutospacing="1" w:after="100" w:afterAutospacing="1"/>
        <w:ind w:hanging="11"/>
        <w:contextualSpacing/>
        <w:rPr>
          <w:szCs w:val="24"/>
        </w:rPr>
      </w:pPr>
      <w:r w:rsidRPr="00E50A89">
        <w:rPr>
          <w:rFonts w:eastAsia="Times New Roman"/>
          <w:bCs/>
          <w:szCs w:val="24"/>
          <w:lang w:val="es-ES" w:eastAsia="es-ES"/>
        </w:rPr>
        <w:t xml:space="preserve">En efecto, en el apartado 3.14.3. el </w:t>
      </w:r>
      <w:r w:rsidRPr="00262563">
        <w:rPr>
          <w:rFonts w:eastAsia="Times New Roman"/>
          <w:bCs/>
          <w:i/>
          <w:iCs/>
          <w:szCs w:val="24"/>
          <w:lang w:val="es-ES" w:eastAsia="es-ES"/>
        </w:rPr>
        <w:t>Tribunal Local</w:t>
      </w:r>
      <w:r w:rsidRPr="00E50A89">
        <w:rPr>
          <w:rFonts w:eastAsia="Times New Roman"/>
          <w:bCs/>
          <w:szCs w:val="24"/>
          <w:lang w:val="es-ES" w:eastAsia="es-ES"/>
        </w:rPr>
        <w:t xml:space="preserve"> analizó su argumento al señalar que, con los documentos </w:t>
      </w:r>
      <w:r w:rsidRPr="00E50A89">
        <w:rPr>
          <w:szCs w:val="24"/>
        </w:rPr>
        <w:t>anexados a su solicitud</w:t>
      </w:r>
      <w:r w:rsidRPr="00E50A89">
        <w:rPr>
          <w:rFonts w:eastAsia="Times New Roman"/>
          <w:bCs/>
          <w:szCs w:val="24"/>
          <w:lang w:val="es-ES" w:eastAsia="es-ES"/>
        </w:rPr>
        <w:t xml:space="preserve">, no se evidenciaba </w:t>
      </w:r>
      <w:r w:rsidRPr="00E50A89">
        <w:rPr>
          <w:szCs w:val="24"/>
        </w:rPr>
        <w:t xml:space="preserve">que el </w:t>
      </w:r>
      <w:r w:rsidRPr="00E50A89">
        <w:rPr>
          <w:i/>
          <w:szCs w:val="24"/>
        </w:rPr>
        <w:t>Convenio</w:t>
      </w:r>
      <w:r w:rsidRPr="00E50A89">
        <w:rPr>
          <w:szCs w:val="24"/>
        </w:rPr>
        <w:t xml:space="preserve"> hubiere sido aprobado por los órganos de dirección competentes, por lo que no existía evidencia de que el convenio fuere válido, toda vez que no se desprendía la aprobación de coalición alguna para el Estado de Guanajuato.</w:t>
      </w:r>
    </w:p>
    <w:p w14:paraId="7C8883DA" w14:textId="77777777" w:rsidR="00E50A89" w:rsidRPr="00E50A89" w:rsidRDefault="00E50A89" w:rsidP="00E50A89">
      <w:pPr>
        <w:widowControl w:val="0"/>
        <w:autoSpaceDE w:val="0"/>
        <w:autoSpaceDN w:val="0"/>
        <w:adjustRightInd w:val="0"/>
        <w:spacing w:before="100" w:beforeAutospacing="1" w:after="100" w:afterAutospacing="1"/>
        <w:ind w:hanging="11"/>
        <w:contextualSpacing/>
        <w:rPr>
          <w:szCs w:val="24"/>
        </w:rPr>
      </w:pPr>
    </w:p>
    <w:p w14:paraId="1C372D92" w14:textId="77777777" w:rsidR="00E50A89" w:rsidRPr="00E50A89" w:rsidRDefault="00E50A89" w:rsidP="00E50A89">
      <w:pPr>
        <w:widowControl w:val="0"/>
        <w:autoSpaceDE w:val="0"/>
        <w:autoSpaceDN w:val="0"/>
        <w:adjustRightInd w:val="0"/>
        <w:spacing w:before="100" w:beforeAutospacing="1" w:after="100" w:afterAutospacing="1"/>
        <w:ind w:hanging="11"/>
        <w:contextualSpacing/>
        <w:rPr>
          <w:rFonts w:eastAsia="Times New Roman"/>
          <w:bCs/>
          <w:szCs w:val="24"/>
          <w:lang w:val="es-ES" w:eastAsia="es-ES"/>
        </w:rPr>
      </w:pPr>
      <w:r w:rsidRPr="00E50A89">
        <w:rPr>
          <w:szCs w:val="24"/>
        </w:rPr>
        <w:t xml:space="preserve">De igual manera, en el mismo apartado el </w:t>
      </w:r>
      <w:r w:rsidRPr="00262563">
        <w:rPr>
          <w:i/>
          <w:iCs/>
          <w:szCs w:val="24"/>
        </w:rPr>
        <w:t>Tribunal Local</w:t>
      </w:r>
      <w:r w:rsidRPr="00E50A89">
        <w:rPr>
          <w:szCs w:val="24"/>
        </w:rPr>
        <w:t xml:space="preserve"> valoró la escritura pública presentada extemporáneamente por MORENA en cumplimiento al requerimiento, de la cual refirió que de dicho documento no se desprendía la aprobación de coalición para el estado de Guanajuato entre MORENA y cualquier otro partido.</w:t>
      </w:r>
    </w:p>
    <w:p w14:paraId="0BDBF8C2" w14:textId="77777777" w:rsidR="00E50A89" w:rsidRPr="00E50A89" w:rsidRDefault="00E50A89" w:rsidP="00E50A89">
      <w:pPr>
        <w:widowControl w:val="0"/>
        <w:autoSpaceDE w:val="0"/>
        <w:autoSpaceDN w:val="0"/>
        <w:adjustRightInd w:val="0"/>
        <w:spacing w:before="100" w:beforeAutospacing="1" w:after="100" w:afterAutospacing="1"/>
        <w:ind w:hanging="11"/>
        <w:contextualSpacing/>
        <w:rPr>
          <w:rFonts w:eastAsia="Times New Roman"/>
          <w:bCs/>
          <w:szCs w:val="24"/>
          <w:lang w:val="es-ES" w:eastAsia="es-ES"/>
        </w:rPr>
      </w:pPr>
    </w:p>
    <w:p w14:paraId="10E2DF3B" w14:textId="77777777" w:rsidR="00E50A89" w:rsidRPr="00E50A89" w:rsidRDefault="00E50A89" w:rsidP="00E50A89">
      <w:pPr>
        <w:widowControl w:val="0"/>
        <w:autoSpaceDE w:val="0"/>
        <w:autoSpaceDN w:val="0"/>
        <w:adjustRightInd w:val="0"/>
        <w:spacing w:after="0"/>
        <w:ind w:hanging="11"/>
        <w:contextualSpacing/>
        <w:rPr>
          <w:rFonts w:eastAsia="Times New Roman"/>
          <w:szCs w:val="24"/>
          <w:lang w:eastAsia="es-MX"/>
        </w:rPr>
      </w:pPr>
      <w:r w:rsidRPr="00E50A89">
        <w:rPr>
          <w:rFonts w:eastAsia="Times New Roman"/>
          <w:bCs/>
          <w:szCs w:val="24"/>
          <w:lang w:val="es-ES" w:eastAsia="es-ES"/>
        </w:rPr>
        <w:t xml:space="preserve">En ese orden de ideas, si bien en la sentencia no se analizó de manera concreta si </w:t>
      </w:r>
      <w:r w:rsidRPr="00E50A89">
        <w:rPr>
          <w:szCs w:val="24"/>
        </w:rPr>
        <w:t xml:space="preserve">el </w:t>
      </w:r>
      <w:proofErr w:type="gramStart"/>
      <w:r w:rsidRPr="00E50A89">
        <w:rPr>
          <w:color w:val="000000" w:themeColor="text1"/>
          <w:szCs w:val="24"/>
        </w:rPr>
        <w:t>Presidente</w:t>
      </w:r>
      <w:proofErr w:type="gramEnd"/>
      <w:r w:rsidRPr="00E50A89">
        <w:rPr>
          <w:color w:val="000000" w:themeColor="text1"/>
          <w:szCs w:val="24"/>
        </w:rPr>
        <w:t xml:space="preserve"> y la Secretaria General del </w:t>
      </w:r>
      <w:r w:rsidRPr="00986F75">
        <w:rPr>
          <w:i/>
          <w:iCs/>
          <w:color w:val="000000" w:themeColor="text1"/>
          <w:szCs w:val="24"/>
        </w:rPr>
        <w:t>CEN</w:t>
      </w:r>
      <w:r w:rsidRPr="00E50A89">
        <w:rPr>
          <w:szCs w:val="24"/>
        </w:rPr>
        <w:t xml:space="preserve"> tenían facultades para la suscripción del Convenio, también lo es que esto no podía ser analizado, pues como quedo expuesto, de las documentales en autos no se </w:t>
      </w:r>
      <w:r w:rsidRPr="00E50A89">
        <w:rPr>
          <w:szCs w:val="24"/>
        </w:rPr>
        <w:lastRenderedPageBreak/>
        <w:t>desprendía la aprobación de coalición alguna para el Estado de Guanajuato, en consecuencia, no se desprendía que el convenio hubiere sido aprobado por los órganos de dirección.</w:t>
      </w:r>
    </w:p>
    <w:p w14:paraId="6A9A891D" w14:textId="77777777" w:rsidR="00E50A89" w:rsidRPr="00E50A89" w:rsidRDefault="00E50A89" w:rsidP="00E50A89">
      <w:pPr>
        <w:shd w:val="clear" w:color="auto" w:fill="FFFFFF"/>
        <w:spacing w:after="0" w:line="240" w:lineRule="auto"/>
        <w:rPr>
          <w:rFonts w:eastAsia="Times New Roman"/>
          <w:szCs w:val="24"/>
          <w:lang w:eastAsia="es-MX"/>
        </w:rPr>
      </w:pPr>
    </w:p>
    <w:p w14:paraId="458AFD98" w14:textId="77777777" w:rsidR="00E50A89" w:rsidRPr="00E50A89" w:rsidRDefault="00E50A89" w:rsidP="00E50A89">
      <w:pPr>
        <w:shd w:val="clear" w:color="auto" w:fill="FFFFFF"/>
        <w:spacing w:after="0"/>
        <w:rPr>
          <w:rFonts w:eastAsia="Times New Roman"/>
          <w:szCs w:val="24"/>
          <w:lang w:eastAsia="es-MX"/>
        </w:rPr>
      </w:pPr>
      <w:r w:rsidRPr="00E50A89">
        <w:rPr>
          <w:rFonts w:eastAsia="Times New Roman"/>
          <w:szCs w:val="24"/>
          <w:lang w:eastAsia="es-MX"/>
        </w:rPr>
        <w:t>Con lo anterior se patentiza que no es exacto, como lo afirma MORENA, que la responsable analizó de manera incorrecta su motivo de inconformidad.</w:t>
      </w:r>
    </w:p>
    <w:p w14:paraId="5BF59772" w14:textId="77BFD6D7" w:rsidR="002337B3" w:rsidRDefault="002337B3" w:rsidP="008813A9">
      <w:pPr>
        <w:spacing w:after="0"/>
        <w:rPr>
          <w:rFonts w:eastAsia="Calibri"/>
          <w:szCs w:val="22"/>
          <w:lang w:val="es-ES_tradnl" w:eastAsia="es-ES"/>
        </w:rPr>
      </w:pPr>
    </w:p>
    <w:p w14:paraId="56D7CBF9" w14:textId="5D76F5CF" w:rsidR="002337B3" w:rsidRDefault="002337B3" w:rsidP="008813A9">
      <w:pPr>
        <w:spacing w:after="0"/>
        <w:rPr>
          <w:b/>
          <w:szCs w:val="24"/>
        </w:rPr>
      </w:pPr>
      <w:r w:rsidRPr="002337B3">
        <w:rPr>
          <w:b/>
          <w:szCs w:val="24"/>
        </w:rPr>
        <w:t>5.3.2.</w:t>
      </w:r>
      <w:r w:rsidR="00483762">
        <w:rPr>
          <w:b/>
          <w:szCs w:val="24"/>
        </w:rPr>
        <w:t>2.</w:t>
      </w:r>
      <w:r>
        <w:rPr>
          <w:b/>
          <w:szCs w:val="24"/>
        </w:rPr>
        <w:t xml:space="preserve"> No era obligación de la responsable formular un nuevo requerimiento</w:t>
      </w:r>
    </w:p>
    <w:p w14:paraId="17D9D75D" w14:textId="77777777" w:rsidR="002337B3" w:rsidRDefault="002337B3" w:rsidP="008813A9">
      <w:pPr>
        <w:spacing w:after="0"/>
        <w:rPr>
          <w:szCs w:val="24"/>
        </w:rPr>
      </w:pPr>
    </w:p>
    <w:p w14:paraId="15A1DB90" w14:textId="7595342C" w:rsidR="002337B3" w:rsidRDefault="002337B3" w:rsidP="008813A9">
      <w:pPr>
        <w:spacing w:after="0"/>
        <w:rPr>
          <w:szCs w:val="24"/>
        </w:rPr>
      </w:pPr>
      <w:r>
        <w:rPr>
          <w:szCs w:val="24"/>
        </w:rPr>
        <w:t xml:space="preserve">Por otra parte, los partidos </w:t>
      </w:r>
      <w:r w:rsidR="00AE528B">
        <w:rPr>
          <w:szCs w:val="24"/>
        </w:rPr>
        <w:t>expresan</w:t>
      </w:r>
      <w:r>
        <w:rPr>
          <w:szCs w:val="24"/>
        </w:rPr>
        <w:t xml:space="preserve"> que</w:t>
      </w:r>
      <w:r w:rsidRPr="0046669B">
        <w:rPr>
          <w:szCs w:val="24"/>
        </w:rPr>
        <w:t xml:space="preserve"> el </w:t>
      </w:r>
      <w:r w:rsidRPr="002337B3">
        <w:rPr>
          <w:i/>
          <w:szCs w:val="24"/>
        </w:rPr>
        <w:t>Tribunal Local</w:t>
      </w:r>
      <w:r w:rsidRPr="0046669B">
        <w:rPr>
          <w:szCs w:val="24"/>
        </w:rPr>
        <w:t xml:space="preserve"> no dejó abierta la posibilidad de formular un nuevo requerimiento</w:t>
      </w:r>
      <w:r w:rsidR="00AE528B">
        <w:rPr>
          <w:szCs w:val="24"/>
        </w:rPr>
        <w:t xml:space="preserve"> para cumplir con los requisitos exigidos por la normativa para registrar el </w:t>
      </w:r>
      <w:r w:rsidR="00AE528B" w:rsidRPr="00AE528B">
        <w:rPr>
          <w:i/>
          <w:szCs w:val="24"/>
        </w:rPr>
        <w:t>Convenio</w:t>
      </w:r>
      <w:r w:rsidRPr="0046669B">
        <w:rPr>
          <w:szCs w:val="24"/>
        </w:rPr>
        <w:t>, aun y cuando no existía una limitante legal para ello, debiéndose garantizar su derecho de participación en la contienda como coalición, ignorando además la jurisprudencia invocada en la demanda primigenia (42/2002</w:t>
      </w:r>
      <w:r>
        <w:rPr>
          <w:szCs w:val="24"/>
        </w:rPr>
        <w:t>)</w:t>
      </w:r>
      <w:r w:rsidR="00AE528B">
        <w:rPr>
          <w:szCs w:val="24"/>
        </w:rPr>
        <w:t>.</w:t>
      </w:r>
    </w:p>
    <w:p w14:paraId="3F9D59CF" w14:textId="128B322B" w:rsidR="00AE528B" w:rsidRDefault="00AE528B" w:rsidP="008813A9">
      <w:pPr>
        <w:spacing w:after="0"/>
        <w:rPr>
          <w:rFonts w:eastAsia="Calibri"/>
          <w:szCs w:val="22"/>
          <w:lang w:val="es-ES_tradnl" w:eastAsia="es-ES"/>
        </w:rPr>
      </w:pPr>
    </w:p>
    <w:p w14:paraId="44D679DB" w14:textId="77777777" w:rsidR="00AE528B" w:rsidRDefault="00AE528B" w:rsidP="008813A9">
      <w:pPr>
        <w:spacing w:after="0"/>
        <w:rPr>
          <w:rFonts w:eastAsia="Calibri"/>
          <w:szCs w:val="22"/>
          <w:lang w:val="es-ES_tradnl" w:eastAsia="es-ES"/>
        </w:rPr>
      </w:pPr>
      <w:r>
        <w:rPr>
          <w:rFonts w:eastAsia="Calibri"/>
          <w:szCs w:val="22"/>
          <w:lang w:val="es-ES_tradnl" w:eastAsia="es-ES"/>
        </w:rPr>
        <w:t>Dichos agravios son infundados en atención a lo siguiente.</w:t>
      </w:r>
    </w:p>
    <w:p w14:paraId="6DC38FBB" w14:textId="77777777" w:rsidR="00AE528B" w:rsidRDefault="00AE528B" w:rsidP="008813A9">
      <w:pPr>
        <w:spacing w:after="0"/>
        <w:rPr>
          <w:rFonts w:eastAsia="Calibri"/>
          <w:szCs w:val="22"/>
          <w:lang w:val="es-ES_tradnl" w:eastAsia="es-ES"/>
        </w:rPr>
      </w:pPr>
    </w:p>
    <w:p w14:paraId="77FF8267" w14:textId="5B8E4912" w:rsidR="00AE528B" w:rsidRPr="00C923DB" w:rsidRDefault="00AE528B" w:rsidP="00AE528B">
      <w:pPr>
        <w:spacing w:before="100" w:beforeAutospacing="1" w:after="100" w:afterAutospacing="1"/>
        <w:contextualSpacing/>
        <w:rPr>
          <w:szCs w:val="24"/>
        </w:rPr>
      </w:pPr>
      <w:r>
        <w:rPr>
          <w:rFonts w:eastAsia="Calibri"/>
          <w:szCs w:val="22"/>
          <w:lang w:val="es-ES_tradnl" w:eastAsia="es-ES"/>
        </w:rPr>
        <w:t xml:space="preserve">De la lectura de la sentencia se observa que el </w:t>
      </w:r>
      <w:r w:rsidRPr="00262563">
        <w:rPr>
          <w:rFonts w:eastAsia="Calibri"/>
          <w:i/>
          <w:iCs/>
          <w:szCs w:val="22"/>
          <w:lang w:val="es-ES_tradnl" w:eastAsia="es-ES"/>
        </w:rPr>
        <w:t>Tribunal Local</w:t>
      </w:r>
      <w:r>
        <w:rPr>
          <w:rFonts w:eastAsia="Calibri"/>
          <w:szCs w:val="22"/>
          <w:lang w:val="es-ES_tradnl" w:eastAsia="es-ES"/>
        </w:rPr>
        <w:t xml:space="preserve"> </w:t>
      </w:r>
      <w:r w:rsidRPr="006C5F90">
        <w:rPr>
          <w:rFonts w:eastAsia="Calibri"/>
          <w:szCs w:val="22"/>
          <w:lang w:val="es-ES_tradnl" w:eastAsia="es-ES"/>
        </w:rPr>
        <w:t>precis</w:t>
      </w:r>
      <w:r w:rsidR="00262563" w:rsidRPr="006C5F90">
        <w:rPr>
          <w:rFonts w:eastAsia="Calibri"/>
          <w:szCs w:val="22"/>
          <w:lang w:val="es-ES_tradnl" w:eastAsia="es-ES"/>
        </w:rPr>
        <w:t>ó</w:t>
      </w:r>
      <w:r>
        <w:rPr>
          <w:rFonts w:eastAsia="Calibri"/>
          <w:szCs w:val="22"/>
          <w:lang w:val="es-ES_tradnl" w:eastAsia="es-ES"/>
        </w:rPr>
        <w:t xml:space="preserve"> que n</w:t>
      </w:r>
      <w:r w:rsidRPr="00C923DB">
        <w:rPr>
          <w:szCs w:val="24"/>
        </w:rPr>
        <w:t xml:space="preserve">o existía violación a la garantía de audiencia, al debido proceso, acceso a la justicia y a la tutela judicial efectiva, </w:t>
      </w:r>
      <w:r w:rsidR="002F49EB">
        <w:rPr>
          <w:szCs w:val="24"/>
        </w:rPr>
        <w:t xml:space="preserve">pues de </w:t>
      </w:r>
      <w:r w:rsidRPr="002F49EB">
        <w:rPr>
          <w:szCs w:val="24"/>
        </w:rPr>
        <w:t xml:space="preserve">conformidad con el artículo 92 de la </w:t>
      </w:r>
      <w:r w:rsidRPr="002F49EB">
        <w:rPr>
          <w:i/>
          <w:szCs w:val="24"/>
        </w:rPr>
        <w:t>Ley de partidos</w:t>
      </w:r>
      <w:r w:rsidRPr="00C923DB">
        <w:rPr>
          <w:szCs w:val="24"/>
        </w:rPr>
        <w:t xml:space="preserve"> no era obligación de la responsable formular un número indefinido de requerimientos</w:t>
      </w:r>
      <w:r w:rsidRPr="00C923DB">
        <w:rPr>
          <w:szCs w:val="24"/>
          <w:vertAlign w:val="superscript"/>
        </w:rPr>
        <w:footnoteReference w:id="14"/>
      </w:r>
      <w:r w:rsidRPr="00C923DB">
        <w:rPr>
          <w:szCs w:val="24"/>
        </w:rPr>
        <w:t xml:space="preserve"> </w:t>
      </w:r>
      <w:r w:rsidR="007F29E8" w:rsidRPr="006C5F90">
        <w:rPr>
          <w:szCs w:val="24"/>
        </w:rPr>
        <w:t>a</w:t>
      </w:r>
      <w:r w:rsidRPr="006C5F90">
        <w:rPr>
          <w:szCs w:val="24"/>
        </w:rPr>
        <w:t>nte</w:t>
      </w:r>
      <w:r w:rsidRPr="00C923DB">
        <w:rPr>
          <w:szCs w:val="24"/>
        </w:rPr>
        <w:t xml:space="preserve"> el incumplimiento de requisitos para el registro de una coalición o su presentación fuera del plazo otorgado.</w:t>
      </w:r>
    </w:p>
    <w:p w14:paraId="203AAFEB" w14:textId="77777777" w:rsidR="00AE528B" w:rsidRPr="00C923DB" w:rsidRDefault="00AE528B" w:rsidP="00AE528B">
      <w:pPr>
        <w:spacing w:before="240" w:after="240"/>
        <w:ind w:left="720"/>
        <w:contextualSpacing/>
        <w:rPr>
          <w:szCs w:val="24"/>
        </w:rPr>
      </w:pPr>
    </w:p>
    <w:p w14:paraId="067B7FA6" w14:textId="0997F8B0" w:rsidR="00AE528B" w:rsidRPr="00C923DB" w:rsidRDefault="00AE528B" w:rsidP="002F49EB">
      <w:pPr>
        <w:spacing w:before="240" w:after="240"/>
        <w:contextualSpacing/>
        <w:rPr>
          <w:szCs w:val="24"/>
        </w:rPr>
      </w:pPr>
      <w:r w:rsidRPr="00C923DB">
        <w:rPr>
          <w:szCs w:val="24"/>
        </w:rPr>
        <w:t>De esa manera consideró que,</w:t>
      </w:r>
      <w:r w:rsidR="002F49EB">
        <w:rPr>
          <w:szCs w:val="24"/>
        </w:rPr>
        <w:t xml:space="preserve"> a pesar de que el </w:t>
      </w:r>
      <w:r w:rsidR="002F49EB" w:rsidRPr="004872F6">
        <w:rPr>
          <w:i/>
          <w:iCs/>
          <w:szCs w:val="24"/>
        </w:rPr>
        <w:t>Instituto Local</w:t>
      </w:r>
      <w:r w:rsidR="002F49EB">
        <w:rPr>
          <w:szCs w:val="24"/>
        </w:rPr>
        <w:t xml:space="preserve"> solo se encontraba obligada a revisar que se cumplieran los requisitos </w:t>
      </w:r>
      <w:r w:rsidR="00723A74">
        <w:rPr>
          <w:szCs w:val="24"/>
        </w:rPr>
        <w:t xml:space="preserve">establecidos en la normatividad y resolver, en una interpretación amplia y garante de los partidos se les </w:t>
      </w:r>
      <w:r w:rsidR="002F49EB">
        <w:rPr>
          <w:szCs w:val="24"/>
        </w:rPr>
        <w:t xml:space="preserve">a </w:t>
      </w:r>
      <w:r w:rsidR="00723A74">
        <w:rPr>
          <w:szCs w:val="24"/>
        </w:rPr>
        <w:t xml:space="preserve">requirió </w:t>
      </w:r>
      <w:r w:rsidR="00723A74" w:rsidRPr="00C923DB">
        <w:rPr>
          <w:szCs w:val="24"/>
        </w:rPr>
        <w:t xml:space="preserve">dentro de un plazo adecuado </w:t>
      </w:r>
      <w:r w:rsidRPr="00C923DB">
        <w:rPr>
          <w:szCs w:val="24"/>
        </w:rPr>
        <w:t>a fin de cumpli</w:t>
      </w:r>
      <w:r w:rsidR="00723A74">
        <w:rPr>
          <w:szCs w:val="24"/>
        </w:rPr>
        <w:t>eran</w:t>
      </w:r>
      <w:r w:rsidRPr="00C923DB">
        <w:rPr>
          <w:szCs w:val="24"/>
        </w:rPr>
        <w:t xml:space="preserve"> con los requisitos </w:t>
      </w:r>
      <w:r w:rsidR="00723A74">
        <w:rPr>
          <w:szCs w:val="24"/>
        </w:rPr>
        <w:t>exigidos</w:t>
      </w:r>
      <w:r w:rsidRPr="00C923DB">
        <w:rPr>
          <w:szCs w:val="24"/>
        </w:rPr>
        <w:t xml:space="preserve"> para el registro de la coalición</w:t>
      </w:r>
      <w:r w:rsidR="00723A74">
        <w:rPr>
          <w:szCs w:val="24"/>
        </w:rPr>
        <w:t xml:space="preserve">; de esa manera, </w:t>
      </w:r>
      <w:r w:rsidRPr="00C923DB">
        <w:rPr>
          <w:szCs w:val="24"/>
        </w:rPr>
        <w:t xml:space="preserve">se les garantizó su derecho de audiencia, asociación política y libertad de convenir, </w:t>
      </w:r>
      <w:r w:rsidRPr="00C923DB">
        <w:rPr>
          <w:szCs w:val="24"/>
        </w:rPr>
        <w:lastRenderedPageBreak/>
        <w:t>toda vez que tuvieron la oportunidad de acudir a defender sus intereses para participar de manera coaligada.</w:t>
      </w:r>
    </w:p>
    <w:p w14:paraId="4ADCBC66" w14:textId="77777777" w:rsidR="00AE528B" w:rsidRPr="00C923DB" w:rsidRDefault="00AE528B" w:rsidP="00AE528B">
      <w:pPr>
        <w:spacing w:before="240" w:after="240"/>
        <w:ind w:left="720"/>
        <w:contextualSpacing/>
        <w:rPr>
          <w:szCs w:val="24"/>
        </w:rPr>
      </w:pPr>
    </w:p>
    <w:p w14:paraId="11347EA2" w14:textId="2781013E" w:rsidR="00AE528B" w:rsidRPr="00C923DB" w:rsidRDefault="00723A74" w:rsidP="00723A74">
      <w:pPr>
        <w:spacing w:before="240" w:after="240"/>
        <w:contextualSpacing/>
        <w:rPr>
          <w:szCs w:val="24"/>
        </w:rPr>
      </w:pPr>
      <w:r>
        <w:rPr>
          <w:szCs w:val="24"/>
        </w:rPr>
        <w:t xml:space="preserve">Asimismo, señaló que, </w:t>
      </w:r>
      <w:r w:rsidR="00AE528B" w:rsidRPr="00C923DB">
        <w:rPr>
          <w:szCs w:val="24"/>
        </w:rPr>
        <w:t xml:space="preserve">con los escritos presentados para cumplir con el requerimiento, aun siendo exhibidos en tiempo, los inconformes no cubrieron los requisitos exigidos, de esa manera el </w:t>
      </w:r>
      <w:r w:rsidR="00AE528B" w:rsidRPr="00C923DB">
        <w:rPr>
          <w:i/>
          <w:szCs w:val="24"/>
        </w:rPr>
        <w:t>Instituto Local</w:t>
      </w:r>
      <w:r w:rsidR="00AE528B" w:rsidRPr="00C923DB">
        <w:rPr>
          <w:szCs w:val="24"/>
        </w:rPr>
        <w:t xml:space="preserve"> no podía otorgarles el registro ni se encontraba obligado a realizar un nuevo requerimiento</w:t>
      </w:r>
      <w:r w:rsidR="007F29E8">
        <w:rPr>
          <w:szCs w:val="24"/>
        </w:rPr>
        <w:t>,</w:t>
      </w:r>
      <w:r w:rsidR="00AE528B" w:rsidRPr="00C923DB">
        <w:rPr>
          <w:szCs w:val="24"/>
        </w:rPr>
        <w:t xml:space="preserve"> así con mayor razón ya que uno fue extemporáneo, y el presentado en tiempo, no estaba firmado por el representante propietario de MORENA, por lo que su sola presentación no implicaba que con él se dio el debido cumplimiento a la totalidad de los requisitos exigidos. </w:t>
      </w:r>
    </w:p>
    <w:p w14:paraId="25EABDB5" w14:textId="77777777" w:rsidR="00AE528B" w:rsidRPr="00C923DB" w:rsidRDefault="00AE528B" w:rsidP="00AE528B">
      <w:pPr>
        <w:spacing w:before="240" w:after="240"/>
        <w:ind w:left="720"/>
        <w:contextualSpacing/>
        <w:rPr>
          <w:rFonts w:asciiTheme="minorHAnsi" w:hAnsiTheme="minorHAnsi" w:cstheme="minorBidi"/>
          <w:sz w:val="22"/>
          <w:szCs w:val="22"/>
        </w:rPr>
      </w:pPr>
    </w:p>
    <w:p w14:paraId="7BD1A624" w14:textId="54543FB5" w:rsidR="00AE528B" w:rsidRDefault="00723A74" w:rsidP="00723A74">
      <w:pPr>
        <w:spacing w:before="240" w:after="240"/>
        <w:contextualSpacing/>
        <w:rPr>
          <w:szCs w:val="24"/>
        </w:rPr>
      </w:pPr>
      <w:r>
        <w:rPr>
          <w:szCs w:val="24"/>
        </w:rPr>
        <w:t xml:space="preserve">De esa manera, </w:t>
      </w:r>
      <w:r w:rsidR="00AE528B" w:rsidRPr="00C923DB">
        <w:rPr>
          <w:szCs w:val="24"/>
        </w:rPr>
        <w:t>s</w:t>
      </w:r>
      <w:r>
        <w:rPr>
          <w:szCs w:val="24"/>
        </w:rPr>
        <w:t>i había</w:t>
      </w:r>
      <w:r w:rsidR="00AE528B" w:rsidRPr="00C923DB">
        <w:rPr>
          <w:szCs w:val="24"/>
        </w:rPr>
        <w:t xml:space="preserve"> realiz</w:t>
      </w:r>
      <w:r>
        <w:rPr>
          <w:szCs w:val="24"/>
        </w:rPr>
        <w:t xml:space="preserve">ado ya un requerimiento, hacer </w:t>
      </w:r>
      <w:r w:rsidR="00AE528B" w:rsidRPr="00C923DB">
        <w:rPr>
          <w:szCs w:val="24"/>
        </w:rPr>
        <w:t>un segundo</w:t>
      </w:r>
      <w:r>
        <w:rPr>
          <w:szCs w:val="24"/>
        </w:rPr>
        <w:t xml:space="preserve">, </w:t>
      </w:r>
      <w:r w:rsidR="00AE528B" w:rsidRPr="00C923DB">
        <w:rPr>
          <w:szCs w:val="24"/>
        </w:rPr>
        <w:t xml:space="preserve">excedería el tiempo establecido en la </w:t>
      </w:r>
      <w:r w:rsidR="00AE528B" w:rsidRPr="00C923DB">
        <w:rPr>
          <w:i/>
          <w:szCs w:val="24"/>
        </w:rPr>
        <w:t>Ley de Partidos</w:t>
      </w:r>
      <w:r w:rsidR="00AE528B" w:rsidRPr="00C923DB">
        <w:rPr>
          <w:szCs w:val="24"/>
        </w:rPr>
        <w:t xml:space="preserve"> para pronunciarse respecto del registro peticionado, generando una cadena indeterminada de requerimientos, violando con ello el principio de equidad en relación con los demás partidos que cumplieron en tiempo y forma con los requisitos establecidos.</w:t>
      </w:r>
    </w:p>
    <w:p w14:paraId="533C47A2" w14:textId="77777777" w:rsidR="00AF2C55" w:rsidRDefault="00AF2C55" w:rsidP="008813A9">
      <w:pPr>
        <w:spacing w:after="0"/>
        <w:rPr>
          <w:rFonts w:eastAsia="Calibri"/>
          <w:szCs w:val="22"/>
          <w:lang w:val="es-ES_tradnl" w:eastAsia="es-ES"/>
        </w:rPr>
      </w:pPr>
    </w:p>
    <w:p w14:paraId="0110588B" w14:textId="66BBA9E3" w:rsidR="00AE528B" w:rsidRDefault="00723A74" w:rsidP="008813A9">
      <w:pPr>
        <w:spacing w:after="0"/>
        <w:rPr>
          <w:rFonts w:eastAsia="Calibri"/>
          <w:szCs w:val="22"/>
          <w:lang w:val="es-ES_tradnl" w:eastAsia="es-ES"/>
        </w:rPr>
      </w:pPr>
      <w:r>
        <w:rPr>
          <w:rFonts w:eastAsia="Calibri"/>
          <w:szCs w:val="22"/>
          <w:lang w:val="es-ES_tradnl" w:eastAsia="es-ES"/>
        </w:rPr>
        <w:t xml:space="preserve">Por lo anterior, esta Sala Regional comparte </w:t>
      </w:r>
      <w:r w:rsidR="00AF2C55">
        <w:rPr>
          <w:rFonts w:eastAsia="Calibri"/>
          <w:szCs w:val="22"/>
          <w:lang w:val="es-ES_tradnl" w:eastAsia="es-ES"/>
        </w:rPr>
        <w:t xml:space="preserve">la decisión del </w:t>
      </w:r>
      <w:r w:rsidR="00AF2C55" w:rsidRPr="00262563">
        <w:rPr>
          <w:rFonts w:eastAsia="Calibri"/>
          <w:i/>
          <w:iCs/>
          <w:szCs w:val="22"/>
          <w:lang w:val="es-ES_tradnl" w:eastAsia="es-ES"/>
        </w:rPr>
        <w:t>Tribunal Local</w:t>
      </w:r>
      <w:r w:rsidR="00AF2C55">
        <w:rPr>
          <w:rFonts w:eastAsia="Calibri"/>
          <w:szCs w:val="22"/>
          <w:lang w:val="es-ES_tradnl" w:eastAsia="es-ES"/>
        </w:rPr>
        <w:t xml:space="preserve"> en cuanto a que no debía realizarse un segundo requerimiento, pues con el realizado por el </w:t>
      </w:r>
      <w:r w:rsidR="00AF2C55" w:rsidRPr="004872F6">
        <w:rPr>
          <w:rFonts w:eastAsia="Calibri"/>
          <w:i/>
          <w:iCs/>
          <w:szCs w:val="22"/>
          <w:lang w:val="es-ES_tradnl" w:eastAsia="es-ES"/>
        </w:rPr>
        <w:t>Instituto Local</w:t>
      </w:r>
      <w:r w:rsidR="00AF2C55">
        <w:rPr>
          <w:rFonts w:eastAsia="Calibri"/>
          <w:szCs w:val="22"/>
          <w:lang w:val="es-ES_tradnl" w:eastAsia="es-ES"/>
        </w:rPr>
        <w:t xml:space="preserve"> como se dijo, se garantizó su derecho de audiencia, debido proceso, acceso a la justicia, asociación política y libertad de convenir para participar de manera coaligada en el proceso electoral local 2020-2021.</w:t>
      </w:r>
    </w:p>
    <w:p w14:paraId="48714F38" w14:textId="3DF8E472" w:rsidR="00AF2C55" w:rsidRPr="0020669E" w:rsidRDefault="00AF2C55" w:rsidP="008813A9">
      <w:pPr>
        <w:spacing w:after="0"/>
        <w:rPr>
          <w:rFonts w:eastAsia="Calibri"/>
          <w:color w:val="000000" w:themeColor="text1"/>
          <w:szCs w:val="22"/>
          <w:lang w:val="es-ES_tradnl" w:eastAsia="es-ES"/>
        </w:rPr>
      </w:pPr>
    </w:p>
    <w:p w14:paraId="1060BFBC" w14:textId="29194196" w:rsidR="00AF2C55" w:rsidRPr="0020669E" w:rsidRDefault="00AF2C55" w:rsidP="008813A9">
      <w:pPr>
        <w:spacing w:after="0"/>
        <w:rPr>
          <w:color w:val="000000" w:themeColor="text1"/>
          <w:shd w:val="clear" w:color="auto" w:fill="FFFFFF"/>
        </w:rPr>
      </w:pPr>
      <w:r w:rsidRPr="0020669E">
        <w:rPr>
          <w:rFonts w:eastAsia="Calibri"/>
          <w:color w:val="000000" w:themeColor="text1"/>
          <w:szCs w:val="22"/>
          <w:lang w:val="es-ES_tradnl" w:eastAsia="es-ES"/>
        </w:rPr>
        <w:t xml:space="preserve">De esa manera, fue correcto el considerar que no debía realizarse un numero indefinido de </w:t>
      </w:r>
      <w:r w:rsidRPr="006C5F90">
        <w:rPr>
          <w:rFonts w:eastAsia="Calibri"/>
          <w:color w:val="000000" w:themeColor="text1"/>
          <w:szCs w:val="22"/>
          <w:lang w:val="es-ES_tradnl" w:eastAsia="es-ES"/>
        </w:rPr>
        <w:t>requerimiento</w:t>
      </w:r>
      <w:r w:rsidR="007F29E8" w:rsidRPr="006C5F90">
        <w:rPr>
          <w:rFonts w:eastAsia="Calibri"/>
          <w:color w:val="000000" w:themeColor="text1"/>
          <w:szCs w:val="22"/>
          <w:lang w:val="es-ES_tradnl" w:eastAsia="es-ES"/>
        </w:rPr>
        <w:t>s</w:t>
      </w:r>
      <w:r w:rsidR="0020669E" w:rsidRPr="006C5F90">
        <w:rPr>
          <w:rFonts w:eastAsia="Calibri"/>
          <w:color w:val="000000" w:themeColor="text1"/>
          <w:szCs w:val="22"/>
          <w:lang w:val="es-ES_tradnl" w:eastAsia="es-ES"/>
        </w:rPr>
        <w:t>,</w:t>
      </w:r>
      <w:r w:rsidR="0020669E" w:rsidRPr="0020669E">
        <w:rPr>
          <w:rFonts w:eastAsia="Calibri"/>
          <w:color w:val="000000" w:themeColor="text1"/>
          <w:szCs w:val="22"/>
          <w:lang w:val="es-ES_tradnl" w:eastAsia="es-ES"/>
        </w:rPr>
        <w:t xml:space="preserve"> toda vez</w:t>
      </w:r>
      <w:r w:rsidR="0020669E">
        <w:rPr>
          <w:rFonts w:eastAsia="Calibri"/>
          <w:color w:val="000000" w:themeColor="text1"/>
          <w:szCs w:val="22"/>
          <w:lang w:val="es-ES_tradnl" w:eastAsia="es-ES"/>
        </w:rPr>
        <w:t xml:space="preserve"> que </w:t>
      </w:r>
      <w:r w:rsidR="0020669E" w:rsidRPr="0020669E">
        <w:rPr>
          <w:color w:val="000000" w:themeColor="text1"/>
          <w:shd w:val="clear" w:color="auto" w:fill="FFFFFF"/>
        </w:rPr>
        <w:t>los promoventes pierden de vista que, al momento de presentar su solicitud, </w:t>
      </w:r>
      <w:r w:rsidR="0020669E" w:rsidRPr="0020669E">
        <w:rPr>
          <w:bCs/>
          <w:color w:val="000000" w:themeColor="text1"/>
          <w:shd w:val="clear" w:color="auto" w:fill="FFFFFF"/>
        </w:rPr>
        <w:t xml:space="preserve">conocían los requisitos necesarios para obtener el registro del </w:t>
      </w:r>
      <w:r w:rsidR="0020669E" w:rsidRPr="0020669E">
        <w:rPr>
          <w:bCs/>
          <w:i/>
          <w:color w:val="000000" w:themeColor="text1"/>
          <w:shd w:val="clear" w:color="auto" w:fill="FFFFFF"/>
        </w:rPr>
        <w:t>Convenio</w:t>
      </w:r>
      <w:r w:rsidR="0020669E" w:rsidRPr="0020669E">
        <w:rPr>
          <w:bCs/>
          <w:color w:val="000000" w:themeColor="text1"/>
          <w:shd w:val="clear" w:color="auto" w:fill="FFFFFF"/>
        </w:rPr>
        <w:t>, por lo que en ambos momentos estuvieron en posibilidades de anexar la documentación con la</w:t>
      </w:r>
      <w:r w:rsidR="006B5CC4">
        <w:rPr>
          <w:bCs/>
          <w:color w:val="000000" w:themeColor="text1"/>
          <w:shd w:val="clear" w:color="auto" w:fill="FFFFFF"/>
        </w:rPr>
        <w:t xml:space="preserve"> </w:t>
      </w:r>
      <w:r w:rsidR="0020669E" w:rsidRPr="0020669E">
        <w:rPr>
          <w:bCs/>
          <w:color w:val="000000" w:themeColor="text1"/>
          <w:shd w:val="clear" w:color="auto" w:fill="FFFFFF"/>
        </w:rPr>
        <w:t>que acreditaran que los cumplían a cabalidad</w:t>
      </w:r>
      <w:r w:rsidR="0020669E" w:rsidRPr="0020669E">
        <w:rPr>
          <w:color w:val="000000" w:themeColor="text1"/>
          <w:shd w:val="clear" w:color="auto" w:fill="FFFFFF"/>
        </w:rPr>
        <w:t>, situación que en el caso no aconteció.</w:t>
      </w:r>
      <w:r w:rsidR="0020669E" w:rsidRPr="0020669E">
        <w:rPr>
          <w:rFonts w:eastAsia="Calibri"/>
          <w:color w:val="000000" w:themeColor="text1"/>
          <w:szCs w:val="22"/>
          <w:lang w:val="es-ES_tradnl" w:eastAsia="es-ES"/>
        </w:rPr>
        <w:t xml:space="preserve"> </w:t>
      </w:r>
    </w:p>
    <w:p w14:paraId="7956D673" w14:textId="307255F6" w:rsidR="00673D5E" w:rsidRPr="00803D58" w:rsidRDefault="00673D5E" w:rsidP="00673D5E">
      <w:pPr>
        <w:spacing w:before="100" w:beforeAutospacing="1" w:after="100" w:afterAutospacing="1"/>
        <w:rPr>
          <w:b/>
          <w:szCs w:val="24"/>
        </w:rPr>
      </w:pPr>
      <w:bookmarkStart w:id="38" w:name="_Hlk65004617"/>
      <w:r w:rsidRPr="00803D58">
        <w:rPr>
          <w:b/>
          <w:szCs w:val="24"/>
        </w:rPr>
        <w:t xml:space="preserve">5.3.2.3. </w:t>
      </w:r>
      <w:bookmarkEnd w:id="38"/>
      <w:r w:rsidRPr="00803D58">
        <w:rPr>
          <w:b/>
          <w:szCs w:val="24"/>
        </w:rPr>
        <w:t xml:space="preserve">El agravio relacionado con la falta de requerimiento de pruebas por parte del </w:t>
      </w:r>
      <w:r w:rsidRPr="00803D58">
        <w:rPr>
          <w:b/>
          <w:i/>
          <w:szCs w:val="24"/>
        </w:rPr>
        <w:t>Tribunal Local</w:t>
      </w:r>
      <w:r w:rsidRPr="00803D58">
        <w:rPr>
          <w:b/>
          <w:szCs w:val="24"/>
        </w:rPr>
        <w:t xml:space="preserve"> es ineficaz </w:t>
      </w:r>
    </w:p>
    <w:p w14:paraId="136DF08B" w14:textId="77777777" w:rsidR="00673D5E" w:rsidRPr="00803D58" w:rsidRDefault="00673D5E" w:rsidP="00673D5E">
      <w:pPr>
        <w:spacing w:before="100" w:beforeAutospacing="1" w:after="100" w:afterAutospacing="1"/>
        <w:rPr>
          <w:szCs w:val="24"/>
        </w:rPr>
      </w:pPr>
      <w:r w:rsidRPr="00803D58">
        <w:rPr>
          <w:szCs w:val="24"/>
        </w:rPr>
        <w:t xml:space="preserve">En esta instancia, los partidos señalan que le causa agravio que el </w:t>
      </w:r>
      <w:r w:rsidRPr="00803D58">
        <w:rPr>
          <w:i/>
          <w:szCs w:val="24"/>
        </w:rPr>
        <w:t>Tribunal Local</w:t>
      </w:r>
      <w:r w:rsidRPr="00803D58">
        <w:rPr>
          <w:szCs w:val="24"/>
        </w:rPr>
        <w:t xml:space="preserve"> no tomara en cuenta ni desahogara los elementos probatorios que fueron ofrecidos a fin de acreditar que l</w:t>
      </w:r>
      <w:bookmarkStart w:id="39" w:name="_Hlk65001616"/>
      <w:r w:rsidRPr="00803D58">
        <w:rPr>
          <w:szCs w:val="24"/>
        </w:rPr>
        <w:t xml:space="preserve">a presentación extemporánea del </w:t>
      </w:r>
      <w:r w:rsidRPr="00803D58">
        <w:rPr>
          <w:szCs w:val="24"/>
        </w:rPr>
        <w:lastRenderedPageBreak/>
        <w:t>escrito con el que se daba cumplimiento al requerimiento se debió a causas ajenas y de fuerza mayor.</w:t>
      </w:r>
      <w:bookmarkEnd w:id="39"/>
    </w:p>
    <w:p w14:paraId="7BB1B439" w14:textId="77777777" w:rsidR="00673D5E" w:rsidRPr="00803D58" w:rsidRDefault="00673D5E" w:rsidP="00673D5E">
      <w:pPr>
        <w:spacing w:before="100" w:beforeAutospacing="1" w:after="100" w:afterAutospacing="1"/>
        <w:rPr>
          <w:szCs w:val="24"/>
        </w:rPr>
      </w:pPr>
      <w:r w:rsidRPr="00803D58">
        <w:rPr>
          <w:szCs w:val="24"/>
        </w:rPr>
        <w:t>Dicho disenso es ineficaz, toda vez que las pruebas que menciona no le fueron admitidas según se advierte del acuerdo de fecha quince de enero del año en curso, visible a fojas 781 a 784 a del cuaderno accesorio único del expediente SM-JRC-1/2021.</w:t>
      </w:r>
    </w:p>
    <w:p w14:paraId="6B5BE398" w14:textId="77777777" w:rsidR="00673D5E" w:rsidRPr="00803D58" w:rsidRDefault="00673D5E" w:rsidP="00673D5E">
      <w:pPr>
        <w:spacing w:before="100" w:beforeAutospacing="1" w:after="100" w:afterAutospacing="1"/>
        <w:rPr>
          <w:szCs w:val="24"/>
        </w:rPr>
      </w:pPr>
      <w:r w:rsidRPr="00803D58">
        <w:rPr>
          <w:szCs w:val="24"/>
        </w:rPr>
        <w:t xml:space="preserve">En su escrito de demanda local, en el numeral 5 del apartado de pruebas, ofreció como prueba en vía de informe de las autoridades Banco Nacional de Obras y Servicios Públicos (BANOBRAS) y de Caminos y Puentes Federales (CAPUFE), sin embargo, el </w:t>
      </w:r>
      <w:bookmarkStart w:id="40" w:name="_Hlk65004730"/>
      <w:r w:rsidRPr="00803D58">
        <w:rPr>
          <w:i/>
          <w:iCs/>
          <w:szCs w:val="24"/>
        </w:rPr>
        <w:t>Tribunal Local</w:t>
      </w:r>
      <w:r w:rsidRPr="00803D58">
        <w:rPr>
          <w:szCs w:val="24"/>
        </w:rPr>
        <w:t xml:space="preserve"> determinó no acordar de conformidad ya que no cumplió con la carga establecida en el artículo 382, último párrafo y 416 de la </w:t>
      </w:r>
      <w:r w:rsidRPr="00833951">
        <w:rPr>
          <w:i/>
          <w:szCs w:val="24"/>
        </w:rPr>
        <w:t>Ley de Medios</w:t>
      </w:r>
      <w:r w:rsidRPr="00803D58">
        <w:rPr>
          <w:szCs w:val="24"/>
        </w:rPr>
        <w:t xml:space="preserve"> </w:t>
      </w:r>
      <w:r w:rsidRPr="00833951">
        <w:rPr>
          <w:i/>
          <w:szCs w:val="24"/>
        </w:rPr>
        <w:t>Local</w:t>
      </w:r>
      <w:r w:rsidRPr="00803D58">
        <w:rPr>
          <w:szCs w:val="24"/>
        </w:rPr>
        <w:t>, consistente en acreditar que las había solicitado.</w:t>
      </w:r>
    </w:p>
    <w:p w14:paraId="3F3725D8" w14:textId="77777777" w:rsidR="00673D5E" w:rsidRPr="00803D58" w:rsidRDefault="00673D5E" w:rsidP="00673D5E">
      <w:pPr>
        <w:spacing w:before="100" w:beforeAutospacing="1" w:after="100" w:afterAutospacing="1"/>
        <w:rPr>
          <w:szCs w:val="24"/>
        </w:rPr>
      </w:pPr>
      <w:r w:rsidRPr="00803D58">
        <w:rPr>
          <w:szCs w:val="24"/>
        </w:rPr>
        <w:t xml:space="preserve">Por lo que respecta a la certificación de las ligas electrónicas referidas en su ocurso que debía realizar el </w:t>
      </w:r>
      <w:r w:rsidRPr="00803D58">
        <w:rPr>
          <w:i/>
          <w:iCs/>
          <w:szCs w:val="24"/>
        </w:rPr>
        <w:t xml:space="preserve">Tribunal Local, </w:t>
      </w:r>
      <w:r w:rsidRPr="00803D58">
        <w:rPr>
          <w:szCs w:val="24"/>
        </w:rPr>
        <w:t xml:space="preserve">se concluyó que no podían ser admitidas en virtud que en el artículo 410 de la </w:t>
      </w:r>
      <w:r w:rsidRPr="00833951">
        <w:rPr>
          <w:i/>
          <w:szCs w:val="24"/>
        </w:rPr>
        <w:t>Ley de Medios</w:t>
      </w:r>
      <w:r w:rsidRPr="00803D58">
        <w:rPr>
          <w:szCs w:val="24"/>
        </w:rPr>
        <w:t xml:space="preserve"> no se encontraban reconocidas como medios de prueba.</w:t>
      </w:r>
      <w:bookmarkEnd w:id="40"/>
    </w:p>
    <w:p w14:paraId="41B3B166" w14:textId="77777777" w:rsidR="00673D5E" w:rsidRPr="00803D58" w:rsidRDefault="00673D5E" w:rsidP="00673D5E">
      <w:pPr>
        <w:spacing w:before="100" w:beforeAutospacing="1" w:after="100" w:afterAutospacing="1"/>
        <w:rPr>
          <w:szCs w:val="24"/>
        </w:rPr>
      </w:pPr>
      <w:r w:rsidRPr="00803D58">
        <w:rPr>
          <w:szCs w:val="24"/>
        </w:rPr>
        <w:t xml:space="preserve">De lo anterior, se puede concluir que en el ámbito probatorio no existió alguna actuación contraria a la normativa por parte del </w:t>
      </w:r>
      <w:r w:rsidRPr="00803D58">
        <w:rPr>
          <w:i/>
          <w:szCs w:val="24"/>
        </w:rPr>
        <w:t>Tribunal Local</w:t>
      </w:r>
      <w:r w:rsidRPr="00803D58">
        <w:rPr>
          <w:szCs w:val="24"/>
        </w:rPr>
        <w:t>.</w:t>
      </w:r>
    </w:p>
    <w:p w14:paraId="22BACF84" w14:textId="350DCFB8" w:rsidR="007A2FAB" w:rsidRPr="00803D58" w:rsidRDefault="007A2FAB" w:rsidP="007A2FAB">
      <w:pPr>
        <w:spacing w:before="100" w:beforeAutospacing="1" w:after="100" w:afterAutospacing="1"/>
        <w:rPr>
          <w:b/>
          <w:szCs w:val="24"/>
        </w:rPr>
      </w:pPr>
      <w:r w:rsidRPr="00803D58">
        <w:rPr>
          <w:b/>
          <w:szCs w:val="24"/>
        </w:rPr>
        <w:t xml:space="preserve">5.3.2.4. </w:t>
      </w:r>
      <w:bookmarkStart w:id="41" w:name="_Hlk65232612"/>
      <w:r w:rsidRPr="00803D58">
        <w:rPr>
          <w:b/>
          <w:szCs w:val="24"/>
        </w:rPr>
        <w:t xml:space="preserve">Es infundado el agravio </w:t>
      </w:r>
      <w:r w:rsidR="00FA5EF4" w:rsidRPr="00803D58">
        <w:rPr>
          <w:b/>
          <w:szCs w:val="24"/>
        </w:rPr>
        <w:t>en el que refieren que el</w:t>
      </w:r>
      <w:r w:rsidRPr="00803D58">
        <w:rPr>
          <w:b/>
          <w:szCs w:val="24"/>
        </w:rPr>
        <w:t xml:space="preserve"> </w:t>
      </w:r>
      <w:r w:rsidRPr="00803D58">
        <w:rPr>
          <w:b/>
          <w:i/>
          <w:szCs w:val="24"/>
        </w:rPr>
        <w:t>Tribunal Local</w:t>
      </w:r>
      <w:r w:rsidRPr="00803D58">
        <w:rPr>
          <w:b/>
          <w:szCs w:val="24"/>
        </w:rPr>
        <w:t xml:space="preserve"> resolvió contrario al </w:t>
      </w:r>
      <w:r w:rsidRPr="00803D58">
        <w:rPr>
          <w:rFonts w:eastAsia="Calibri"/>
          <w:b/>
          <w:szCs w:val="24"/>
        </w:rPr>
        <w:t>criterio contenido en la sentencia ST-JDC-503/2015</w:t>
      </w:r>
      <w:r w:rsidRPr="00803D58">
        <w:rPr>
          <w:b/>
          <w:szCs w:val="24"/>
        </w:rPr>
        <w:t xml:space="preserve"> </w:t>
      </w:r>
      <w:bookmarkEnd w:id="41"/>
    </w:p>
    <w:p w14:paraId="73B7B23F" w14:textId="06577196" w:rsidR="007A2FAB" w:rsidRPr="00803D58" w:rsidRDefault="007A2FAB" w:rsidP="007A2FAB">
      <w:pPr>
        <w:spacing w:before="100" w:beforeAutospacing="1" w:after="100" w:afterAutospacing="1"/>
        <w:rPr>
          <w:rFonts w:eastAsia="Calibri"/>
          <w:bCs/>
          <w:szCs w:val="24"/>
        </w:rPr>
      </w:pPr>
      <w:r w:rsidRPr="00803D58">
        <w:rPr>
          <w:rFonts w:eastAsia="Calibri"/>
          <w:bCs/>
          <w:szCs w:val="24"/>
        </w:rPr>
        <w:t xml:space="preserve">En lo que respecta al motivo de disenso en el que refieren que el </w:t>
      </w:r>
      <w:r w:rsidRPr="00803D58">
        <w:rPr>
          <w:rFonts w:eastAsia="Calibri"/>
          <w:bCs/>
          <w:i/>
          <w:iCs/>
          <w:szCs w:val="24"/>
        </w:rPr>
        <w:t>Tribunal Local</w:t>
      </w:r>
      <w:r w:rsidRPr="00803D58">
        <w:rPr>
          <w:rFonts w:eastAsia="Calibri"/>
          <w:bCs/>
          <w:szCs w:val="24"/>
        </w:rPr>
        <w:t xml:space="preserve"> resolvió de manera contraria al criterio contenido en la sentencia ST-JDC-503/2015, para </w:t>
      </w:r>
      <w:r w:rsidRPr="00803D58">
        <w:rPr>
          <w:szCs w:val="24"/>
        </w:rPr>
        <w:t>intentar acreditar la causa ajena y de fuerza mayor</w:t>
      </w:r>
      <w:r w:rsidR="00054DE2" w:rsidRPr="00803D58">
        <w:rPr>
          <w:szCs w:val="24"/>
        </w:rPr>
        <w:t xml:space="preserve"> </w:t>
      </w:r>
      <w:r w:rsidRPr="00803D58">
        <w:rPr>
          <w:szCs w:val="24"/>
        </w:rPr>
        <w:t xml:space="preserve">que le impidió </w:t>
      </w:r>
      <w:r w:rsidRPr="00803D58">
        <w:rPr>
          <w:rFonts w:eastAsia="Times New Roman"/>
          <w:szCs w:val="24"/>
          <w:lang w:eastAsia="es-MX"/>
        </w:rPr>
        <w:t>desahogar el requerimiento formulado</w:t>
      </w:r>
      <w:r w:rsidRPr="00803D58">
        <w:rPr>
          <w:szCs w:val="24"/>
        </w:rPr>
        <w:t xml:space="preserve">, el mismo debe considerarse </w:t>
      </w:r>
      <w:r w:rsidRPr="00803D58">
        <w:rPr>
          <w:rFonts w:eastAsia="Times New Roman"/>
          <w:szCs w:val="24"/>
          <w:lang w:eastAsia="es-MX"/>
        </w:rPr>
        <w:t>infundado por lo siguiente.</w:t>
      </w:r>
    </w:p>
    <w:p w14:paraId="693E1D09" w14:textId="64314CBE" w:rsidR="007A2FAB" w:rsidRPr="00803D58" w:rsidRDefault="007A2FAB" w:rsidP="007A2FAB">
      <w:pPr>
        <w:spacing w:before="120" w:after="120"/>
        <w:rPr>
          <w:rFonts w:eastAsia="Times New Roman"/>
          <w:szCs w:val="24"/>
          <w:lang w:eastAsia="es-MX"/>
        </w:rPr>
      </w:pPr>
      <w:r w:rsidRPr="00803D58">
        <w:rPr>
          <w:rFonts w:eastAsia="Times New Roman"/>
          <w:szCs w:val="24"/>
          <w:lang w:eastAsia="es-MX"/>
        </w:rPr>
        <w:t xml:space="preserve">Si bien es cierto que el </w:t>
      </w:r>
      <w:r w:rsidRPr="00B74989">
        <w:rPr>
          <w:rFonts w:eastAsia="Times New Roman"/>
          <w:i/>
          <w:szCs w:val="24"/>
          <w:lang w:eastAsia="es-MX"/>
        </w:rPr>
        <w:t>Tribunal Local</w:t>
      </w:r>
      <w:r w:rsidRPr="00803D58">
        <w:rPr>
          <w:rFonts w:eastAsia="Times New Roman"/>
          <w:szCs w:val="24"/>
          <w:lang w:eastAsia="es-MX"/>
        </w:rPr>
        <w:t xml:space="preserve"> nada dijo al respecto, dicho criterio no resulta aplicable al caso concreto, ello debido a que, lo sustentado en dicho fallo, consistente en la acreditación de una situación extraordinaria para la presentación de un medio de impugnación, se definió a partir de que en autos se encontraba </w:t>
      </w:r>
      <w:r w:rsidRPr="00803D58">
        <w:rPr>
          <w:rFonts w:eastAsia="Times New Roman"/>
          <w:szCs w:val="24"/>
          <w:lang w:val="es-ES" w:eastAsia="es-ES"/>
        </w:rPr>
        <w:t>un informe rendido a través del oficio PF/DSR/CEC/1503/2015, de siete de julio de dos mil quince, suscrito por el Coordinador Estatal de la Policía Federal de Colima (expedido por una autoridad federal en el ejercicio de sus facultades), además de documentos que en copia simple fueron anexados.</w:t>
      </w:r>
    </w:p>
    <w:p w14:paraId="39CDA544" w14:textId="749AE0CB" w:rsidR="00FC37C0" w:rsidRPr="00803D58" w:rsidRDefault="007A2FAB" w:rsidP="00770463">
      <w:pPr>
        <w:spacing w:before="100" w:beforeAutospacing="1" w:after="100" w:afterAutospacing="1"/>
        <w:rPr>
          <w:rFonts w:eastAsia="Times New Roman"/>
          <w:b/>
          <w:szCs w:val="24"/>
          <w:lang w:val="es-ES_tradnl"/>
        </w:rPr>
      </w:pPr>
      <w:r w:rsidRPr="00803D58">
        <w:rPr>
          <w:szCs w:val="24"/>
        </w:rPr>
        <w:lastRenderedPageBreak/>
        <w:t xml:space="preserve">De lo expuesto con anterioridad, como ya se mencionó en el apartado </w:t>
      </w:r>
      <w:r w:rsidRPr="00803D58">
        <w:rPr>
          <w:b/>
          <w:szCs w:val="24"/>
        </w:rPr>
        <w:t xml:space="preserve">5.3.2.3. </w:t>
      </w:r>
      <w:r w:rsidRPr="00803D58">
        <w:rPr>
          <w:szCs w:val="24"/>
        </w:rPr>
        <w:t xml:space="preserve"> contrario a dicho criterio, en el caso se advierte que los partidos no cumplieron con la carga de la prueba establecida por la normativa pues no acreditaron haber solicitado los informes correspondientes, asimismo, tampoco era posible que el </w:t>
      </w:r>
      <w:r w:rsidRPr="00803D58">
        <w:rPr>
          <w:i/>
          <w:iCs/>
          <w:szCs w:val="24"/>
        </w:rPr>
        <w:t>Tribunal Local</w:t>
      </w:r>
      <w:r w:rsidRPr="00803D58">
        <w:rPr>
          <w:szCs w:val="24"/>
        </w:rPr>
        <w:t xml:space="preserve"> realizara la certificación de las ligas electrónicas referidas en su ocurso toda vez que no se encontraban reconocidas como medios de prueba, por lo que es evidente que </w:t>
      </w:r>
      <w:r w:rsidR="0089209A" w:rsidRPr="00803D58">
        <w:rPr>
          <w:szCs w:val="24"/>
        </w:rPr>
        <w:t xml:space="preserve">en </w:t>
      </w:r>
      <w:r w:rsidRPr="00803D58">
        <w:rPr>
          <w:szCs w:val="24"/>
        </w:rPr>
        <w:t xml:space="preserve">autos no </w:t>
      </w:r>
      <w:r w:rsidR="0089209A" w:rsidRPr="00803D58">
        <w:rPr>
          <w:szCs w:val="24"/>
        </w:rPr>
        <w:t xml:space="preserve">se </w:t>
      </w:r>
      <w:r w:rsidRPr="00803D58">
        <w:rPr>
          <w:szCs w:val="24"/>
        </w:rPr>
        <w:t xml:space="preserve">contaba con los elementos </w:t>
      </w:r>
      <w:r w:rsidR="0089209A" w:rsidRPr="00803D58">
        <w:rPr>
          <w:szCs w:val="24"/>
        </w:rPr>
        <w:t xml:space="preserve">con los </w:t>
      </w:r>
      <w:r w:rsidRPr="00803D58">
        <w:rPr>
          <w:szCs w:val="24"/>
        </w:rPr>
        <w:t xml:space="preserve">que </w:t>
      </w:r>
      <w:r w:rsidR="0089209A" w:rsidRPr="00803D58">
        <w:rPr>
          <w:szCs w:val="24"/>
        </w:rPr>
        <w:t xml:space="preserve">se </w:t>
      </w:r>
      <w:r w:rsidRPr="00803D58">
        <w:rPr>
          <w:szCs w:val="24"/>
        </w:rPr>
        <w:t xml:space="preserve">pudieren </w:t>
      </w:r>
      <w:r w:rsidR="0089209A" w:rsidRPr="00803D58">
        <w:rPr>
          <w:szCs w:val="24"/>
        </w:rPr>
        <w:t xml:space="preserve">valorar la circunstancia aludida, y con ello </w:t>
      </w:r>
      <w:r w:rsidRPr="00803D58">
        <w:rPr>
          <w:szCs w:val="24"/>
        </w:rPr>
        <w:t>acreditar la causa de fuerza mayor referida por los partidos, de ahí lo infundado de su agravio.</w:t>
      </w:r>
    </w:p>
    <w:p w14:paraId="1638813B" w14:textId="50AE62D6" w:rsidR="00054DE2" w:rsidRPr="00803D58" w:rsidRDefault="002337B3" w:rsidP="00770463">
      <w:pPr>
        <w:spacing w:before="100" w:beforeAutospacing="1" w:after="100" w:afterAutospacing="1"/>
        <w:rPr>
          <w:rFonts w:eastAsia="Calibri"/>
          <w:b/>
          <w:szCs w:val="24"/>
          <w:bdr w:val="none" w:sz="0" w:space="0" w:color="auto" w:frame="1"/>
          <w:shd w:val="clear" w:color="auto" w:fill="FFFFFF"/>
          <w:lang w:val="es-ES_tradnl"/>
        </w:rPr>
      </w:pPr>
      <w:r w:rsidRPr="00803D58">
        <w:rPr>
          <w:rFonts w:eastAsia="Times New Roman"/>
          <w:b/>
          <w:szCs w:val="24"/>
          <w:lang w:val="es-ES_tradnl"/>
        </w:rPr>
        <w:t>5</w:t>
      </w:r>
      <w:r w:rsidR="004561FC" w:rsidRPr="00803D58">
        <w:rPr>
          <w:rFonts w:eastAsia="Times New Roman"/>
          <w:b/>
          <w:szCs w:val="24"/>
          <w:lang w:val="es-ES_tradnl"/>
        </w:rPr>
        <w:t>.3.</w:t>
      </w:r>
      <w:r w:rsidR="00483762" w:rsidRPr="00803D58">
        <w:rPr>
          <w:rFonts w:eastAsia="Times New Roman"/>
          <w:b/>
          <w:szCs w:val="24"/>
          <w:lang w:val="es-ES_tradnl"/>
        </w:rPr>
        <w:t>2.</w:t>
      </w:r>
      <w:r w:rsidR="007A2FAB" w:rsidRPr="00803D58">
        <w:rPr>
          <w:rFonts w:eastAsia="Times New Roman"/>
          <w:b/>
          <w:szCs w:val="24"/>
          <w:lang w:val="es-ES_tradnl"/>
        </w:rPr>
        <w:t>5</w:t>
      </w:r>
      <w:r w:rsidR="004561FC" w:rsidRPr="00803D58">
        <w:rPr>
          <w:rFonts w:eastAsia="Times New Roman"/>
          <w:b/>
          <w:szCs w:val="24"/>
          <w:lang w:val="es-ES_tradnl"/>
        </w:rPr>
        <w:t xml:space="preserve">. </w:t>
      </w:r>
      <w:bookmarkStart w:id="42" w:name="_Hlk65232647"/>
      <w:r w:rsidR="0089209A" w:rsidRPr="00803D58">
        <w:rPr>
          <w:rFonts w:eastAsia="Times New Roman"/>
          <w:b/>
          <w:szCs w:val="24"/>
          <w:lang w:val="es-ES_tradnl"/>
        </w:rPr>
        <w:t xml:space="preserve">Es ineficaz el agravio donde refieren que </w:t>
      </w:r>
      <w:r w:rsidR="00FF753A" w:rsidRPr="00803D58">
        <w:rPr>
          <w:rFonts w:eastAsia="Times New Roman"/>
          <w:b/>
          <w:szCs w:val="24"/>
          <w:lang w:val="es-ES_tradnl"/>
        </w:rPr>
        <w:t>esta Sala Regional debe</w:t>
      </w:r>
      <w:r w:rsidR="0089209A" w:rsidRPr="00803D58">
        <w:rPr>
          <w:rFonts w:eastAsia="Calibri"/>
          <w:b/>
          <w:szCs w:val="24"/>
          <w:bdr w:val="none" w:sz="0" w:space="0" w:color="auto" w:frame="1"/>
          <w:shd w:val="clear" w:color="auto" w:fill="FFFFFF"/>
          <w:lang w:val="es-ES_tradnl"/>
        </w:rPr>
        <w:t xml:space="preserve"> tomar en cuenta lo resuelto en el expediente SUP-JDC-33/2021</w:t>
      </w:r>
      <w:bookmarkEnd w:id="42"/>
    </w:p>
    <w:p w14:paraId="23120D6D" w14:textId="3E30ACCD" w:rsidR="0089209A" w:rsidRPr="00803D58" w:rsidRDefault="0089209A" w:rsidP="00770463">
      <w:pPr>
        <w:spacing w:before="100" w:beforeAutospacing="1" w:after="100" w:afterAutospacing="1"/>
        <w:rPr>
          <w:rFonts w:eastAsia="Calibri"/>
          <w:bCs/>
          <w:szCs w:val="24"/>
          <w:bdr w:val="none" w:sz="0" w:space="0" w:color="auto" w:frame="1"/>
          <w:shd w:val="clear" w:color="auto" w:fill="FFFFFF"/>
          <w:lang w:val="es-ES_tradnl"/>
        </w:rPr>
      </w:pPr>
      <w:r w:rsidRPr="00803D58">
        <w:rPr>
          <w:rFonts w:eastAsia="Times New Roman"/>
          <w:bCs/>
          <w:szCs w:val="24"/>
          <w:lang w:val="es-ES_tradnl"/>
        </w:rPr>
        <w:t xml:space="preserve">Refieren MORENA y </w:t>
      </w:r>
      <w:r w:rsidRPr="00803D58">
        <w:rPr>
          <w:rFonts w:eastAsia="Times New Roman"/>
          <w:bCs/>
          <w:i/>
          <w:iCs/>
          <w:szCs w:val="24"/>
          <w:lang w:val="es-ES_tradnl"/>
        </w:rPr>
        <w:t>PT</w:t>
      </w:r>
      <w:r w:rsidRPr="00803D58">
        <w:rPr>
          <w:rFonts w:eastAsia="Times New Roman"/>
          <w:bCs/>
          <w:szCs w:val="24"/>
          <w:lang w:val="es-ES_tradnl"/>
        </w:rPr>
        <w:t xml:space="preserve"> que en esta instancia se debe tomar en cuenta lo resuelto por la Sala Superior en el expediente SUP-JDC-33/2021 con el fin de que </w:t>
      </w:r>
      <w:bookmarkStart w:id="43" w:name="_Hlk65013142"/>
      <w:r w:rsidRPr="00803D58">
        <w:rPr>
          <w:rFonts w:eastAsia="Times New Roman"/>
          <w:bCs/>
          <w:szCs w:val="24"/>
          <w:lang w:val="es-ES_tradnl"/>
        </w:rPr>
        <w:t xml:space="preserve">se </w:t>
      </w:r>
      <w:r w:rsidRPr="00803D58">
        <w:rPr>
          <w:rFonts w:eastAsia="Calibri"/>
          <w:bCs/>
          <w:szCs w:val="24"/>
          <w:bdr w:val="none" w:sz="0" w:space="0" w:color="auto" w:frame="1"/>
          <w:shd w:val="clear" w:color="auto" w:fill="FFFFFF"/>
          <w:lang w:val="es-ES_tradnl"/>
        </w:rPr>
        <w:t>acredité que la coalición fue aprobada por los órganos de dirección</w:t>
      </w:r>
      <w:bookmarkEnd w:id="43"/>
      <w:r w:rsidRPr="00803D58">
        <w:rPr>
          <w:rFonts w:eastAsia="Calibri"/>
          <w:bCs/>
          <w:szCs w:val="24"/>
          <w:bdr w:val="none" w:sz="0" w:space="0" w:color="auto" w:frame="1"/>
          <w:shd w:val="clear" w:color="auto" w:fill="FFFFFF"/>
          <w:lang w:val="es-ES_tradnl"/>
        </w:rPr>
        <w:t>.</w:t>
      </w:r>
    </w:p>
    <w:p w14:paraId="21B30520" w14:textId="05911829" w:rsidR="002E7579" w:rsidRPr="00803D58" w:rsidRDefault="00405C4A" w:rsidP="00770463">
      <w:pPr>
        <w:spacing w:before="100" w:beforeAutospacing="1" w:after="100" w:afterAutospacing="1"/>
        <w:rPr>
          <w:szCs w:val="24"/>
        </w:rPr>
      </w:pPr>
      <w:r w:rsidRPr="00803D58">
        <w:rPr>
          <w:szCs w:val="24"/>
        </w:rPr>
        <w:t xml:space="preserve">Dicho agravio es ineficaz, </w:t>
      </w:r>
      <w:r w:rsidRPr="00803D58">
        <w:t xml:space="preserve">ya que a ningún fin práctico llevaría, como lo solicitan, pronunciarse respecto a </w:t>
      </w:r>
      <w:r w:rsidR="002E7579" w:rsidRPr="00803D58">
        <w:t>dicho tema, pues para que esta Sala Regional estuviera en condiciones de analizarlo</w:t>
      </w:r>
      <w:r w:rsidRPr="00803D58">
        <w:t xml:space="preserve">, </w:t>
      </w:r>
      <w:r w:rsidR="002E7579" w:rsidRPr="00803D58">
        <w:t xml:space="preserve">en primer </w:t>
      </w:r>
      <w:r w:rsidR="00EB7AD8" w:rsidRPr="00803D58">
        <w:t>término,</w:t>
      </w:r>
      <w:r w:rsidR="002E7579" w:rsidRPr="00803D58">
        <w:t xml:space="preserve"> se tendría que haber cumplido con los diversos requisitos establecido por la normativa</w:t>
      </w:r>
      <w:r w:rsidRPr="00803D58">
        <w:t xml:space="preserve">, </w:t>
      </w:r>
      <w:r w:rsidR="002E7579" w:rsidRPr="00803D58">
        <w:t xml:space="preserve">situación que en el caso no acontece, pues como quedo evidenciado </w:t>
      </w:r>
      <w:r w:rsidRPr="00803D58">
        <w:t xml:space="preserve">en la sentencia emitida por el </w:t>
      </w:r>
      <w:r w:rsidRPr="00803D58">
        <w:rPr>
          <w:i/>
          <w:iCs/>
        </w:rPr>
        <w:t>Tribunal Local</w:t>
      </w:r>
      <w:r w:rsidRPr="00803D58">
        <w:t xml:space="preserve"> </w:t>
      </w:r>
      <w:r w:rsidRPr="00803D58">
        <w:rPr>
          <w:szCs w:val="24"/>
        </w:rPr>
        <w:t xml:space="preserve">los partidos </w:t>
      </w:r>
      <w:r w:rsidR="00F73170" w:rsidRPr="00803D58">
        <w:rPr>
          <w:szCs w:val="24"/>
        </w:rPr>
        <w:t xml:space="preserve">incumplieron con </w:t>
      </w:r>
      <w:r w:rsidR="002E7579" w:rsidRPr="00803D58">
        <w:rPr>
          <w:szCs w:val="24"/>
        </w:rPr>
        <w:t>diversos</w:t>
      </w:r>
      <w:r w:rsidR="00F73170" w:rsidRPr="00803D58">
        <w:rPr>
          <w:szCs w:val="24"/>
        </w:rPr>
        <w:t xml:space="preserve"> requisitos requeridos por el </w:t>
      </w:r>
      <w:r w:rsidR="00F73170" w:rsidRPr="00803D58">
        <w:rPr>
          <w:i/>
          <w:iCs/>
          <w:szCs w:val="24"/>
        </w:rPr>
        <w:t>Instituto Local</w:t>
      </w:r>
      <w:r w:rsidR="002E7579" w:rsidRPr="00803D58">
        <w:rPr>
          <w:szCs w:val="24"/>
        </w:rPr>
        <w:t>.</w:t>
      </w:r>
    </w:p>
    <w:p w14:paraId="741AAB75" w14:textId="4990575F" w:rsidR="0089209A" w:rsidRPr="00405C4A" w:rsidRDefault="00F73170" w:rsidP="00770463">
      <w:pPr>
        <w:spacing w:before="100" w:beforeAutospacing="1" w:after="100" w:afterAutospacing="1"/>
        <w:rPr>
          <w:rFonts w:eastAsia="Times New Roman"/>
          <w:bCs/>
          <w:szCs w:val="24"/>
          <w:lang w:val="es-ES_tradnl"/>
        </w:rPr>
      </w:pPr>
      <w:r w:rsidRPr="00803D58">
        <w:rPr>
          <w:szCs w:val="24"/>
        </w:rPr>
        <w:t xml:space="preserve"> </w:t>
      </w:r>
      <w:r w:rsidR="00EB7AD8" w:rsidRPr="00803D58">
        <w:rPr>
          <w:szCs w:val="24"/>
        </w:rPr>
        <w:t xml:space="preserve">De esa manera, es incuestionable </w:t>
      </w:r>
      <w:r w:rsidR="006B5CC4" w:rsidRPr="00803D58">
        <w:rPr>
          <w:szCs w:val="24"/>
        </w:rPr>
        <w:t>que,</w:t>
      </w:r>
      <w:r w:rsidR="00EB7AD8" w:rsidRPr="00803D58">
        <w:rPr>
          <w:szCs w:val="24"/>
        </w:rPr>
        <w:t xml:space="preserve"> con los documentos aportados por </w:t>
      </w:r>
      <w:proofErr w:type="spellStart"/>
      <w:r w:rsidR="00EB7AD8" w:rsidRPr="00803D58">
        <w:rPr>
          <w:szCs w:val="24"/>
        </w:rPr>
        <w:t>lo</w:t>
      </w:r>
      <w:proofErr w:type="spellEnd"/>
      <w:r w:rsidR="00EB7AD8" w:rsidRPr="00803D58">
        <w:rPr>
          <w:szCs w:val="24"/>
        </w:rPr>
        <w:t xml:space="preserve"> partidos, tanto en la solicitud del registro del </w:t>
      </w:r>
      <w:r w:rsidR="00EB7AD8" w:rsidRPr="00803D58">
        <w:rPr>
          <w:i/>
          <w:iCs/>
          <w:szCs w:val="24"/>
        </w:rPr>
        <w:t>Convenio</w:t>
      </w:r>
      <w:r w:rsidR="00EB7AD8" w:rsidRPr="00803D58">
        <w:rPr>
          <w:szCs w:val="24"/>
        </w:rPr>
        <w:t xml:space="preserve">, así como posterior al requerimiento realizado por el </w:t>
      </w:r>
      <w:r w:rsidR="00EB7AD8" w:rsidRPr="00803D58">
        <w:rPr>
          <w:i/>
          <w:iCs/>
          <w:szCs w:val="24"/>
        </w:rPr>
        <w:t>Instituto Local,</w:t>
      </w:r>
      <w:r w:rsidR="00EB7AD8" w:rsidRPr="00803D58">
        <w:rPr>
          <w:szCs w:val="24"/>
        </w:rPr>
        <w:t xml:space="preserve"> </w:t>
      </w:r>
      <w:r w:rsidR="00405C4A" w:rsidRPr="00803D58">
        <w:rPr>
          <w:szCs w:val="24"/>
        </w:rPr>
        <w:t xml:space="preserve">no </w:t>
      </w:r>
      <w:bookmarkStart w:id="44" w:name="_Hlk65232692"/>
      <w:r w:rsidR="00405C4A" w:rsidRPr="00803D58">
        <w:rPr>
          <w:szCs w:val="24"/>
        </w:rPr>
        <w:t xml:space="preserve">cumplieron con </w:t>
      </w:r>
      <w:r w:rsidR="00EB7AD8" w:rsidRPr="00803D58">
        <w:rPr>
          <w:szCs w:val="24"/>
        </w:rPr>
        <w:t>los</w:t>
      </w:r>
      <w:r w:rsidR="00405C4A" w:rsidRPr="00803D58">
        <w:rPr>
          <w:szCs w:val="24"/>
        </w:rPr>
        <w:t xml:space="preserve"> requisitos exigidos por la normativa para lograr </w:t>
      </w:r>
      <w:r w:rsidR="00EB7AD8" w:rsidRPr="00803D58">
        <w:rPr>
          <w:szCs w:val="24"/>
        </w:rPr>
        <w:t>su registro como coalición, aunado que no fue controvertido de manera correcta en la instancia local</w:t>
      </w:r>
      <w:bookmarkEnd w:id="44"/>
      <w:r w:rsidR="00405C4A" w:rsidRPr="00803D58">
        <w:t>.</w:t>
      </w:r>
    </w:p>
    <w:p w14:paraId="07B4153E" w14:textId="1CFD3C3C" w:rsidR="00770463" w:rsidRPr="004561FC" w:rsidRDefault="00054DE2" w:rsidP="00770463">
      <w:pPr>
        <w:spacing w:before="100" w:beforeAutospacing="1" w:after="100" w:afterAutospacing="1"/>
        <w:rPr>
          <w:rFonts w:eastAsia="Calibri"/>
          <w:b/>
          <w:szCs w:val="24"/>
        </w:rPr>
      </w:pPr>
      <w:r>
        <w:rPr>
          <w:rFonts w:eastAsia="Times New Roman"/>
          <w:b/>
          <w:szCs w:val="24"/>
          <w:lang w:val="es-ES_tradnl"/>
        </w:rPr>
        <w:t xml:space="preserve">5.3.2.6. </w:t>
      </w:r>
      <w:r w:rsidR="00770463" w:rsidRPr="004561FC">
        <w:rPr>
          <w:rFonts w:eastAsia="Calibri"/>
          <w:b/>
          <w:szCs w:val="24"/>
        </w:rPr>
        <w:t xml:space="preserve">Son ineficaces por novedosos los agravios en los que refiere que el </w:t>
      </w:r>
      <w:r w:rsidR="00770463" w:rsidRPr="00262563">
        <w:rPr>
          <w:rFonts w:eastAsia="Calibri"/>
          <w:b/>
          <w:i/>
          <w:iCs/>
          <w:szCs w:val="24"/>
        </w:rPr>
        <w:t>Tribunal Local</w:t>
      </w:r>
      <w:r w:rsidR="004561FC" w:rsidRPr="004561FC">
        <w:rPr>
          <w:b/>
          <w:szCs w:val="24"/>
        </w:rPr>
        <w:t xml:space="preserve"> que </w:t>
      </w:r>
      <w:r w:rsidR="00770463" w:rsidRPr="004561FC">
        <w:rPr>
          <w:rFonts w:eastAsia="Calibri"/>
          <w:b/>
          <w:szCs w:val="24"/>
        </w:rPr>
        <w:t xml:space="preserve">debió tener por cumplido el requisito requerido para la aprobación del convenio con el escrito presentado por el </w:t>
      </w:r>
      <w:r w:rsidR="00770463" w:rsidRPr="004872F6">
        <w:rPr>
          <w:rFonts w:eastAsia="Calibri"/>
          <w:b/>
          <w:i/>
          <w:iCs/>
          <w:szCs w:val="24"/>
        </w:rPr>
        <w:t>PANAL</w:t>
      </w:r>
      <w:r w:rsidR="006C0D0C">
        <w:rPr>
          <w:rFonts w:eastAsia="Calibri"/>
          <w:b/>
          <w:i/>
          <w:iCs/>
          <w:szCs w:val="24"/>
        </w:rPr>
        <w:t xml:space="preserve"> y</w:t>
      </w:r>
      <w:r w:rsidR="00E50A89" w:rsidRPr="004561FC">
        <w:rPr>
          <w:rFonts w:eastAsia="Calibri"/>
          <w:b/>
          <w:szCs w:val="24"/>
        </w:rPr>
        <w:t xml:space="preserve"> </w:t>
      </w:r>
      <w:r w:rsidR="00770463" w:rsidRPr="004561FC">
        <w:rPr>
          <w:rFonts w:eastAsia="Calibri"/>
          <w:b/>
          <w:szCs w:val="24"/>
        </w:rPr>
        <w:t xml:space="preserve">que no se tomó en cuenta la tesis XXXVI/2002 al invalidar el primer escrito presentado por MORENA y el </w:t>
      </w:r>
      <w:r w:rsidR="00770463" w:rsidRPr="004872F6">
        <w:rPr>
          <w:rFonts w:eastAsia="Calibri"/>
          <w:b/>
          <w:i/>
          <w:iCs/>
          <w:szCs w:val="24"/>
        </w:rPr>
        <w:t>PT</w:t>
      </w:r>
    </w:p>
    <w:p w14:paraId="229F9662" w14:textId="68222662" w:rsidR="00770463" w:rsidRPr="00770463" w:rsidRDefault="004561FC" w:rsidP="00770463">
      <w:pPr>
        <w:spacing w:before="100" w:beforeAutospacing="1" w:after="100" w:afterAutospacing="1"/>
        <w:rPr>
          <w:szCs w:val="24"/>
        </w:rPr>
      </w:pPr>
      <w:r>
        <w:rPr>
          <w:rFonts w:eastAsia="Calibri"/>
          <w:szCs w:val="24"/>
          <w:lang w:val="es-ES_tradnl"/>
        </w:rPr>
        <w:t>En primero término</w:t>
      </w:r>
      <w:r w:rsidR="0089209A">
        <w:rPr>
          <w:rFonts w:eastAsia="Calibri"/>
          <w:szCs w:val="24"/>
          <w:lang w:val="es-ES_tradnl"/>
        </w:rPr>
        <w:t>,</w:t>
      </w:r>
      <w:r>
        <w:rPr>
          <w:rFonts w:eastAsia="Calibri"/>
          <w:szCs w:val="24"/>
          <w:lang w:val="es-ES_tradnl"/>
        </w:rPr>
        <w:t xml:space="preserve"> señalan los partidos que </w:t>
      </w:r>
      <w:r w:rsidR="00770463" w:rsidRPr="00770463">
        <w:rPr>
          <w:rFonts w:eastAsia="Calibri"/>
          <w:szCs w:val="24"/>
          <w:lang w:val="es-ES_tradnl"/>
        </w:rPr>
        <w:t>el</w:t>
      </w:r>
      <w:r w:rsidR="00770463" w:rsidRPr="00770463">
        <w:rPr>
          <w:rFonts w:eastAsia="Calibri"/>
          <w:i/>
          <w:szCs w:val="24"/>
          <w:lang w:val="es-ES_tradnl"/>
        </w:rPr>
        <w:t xml:space="preserve"> Tribunal Local </w:t>
      </w:r>
      <w:r w:rsidR="00770463" w:rsidRPr="00770463">
        <w:rPr>
          <w:rFonts w:eastAsia="Calibri"/>
          <w:szCs w:val="24"/>
          <w:lang w:val="es-ES_tradnl"/>
        </w:rPr>
        <w:t xml:space="preserve">debió </w:t>
      </w:r>
      <w:r w:rsidR="00770463" w:rsidRPr="00770463">
        <w:rPr>
          <w:szCs w:val="24"/>
        </w:rPr>
        <w:t xml:space="preserve">debió tener cumplido el requisito requerido por el </w:t>
      </w:r>
      <w:r w:rsidR="00770463" w:rsidRPr="00770463">
        <w:rPr>
          <w:i/>
          <w:szCs w:val="24"/>
        </w:rPr>
        <w:t>Instituto Local</w:t>
      </w:r>
      <w:r w:rsidR="00770463" w:rsidRPr="00770463">
        <w:rPr>
          <w:szCs w:val="24"/>
        </w:rPr>
        <w:t xml:space="preserve"> para la aprobación del convenio con el escrito presentado por el </w:t>
      </w:r>
      <w:r w:rsidR="00770463" w:rsidRPr="004872F6">
        <w:rPr>
          <w:i/>
          <w:iCs/>
          <w:szCs w:val="24"/>
        </w:rPr>
        <w:t xml:space="preserve">PANAL </w:t>
      </w:r>
      <w:r w:rsidR="00770463" w:rsidRPr="00770463">
        <w:rPr>
          <w:szCs w:val="24"/>
        </w:rPr>
        <w:t>y haber entrado al fondo del análisis de sus agravios planteados en la instancia local.</w:t>
      </w:r>
    </w:p>
    <w:p w14:paraId="5F59038B" w14:textId="77777777" w:rsidR="00770463" w:rsidRPr="00770463" w:rsidRDefault="00770463" w:rsidP="00770463">
      <w:pPr>
        <w:spacing w:before="100" w:beforeAutospacing="1" w:after="100" w:afterAutospacing="1"/>
        <w:rPr>
          <w:szCs w:val="24"/>
        </w:rPr>
      </w:pPr>
      <w:r w:rsidRPr="00770463">
        <w:rPr>
          <w:szCs w:val="24"/>
        </w:rPr>
        <w:lastRenderedPageBreak/>
        <w:t xml:space="preserve">Toda vez que, la idea de coalición implica que los partidos que tienen un interés por participar de manera conjunta en una elección deben tomarse como una sola unidad o fuerza política, de esa manera, sus actos deben ser considerados en el mismo sentido, por lo que el </w:t>
      </w:r>
      <w:r w:rsidRPr="00770463">
        <w:rPr>
          <w:i/>
          <w:szCs w:val="24"/>
        </w:rPr>
        <w:t>Tribunal Local</w:t>
      </w:r>
      <w:r w:rsidRPr="00770463">
        <w:rPr>
          <w:szCs w:val="24"/>
        </w:rPr>
        <w:t xml:space="preserve"> realizó una interpretación restrictiva, inconstitucional y desproporcional del artículo 89 de la Ley de Partidos y el inciso a), numeral 1, del artículo 276 del reglamento de elecciones.</w:t>
      </w:r>
    </w:p>
    <w:p w14:paraId="74E9D272" w14:textId="77777777" w:rsidR="00770463" w:rsidRPr="00770463" w:rsidRDefault="00770463" w:rsidP="00770463">
      <w:pPr>
        <w:spacing w:before="100" w:beforeAutospacing="1" w:after="100" w:afterAutospacing="1"/>
        <w:rPr>
          <w:szCs w:val="24"/>
        </w:rPr>
      </w:pPr>
      <w:r w:rsidRPr="00770463">
        <w:rPr>
          <w:szCs w:val="24"/>
        </w:rPr>
        <w:t>Asimismo, que la normativa no establece de manera expresa que es necesario integrar las firmas de cada uno de los interesados en conformar una coalición, por lo que de conformidad con la tesis jurisprudencial XXXVI/2002, debe bastar la expresión de uno solo de los interesados en conformar la coalición para que ésta sea registrada.</w:t>
      </w:r>
    </w:p>
    <w:p w14:paraId="493B4F48" w14:textId="64A70B8B" w:rsidR="00770463" w:rsidRPr="00770463" w:rsidRDefault="004561FC" w:rsidP="00770463">
      <w:pPr>
        <w:spacing w:before="240" w:after="240"/>
        <w:rPr>
          <w:szCs w:val="24"/>
        </w:rPr>
      </w:pPr>
      <w:r>
        <w:rPr>
          <w:rFonts w:eastAsia="Calibri"/>
          <w:szCs w:val="24"/>
        </w:rPr>
        <w:t>Finalmente</w:t>
      </w:r>
      <w:r w:rsidR="00770463" w:rsidRPr="00770463">
        <w:rPr>
          <w:rFonts w:eastAsia="Calibri"/>
          <w:szCs w:val="24"/>
        </w:rPr>
        <w:t xml:space="preserve">, </w:t>
      </w:r>
      <w:r>
        <w:rPr>
          <w:rFonts w:eastAsia="Calibri"/>
          <w:szCs w:val="24"/>
        </w:rPr>
        <w:t>refieren</w:t>
      </w:r>
      <w:r w:rsidR="00770463" w:rsidRPr="00770463">
        <w:rPr>
          <w:rFonts w:eastAsia="Calibri"/>
          <w:szCs w:val="24"/>
        </w:rPr>
        <w:t xml:space="preserve"> que </w:t>
      </w:r>
      <w:r w:rsidR="00770463" w:rsidRPr="00770463">
        <w:rPr>
          <w:szCs w:val="24"/>
        </w:rPr>
        <w:t xml:space="preserve">el </w:t>
      </w:r>
      <w:r w:rsidR="00770463" w:rsidRPr="00262563">
        <w:rPr>
          <w:i/>
          <w:iCs/>
          <w:szCs w:val="24"/>
        </w:rPr>
        <w:t>Tribunal Local</w:t>
      </w:r>
      <w:r w:rsidR="00770463" w:rsidRPr="00770463">
        <w:rPr>
          <w:szCs w:val="24"/>
        </w:rPr>
        <w:t xml:space="preserve"> ilegalmente invalidó el escrito presentado en tiempo y forma, pues </w:t>
      </w:r>
      <w:r w:rsidR="00803D58" w:rsidRPr="00770463">
        <w:rPr>
          <w:szCs w:val="24"/>
        </w:rPr>
        <w:t>aún</w:t>
      </w:r>
      <w:r w:rsidR="00770463" w:rsidRPr="00770463">
        <w:rPr>
          <w:szCs w:val="24"/>
        </w:rPr>
        <w:t xml:space="preserve"> y que no se encontraba firmado por el representante de MORENA, no tomó en cuenta</w:t>
      </w:r>
      <w:r w:rsidR="00770463" w:rsidRPr="00770463">
        <w:rPr>
          <w:color w:val="990000"/>
          <w:szCs w:val="24"/>
          <w:shd w:val="clear" w:color="auto" w:fill="FFFFFF"/>
        </w:rPr>
        <w:t xml:space="preserve"> </w:t>
      </w:r>
      <w:r w:rsidR="00770463" w:rsidRPr="00770463">
        <w:rPr>
          <w:color w:val="000000" w:themeColor="text1"/>
          <w:szCs w:val="24"/>
          <w:shd w:val="clear" w:color="auto" w:fill="FFFFFF"/>
        </w:rPr>
        <w:t xml:space="preserve">la tesis </w:t>
      </w:r>
      <w:r w:rsidR="00770463" w:rsidRPr="00770463">
        <w:rPr>
          <w:b/>
          <w:bCs/>
          <w:i/>
          <w:color w:val="000000" w:themeColor="text1"/>
          <w:szCs w:val="24"/>
          <w:shd w:val="clear" w:color="auto" w:fill="FFFFFF"/>
        </w:rPr>
        <w:t>XXXVI/2002</w:t>
      </w:r>
      <w:r w:rsidR="00770463" w:rsidRPr="00770463">
        <w:rPr>
          <w:szCs w:val="24"/>
        </w:rPr>
        <w:t>.</w:t>
      </w:r>
    </w:p>
    <w:p w14:paraId="4DFD4104" w14:textId="4DB5BCF8" w:rsidR="00770463" w:rsidRDefault="00770463" w:rsidP="004561FC">
      <w:pPr>
        <w:spacing w:before="100" w:beforeAutospacing="1" w:after="100" w:afterAutospacing="1"/>
        <w:rPr>
          <w:rFonts w:eastAsia="Calibri"/>
          <w:szCs w:val="24"/>
          <w:lang w:val="es-ES_tradnl"/>
        </w:rPr>
      </w:pPr>
      <w:r w:rsidRPr="00770463">
        <w:rPr>
          <w:rFonts w:eastAsia="Calibri"/>
          <w:b/>
          <w:szCs w:val="24"/>
          <w:lang w:val="es-ES_tradnl"/>
        </w:rPr>
        <w:t xml:space="preserve">Son ineficaces </w:t>
      </w:r>
      <w:r w:rsidRPr="00770463">
        <w:rPr>
          <w:rFonts w:eastAsia="Calibri"/>
          <w:szCs w:val="24"/>
          <w:lang w:val="es-ES_tradnl"/>
        </w:rPr>
        <w:t xml:space="preserve">los argumentos hechos valer, porque ambos constituyen </w:t>
      </w:r>
      <w:r w:rsidRPr="00770463">
        <w:rPr>
          <w:rFonts w:eastAsia="Calibri"/>
          <w:b/>
          <w:szCs w:val="24"/>
          <w:lang w:val="es-ES_tradnl"/>
        </w:rPr>
        <w:t>una cuestión novedosa</w:t>
      </w:r>
      <w:r w:rsidRPr="00770463">
        <w:rPr>
          <w:rFonts w:eastAsia="Calibri"/>
          <w:szCs w:val="24"/>
          <w:lang w:val="es-ES_tradnl"/>
        </w:rPr>
        <w:t xml:space="preserve"> que los actores no sometieron a la consideración del </w:t>
      </w:r>
      <w:r w:rsidRPr="00770463">
        <w:rPr>
          <w:rFonts w:eastAsia="Calibri"/>
          <w:i/>
          <w:szCs w:val="24"/>
          <w:lang w:val="es-ES_tradnl"/>
        </w:rPr>
        <w:t>Tribunal Local</w:t>
      </w:r>
      <w:r w:rsidRPr="00770463">
        <w:rPr>
          <w:rFonts w:eastAsia="Calibri"/>
          <w:szCs w:val="24"/>
          <w:lang w:val="es-ES_tradnl"/>
        </w:rPr>
        <w:t>; por tanto, si éste no tuvo oportunidad de analizarlo, esta Sala se encuentra impedida legalmente para hacer algún pronunciamiento al respecto, pues de hacerlo variaría la litis planteada originalmente ante la autoridad responsable</w:t>
      </w:r>
      <w:r w:rsidRPr="00770463">
        <w:rPr>
          <w:rFonts w:eastAsia="Calibri" w:cs="Times New Roman"/>
          <w:szCs w:val="24"/>
          <w:vertAlign w:val="superscript"/>
          <w:lang w:val="es-ES_tradnl"/>
        </w:rPr>
        <w:footnoteReference w:id="15"/>
      </w:r>
      <w:r w:rsidRPr="00770463">
        <w:rPr>
          <w:rFonts w:eastAsia="Calibri"/>
          <w:szCs w:val="24"/>
          <w:lang w:val="es-ES_tradnl"/>
        </w:rPr>
        <w:t>,lo cual violaría el principio de congruencia que debe regir en toda sentencia.</w:t>
      </w:r>
    </w:p>
    <w:p w14:paraId="501F5793" w14:textId="69746F40" w:rsidR="00483762" w:rsidRDefault="00483762" w:rsidP="004561FC">
      <w:pPr>
        <w:spacing w:before="100" w:beforeAutospacing="1" w:after="100" w:afterAutospacing="1"/>
        <w:rPr>
          <w:lang w:val="es-ES_tradnl" w:eastAsia="es-MX"/>
        </w:rPr>
      </w:pPr>
      <w:r>
        <w:rPr>
          <w:lang w:val="es-ES_tradnl" w:eastAsia="es-MX"/>
        </w:rPr>
        <w:t>Por lo expuesto y fundado es que debe confirmase la sentencia impugnada.</w:t>
      </w:r>
    </w:p>
    <w:p w14:paraId="1597A5E0" w14:textId="4F91F6EE" w:rsidR="00BE4D20" w:rsidRDefault="00943E06" w:rsidP="00BE4D20">
      <w:pPr>
        <w:pStyle w:val="Ttulo1"/>
        <w:spacing w:after="240"/>
        <w:rPr>
          <w:lang w:val="es-ES_tradnl" w:eastAsia="es-MX"/>
        </w:rPr>
      </w:pPr>
      <w:r w:rsidRPr="00483762">
        <w:rPr>
          <w:lang w:val="es-ES_tradnl" w:eastAsia="es-MX"/>
        </w:rPr>
        <w:t>6</w:t>
      </w:r>
      <w:r w:rsidR="00BE4D20" w:rsidRPr="00483762">
        <w:rPr>
          <w:lang w:val="es-ES_tradnl" w:eastAsia="es-MX"/>
        </w:rPr>
        <w:t>. RESOLUTIVO</w:t>
      </w:r>
      <w:r w:rsidR="00FF753A">
        <w:rPr>
          <w:lang w:val="es-ES_tradnl" w:eastAsia="es-MX"/>
        </w:rPr>
        <w:t>S</w:t>
      </w:r>
    </w:p>
    <w:p w14:paraId="2DBAF93B" w14:textId="74016E62" w:rsidR="00FF753A" w:rsidRPr="00FF753A" w:rsidRDefault="00FF753A" w:rsidP="00FF753A">
      <w:pPr>
        <w:rPr>
          <w:lang w:val="es-ES_tradnl" w:eastAsia="es-MX"/>
        </w:rPr>
      </w:pPr>
      <w:r w:rsidRPr="00FF753A">
        <w:rPr>
          <w:b/>
          <w:bCs/>
        </w:rPr>
        <w:t xml:space="preserve">PRIMERO. </w:t>
      </w:r>
      <w:r w:rsidRPr="00FF753A">
        <w:t xml:space="preserve">Se </w:t>
      </w:r>
      <w:r w:rsidRPr="00FF753A">
        <w:rPr>
          <w:b/>
          <w:bCs/>
        </w:rPr>
        <w:t>acumula</w:t>
      </w:r>
      <w:r w:rsidRPr="00FF753A">
        <w:t xml:space="preserve"> el expediente</w:t>
      </w:r>
      <w:r>
        <w:t xml:space="preserve"> SM</w:t>
      </w:r>
      <w:r w:rsidRPr="00FF753A">
        <w:t>-J</w:t>
      </w:r>
      <w:r>
        <w:t>RC</w:t>
      </w:r>
      <w:r w:rsidRPr="00FF753A">
        <w:t>-</w:t>
      </w:r>
      <w:r>
        <w:t>3</w:t>
      </w:r>
      <w:r w:rsidRPr="00FF753A">
        <w:t>/2021 al diverso SM-J</w:t>
      </w:r>
      <w:r>
        <w:t>RC</w:t>
      </w:r>
      <w:r w:rsidRPr="00FF753A">
        <w:t>-</w:t>
      </w:r>
      <w:r>
        <w:t>1</w:t>
      </w:r>
      <w:r w:rsidRPr="00FF753A">
        <w:t>/2021, al ser éste el primero que se recibió en esta Sala Regional, por lo que se deberá glosar copia certificada de los puntos resolutivos de esta sentencia a los autos del juicio acumulado.</w:t>
      </w:r>
    </w:p>
    <w:p w14:paraId="75C33E51" w14:textId="34B6456B" w:rsidR="00BE4D20" w:rsidRPr="00DE053F" w:rsidRDefault="00FF753A" w:rsidP="00BE4D20">
      <w:pPr>
        <w:spacing w:before="240" w:after="240"/>
        <w:rPr>
          <w:szCs w:val="24"/>
          <w:lang w:val="es-ES_tradnl" w:eastAsia="es-ES"/>
        </w:rPr>
      </w:pPr>
      <w:r>
        <w:rPr>
          <w:b/>
          <w:bCs/>
          <w:szCs w:val="24"/>
          <w:lang w:val="es-ES_tradnl" w:eastAsia="es-ES"/>
        </w:rPr>
        <w:t>SEGUNDO</w:t>
      </w:r>
      <w:r w:rsidR="00BE4D20" w:rsidRPr="00483762">
        <w:rPr>
          <w:szCs w:val="24"/>
          <w:lang w:val="es-ES_tradnl" w:eastAsia="es-ES"/>
        </w:rPr>
        <w:t xml:space="preserve">. Se </w:t>
      </w:r>
      <w:r w:rsidR="004561FC" w:rsidRPr="00483762">
        <w:rPr>
          <w:b/>
          <w:szCs w:val="24"/>
          <w:lang w:val="es-ES_tradnl" w:eastAsia="es-ES"/>
        </w:rPr>
        <w:t xml:space="preserve">confirma </w:t>
      </w:r>
      <w:r w:rsidR="00BE4D20" w:rsidRPr="00483762">
        <w:rPr>
          <w:szCs w:val="24"/>
          <w:lang w:val="es-ES_tradnl" w:eastAsia="es-ES"/>
        </w:rPr>
        <w:t>la resolución impugnada.</w:t>
      </w:r>
      <w:r w:rsidR="00BE4D20" w:rsidRPr="00DE053F">
        <w:rPr>
          <w:szCs w:val="24"/>
          <w:lang w:val="es-ES_tradnl" w:eastAsia="es-ES"/>
        </w:rPr>
        <w:t xml:space="preserve"> </w:t>
      </w:r>
    </w:p>
    <w:p w14:paraId="5E3AA641" w14:textId="6248C625" w:rsidR="00BE4D20" w:rsidRPr="00DE053F" w:rsidRDefault="00BE4D20" w:rsidP="00BE4D20">
      <w:pPr>
        <w:spacing w:before="240" w:after="240"/>
        <w:rPr>
          <w:szCs w:val="24"/>
          <w:lang w:val="es-ES_tradnl"/>
        </w:rPr>
      </w:pPr>
      <w:r w:rsidRPr="00DE053F">
        <w:rPr>
          <w:szCs w:val="24"/>
          <w:lang w:val="es-ES_tradnl"/>
        </w:rPr>
        <w:lastRenderedPageBreak/>
        <w:t>En su oportunidad, archíve</w:t>
      </w:r>
      <w:r w:rsidR="00FF753A">
        <w:rPr>
          <w:szCs w:val="24"/>
          <w:lang w:val="es-ES_tradnl"/>
        </w:rPr>
        <w:t>n</w:t>
      </w:r>
      <w:r w:rsidRPr="00DE053F">
        <w:rPr>
          <w:szCs w:val="24"/>
          <w:lang w:val="es-ES_tradnl"/>
        </w:rPr>
        <w:t xml:space="preserve">se </w:t>
      </w:r>
      <w:r w:rsidR="00FF753A">
        <w:rPr>
          <w:szCs w:val="24"/>
          <w:lang w:val="es-ES_tradnl"/>
        </w:rPr>
        <w:t xml:space="preserve">los </w:t>
      </w:r>
      <w:r w:rsidRPr="00DE053F">
        <w:rPr>
          <w:szCs w:val="24"/>
          <w:lang w:val="es-ES_tradnl"/>
        </w:rPr>
        <w:t>expediente</w:t>
      </w:r>
      <w:r w:rsidR="00FF753A">
        <w:rPr>
          <w:szCs w:val="24"/>
          <w:lang w:val="es-ES_tradnl"/>
        </w:rPr>
        <w:t>s</w:t>
      </w:r>
      <w:r w:rsidRPr="00DE053F">
        <w:rPr>
          <w:szCs w:val="24"/>
          <w:lang w:val="es-ES_tradnl"/>
        </w:rPr>
        <w:t xml:space="preserve"> como asunto</w:t>
      </w:r>
      <w:r w:rsidR="00FF753A">
        <w:rPr>
          <w:szCs w:val="24"/>
          <w:lang w:val="es-ES_tradnl"/>
        </w:rPr>
        <w:t>s</w:t>
      </w:r>
      <w:r w:rsidRPr="00DE053F">
        <w:rPr>
          <w:szCs w:val="24"/>
          <w:lang w:val="es-ES_tradnl"/>
        </w:rPr>
        <w:t xml:space="preserve"> concluido</w:t>
      </w:r>
      <w:r w:rsidR="00FF753A">
        <w:rPr>
          <w:szCs w:val="24"/>
          <w:lang w:val="es-ES_tradnl"/>
        </w:rPr>
        <w:t>s</w:t>
      </w:r>
      <w:r w:rsidRPr="00DE053F">
        <w:rPr>
          <w:szCs w:val="24"/>
          <w:lang w:val="es-ES_tradnl"/>
        </w:rPr>
        <w:t xml:space="preserve"> y, en su caso, devuélvase la documentación remitida por la responsable.</w:t>
      </w:r>
    </w:p>
    <w:p w14:paraId="0B08FD22" w14:textId="77777777" w:rsidR="00BE4D20" w:rsidRPr="00DE053F" w:rsidRDefault="00BE4D20" w:rsidP="00BE4D20">
      <w:pPr>
        <w:shd w:val="clear" w:color="auto" w:fill="FFFFFF"/>
        <w:spacing w:before="240" w:after="240"/>
        <w:rPr>
          <w:lang w:eastAsia="es-MX"/>
        </w:rPr>
      </w:pPr>
      <w:r w:rsidRPr="00DE053F">
        <w:rPr>
          <w:b/>
          <w:bCs/>
          <w:lang w:eastAsia="es-MX"/>
        </w:rPr>
        <w:t>NOTIFÍQUESE</w:t>
      </w:r>
    </w:p>
    <w:p w14:paraId="72E3BBF1" w14:textId="11C21831" w:rsidR="00BE4D20" w:rsidRPr="00DE053F" w:rsidRDefault="00BE4D20" w:rsidP="00BE4D20">
      <w:pPr>
        <w:shd w:val="clear" w:color="auto" w:fill="FFFFFF"/>
        <w:spacing w:before="240" w:after="240"/>
        <w:rPr>
          <w:lang w:val="es-ES_tradnl" w:eastAsia="es-MX"/>
        </w:rPr>
      </w:pPr>
      <w:bookmarkStart w:id="45" w:name="_Hlk65261068"/>
      <w:r w:rsidRPr="00DE053F">
        <w:rPr>
          <w:lang w:val="es-ES_tradnl" w:eastAsia="es-MX"/>
        </w:rPr>
        <w:t xml:space="preserve">Así lo resolvieron por </w:t>
      </w:r>
      <w:r w:rsidR="008B2B83">
        <w:rPr>
          <w:b/>
          <w:lang w:val="es-ES_tradnl" w:eastAsia="es-MX"/>
        </w:rPr>
        <w:t xml:space="preserve">mayoría </w:t>
      </w:r>
      <w:r w:rsidRPr="00DE053F">
        <w:rPr>
          <w:lang w:val="es-ES_tradnl" w:eastAsia="es-MX"/>
        </w:rPr>
        <w:t xml:space="preserve">de votos, </w:t>
      </w:r>
      <w:r w:rsidR="008B2B83">
        <w:rPr>
          <w:lang w:val="es-ES_tradnl" w:eastAsia="es-MX"/>
        </w:rPr>
        <w:t xml:space="preserve">de </w:t>
      </w:r>
      <w:r w:rsidRPr="00DE053F">
        <w:rPr>
          <w:lang w:val="es-ES_tradnl" w:eastAsia="es-MX"/>
        </w:rPr>
        <w:t>la Magistrada</w:t>
      </w:r>
      <w:r w:rsidR="008B2B83">
        <w:rPr>
          <w:lang w:val="es-ES_tradnl" w:eastAsia="es-MX"/>
        </w:rPr>
        <w:t xml:space="preserve"> Claudia Valle </w:t>
      </w:r>
      <w:proofErr w:type="spellStart"/>
      <w:r w:rsidR="008B2B83">
        <w:rPr>
          <w:lang w:val="es-ES_tradnl" w:eastAsia="es-MX"/>
        </w:rPr>
        <w:t>Aguilasocho</w:t>
      </w:r>
      <w:proofErr w:type="spellEnd"/>
      <w:r w:rsidR="008B2B83">
        <w:rPr>
          <w:lang w:val="es-ES_tradnl" w:eastAsia="es-MX"/>
        </w:rPr>
        <w:t xml:space="preserve"> </w:t>
      </w:r>
      <w:r w:rsidRPr="00DE053F">
        <w:rPr>
          <w:lang w:val="es-ES_tradnl" w:eastAsia="es-MX"/>
        </w:rPr>
        <w:t xml:space="preserve">y </w:t>
      </w:r>
      <w:r w:rsidR="008B2B83">
        <w:rPr>
          <w:lang w:val="es-ES_tradnl" w:eastAsia="es-MX"/>
        </w:rPr>
        <w:t xml:space="preserve">el </w:t>
      </w:r>
      <w:r w:rsidRPr="00DE053F">
        <w:rPr>
          <w:lang w:val="es-ES_tradnl" w:eastAsia="es-MX"/>
        </w:rPr>
        <w:t>Magistrado</w:t>
      </w:r>
      <w:r w:rsidR="008B2B83">
        <w:rPr>
          <w:lang w:val="es-ES_tradnl" w:eastAsia="es-MX"/>
        </w:rPr>
        <w:t xml:space="preserve"> Yairsinio David García Ortiz, con el voto en contra del Magistrado Ernesto Camacho Ochoa, quien emite voto </w:t>
      </w:r>
      <w:r w:rsidR="00911305">
        <w:rPr>
          <w:lang w:val="es-ES_tradnl" w:eastAsia="es-MX"/>
        </w:rPr>
        <w:t>diferenciado</w:t>
      </w:r>
      <w:r w:rsidR="008B2B83">
        <w:rPr>
          <w:lang w:val="es-ES_tradnl" w:eastAsia="es-MX"/>
        </w:rPr>
        <w:t>,</w:t>
      </w:r>
      <w:r w:rsidRPr="00DE053F">
        <w:rPr>
          <w:lang w:val="es-ES_tradnl" w:eastAsia="es-MX"/>
        </w:rPr>
        <w:t xml:space="preserve"> integrantes de la Sala Regional del Tribunal Electoral del Poder Judicial de la Federación, correspondiente a la Segunda Circunscripción Electoral Plurinominal, ante el Secretario General de Acuerdos, quien autoriza y da fe.</w:t>
      </w:r>
    </w:p>
    <w:bookmarkEnd w:id="45"/>
    <w:p w14:paraId="025F1AE6" w14:textId="7FE6A3CF" w:rsidR="00BE4D20" w:rsidRPr="000B58C3" w:rsidRDefault="00BE4D20" w:rsidP="007203C9">
      <w:pPr>
        <w:spacing w:after="240" w:line="240" w:lineRule="auto"/>
        <w:rPr>
          <w:lang w:val="es-ES_tradnl"/>
        </w:rPr>
      </w:pPr>
      <w:r w:rsidRPr="00DE053F">
        <w:rPr>
          <w:i/>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BE4D20" w:rsidRPr="000B58C3" w:rsidSect="00576C2D">
      <w:headerReference w:type="even" r:id="rId8"/>
      <w:headerReference w:type="default" r:id="rId9"/>
      <w:footerReference w:type="even" r:id="rId10"/>
      <w:footerReference w:type="default" r:id="rId11"/>
      <w:headerReference w:type="first" r:id="rId12"/>
      <w:footerReference w:type="first" r:id="rId13"/>
      <w:pgSz w:w="12242" w:h="19295" w:code="200"/>
      <w:pgMar w:top="1134" w:right="1134" w:bottom="1134"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0211E" w14:textId="77777777" w:rsidR="008E51E7" w:rsidRDefault="008E51E7" w:rsidP="00F9011A">
      <w:pPr>
        <w:spacing w:after="0" w:line="240" w:lineRule="auto"/>
      </w:pPr>
      <w:r>
        <w:separator/>
      </w:r>
    </w:p>
  </w:endnote>
  <w:endnote w:type="continuationSeparator" w:id="0">
    <w:p w14:paraId="5A2C3E3C" w14:textId="77777777" w:rsidR="008E51E7" w:rsidRDefault="008E51E7" w:rsidP="00F9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84827" w14:textId="77777777" w:rsidR="00C3343E" w:rsidRDefault="00C334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A2D4C" w14:textId="77777777" w:rsidR="00C3343E" w:rsidRDefault="00C3343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B8E8E" w14:textId="77777777" w:rsidR="00C3343E" w:rsidRDefault="00C334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6FA8B" w14:textId="77777777" w:rsidR="008E51E7" w:rsidRDefault="008E51E7" w:rsidP="00F9011A">
      <w:pPr>
        <w:spacing w:after="0" w:line="240" w:lineRule="auto"/>
      </w:pPr>
      <w:r>
        <w:separator/>
      </w:r>
    </w:p>
  </w:footnote>
  <w:footnote w:type="continuationSeparator" w:id="0">
    <w:p w14:paraId="3ED9BCAD" w14:textId="77777777" w:rsidR="008E51E7" w:rsidRDefault="008E51E7" w:rsidP="00F9011A">
      <w:pPr>
        <w:spacing w:after="0" w:line="240" w:lineRule="auto"/>
      </w:pPr>
      <w:r>
        <w:continuationSeparator/>
      </w:r>
    </w:p>
  </w:footnote>
  <w:footnote w:id="1">
    <w:p w14:paraId="1FB57C27" w14:textId="4DA825B0" w:rsidR="00FF753A" w:rsidRPr="004561FC" w:rsidRDefault="00FF753A" w:rsidP="005875CF">
      <w:pPr>
        <w:pStyle w:val="Textonotapie"/>
        <w:rPr>
          <w:sz w:val="18"/>
          <w:szCs w:val="18"/>
        </w:rPr>
      </w:pPr>
      <w:r w:rsidRPr="005875CF">
        <w:rPr>
          <w:rStyle w:val="Refdenotaalpie"/>
          <w:sz w:val="18"/>
        </w:rPr>
        <w:footnoteRef/>
      </w:r>
      <w:r w:rsidRPr="00DC0459">
        <w:t xml:space="preserve"> </w:t>
      </w:r>
      <w:r w:rsidRPr="00925EE1">
        <w:rPr>
          <w:sz w:val="18"/>
          <w:szCs w:val="18"/>
        </w:rPr>
        <w:t>Visible a f</w:t>
      </w:r>
      <w:r w:rsidRPr="004561FC">
        <w:rPr>
          <w:sz w:val="18"/>
          <w:szCs w:val="18"/>
        </w:rPr>
        <w:t>oja 313 a 314 del accesorio 1.</w:t>
      </w:r>
    </w:p>
  </w:footnote>
  <w:footnote w:id="2">
    <w:p w14:paraId="121F1C81" w14:textId="0EE6B67E" w:rsidR="00FF753A" w:rsidRPr="004561FC" w:rsidRDefault="00FF753A">
      <w:pPr>
        <w:pStyle w:val="Textonotapie"/>
        <w:rPr>
          <w:sz w:val="18"/>
          <w:szCs w:val="18"/>
        </w:rPr>
      </w:pPr>
      <w:r w:rsidRPr="004561FC">
        <w:rPr>
          <w:rStyle w:val="Refdenotaalpie"/>
          <w:sz w:val="18"/>
          <w:szCs w:val="18"/>
        </w:rPr>
        <w:footnoteRef/>
      </w:r>
      <w:r w:rsidRPr="004561FC">
        <w:rPr>
          <w:sz w:val="18"/>
          <w:szCs w:val="18"/>
        </w:rPr>
        <w:t xml:space="preserve"> Escrito suscrito por representantes del </w:t>
      </w:r>
      <w:r w:rsidRPr="004872F6">
        <w:rPr>
          <w:i/>
          <w:iCs/>
          <w:sz w:val="18"/>
          <w:szCs w:val="18"/>
        </w:rPr>
        <w:t>PT</w:t>
      </w:r>
      <w:r w:rsidRPr="004561FC">
        <w:rPr>
          <w:sz w:val="18"/>
          <w:szCs w:val="18"/>
        </w:rPr>
        <w:t>, con nombres de los representantes de MORENA, pero sin la firma de éstos.</w:t>
      </w:r>
    </w:p>
  </w:footnote>
  <w:footnote w:id="3">
    <w:p w14:paraId="468F407B" w14:textId="0478ED81" w:rsidR="00FF753A" w:rsidRPr="004561FC" w:rsidRDefault="00FF753A">
      <w:pPr>
        <w:pStyle w:val="Textonotapie"/>
        <w:rPr>
          <w:sz w:val="18"/>
          <w:szCs w:val="18"/>
        </w:rPr>
      </w:pPr>
      <w:r w:rsidRPr="004561FC">
        <w:rPr>
          <w:rStyle w:val="Refdenotaalpie"/>
          <w:sz w:val="18"/>
          <w:szCs w:val="18"/>
        </w:rPr>
        <w:footnoteRef/>
      </w:r>
      <w:r w:rsidRPr="004561FC">
        <w:rPr>
          <w:sz w:val="18"/>
          <w:szCs w:val="18"/>
        </w:rPr>
        <w:t xml:space="preserve"> Escrito firmado por la representante suplente de MORENA ante el </w:t>
      </w:r>
      <w:r w:rsidRPr="009E21AC">
        <w:rPr>
          <w:i/>
          <w:sz w:val="18"/>
          <w:szCs w:val="18"/>
        </w:rPr>
        <w:t>Consejo General</w:t>
      </w:r>
      <w:r w:rsidRPr="004561FC">
        <w:rPr>
          <w:sz w:val="18"/>
          <w:szCs w:val="18"/>
        </w:rPr>
        <w:t xml:space="preserve">, el presidente del Comité de Dirección Estatal de </w:t>
      </w:r>
      <w:r w:rsidRPr="004872F6">
        <w:rPr>
          <w:i/>
          <w:iCs/>
          <w:sz w:val="18"/>
          <w:szCs w:val="18"/>
        </w:rPr>
        <w:t>PANAL</w:t>
      </w:r>
      <w:r w:rsidRPr="004561FC">
        <w:rPr>
          <w:sz w:val="18"/>
          <w:szCs w:val="18"/>
        </w:rPr>
        <w:t xml:space="preserve"> y el representante suplente del </w:t>
      </w:r>
      <w:r w:rsidRPr="004872F6">
        <w:rPr>
          <w:i/>
          <w:iCs/>
          <w:sz w:val="18"/>
          <w:szCs w:val="18"/>
        </w:rPr>
        <w:t>PT</w:t>
      </w:r>
      <w:r w:rsidRPr="004561FC">
        <w:rPr>
          <w:sz w:val="18"/>
          <w:szCs w:val="18"/>
        </w:rPr>
        <w:t xml:space="preserve"> ante el </w:t>
      </w:r>
      <w:r w:rsidRPr="004872F6">
        <w:rPr>
          <w:i/>
          <w:iCs/>
          <w:sz w:val="18"/>
          <w:szCs w:val="18"/>
        </w:rPr>
        <w:t>Instituto Local</w:t>
      </w:r>
      <w:r w:rsidRPr="004561FC">
        <w:rPr>
          <w:sz w:val="18"/>
          <w:szCs w:val="18"/>
        </w:rPr>
        <w:t>.</w:t>
      </w:r>
    </w:p>
  </w:footnote>
  <w:footnote w:id="4">
    <w:p w14:paraId="4F817879" w14:textId="2B0E87D4" w:rsidR="00FF753A" w:rsidRPr="00054DE2" w:rsidRDefault="00FF753A" w:rsidP="00054DE2">
      <w:pPr>
        <w:pStyle w:val="Textonotapie"/>
        <w:rPr>
          <w:sz w:val="18"/>
          <w:szCs w:val="18"/>
        </w:rPr>
      </w:pPr>
      <w:r w:rsidRPr="00054DE2">
        <w:rPr>
          <w:rStyle w:val="Refdenotaalpie"/>
          <w:sz w:val="18"/>
          <w:szCs w:val="18"/>
        </w:rPr>
        <w:footnoteRef/>
      </w:r>
      <w:r w:rsidRPr="00054DE2">
        <w:rPr>
          <w:sz w:val="18"/>
          <w:szCs w:val="18"/>
        </w:rPr>
        <w:t xml:space="preserve"> Tal como se advierte de la certificación expedida por la Secretaria Ejecutiva del </w:t>
      </w:r>
      <w:r w:rsidRPr="00054DE2">
        <w:rPr>
          <w:i/>
          <w:iCs/>
          <w:sz w:val="18"/>
          <w:szCs w:val="18"/>
        </w:rPr>
        <w:t>Instituto Local</w:t>
      </w:r>
      <w:r w:rsidRPr="00054DE2">
        <w:rPr>
          <w:sz w:val="18"/>
          <w:szCs w:val="18"/>
        </w:rPr>
        <w:t>, visible a foja 0147 del cuaderno accesorio único.</w:t>
      </w:r>
    </w:p>
  </w:footnote>
  <w:footnote w:id="5">
    <w:p w14:paraId="687D13AE" w14:textId="42200564" w:rsidR="00FF753A" w:rsidRPr="004561FC" w:rsidRDefault="00FF753A">
      <w:pPr>
        <w:pStyle w:val="Textonotapie"/>
        <w:rPr>
          <w:sz w:val="18"/>
          <w:szCs w:val="18"/>
        </w:rPr>
      </w:pPr>
      <w:r w:rsidRPr="004561FC">
        <w:rPr>
          <w:rStyle w:val="Refdenotaalpie"/>
          <w:sz w:val="18"/>
          <w:szCs w:val="18"/>
        </w:rPr>
        <w:footnoteRef/>
      </w:r>
      <w:r w:rsidRPr="004561FC">
        <w:rPr>
          <w:sz w:val="18"/>
          <w:szCs w:val="18"/>
        </w:rPr>
        <w:t xml:space="preserve"> Que era un hecho público y notorio las obras de remodelación que se llevaban a cabo sobre la carretera federal 57</w:t>
      </w:r>
      <w:r>
        <w:rPr>
          <w:sz w:val="18"/>
          <w:szCs w:val="18"/>
        </w:rPr>
        <w:t>.</w:t>
      </w:r>
      <w:r w:rsidRPr="004561FC">
        <w:rPr>
          <w:sz w:val="18"/>
          <w:szCs w:val="18"/>
        </w:rPr>
        <w:t xml:space="preserve"> </w:t>
      </w:r>
    </w:p>
  </w:footnote>
  <w:footnote w:id="6">
    <w:p w14:paraId="13F2D0D4" w14:textId="750537FB" w:rsidR="00FF753A" w:rsidRPr="004561FC" w:rsidRDefault="00FF753A" w:rsidP="00C923DB">
      <w:pPr>
        <w:pStyle w:val="Textonotapie"/>
        <w:rPr>
          <w:sz w:val="18"/>
          <w:szCs w:val="18"/>
        </w:rPr>
      </w:pPr>
      <w:r w:rsidRPr="004561FC">
        <w:rPr>
          <w:rStyle w:val="Refdenotaalpie"/>
          <w:sz w:val="18"/>
          <w:szCs w:val="18"/>
        </w:rPr>
        <w:footnoteRef/>
      </w:r>
      <w:r w:rsidRPr="004561FC">
        <w:rPr>
          <w:sz w:val="18"/>
          <w:szCs w:val="18"/>
        </w:rPr>
        <w:t xml:space="preserve"> De conformidad con el artículo 92 de la </w:t>
      </w:r>
      <w:r w:rsidRPr="0091252C">
        <w:rPr>
          <w:i/>
          <w:sz w:val="18"/>
          <w:szCs w:val="18"/>
        </w:rPr>
        <w:t xml:space="preserve">Ley de </w:t>
      </w:r>
      <w:r w:rsidR="0091252C" w:rsidRPr="0091252C">
        <w:rPr>
          <w:i/>
          <w:sz w:val="18"/>
          <w:szCs w:val="18"/>
        </w:rPr>
        <w:t>P</w:t>
      </w:r>
      <w:r w:rsidRPr="0091252C">
        <w:rPr>
          <w:i/>
          <w:sz w:val="18"/>
          <w:szCs w:val="18"/>
        </w:rPr>
        <w:t>artidos</w:t>
      </w:r>
      <w:r w:rsidRPr="004561FC">
        <w:rPr>
          <w:sz w:val="18"/>
          <w:szCs w:val="18"/>
        </w:rPr>
        <w:t>.</w:t>
      </w:r>
    </w:p>
  </w:footnote>
  <w:footnote w:id="7">
    <w:p w14:paraId="65422171" w14:textId="77777777" w:rsidR="00FF753A" w:rsidRPr="004561FC" w:rsidRDefault="00FF753A" w:rsidP="00C923DB">
      <w:pPr>
        <w:pStyle w:val="Textonotapie"/>
        <w:rPr>
          <w:sz w:val="18"/>
          <w:szCs w:val="18"/>
        </w:rPr>
      </w:pPr>
      <w:r w:rsidRPr="004561FC">
        <w:rPr>
          <w:rStyle w:val="Refdenotaalpie"/>
          <w:sz w:val="18"/>
          <w:szCs w:val="18"/>
        </w:rPr>
        <w:footnoteRef/>
      </w:r>
      <w:r w:rsidRPr="004561FC">
        <w:rPr>
          <w:sz w:val="18"/>
          <w:szCs w:val="18"/>
        </w:rPr>
        <w:t xml:space="preserve"> • Requisito señalado en el artículo 276, numeral I, inciso c), fracción III del reglamento de elecciones, porque no se aportó documentación que acredite que los órganos de dirección que establecen los estatutos de MORENA, </w:t>
      </w:r>
      <w:r w:rsidRPr="004872F6">
        <w:rPr>
          <w:i/>
          <w:iCs/>
          <w:sz w:val="18"/>
          <w:szCs w:val="18"/>
        </w:rPr>
        <w:t>PT</w:t>
      </w:r>
      <w:r w:rsidRPr="004561FC">
        <w:rPr>
          <w:sz w:val="18"/>
          <w:szCs w:val="18"/>
        </w:rPr>
        <w:t xml:space="preserve"> y </w:t>
      </w:r>
      <w:r w:rsidRPr="004872F6">
        <w:rPr>
          <w:i/>
          <w:iCs/>
          <w:sz w:val="18"/>
          <w:szCs w:val="18"/>
        </w:rPr>
        <w:t>PANAL</w:t>
      </w:r>
      <w:r w:rsidRPr="004561FC">
        <w:rPr>
          <w:sz w:val="18"/>
          <w:szCs w:val="18"/>
        </w:rPr>
        <w:t xml:space="preserve">, aprobaron expresamente que la plataforma electoral de MORENA sería la que sostendría a las personas candidatas que postularía la coalición. </w:t>
      </w:r>
    </w:p>
    <w:p w14:paraId="3509D061" w14:textId="77777777" w:rsidR="00FF753A" w:rsidRPr="004561FC" w:rsidRDefault="00FF753A" w:rsidP="00C923DB">
      <w:pPr>
        <w:pStyle w:val="Textonotapie"/>
        <w:rPr>
          <w:sz w:val="18"/>
          <w:szCs w:val="18"/>
        </w:rPr>
      </w:pPr>
      <w:r w:rsidRPr="004561FC">
        <w:rPr>
          <w:sz w:val="18"/>
          <w:szCs w:val="18"/>
        </w:rPr>
        <w:t xml:space="preserve">• Requisito señalado en el artículo 276, numeral I, inciso c) del reglamento de elecciones porque no se presentó documentación que acredite que la coalición fue aprobada por los órganos de dirección que establecen los estatutos de MORENA y el </w:t>
      </w:r>
      <w:r w:rsidRPr="004872F6">
        <w:rPr>
          <w:i/>
          <w:iCs/>
          <w:sz w:val="18"/>
          <w:szCs w:val="18"/>
        </w:rPr>
        <w:t>PT</w:t>
      </w:r>
      <w:r w:rsidRPr="004561FC">
        <w:rPr>
          <w:sz w:val="18"/>
          <w:szCs w:val="18"/>
        </w:rPr>
        <w:t>, ni que dichos órganos hayan aprobado la plataforma electoral de la coalición y el programa de gobierno que sostendrán las candidaturas a presidencias municipales.</w:t>
      </w:r>
    </w:p>
    <w:p w14:paraId="548BFB65" w14:textId="77777777" w:rsidR="00FF753A" w:rsidRPr="004561FC" w:rsidRDefault="00FF753A" w:rsidP="00C923DB">
      <w:pPr>
        <w:pStyle w:val="Textonotapie"/>
        <w:rPr>
          <w:sz w:val="18"/>
          <w:szCs w:val="18"/>
        </w:rPr>
      </w:pPr>
      <w:r w:rsidRPr="004561FC">
        <w:rPr>
          <w:sz w:val="18"/>
          <w:szCs w:val="18"/>
        </w:rPr>
        <w:t xml:space="preserve">• El relativo a la acreditación de que los órganos competentes de cada uno de los partidos políticos acordaron postular y registrar como coalición, candidaturas a diputaciones locales y para integrar ayuntamientos. </w:t>
      </w:r>
    </w:p>
    <w:p w14:paraId="19382996" w14:textId="77777777" w:rsidR="00FF753A" w:rsidRPr="004561FC" w:rsidRDefault="00FF753A" w:rsidP="00C923DB">
      <w:pPr>
        <w:pStyle w:val="Textonotapie"/>
        <w:rPr>
          <w:sz w:val="18"/>
          <w:szCs w:val="18"/>
        </w:rPr>
      </w:pPr>
      <w:r w:rsidRPr="004561FC">
        <w:rPr>
          <w:sz w:val="18"/>
          <w:szCs w:val="18"/>
        </w:rPr>
        <w:t xml:space="preserve">• Indicar el procedimiento que seguiría cada partido político para seleccionar las candidaturas que serían postuladas por la coalición, por tipo de elección. </w:t>
      </w:r>
    </w:p>
    <w:p w14:paraId="1AA01571" w14:textId="77777777" w:rsidR="00FF753A" w:rsidRPr="004561FC" w:rsidRDefault="00FF753A" w:rsidP="00C923DB">
      <w:pPr>
        <w:pStyle w:val="Textonotapie"/>
        <w:rPr>
          <w:sz w:val="18"/>
          <w:szCs w:val="18"/>
        </w:rPr>
      </w:pPr>
      <w:r w:rsidRPr="004561FC">
        <w:rPr>
          <w:sz w:val="18"/>
          <w:szCs w:val="18"/>
        </w:rPr>
        <w:t xml:space="preserve">• No se ajustó el anexo 2 del convenio, en que se indica que MORENA postulará las candidaturas a regidurías del ayuntamiento de León. </w:t>
      </w:r>
    </w:p>
    <w:p w14:paraId="0A636180" w14:textId="77777777" w:rsidR="00FF753A" w:rsidRPr="004561FC" w:rsidRDefault="00FF753A" w:rsidP="00C923DB">
      <w:pPr>
        <w:pStyle w:val="Textonotapie"/>
        <w:rPr>
          <w:sz w:val="18"/>
          <w:szCs w:val="18"/>
        </w:rPr>
      </w:pPr>
      <w:r w:rsidRPr="004561FC">
        <w:rPr>
          <w:sz w:val="18"/>
          <w:szCs w:val="18"/>
        </w:rPr>
        <w:t xml:space="preserve">• No se incorporó en el convenio, la totalidad de postulaciones a sindicaturas de los municipios objeto </w:t>
      </w:r>
      <w:r w:rsidRPr="004561FC">
        <w:rPr>
          <w:sz w:val="18"/>
          <w:szCs w:val="18"/>
        </w:rPr>
        <w:t xml:space="preserve">del mismo, indicando el origen partidista. </w:t>
      </w:r>
    </w:p>
    <w:p w14:paraId="21A02FFD" w14:textId="77777777" w:rsidR="00FF753A" w:rsidRPr="004561FC" w:rsidRDefault="00FF753A" w:rsidP="00C923DB">
      <w:pPr>
        <w:pStyle w:val="Textonotapie"/>
        <w:rPr>
          <w:sz w:val="18"/>
          <w:szCs w:val="18"/>
        </w:rPr>
      </w:pPr>
      <w:r w:rsidRPr="004561FC">
        <w:rPr>
          <w:sz w:val="18"/>
          <w:szCs w:val="18"/>
        </w:rPr>
        <w:t>• No se incluyó en el convenio la integración de los bloques de distritos y municipios que corresponden a alta, media y baja votación indicándolas postulaciones que corresponderán a mujeres y hombres, infringiendo los lineamientos para garantizar el cumplimiento el principio de paridad de género.</w:t>
      </w:r>
    </w:p>
  </w:footnote>
  <w:footnote w:id="8">
    <w:p w14:paraId="7FB49D6A" w14:textId="77777777" w:rsidR="00FF753A" w:rsidRPr="004561FC" w:rsidRDefault="00FF753A" w:rsidP="00AC4296">
      <w:pPr>
        <w:spacing w:after="0" w:line="240" w:lineRule="auto"/>
        <w:contextualSpacing/>
        <w:rPr>
          <w:sz w:val="18"/>
          <w:szCs w:val="18"/>
        </w:rPr>
      </w:pPr>
      <w:r w:rsidRPr="004561FC">
        <w:rPr>
          <w:rStyle w:val="Refdenotaalpie"/>
          <w:sz w:val="18"/>
          <w:szCs w:val="18"/>
        </w:rPr>
        <w:footnoteRef/>
      </w:r>
      <w:r w:rsidRPr="004561FC">
        <w:rPr>
          <w:sz w:val="18"/>
          <w:szCs w:val="18"/>
        </w:rPr>
        <w:t xml:space="preserve"> Conforme a lo sustentado por </w:t>
      </w:r>
      <w:r w:rsidRPr="004561FC">
        <w:rPr>
          <w:bCs/>
          <w:sz w:val="18"/>
          <w:szCs w:val="18"/>
        </w:rPr>
        <w:t>Sala Superior en la Jurisprudencia 43/2002 de rubro: PRINCIPIO DE EXHAUSTIVIDAD. LAS AUTORIDADES ELECTORALES DEBEN OBSERVARLO EN LAS RESOLUCIONES QUE EMITAN.</w:t>
      </w:r>
    </w:p>
  </w:footnote>
  <w:footnote w:id="9">
    <w:p w14:paraId="4F07EE42" w14:textId="77777777" w:rsidR="00FF753A" w:rsidRPr="004561FC" w:rsidRDefault="00FF753A" w:rsidP="00AC4296">
      <w:pPr>
        <w:pStyle w:val="Textonotapie"/>
        <w:rPr>
          <w:sz w:val="18"/>
          <w:szCs w:val="18"/>
        </w:rPr>
      </w:pPr>
      <w:r w:rsidRPr="004561FC">
        <w:rPr>
          <w:rStyle w:val="Refdenotaalpie"/>
          <w:sz w:val="18"/>
          <w:szCs w:val="18"/>
        </w:rPr>
        <w:footnoteRef/>
      </w:r>
      <w:r w:rsidRPr="004561FC">
        <w:rPr>
          <w:sz w:val="18"/>
          <w:szCs w:val="18"/>
        </w:rPr>
        <w:t xml:space="preserve"> Jurisprudencia 12/2001 de rubro: EXHAUSTIVIDAD EN LAS RESOLUCIONES. CÓMO SE CUMPLE.- Este principio impone a los juzgadores, una vez constatada la satisfacción de los presupuestos procesales y de las condiciones de la acción, el deber de agotar cuidadosamente en la sentencia, todos y cada uno de los planteamientos hechos por las partes durante la integración de la litis, en apoyo de sus pretensiones; si se trata de una resolución de primera o única instancia se debe hacer pronunciamiento en las consideraciones sobre los hechos constitutivos de la causa petendi, y sobre el valor de los medios de prueba aportados o allegados legalmente al proceso, como base para resolver sobre las pretensiones, y si se trata de un medio impugnativo susceptible de abrir nueva instancia o juicio para revisar la resolución de primer o siguiente grado, es preciso el análisis de todos los argumentos y razonamientos constantes en los agravios o conceptos de violación y, en su caso, de las pruebas recibidas o recabadas en ese nuevo proceso impugnativo.</w:t>
      </w:r>
    </w:p>
  </w:footnote>
  <w:footnote w:id="10">
    <w:p w14:paraId="7E4C3277" w14:textId="77777777" w:rsidR="00FF753A" w:rsidRPr="004561FC" w:rsidRDefault="00FF753A" w:rsidP="00AC4296">
      <w:pPr>
        <w:pStyle w:val="NormalWeb"/>
        <w:spacing w:before="0" w:beforeAutospacing="0" w:after="0" w:afterAutospacing="0"/>
        <w:rPr>
          <w:rFonts w:ascii="Arial" w:hAnsi="Arial"/>
          <w:sz w:val="18"/>
          <w:szCs w:val="18"/>
        </w:rPr>
      </w:pPr>
      <w:r w:rsidRPr="004561FC">
        <w:rPr>
          <w:rStyle w:val="Refdenotaalpie"/>
          <w:rFonts w:ascii="Arial" w:hAnsi="Arial"/>
          <w:sz w:val="18"/>
          <w:szCs w:val="18"/>
        </w:rPr>
        <w:footnoteRef/>
      </w:r>
      <w:r w:rsidRPr="004561FC">
        <w:rPr>
          <w:rFonts w:ascii="Arial" w:hAnsi="Arial"/>
          <w:sz w:val="18"/>
          <w:szCs w:val="18"/>
        </w:rPr>
        <w:t xml:space="preserve"> Tal criterio es sustentado por la Sala Superior en la jurisprudencia 28/2009 de rubro: </w:t>
      </w:r>
      <w:r w:rsidRPr="004561FC">
        <w:rPr>
          <w:rFonts w:ascii="Arial" w:hAnsi="Arial"/>
          <w:bCs/>
          <w:sz w:val="18"/>
          <w:szCs w:val="18"/>
        </w:rPr>
        <w:t>CONGRUENCIA EXTERNA E INTERNA. SE DEBE CUMPLIR EN TODA SENTENCIA.</w:t>
      </w:r>
    </w:p>
  </w:footnote>
  <w:footnote w:id="11">
    <w:p w14:paraId="78F298D8" w14:textId="3BCC750F" w:rsidR="00FF753A" w:rsidRPr="004561FC" w:rsidRDefault="00FF753A" w:rsidP="00862199">
      <w:pPr>
        <w:pStyle w:val="Textonotapie"/>
        <w:rPr>
          <w:sz w:val="18"/>
          <w:szCs w:val="18"/>
        </w:rPr>
      </w:pPr>
      <w:r w:rsidRPr="004561FC">
        <w:rPr>
          <w:rStyle w:val="Refdenotaalpie"/>
          <w:sz w:val="18"/>
          <w:szCs w:val="18"/>
        </w:rPr>
        <w:footnoteRef/>
      </w:r>
      <w:r w:rsidRPr="004561FC">
        <w:rPr>
          <w:sz w:val="18"/>
          <w:szCs w:val="18"/>
        </w:rPr>
        <w:t xml:space="preserve"> Que era un hecho público y notorio las obras de remodelación que se llevaban a cabo sobre la carretera federal 57. </w:t>
      </w:r>
    </w:p>
  </w:footnote>
  <w:footnote w:id="12">
    <w:p w14:paraId="1ECE60FB" w14:textId="1CE2DD33" w:rsidR="00FF753A" w:rsidRPr="004561FC" w:rsidRDefault="00FF753A">
      <w:pPr>
        <w:pStyle w:val="Textonotapie"/>
        <w:rPr>
          <w:sz w:val="18"/>
          <w:szCs w:val="18"/>
        </w:rPr>
      </w:pPr>
      <w:r w:rsidRPr="004561FC">
        <w:rPr>
          <w:rStyle w:val="Refdenotaalpie"/>
          <w:sz w:val="18"/>
          <w:szCs w:val="18"/>
        </w:rPr>
        <w:footnoteRef/>
      </w:r>
      <w:r w:rsidRPr="004561FC">
        <w:rPr>
          <w:sz w:val="18"/>
          <w:szCs w:val="18"/>
        </w:rPr>
        <w:t xml:space="preserve"> Artículos 80 y 91 de la Ley de Partidos, así como el 279 del reglamento de elecciones.</w:t>
      </w:r>
    </w:p>
  </w:footnote>
  <w:footnote w:id="13">
    <w:p w14:paraId="7A06A2EB" w14:textId="77777777" w:rsidR="00FF753A" w:rsidRPr="004561FC" w:rsidRDefault="00FF753A" w:rsidP="004B2050">
      <w:pPr>
        <w:pStyle w:val="Textonotapie"/>
        <w:rPr>
          <w:sz w:val="18"/>
          <w:szCs w:val="18"/>
        </w:rPr>
      </w:pPr>
      <w:r w:rsidRPr="004561FC">
        <w:rPr>
          <w:rStyle w:val="Refdenotaalpie"/>
          <w:sz w:val="18"/>
          <w:szCs w:val="18"/>
        </w:rPr>
        <w:footnoteRef/>
      </w:r>
      <w:r w:rsidRPr="004561FC">
        <w:rPr>
          <w:sz w:val="18"/>
          <w:szCs w:val="18"/>
        </w:rPr>
        <w:t xml:space="preserve"> Lo requerido en dicho oficio fue lo siguiente: 1. Ajustar el anexo 2 del convenio de coalición a lo previsto en el artículo 189, fracción II, inciso b) de la Ley de Instituciones y Procedimientos Electorales para el Estado de Guanajuato, respecto al municipio de León, toda vez que se indica en dicho anexo que las postulaciones de regidurías corresponderán a MORENA; sin embargo, conforme a la disposición legal en cita, cada partido coaligado deberá registrar, en su momento, listas propias de candidatas, y candidatos por el principio de representación proporcional. </w:t>
      </w:r>
    </w:p>
    <w:p w14:paraId="6BA51338" w14:textId="77777777" w:rsidR="00FF753A" w:rsidRPr="004561FC" w:rsidRDefault="00FF753A" w:rsidP="004B2050">
      <w:pPr>
        <w:pStyle w:val="Textonotapie"/>
        <w:rPr>
          <w:sz w:val="18"/>
          <w:szCs w:val="18"/>
        </w:rPr>
      </w:pPr>
      <w:r w:rsidRPr="004561FC">
        <w:rPr>
          <w:sz w:val="18"/>
          <w:szCs w:val="18"/>
        </w:rPr>
        <w:t xml:space="preserve">2. Incorporar en el convenio de coalición el procedimiento que seguirá cada partido político para la selección de las candidaturas que serán postuladas por la coalición, tal y como establece el artículo 91, numeral 1, inciso c) de la LGPP; debido a que en la cláusula QUINTA del convenio presentado el 23 de diciembre de 2020, solamente se menciona que ello se realizará conforme a las normas estatutarias internas y procesos electivos </w:t>
      </w:r>
      <w:r w:rsidRPr="004561FC">
        <w:rPr>
          <w:sz w:val="18"/>
          <w:szCs w:val="18"/>
        </w:rPr>
        <w:t>intrapartidistas que tenga cada uno de los partidos coaligados.</w:t>
      </w:r>
    </w:p>
    <w:p w14:paraId="36DF434E" w14:textId="24E9FC98" w:rsidR="00FF753A" w:rsidRPr="004561FC" w:rsidRDefault="00FF753A" w:rsidP="004B2050">
      <w:pPr>
        <w:pStyle w:val="Textonotapie"/>
        <w:rPr>
          <w:sz w:val="18"/>
          <w:szCs w:val="18"/>
        </w:rPr>
      </w:pPr>
      <w:r w:rsidRPr="004561FC">
        <w:rPr>
          <w:sz w:val="18"/>
          <w:szCs w:val="18"/>
        </w:rPr>
        <w:t xml:space="preserve">3. Incorporar en el convenio de coalición las postulaciones de la totalidad de sindicaturas de los municipios objeto </w:t>
      </w:r>
      <w:r w:rsidRPr="004561FC">
        <w:rPr>
          <w:sz w:val="18"/>
          <w:szCs w:val="18"/>
        </w:rPr>
        <w:t xml:space="preserve">del mismo, indicando el origen partidista de cada postulación; toda vez que en el convenio presentado el 23 de diciembre del año en curso solo se señala la postulación de sindicaturas en el municipio de León. Consultable en las hojas 0000701 y 0000702 del expediente. </w:t>
      </w:r>
    </w:p>
    <w:p w14:paraId="2E25D9D5" w14:textId="77777777" w:rsidR="00FF753A" w:rsidRPr="004561FC" w:rsidRDefault="00FF753A" w:rsidP="004B2050">
      <w:pPr>
        <w:pStyle w:val="Textonotapie"/>
        <w:rPr>
          <w:sz w:val="18"/>
          <w:szCs w:val="18"/>
        </w:rPr>
      </w:pPr>
      <w:r w:rsidRPr="004561FC">
        <w:rPr>
          <w:sz w:val="18"/>
          <w:szCs w:val="18"/>
        </w:rPr>
        <w:t>4. Entregar el programa de gobierno que sostendrán las candidatas y candidatos a las presidencias municipales, en medio impreso y en formato digital con extensión &lt;&gt;.</w:t>
      </w:r>
    </w:p>
    <w:p w14:paraId="7D2299B1" w14:textId="77777777" w:rsidR="00FF753A" w:rsidRPr="004561FC" w:rsidRDefault="00FF753A" w:rsidP="004B2050">
      <w:pPr>
        <w:pStyle w:val="Textonotapie"/>
        <w:rPr>
          <w:sz w:val="18"/>
          <w:szCs w:val="18"/>
        </w:rPr>
      </w:pPr>
      <w:r w:rsidRPr="004561FC">
        <w:rPr>
          <w:sz w:val="18"/>
          <w:szCs w:val="18"/>
        </w:rPr>
        <w:t xml:space="preserve">5. Entregar en original o copia certificada la convocatoria; orden del día; acta, minuta, o en su caso, versión estenográfica; y lista de asistencia; de la sesión del órgano de dirección nacional de MORENA que cuente con facultades estatutarias; en que se haya aprobado la celebración del convenio de coalición presentado el 23 de diciembre de 2020, en términos del artículo 89, numeral 1, inciso a) de la LGPP. </w:t>
      </w:r>
    </w:p>
    <w:p w14:paraId="336F08EC" w14:textId="77777777" w:rsidR="00FF753A" w:rsidRPr="004561FC" w:rsidRDefault="00FF753A" w:rsidP="004B2050">
      <w:pPr>
        <w:pStyle w:val="Textonotapie"/>
        <w:rPr>
          <w:sz w:val="18"/>
          <w:szCs w:val="18"/>
        </w:rPr>
      </w:pPr>
      <w:r w:rsidRPr="004561FC">
        <w:rPr>
          <w:sz w:val="18"/>
          <w:szCs w:val="18"/>
        </w:rPr>
        <w:t xml:space="preserve">6. Entregar en original o copia certificada de la convocatoria; orden del día; acta, minuta, o en su caso, versión estenográfica; y lista de asistencia; de la sesión del órgano de dirección nacional del Partido del Trabajo que cuente con facultades estatutarias; en que se haya aprobado la celebración del convenio de coalición presentado el 23 de diciembre de 2020, en términos del artículo 89, numeral 1, inciso a) de la LGPP. </w:t>
      </w:r>
    </w:p>
    <w:p w14:paraId="45B615AF" w14:textId="77777777" w:rsidR="00FF753A" w:rsidRPr="004561FC" w:rsidRDefault="00FF753A" w:rsidP="004B2050">
      <w:pPr>
        <w:pStyle w:val="Textonotapie"/>
        <w:rPr>
          <w:sz w:val="18"/>
          <w:szCs w:val="18"/>
        </w:rPr>
      </w:pPr>
      <w:r w:rsidRPr="004561FC">
        <w:rPr>
          <w:sz w:val="18"/>
          <w:szCs w:val="18"/>
        </w:rPr>
        <w:t>7. Entregar en original o copia certificada de la convocatoria; orden del día; acta, minuta, o en su caso, versión estenográfica; y lista de asistencia; de la sesión del órgano de dirección nacional de MORENA que cuente con facultades estatutarias; en que se haya aprobado la plataforma electoral de la coalición que nos ocupa y el programa de gobierno, en términos del artículo 89, numeral 1, inciso a) de la LGPP. Ello, debido a que del contenido del acta de la XVII sesión urgente del Comité Ejecutivo Nacional de fecha 20 de diciembre de dos mil veinte, se advierte que no se aprobó la plataforma electoral de la coalición, sino la plataforma electoral de MORENA para el proceso electoral 2020-2021, entre otros, el correspondiente al estado de Guanajuato y no se hace mención al programa de gobierno.</w:t>
      </w:r>
    </w:p>
    <w:p w14:paraId="756AAD24" w14:textId="77777777" w:rsidR="00FF753A" w:rsidRPr="004561FC" w:rsidRDefault="00FF753A" w:rsidP="004B2050">
      <w:pPr>
        <w:pStyle w:val="Textonotapie"/>
        <w:rPr>
          <w:sz w:val="18"/>
          <w:szCs w:val="18"/>
        </w:rPr>
      </w:pPr>
      <w:r w:rsidRPr="004561FC">
        <w:rPr>
          <w:sz w:val="18"/>
          <w:szCs w:val="18"/>
        </w:rPr>
        <w:t xml:space="preserve">8. Entregar en original o copia certificada la convocatoria; orden del día; acta, minuta o en su caso, versión estenográfica; y lista de asistencia; de la sesión del órgano de dirección nacional del Partido del Trabajo que cuente con facultades estatutarias; en que se haya aprobado la plataforma electoral de la coalición que nos ocupa y el programa de gobierno, en términos del artículo 89, numeral 1, inciso a) de la LGPP. Ello, debido a que del contenido del acta de la sesión ordinaria de la Comisión Ejecutiva Nacional del Partido del Trabajo de fecha 16 de diciembre de 2020, se advierte que no se aprobó la plataforma electoral de la coalición, sino la plataforma electoral del Partido del Trabajo para el proceso electoral local ordinario 2020-2021 en el estado de Guanajuato y no se hace mención al programa de gobierno. </w:t>
      </w:r>
    </w:p>
    <w:p w14:paraId="188144BA" w14:textId="77777777" w:rsidR="00FF753A" w:rsidRPr="004561FC" w:rsidRDefault="00FF753A" w:rsidP="004B2050">
      <w:pPr>
        <w:pStyle w:val="Textonotapie"/>
        <w:rPr>
          <w:sz w:val="18"/>
          <w:szCs w:val="18"/>
        </w:rPr>
      </w:pPr>
      <w:r w:rsidRPr="004561FC">
        <w:rPr>
          <w:sz w:val="18"/>
          <w:szCs w:val="18"/>
        </w:rPr>
        <w:t xml:space="preserve">9. Entregar en original o copia certificada la convocatoria; orden del día; acta, minuta o en su caso, versión estenográfica; y lista de asistencia; de la sesión del órgano de dirección nacional de Nueva Alianza que cuente con facultades estatutarias, en que se haya aprobado la plataforma electoral de la coalición que nos ocupa y el programa de gobierno, en términos del artículo 89, numeral 1, inciso a) de la LGPP. </w:t>
      </w:r>
    </w:p>
    <w:p w14:paraId="323656C8" w14:textId="77777777" w:rsidR="00FF753A" w:rsidRPr="004561FC" w:rsidRDefault="00FF753A" w:rsidP="004B2050">
      <w:pPr>
        <w:pStyle w:val="Textonotapie"/>
        <w:rPr>
          <w:sz w:val="18"/>
          <w:szCs w:val="18"/>
        </w:rPr>
      </w:pPr>
      <w:r w:rsidRPr="004561FC">
        <w:rPr>
          <w:sz w:val="18"/>
          <w:szCs w:val="18"/>
        </w:rPr>
        <w:t xml:space="preserve">10. Incorporar al convenio de coalición la integración de los bloques de distritos y municipios que corresponden a alta, media y baja votación, indicando las postulaciones que corresponderán a mujeres y hombres, en términos de los artículos 185, 185 Bis, 185 Cuater y 185 Quinquies de la Ley de Instituciones y Procedimientos Electorales para el Estado de Guanajuato; en el entendido que en los bloques de votación alta de distritos y municipios deben postularse más mujeres que hombres, conforme a lo dispuesto por los artículos 7, 8 y 10 de los Lineamientos 25 para garantizar el cumplimiento del principio de paridad de género en la postulación y registro de candidaturas, así como en la integración del congreso del estado y ayuntamientos, en el proceso electoral local ordinario 2020-2021. </w:t>
      </w:r>
    </w:p>
    <w:p w14:paraId="69AC0DDF" w14:textId="77777777" w:rsidR="00FF753A" w:rsidRPr="004561FC" w:rsidRDefault="00FF753A" w:rsidP="004B2050">
      <w:pPr>
        <w:pStyle w:val="Textonotapie"/>
        <w:rPr>
          <w:sz w:val="18"/>
          <w:szCs w:val="18"/>
        </w:rPr>
      </w:pPr>
      <w:r w:rsidRPr="004561FC">
        <w:rPr>
          <w:sz w:val="18"/>
          <w:szCs w:val="18"/>
        </w:rPr>
        <w:t xml:space="preserve">11. Entregar original o copia certificada de la lista de asistencia a la sesión extraordinaria del 15 de noviembre de 2020 del Consejo Nacional de MORENA. </w:t>
      </w:r>
    </w:p>
    <w:p w14:paraId="089D0E57" w14:textId="77777777" w:rsidR="00FF753A" w:rsidRPr="004561FC" w:rsidRDefault="00FF753A" w:rsidP="004B2050">
      <w:pPr>
        <w:pStyle w:val="Textonotapie"/>
        <w:rPr>
          <w:sz w:val="18"/>
          <w:szCs w:val="18"/>
        </w:rPr>
      </w:pPr>
      <w:r w:rsidRPr="004561FC">
        <w:rPr>
          <w:sz w:val="18"/>
          <w:szCs w:val="18"/>
        </w:rPr>
        <w:t xml:space="preserve">12. Entregar original o copia certificada de la convocatoria a la asamblea extraordinaria del Consejo Estatal de Nueva Alianza Guanajuato del veintidós de diciembre de dos mil veinte. </w:t>
      </w:r>
    </w:p>
    <w:p w14:paraId="0C3BC96B" w14:textId="77777777" w:rsidR="00FF753A" w:rsidRPr="004561FC" w:rsidRDefault="00FF753A" w:rsidP="004B2050">
      <w:pPr>
        <w:pStyle w:val="Textonotapie"/>
        <w:rPr>
          <w:sz w:val="18"/>
          <w:szCs w:val="18"/>
        </w:rPr>
      </w:pPr>
      <w:r w:rsidRPr="004561FC">
        <w:rPr>
          <w:sz w:val="18"/>
          <w:szCs w:val="18"/>
        </w:rPr>
        <w:t>13. Entregar original o copia certificada de la convocatoria a la asamblea extraordinaria del Consejo Estatal de Nueva Alianza Guanajuato del veintidós de diciembre de dos mil veinte.</w:t>
      </w:r>
    </w:p>
  </w:footnote>
  <w:footnote w:id="14">
    <w:p w14:paraId="1FB5153F" w14:textId="77777777" w:rsidR="00FF753A" w:rsidRPr="002F49EB" w:rsidRDefault="00FF753A" w:rsidP="002F49EB">
      <w:pPr>
        <w:pStyle w:val="NormalWeb"/>
        <w:spacing w:before="0" w:beforeAutospacing="0" w:after="0" w:afterAutospacing="0"/>
        <w:rPr>
          <w:rFonts w:ascii="Arial" w:hAnsi="Arial"/>
          <w:bCs/>
          <w:color w:val="000000"/>
          <w:sz w:val="18"/>
          <w:szCs w:val="18"/>
        </w:rPr>
      </w:pPr>
      <w:r w:rsidRPr="002F49EB">
        <w:rPr>
          <w:rStyle w:val="Refdenotaalpie"/>
          <w:rFonts w:ascii="Arial" w:hAnsi="Arial"/>
          <w:sz w:val="18"/>
          <w:szCs w:val="18"/>
        </w:rPr>
        <w:footnoteRef/>
      </w:r>
      <w:r w:rsidRPr="002F49EB">
        <w:rPr>
          <w:rFonts w:ascii="Arial" w:hAnsi="Arial"/>
          <w:sz w:val="18"/>
          <w:szCs w:val="18"/>
        </w:rPr>
        <w:t xml:space="preserve"> </w:t>
      </w:r>
      <w:r w:rsidRPr="002F49EB">
        <w:rPr>
          <w:rFonts w:ascii="Arial" w:hAnsi="Arial"/>
          <w:bCs/>
          <w:color w:val="000000"/>
          <w:sz w:val="18"/>
          <w:szCs w:val="18"/>
        </w:rPr>
        <w:t>Artículo 92.</w:t>
      </w:r>
    </w:p>
    <w:p w14:paraId="00FCE5BC" w14:textId="77777777" w:rsidR="00FF753A" w:rsidRPr="002F49EB" w:rsidRDefault="00FF753A" w:rsidP="002F49EB">
      <w:pPr>
        <w:spacing w:after="0" w:line="240" w:lineRule="auto"/>
        <w:rPr>
          <w:rFonts w:eastAsia="Times New Roman"/>
          <w:color w:val="000000"/>
          <w:sz w:val="18"/>
          <w:szCs w:val="18"/>
          <w:lang w:eastAsia="es-MX"/>
        </w:rPr>
      </w:pPr>
      <w:r w:rsidRPr="002F49EB">
        <w:rPr>
          <w:rFonts w:eastAsia="Times New Roman"/>
          <w:bCs/>
          <w:color w:val="000000"/>
          <w:sz w:val="18"/>
          <w:szCs w:val="18"/>
          <w:lang w:eastAsia="es-MX"/>
        </w:rPr>
        <w:t>1.</w:t>
      </w:r>
      <w:r w:rsidRPr="002F49EB">
        <w:rPr>
          <w:rFonts w:eastAsia="Times New Roman"/>
          <w:color w:val="000000"/>
          <w:sz w:val="18"/>
          <w:szCs w:val="18"/>
          <w:lang w:eastAsia="es-MX"/>
        </w:rPr>
        <w:t> La solicitud de registro del convenio de coalición, según sea el caso, deberá presentarse al presidente del Consejo General del Instituto o del Organismo Público Local, según la elección que lo motive, acompañado de la documentación pertinente, a más tardar treinta días antes de que se inicie el periodo de precampaña de la elección de que se trate. Durante las ausencias del presidente del Consejo General el convenio se podrá presentar ante el secretario ejecutivo del Instituto o del Organismo Público Local, según la elección que lo motive.</w:t>
      </w:r>
    </w:p>
    <w:p w14:paraId="01061A98" w14:textId="77777777" w:rsidR="00FF753A" w:rsidRPr="002F49EB" w:rsidRDefault="00FF753A" w:rsidP="002F49EB">
      <w:pPr>
        <w:spacing w:after="0" w:line="240" w:lineRule="auto"/>
        <w:rPr>
          <w:rFonts w:eastAsia="Times New Roman"/>
          <w:color w:val="000000"/>
          <w:sz w:val="18"/>
          <w:szCs w:val="18"/>
          <w:lang w:eastAsia="es-MX"/>
        </w:rPr>
      </w:pPr>
      <w:r w:rsidRPr="002F49EB">
        <w:rPr>
          <w:rFonts w:eastAsia="Times New Roman"/>
          <w:bCs/>
          <w:color w:val="000000"/>
          <w:sz w:val="18"/>
          <w:szCs w:val="18"/>
          <w:lang w:eastAsia="es-MX"/>
        </w:rPr>
        <w:t>2.</w:t>
      </w:r>
      <w:r w:rsidRPr="002F49EB">
        <w:rPr>
          <w:rFonts w:eastAsia="Times New Roman"/>
          <w:color w:val="000000"/>
          <w:sz w:val="18"/>
          <w:szCs w:val="18"/>
          <w:lang w:eastAsia="es-MX"/>
        </w:rPr>
        <w:t> El presidente del Consejo General del Instituto o del Organismo Público Local, integrará el expediente e informará al Consejo General.</w:t>
      </w:r>
    </w:p>
    <w:p w14:paraId="6236DCA9" w14:textId="77777777" w:rsidR="00FF753A" w:rsidRPr="002F49EB" w:rsidRDefault="00FF753A" w:rsidP="002F49EB">
      <w:pPr>
        <w:spacing w:after="0" w:line="240" w:lineRule="auto"/>
        <w:rPr>
          <w:rFonts w:eastAsia="Times New Roman"/>
          <w:color w:val="000000"/>
          <w:sz w:val="18"/>
          <w:szCs w:val="18"/>
          <w:lang w:eastAsia="es-MX"/>
        </w:rPr>
      </w:pPr>
      <w:r w:rsidRPr="002F49EB">
        <w:rPr>
          <w:rFonts w:eastAsia="Times New Roman"/>
          <w:bCs/>
          <w:color w:val="000000"/>
          <w:sz w:val="18"/>
          <w:szCs w:val="18"/>
          <w:lang w:eastAsia="es-MX"/>
        </w:rPr>
        <w:t>3.</w:t>
      </w:r>
      <w:r w:rsidRPr="002F49EB">
        <w:rPr>
          <w:rFonts w:eastAsia="Times New Roman"/>
          <w:color w:val="000000"/>
          <w:sz w:val="18"/>
          <w:szCs w:val="18"/>
          <w:lang w:eastAsia="es-MX"/>
        </w:rPr>
        <w:t> El Consejo General del Instituto o del Organismo Público Local, resolverá a más tardar dentro de los diez días siguientes a la presentación del convenio.</w:t>
      </w:r>
    </w:p>
    <w:p w14:paraId="6DBC2182" w14:textId="77777777" w:rsidR="00FF753A" w:rsidRPr="002F49EB" w:rsidRDefault="00FF753A" w:rsidP="002F49EB">
      <w:pPr>
        <w:spacing w:after="0" w:line="240" w:lineRule="auto"/>
        <w:rPr>
          <w:rFonts w:eastAsia="Times New Roman"/>
          <w:color w:val="000000"/>
          <w:sz w:val="18"/>
          <w:szCs w:val="18"/>
          <w:lang w:eastAsia="es-MX"/>
        </w:rPr>
      </w:pPr>
      <w:r w:rsidRPr="002F49EB">
        <w:rPr>
          <w:rFonts w:eastAsia="Times New Roman"/>
          <w:bCs/>
          <w:color w:val="000000"/>
          <w:sz w:val="18"/>
          <w:szCs w:val="18"/>
          <w:lang w:eastAsia="es-MX"/>
        </w:rPr>
        <w:t>4.</w:t>
      </w:r>
      <w:r w:rsidRPr="002F49EB">
        <w:rPr>
          <w:rFonts w:eastAsia="Times New Roman"/>
          <w:color w:val="000000"/>
          <w:sz w:val="18"/>
          <w:szCs w:val="18"/>
          <w:lang w:eastAsia="es-MX"/>
        </w:rPr>
        <w:t> Una vez registrado un convenio de coalición, el Instituto o el Organismo Público Local, según la elección que lo motive, dispondrá su publicación en el Diario Oficial de la Federación o en el órgano de difusión oficial local, según corresponda.</w:t>
      </w:r>
    </w:p>
    <w:p w14:paraId="33F9F615" w14:textId="1A71ED9B" w:rsidR="00FF753A" w:rsidRPr="004561FC" w:rsidRDefault="00FF753A" w:rsidP="00AE528B">
      <w:pPr>
        <w:pStyle w:val="Textonotapie"/>
        <w:rPr>
          <w:sz w:val="18"/>
          <w:szCs w:val="18"/>
        </w:rPr>
      </w:pPr>
    </w:p>
  </w:footnote>
  <w:footnote w:id="15">
    <w:p w14:paraId="2FF8F9A3" w14:textId="77777777" w:rsidR="00FF753A" w:rsidRPr="005E734D" w:rsidRDefault="00FF753A" w:rsidP="00770463">
      <w:pPr>
        <w:pStyle w:val="Textonotapie"/>
      </w:pPr>
      <w:r w:rsidRPr="004561FC">
        <w:rPr>
          <w:rStyle w:val="Refdenotaalpie"/>
          <w:sz w:val="18"/>
          <w:szCs w:val="18"/>
        </w:rPr>
        <w:footnoteRef/>
      </w:r>
      <w:r w:rsidRPr="004561FC">
        <w:rPr>
          <w:sz w:val="18"/>
          <w:szCs w:val="18"/>
        </w:rPr>
        <w:t xml:space="preserve"> Apoya lo expuesto,</w:t>
      </w:r>
      <w:r w:rsidRPr="004561FC">
        <w:rPr>
          <w:i/>
          <w:sz w:val="18"/>
          <w:szCs w:val="18"/>
        </w:rPr>
        <w:t xml:space="preserve"> mutatis mutandis,</w:t>
      </w:r>
      <w:r w:rsidRPr="004561FC">
        <w:rPr>
          <w:sz w:val="18"/>
          <w:szCs w:val="18"/>
        </w:rPr>
        <w:t xml:space="preserve"> la jurisprudencia 1 a./J. 150/2005 sustentada por la Primera Sala de la Suprema Corte de Justica de la Nación, de rubro: AGRAVIOS INOPERANTES. LO SON AQUELLOS QUE SE REFIEREN A CUESTIONES NO INVOCADAS EN LA DEMANDA Y </w:t>
      </w:r>
      <w:r w:rsidRPr="004561FC">
        <w:rPr>
          <w:sz w:val="18"/>
          <w:szCs w:val="18"/>
        </w:rPr>
        <w:t xml:space="preserve">QUE POR ENDE, CONSTITUYEN ASPECTOS NOVEDOSOS EN LA REVISIÓN. </w:t>
      </w:r>
      <w:r w:rsidRPr="004561FC">
        <w:rPr>
          <w:rFonts w:ascii="Univers" w:hAnsi="Univers"/>
          <w:color w:val="555555"/>
          <w:sz w:val="18"/>
          <w:szCs w:val="18"/>
          <w:shd w:val="clear" w:color="auto" w:fill="FFFFFF"/>
        </w:rPr>
        <w:t> </w:t>
      </w:r>
      <w:r w:rsidRPr="004561FC">
        <w:rPr>
          <w:sz w:val="18"/>
          <w:szCs w:val="18"/>
          <w:shd w:val="clear" w:color="auto" w:fill="FFFFFF"/>
        </w:rPr>
        <w:t>Publicada en la página cincuenta y dos del Semanario Judicial de la Federación y su Gaceta, correspondiente al mes de diciembre de dos mil cinco de la Primera Sala de la Suprema Corte de Justicia de la Nación.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EF31" w14:textId="700A5730" w:rsidR="00FF753A" w:rsidRPr="00A324D6" w:rsidRDefault="00FF753A" w:rsidP="003D439F">
    <w:pPr>
      <w:pStyle w:val="Encabezado"/>
      <w:rPr>
        <w:b/>
        <w:sz w:val="22"/>
      </w:rPr>
    </w:pPr>
    <w:r w:rsidRPr="00A324D6">
      <w:rPr>
        <w:b/>
        <w:noProof/>
        <w:sz w:val="22"/>
        <w:lang w:val="es-ES" w:eastAsia="es-ES"/>
      </w:rPr>
      <mc:AlternateContent>
        <mc:Choice Requires="wps">
          <w:drawing>
            <wp:anchor distT="0" distB="0" distL="114300" distR="114300" simplePos="0" relativeHeight="251662336" behindDoc="0" locked="0" layoutInCell="0" allowOverlap="1" wp14:anchorId="39EB9A47" wp14:editId="1E8A62BF">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E3E321" w14:textId="77777777" w:rsidR="00FF753A" w:rsidRPr="009F45DC" w:rsidRDefault="00FF753A">
                          <w:pPr>
                            <w:jc w:val="center"/>
                            <w:rPr>
                              <w:rFonts w:ascii="Cambria" w:eastAsia="MS Gothic" w:hAnsi="Cambria"/>
                              <w:sz w:val="48"/>
                              <w:szCs w:val="48"/>
                            </w:rPr>
                          </w:pPr>
                          <w:r w:rsidRPr="009F45DC">
                            <w:rPr>
                              <w:rFonts w:eastAsia="MS Mincho"/>
                              <w:sz w:val="20"/>
                            </w:rPr>
                            <w:fldChar w:fldCharType="begin"/>
                          </w:r>
                          <w:r>
                            <w:instrText>PAGE   \* MERGEFORMAT</w:instrText>
                          </w:r>
                          <w:r w:rsidRPr="009F45DC">
                            <w:rPr>
                              <w:rFonts w:eastAsia="MS Mincho"/>
                              <w:sz w:val="20"/>
                            </w:rPr>
                            <w:fldChar w:fldCharType="separate"/>
                          </w:r>
                          <w:r w:rsidRPr="00922E25">
                            <w:rPr>
                              <w:rFonts w:ascii="Cambria" w:eastAsia="MS Gothic" w:hAnsi="Cambria"/>
                              <w:noProof/>
                              <w:sz w:val="48"/>
                              <w:szCs w:val="48"/>
                              <w:lang w:val="es-ES"/>
                            </w:rPr>
                            <w:t>18</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B9A47" id="Rectángulo 558" o:spid="_x0000_s1026" style="position:absolute;left:0;text-align:left;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BCpzQCAgIAANMDAAAOAAAA&#10;AAAAAAAAAAAAAC4CAABkcnMvZTJvRG9jLnhtbFBLAQItABQABgAIAAAAIQAGXjts4AAAAAsBAAAP&#10;AAAAAAAAAAAAAAAAAFwEAABkcnMvZG93bnJldi54bWxQSwUGAAAAAAQABADzAAAAaQUAAAAA&#10;" o:allowincell="f" stroked="f">
              <v:textbox>
                <w:txbxContent>
                  <w:p w14:paraId="1AE3E321" w14:textId="77777777" w:rsidR="00FF753A" w:rsidRPr="009F45DC" w:rsidRDefault="00FF753A">
                    <w:pPr>
                      <w:jc w:val="center"/>
                      <w:rPr>
                        <w:rFonts w:ascii="Cambria" w:eastAsia="MS Gothic" w:hAnsi="Cambria"/>
                        <w:sz w:val="48"/>
                        <w:szCs w:val="48"/>
                      </w:rPr>
                    </w:pPr>
                    <w:r w:rsidRPr="009F45DC">
                      <w:rPr>
                        <w:rFonts w:eastAsia="MS Mincho"/>
                        <w:sz w:val="20"/>
                      </w:rPr>
                      <w:fldChar w:fldCharType="begin"/>
                    </w:r>
                    <w:r>
                      <w:instrText>PAGE   \* MERGEFORMAT</w:instrText>
                    </w:r>
                    <w:r w:rsidRPr="009F45DC">
                      <w:rPr>
                        <w:rFonts w:eastAsia="MS Mincho"/>
                        <w:sz w:val="20"/>
                      </w:rPr>
                      <w:fldChar w:fldCharType="separate"/>
                    </w:r>
                    <w:r w:rsidRPr="00922E25">
                      <w:rPr>
                        <w:rFonts w:ascii="Cambria" w:eastAsia="MS Gothic" w:hAnsi="Cambria"/>
                        <w:noProof/>
                        <w:sz w:val="48"/>
                        <w:szCs w:val="48"/>
                        <w:lang w:val="es-ES"/>
                      </w:rPr>
                      <w:t>18</w:t>
                    </w:r>
                    <w:r w:rsidRPr="009F45DC">
                      <w:rPr>
                        <w:rFonts w:ascii="Cambria" w:eastAsia="MS Gothic" w:hAnsi="Cambria"/>
                        <w:sz w:val="48"/>
                        <w:szCs w:val="48"/>
                      </w:rPr>
                      <w:fldChar w:fldCharType="end"/>
                    </w:r>
                  </w:p>
                </w:txbxContent>
              </v:textbox>
              <w10:wrap anchorx="page" anchory="page"/>
            </v:rect>
          </w:pict>
        </mc:Fallback>
      </mc:AlternateContent>
    </w:r>
    <w:r w:rsidRPr="007203C9">
      <w:rPr>
        <w:szCs w:val="24"/>
        <w:lang w:val="es-ES_tradnl"/>
      </w:rPr>
      <w:t xml:space="preserve"> </w:t>
    </w:r>
    <w:r w:rsidRPr="007203C9">
      <w:rPr>
        <w:b/>
        <w:noProof/>
        <w:sz w:val="22"/>
        <w:lang w:val="es-ES_tradnl" w:eastAsia="es-ES"/>
      </w:rPr>
      <w:t>SM-JRC-1/2021 Y SM-JRC-3/2021 ACUMULADO</w:t>
    </w:r>
    <w:r>
      <w:rPr>
        <w:b/>
        <w:sz w:val="22"/>
      </w:rPr>
      <w:tab/>
    </w:r>
  </w:p>
  <w:p w14:paraId="7C7909BB" w14:textId="77777777" w:rsidR="00FF753A" w:rsidRPr="00046955" w:rsidRDefault="00FF753A" w:rsidP="003D439F">
    <w:pPr>
      <w:pStyle w:val="Encabezado"/>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665A" w14:textId="57BFD2EF" w:rsidR="00FF753A" w:rsidRDefault="00FF753A" w:rsidP="003D439F">
    <w:pPr>
      <w:pStyle w:val="Encabezado"/>
      <w:jc w:val="right"/>
      <w:rPr>
        <w:b/>
        <w:sz w:val="22"/>
      </w:rPr>
    </w:pPr>
    <w:r w:rsidRPr="00A324D6">
      <w:rPr>
        <w:b/>
        <w:noProof/>
        <w:sz w:val="22"/>
        <w:lang w:val="es-ES" w:eastAsia="es-ES"/>
      </w:rPr>
      <w:drawing>
        <wp:anchor distT="0" distB="0" distL="114300" distR="114300" simplePos="0" relativeHeight="251659264" behindDoc="0" locked="0" layoutInCell="1" allowOverlap="1" wp14:anchorId="3DFB01C5" wp14:editId="617FA7E0">
          <wp:simplePos x="0" y="0"/>
          <wp:positionH relativeFrom="column">
            <wp:posOffset>-1609725</wp:posOffset>
          </wp:positionH>
          <wp:positionV relativeFrom="paragraph">
            <wp:posOffset>-193040</wp:posOffset>
          </wp:positionV>
          <wp:extent cx="1438275" cy="124269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val="es-ES" w:eastAsia="es-ES"/>
      </w:rPr>
      <mc:AlternateContent>
        <mc:Choice Requires="wps">
          <w:drawing>
            <wp:anchor distT="0" distB="0" distL="114300" distR="114300" simplePos="0" relativeHeight="251661312" behindDoc="0" locked="0" layoutInCell="0" allowOverlap="1" wp14:anchorId="795816E3" wp14:editId="4372EC7D">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66FD6F" w14:textId="77777777" w:rsidR="00FF753A" w:rsidRPr="009F45DC" w:rsidRDefault="00FF753A">
                          <w:pPr>
                            <w:jc w:val="center"/>
                            <w:rPr>
                              <w:rFonts w:ascii="Cambria" w:eastAsia="MS Gothic" w:hAnsi="Cambria"/>
                              <w:sz w:val="72"/>
                              <w:szCs w:val="72"/>
                            </w:rPr>
                          </w:pPr>
                          <w:r w:rsidRPr="009F45DC">
                            <w:rPr>
                              <w:rFonts w:eastAsia="MS Mincho"/>
                              <w:sz w:val="20"/>
                            </w:rPr>
                            <w:fldChar w:fldCharType="begin"/>
                          </w:r>
                          <w:r>
                            <w:instrText>PAGE  \* MERGEFORMAT</w:instrText>
                          </w:r>
                          <w:r w:rsidRPr="009F45DC">
                            <w:rPr>
                              <w:rFonts w:eastAsia="MS Mincho"/>
                              <w:sz w:val="20"/>
                            </w:rPr>
                            <w:fldChar w:fldCharType="separate"/>
                          </w:r>
                          <w:r w:rsidRPr="00922E25">
                            <w:rPr>
                              <w:rFonts w:ascii="Cambria" w:eastAsia="MS Gothic" w:hAnsi="Cambria"/>
                              <w:noProof/>
                              <w:sz w:val="48"/>
                              <w:szCs w:val="48"/>
                              <w:lang w:val="es-ES"/>
                            </w:rPr>
                            <w:t>17</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816E3"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4966FD6F" w14:textId="77777777" w:rsidR="00FF753A" w:rsidRPr="009F45DC" w:rsidRDefault="00FF753A">
                    <w:pPr>
                      <w:jc w:val="center"/>
                      <w:rPr>
                        <w:rFonts w:ascii="Cambria" w:eastAsia="MS Gothic" w:hAnsi="Cambria"/>
                        <w:sz w:val="72"/>
                        <w:szCs w:val="72"/>
                      </w:rPr>
                    </w:pPr>
                    <w:r w:rsidRPr="009F45DC">
                      <w:rPr>
                        <w:rFonts w:eastAsia="MS Mincho"/>
                        <w:sz w:val="20"/>
                      </w:rPr>
                      <w:fldChar w:fldCharType="begin"/>
                    </w:r>
                    <w:r>
                      <w:instrText>PAGE  \* MERGEFORMAT</w:instrText>
                    </w:r>
                    <w:r w:rsidRPr="009F45DC">
                      <w:rPr>
                        <w:rFonts w:eastAsia="MS Mincho"/>
                        <w:sz w:val="20"/>
                      </w:rPr>
                      <w:fldChar w:fldCharType="separate"/>
                    </w:r>
                    <w:r w:rsidRPr="00922E25">
                      <w:rPr>
                        <w:rFonts w:ascii="Cambria" w:eastAsia="MS Gothic" w:hAnsi="Cambria"/>
                        <w:noProof/>
                        <w:sz w:val="48"/>
                        <w:szCs w:val="48"/>
                        <w:lang w:val="es-ES"/>
                      </w:rPr>
                      <w:t>17</w:t>
                    </w:r>
                    <w:r w:rsidRPr="009F45DC">
                      <w:rPr>
                        <w:rFonts w:ascii="Cambria" w:eastAsia="MS Gothic" w:hAnsi="Cambria"/>
                        <w:sz w:val="48"/>
                        <w:szCs w:val="48"/>
                      </w:rPr>
                      <w:fldChar w:fldCharType="end"/>
                    </w:r>
                  </w:p>
                </w:txbxContent>
              </v:textbox>
              <w10:wrap anchorx="page" anchory="page"/>
            </v:rect>
          </w:pict>
        </mc:Fallback>
      </mc:AlternateContent>
    </w:r>
    <w:r w:rsidRPr="007203C9">
      <w:rPr>
        <w:b/>
        <w:noProof/>
        <w:sz w:val="22"/>
        <w:lang w:val="es-ES_tradnl" w:eastAsia="es-ES"/>
      </w:rPr>
      <w:t xml:space="preserve"> SM-JRC-1/2021 Y SM-JRC-3/2021 ACUMULADO</w:t>
    </w:r>
  </w:p>
  <w:p w14:paraId="33A18055" w14:textId="77777777" w:rsidR="00FF753A" w:rsidRPr="00811BAE" w:rsidRDefault="00FF753A" w:rsidP="003D439F">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16E1" w14:textId="08884D4E" w:rsidR="00FF753A" w:rsidRDefault="00FF753A">
    <w:pPr>
      <w:pStyle w:val="Encabezado"/>
    </w:pPr>
    <w:r>
      <w:rPr>
        <w:noProof/>
        <w:lang w:val="es-ES" w:eastAsia="es-ES"/>
      </w:rPr>
      <w:drawing>
        <wp:anchor distT="0" distB="0" distL="114300" distR="114300" simplePos="0" relativeHeight="251660288" behindDoc="0" locked="0" layoutInCell="1" allowOverlap="1" wp14:anchorId="2AE75226" wp14:editId="07475460">
          <wp:simplePos x="0" y="0"/>
          <wp:positionH relativeFrom="column">
            <wp:posOffset>-1544955</wp:posOffset>
          </wp:positionH>
          <wp:positionV relativeFrom="paragraph">
            <wp:posOffset>-233103</wp:posOffset>
          </wp:positionV>
          <wp:extent cx="1378800" cy="119160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78A9"/>
    <w:multiLevelType w:val="hybridMultilevel"/>
    <w:tmpl w:val="721AE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670A16"/>
    <w:multiLevelType w:val="hybridMultilevel"/>
    <w:tmpl w:val="93E64B64"/>
    <w:lvl w:ilvl="0" w:tplc="C5062F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04DA6"/>
    <w:multiLevelType w:val="hybridMultilevel"/>
    <w:tmpl w:val="A756F900"/>
    <w:lvl w:ilvl="0" w:tplc="D5C0D5AC">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A270E2"/>
    <w:multiLevelType w:val="hybridMultilevel"/>
    <w:tmpl w:val="56C8AC58"/>
    <w:lvl w:ilvl="0" w:tplc="21FC4722">
      <w:start w:val="1"/>
      <w:numFmt w:val="bullet"/>
      <w:lvlText w:val="-"/>
      <w:lvlJc w:val="left"/>
      <w:pPr>
        <w:ind w:left="720" w:hanging="360"/>
      </w:pPr>
      <w:rPr>
        <w:rFonts w:ascii="Verdana" w:hAnsi="Verdan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552D98"/>
    <w:multiLevelType w:val="hybridMultilevel"/>
    <w:tmpl w:val="5AE0D5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013738"/>
    <w:multiLevelType w:val="hybridMultilevel"/>
    <w:tmpl w:val="6AA0104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EE5D19"/>
    <w:multiLevelType w:val="multilevel"/>
    <w:tmpl w:val="4BC8A316"/>
    <w:lvl w:ilvl="0">
      <w:start w:val="1"/>
      <w:numFmt w:val="decimal"/>
      <w:lvlText w:val="%1."/>
      <w:lvlJc w:val="left"/>
      <w:pPr>
        <w:ind w:left="1080" w:hanging="360"/>
      </w:pPr>
      <w:rPr>
        <w:rFonts w:hint="default"/>
        <w:b/>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AC174E5"/>
    <w:multiLevelType w:val="hybridMultilevel"/>
    <w:tmpl w:val="627EF232"/>
    <w:lvl w:ilvl="0" w:tplc="7910CC98">
      <w:start w:val="2"/>
      <w:numFmt w:val="bullet"/>
      <w:lvlText w:val="-"/>
      <w:lvlJc w:val="left"/>
      <w:pPr>
        <w:ind w:left="644" w:hanging="360"/>
      </w:pPr>
      <w:rPr>
        <w:rFonts w:ascii="Arial" w:eastAsia="Calibri" w:hAnsi="Arial" w:cs="Arial" w:hint="default"/>
        <w:b/>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30835559"/>
    <w:multiLevelType w:val="hybridMultilevel"/>
    <w:tmpl w:val="834EEFAE"/>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102685B"/>
    <w:multiLevelType w:val="hybridMultilevel"/>
    <w:tmpl w:val="D3B42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02013E"/>
    <w:multiLevelType w:val="hybridMultilevel"/>
    <w:tmpl w:val="96363FAE"/>
    <w:lvl w:ilvl="0" w:tplc="AE2AEE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171B84"/>
    <w:multiLevelType w:val="hybridMultilevel"/>
    <w:tmpl w:val="5D14314E"/>
    <w:lvl w:ilvl="0" w:tplc="5030D69A">
      <w:start w:val="1"/>
      <w:numFmt w:val="lowerRoman"/>
      <w:lvlText w:val="%1."/>
      <w:lvlJc w:val="left"/>
      <w:pPr>
        <w:ind w:left="1080" w:hanging="72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A07F9D"/>
    <w:multiLevelType w:val="multilevel"/>
    <w:tmpl w:val="EB8887D8"/>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E41E11"/>
    <w:multiLevelType w:val="hybridMultilevel"/>
    <w:tmpl w:val="8F5C5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697B4C"/>
    <w:multiLevelType w:val="hybridMultilevel"/>
    <w:tmpl w:val="46D6D1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B237C1"/>
    <w:multiLevelType w:val="hybridMultilevel"/>
    <w:tmpl w:val="547A6686"/>
    <w:lvl w:ilvl="0" w:tplc="AE2AEE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25731A"/>
    <w:multiLevelType w:val="hybridMultilevel"/>
    <w:tmpl w:val="367A59A6"/>
    <w:lvl w:ilvl="0" w:tplc="E1922462">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A7771B"/>
    <w:multiLevelType w:val="hybridMultilevel"/>
    <w:tmpl w:val="BAF28BF6"/>
    <w:lvl w:ilvl="0" w:tplc="CBDAEDEA">
      <w:start w:val="1"/>
      <w:numFmt w:val="decimal"/>
      <w:lvlText w:val="%1."/>
      <w:lvlJc w:val="left"/>
      <w:pPr>
        <w:ind w:left="720" w:hanging="360"/>
      </w:pPr>
      <w:rPr>
        <w:rFonts w:hint="default"/>
        <w:b/>
      </w:rPr>
    </w:lvl>
    <w:lvl w:ilvl="1" w:tplc="FECEE50E">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670177"/>
    <w:multiLevelType w:val="hybridMultilevel"/>
    <w:tmpl w:val="DDA2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EE34B1"/>
    <w:multiLevelType w:val="hybridMultilevel"/>
    <w:tmpl w:val="E1BEC94E"/>
    <w:lvl w:ilvl="0" w:tplc="41FCF4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0C39F1"/>
    <w:multiLevelType w:val="hybridMultilevel"/>
    <w:tmpl w:val="DFEAD0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9D0324"/>
    <w:multiLevelType w:val="hybridMultilevel"/>
    <w:tmpl w:val="2D4E7238"/>
    <w:lvl w:ilvl="0" w:tplc="414418E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E549D4"/>
    <w:multiLevelType w:val="hybridMultilevel"/>
    <w:tmpl w:val="280A7268"/>
    <w:lvl w:ilvl="0" w:tplc="9EC43372">
      <w:start w:val="1"/>
      <w:numFmt w:val="lowerRoman"/>
      <w:lvlText w:val="%1."/>
      <w:lvlJc w:val="left"/>
      <w:pPr>
        <w:ind w:left="1434" w:hanging="72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23" w15:restartNumberingAfterBreak="0">
    <w:nsid w:val="62C568B4"/>
    <w:multiLevelType w:val="hybridMultilevel"/>
    <w:tmpl w:val="43241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B868F8"/>
    <w:multiLevelType w:val="hybridMultilevel"/>
    <w:tmpl w:val="7FCE9F34"/>
    <w:lvl w:ilvl="0" w:tplc="AE2AEE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A03636"/>
    <w:multiLevelType w:val="hybridMultilevel"/>
    <w:tmpl w:val="DAB29AC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15:restartNumberingAfterBreak="0">
    <w:nsid w:val="6CB47A80"/>
    <w:multiLevelType w:val="hybridMultilevel"/>
    <w:tmpl w:val="24AAFCBA"/>
    <w:lvl w:ilvl="0" w:tplc="53F2C24A">
      <w:start w:val="1"/>
      <w:numFmt w:val="lowerLetter"/>
      <w:lvlText w:val="%1)"/>
      <w:lvlJc w:val="left"/>
      <w:pPr>
        <w:ind w:left="420" w:hanging="360"/>
      </w:pPr>
      <w:rPr>
        <w:rFonts w:eastAsiaTheme="minorHAnsi" w:hint="default"/>
        <w:color w:val="555555"/>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7" w15:restartNumberingAfterBreak="0">
    <w:nsid w:val="6EED4402"/>
    <w:multiLevelType w:val="hybridMultilevel"/>
    <w:tmpl w:val="26C4A73E"/>
    <w:lvl w:ilvl="0" w:tplc="AE2AEE22">
      <w:start w:val="1"/>
      <w:numFmt w:val="lowerLetter"/>
      <w:lvlText w:val="%1)"/>
      <w:lvlJc w:val="left"/>
      <w:pPr>
        <w:ind w:left="720" w:hanging="360"/>
      </w:pPr>
      <w:rPr>
        <w:rFonts w:hint="default"/>
        <w:b/>
      </w:rPr>
    </w:lvl>
    <w:lvl w:ilvl="1" w:tplc="A5A0803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8847E1"/>
    <w:multiLevelType w:val="hybridMultilevel"/>
    <w:tmpl w:val="CD0C02E6"/>
    <w:lvl w:ilvl="0" w:tplc="895044F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8A590D"/>
    <w:multiLevelType w:val="hybridMultilevel"/>
    <w:tmpl w:val="D486B0F6"/>
    <w:lvl w:ilvl="0" w:tplc="49A46FA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D37C32"/>
    <w:multiLevelType w:val="hybridMultilevel"/>
    <w:tmpl w:val="E4C02694"/>
    <w:lvl w:ilvl="0" w:tplc="A16C42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A706FC"/>
    <w:multiLevelType w:val="hybridMultilevel"/>
    <w:tmpl w:val="6102E47A"/>
    <w:lvl w:ilvl="0" w:tplc="97AAE37A">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2" w15:restartNumberingAfterBreak="0">
    <w:nsid w:val="7A4F74C8"/>
    <w:multiLevelType w:val="hybridMultilevel"/>
    <w:tmpl w:val="50D201F6"/>
    <w:lvl w:ilvl="0" w:tplc="12B624A0">
      <w:start w:val="1"/>
      <w:numFmt w:val="decimal"/>
      <w:lvlText w:val="%1."/>
      <w:lvlJc w:val="left"/>
      <w:pPr>
        <w:ind w:left="1074" w:hanging="360"/>
      </w:pPr>
      <w:rPr>
        <w:rFonts w:eastAsia="Calibri" w:hint="default"/>
        <w:color w:val="000000"/>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33" w15:restartNumberingAfterBreak="0">
    <w:nsid w:val="7F1115CE"/>
    <w:multiLevelType w:val="hybridMultilevel"/>
    <w:tmpl w:val="4858BA40"/>
    <w:lvl w:ilvl="0" w:tplc="E25EF63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D844BD"/>
    <w:multiLevelType w:val="hybridMultilevel"/>
    <w:tmpl w:val="83F82BFA"/>
    <w:lvl w:ilvl="0" w:tplc="AE2AEE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21"/>
  </w:num>
  <w:num w:numId="3">
    <w:abstractNumId w:val="5"/>
  </w:num>
  <w:num w:numId="4">
    <w:abstractNumId w:val="10"/>
  </w:num>
  <w:num w:numId="5">
    <w:abstractNumId w:val="3"/>
  </w:num>
  <w:num w:numId="6">
    <w:abstractNumId w:val="15"/>
  </w:num>
  <w:num w:numId="7">
    <w:abstractNumId w:val="24"/>
  </w:num>
  <w:num w:numId="8">
    <w:abstractNumId w:val="28"/>
  </w:num>
  <w:num w:numId="9">
    <w:abstractNumId w:val="19"/>
  </w:num>
  <w:num w:numId="10">
    <w:abstractNumId w:val="0"/>
  </w:num>
  <w:num w:numId="11">
    <w:abstractNumId w:val="23"/>
  </w:num>
  <w:num w:numId="12">
    <w:abstractNumId w:val="13"/>
  </w:num>
  <w:num w:numId="13">
    <w:abstractNumId w:val="17"/>
  </w:num>
  <w:num w:numId="14">
    <w:abstractNumId w:val="27"/>
  </w:num>
  <w:num w:numId="15">
    <w:abstractNumId w:val="16"/>
  </w:num>
  <w:num w:numId="16">
    <w:abstractNumId w:val="2"/>
  </w:num>
  <w:num w:numId="17">
    <w:abstractNumId w:val="6"/>
  </w:num>
  <w:num w:numId="18">
    <w:abstractNumId w:val="33"/>
  </w:num>
  <w:num w:numId="19">
    <w:abstractNumId w:val="22"/>
  </w:num>
  <w:num w:numId="20">
    <w:abstractNumId w:val="8"/>
  </w:num>
  <w:num w:numId="21">
    <w:abstractNumId w:val="29"/>
  </w:num>
  <w:num w:numId="22">
    <w:abstractNumId w:val="25"/>
  </w:num>
  <w:num w:numId="23">
    <w:abstractNumId w:val="31"/>
  </w:num>
  <w:num w:numId="24">
    <w:abstractNumId w:val="11"/>
  </w:num>
  <w:num w:numId="25">
    <w:abstractNumId w:val="18"/>
  </w:num>
  <w:num w:numId="26">
    <w:abstractNumId w:val="32"/>
  </w:num>
  <w:num w:numId="27">
    <w:abstractNumId w:val="7"/>
  </w:num>
  <w:num w:numId="28">
    <w:abstractNumId w:val="30"/>
  </w:num>
  <w:num w:numId="29">
    <w:abstractNumId w:val="1"/>
  </w:num>
  <w:num w:numId="30">
    <w:abstractNumId w:val="14"/>
  </w:num>
  <w:num w:numId="31">
    <w:abstractNumId w:val="9"/>
  </w:num>
  <w:num w:numId="32">
    <w:abstractNumId w:val="4"/>
  </w:num>
  <w:num w:numId="33">
    <w:abstractNumId w:val="12"/>
  </w:num>
  <w:num w:numId="34">
    <w:abstractNumId w:val="20"/>
  </w:num>
  <w:num w:numId="35">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1A"/>
    <w:rsid w:val="00000393"/>
    <w:rsid w:val="000008B2"/>
    <w:rsid w:val="00000AB1"/>
    <w:rsid w:val="00004BB7"/>
    <w:rsid w:val="00005C31"/>
    <w:rsid w:val="00007B19"/>
    <w:rsid w:val="0001051C"/>
    <w:rsid w:val="00010B83"/>
    <w:rsid w:val="00011D76"/>
    <w:rsid w:val="000124EF"/>
    <w:rsid w:val="00012EE0"/>
    <w:rsid w:val="00015610"/>
    <w:rsid w:val="00016E41"/>
    <w:rsid w:val="00024A20"/>
    <w:rsid w:val="000274C4"/>
    <w:rsid w:val="00027761"/>
    <w:rsid w:val="0003062D"/>
    <w:rsid w:val="000306FC"/>
    <w:rsid w:val="000373BF"/>
    <w:rsid w:val="00040152"/>
    <w:rsid w:val="00042983"/>
    <w:rsid w:val="00043506"/>
    <w:rsid w:val="00046955"/>
    <w:rsid w:val="00047A08"/>
    <w:rsid w:val="00050302"/>
    <w:rsid w:val="000508A6"/>
    <w:rsid w:val="000520BF"/>
    <w:rsid w:val="00054DE2"/>
    <w:rsid w:val="00056624"/>
    <w:rsid w:val="00063F02"/>
    <w:rsid w:val="0006533F"/>
    <w:rsid w:val="00066100"/>
    <w:rsid w:val="000725DB"/>
    <w:rsid w:val="00072DDD"/>
    <w:rsid w:val="00074BE7"/>
    <w:rsid w:val="000750AC"/>
    <w:rsid w:val="000802F3"/>
    <w:rsid w:val="0008070C"/>
    <w:rsid w:val="000808D0"/>
    <w:rsid w:val="00080A52"/>
    <w:rsid w:val="00080E46"/>
    <w:rsid w:val="0008393A"/>
    <w:rsid w:val="0009333A"/>
    <w:rsid w:val="000946A1"/>
    <w:rsid w:val="00094CA0"/>
    <w:rsid w:val="00095607"/>
    <w:rsid w:val="00095907"/>
    <w:rsid w:val="000A0236"/>
    <w:rsid w:val="000A0B4E"/>
    <w:rsid w:val="000A1D0A"/>
    <w:rsid w:val="000A2376"/>
    <w:rsid w:val="000A283D"/>
    <w:rsid w:val="000A3E0E"/>
    <w:rsid w:val="000A4B15"/>
    <w:rsid w:val="000A55A1"/>
    <w:rsid w:val="000B0449"/>
    <w:rsid w:val="000B1575"/>
    <w:rsid w:val="000B226D"/>
    <w:rsid w:val="000B366F"/>
    <w:rsid w:val="000B58C3"/>
    <w:rsid w:val="000B58C6"/>
    <w:rsid w:val="000B67A0"/>
    <w:rsid w:val="000B6C95"/>
    <w:rsid w:val="000C13A8"/>
    <w:rsid w:val="000C21B1"/>
    <w:rsid w:val="000C28EF"/>
    <w:rsid w:val="000C59FD"/>
    <w:rsid w:val="000D0488"/>
    <w:rsid w:val="000D319D"/>
    <w:rsid w:val="000D5792"/>
    <w:rsid w:val="000E20D4"/>
    <w:rsid w:val="000E509B"/>
    <w:rsid w:val="000E73E3"/>
    <w:rsid w:val="000E7EA2"/>
    <w:rsid w:val="000F1A33"/>
    <w:rsid w:val="000F2116"/>
    <w:rsid w:val="000F2B29"/>
    <w:rsid w:val="000F348A"/>
    <w:rsid w:val="000F509E"/>
    <w:rsid w:val="000F5FE1"/>
    <w:rsid w:val="000F757F"/>
    <w:rsid w:val="00101C82"/>
    <w:rsid w:val="00110AEC"/>
    <w:rsid w:val="00112915"/>
    <w:rsid w:val="001135B3"/>
    <w:rsid w:val="001159F5"/>
    <w:rsid w:val="00120162"/>
    <w:rsid w:val="001205BD"/>
    <w:rsid w:val="00121D85"/>
    <w:rsid w:val="0012242C"/>
    <w:rsid w:val="00124483"/>
    <w:rsid w:val="00124DD0"/>
    <w:rsid w:val="00125083"/>
    <w:rsid w:val="001318FD"/>
    <w:rsid w:val="00131F84"/>
    <w:rsid w:val="0013301D"/>
    <w:rsid w:val="00133C0E"/>
    <w:rsid w:val="00136769"/>
    <w:rsid w:val="00136F95"/>
    <w:rsid w:val="0013702B"/>
    <w:rsid w:val="00141131"/>
    <w:rsid w:val="00141D97"/>
    <w:rsid w:val="00144DED"/>
    <w:rsid w:val="00146C41"/>
    <w:rsid w:val="00147529"/>
    <w:rsid w:val="001552C9"/>
    <w:rsid w:val="0015657D"/>
    <w:rsid w:val="0016793C"/>
    <w:rsid w:val="00170187"/>
    <w:rsid w:val="001707AE"/>
    <w:rsid w:val="00171811"/>
    <w:rsid w:val="0017380D"/>
    <w:rsid w:val="001746E8"/>
    <w:rsid w:val="00174D7A"/>
    <w:rsid w:val="00176216"/>
    <w:rsid w:val="00176362"/>
    <w:rsid w:val="00180CEA"/>
    <w:rsid w:val="00190CCB"/>
    <w:rsid w:val="00196B5E"/>
    <w:rsid w:val="001A119E"/>
    <w:rsid w:val="001A2852"/>
    <w:rsid w:val="001A5537"/>
    <w:rsid w:val="001A5D47"/>
    <w:rsid w:val="001B01C7"/>
    <w:rsid w:val="001B73F4"/>
    <w:rsid w:val="001B7936"/>
    <w:rsid w:val="001C6CB5"/>
    <w:rsid w:val="001C7440"/>
    <w:rsid w:val="001D4092"/>
    <w:rsid w:val="001D6640"/>
    <w:rsid w:val="001D6F1F"/>
    <w:rsid w:val="001E30D3"/>
    <w:rsid w:val="001E3230"/>
    <w:rsid w:val="001E6195"/>
    <w:rsid w:val="001F3610"/>
    <w:rsid w:val="001F3BAC"/>
    <w:rsid w:val="001F4B76"/>
    <w:rsid w:val="0020023F"/>
    <w:rsid w:val="002002B7"/>
    <w:rsid w:val="00201147"/>
    <w:rsid w:val="00201D6F"/>
    <w:rsid w:val="002028DE"/>
    <w:rsid w:val="00202AE8"/>
    <w:rsid w:val="0020669E"/>
    <w:rsid w:val="002165A6"/>
    <w:rsid w:val="0021769E"/>
    <w:rsid w:val="00220005"/>
    <w:rsid w:val="002210F6"/>
    <w:rsid w:val="002217C7"/>
    <w:rsid w:val="002229BF"/>
    <w:rsid w:val="00226D8A"/>
    <w:rsid w:val="002337B3"/>
    <w:rsid w:val="00235E85"/>
    <w:rsid w:val="002369B9"/>
    <w:rsid w:val="00236A94"/>
    <w:rsid w:val="0024115F"/>
    <w:rsid w:val="00243764"/>
    <w:rsid w:val="00244103"/>
    <w:rsid w:val="0024587A"/>
    <w:rsid w:val="00247547"/>
    <w:rsid w:val="0025108A"/>
    <w:rsid w:val="00251CF6"/>
    <w:rsid w:val="00254B06"/>
    <w:rsid w:val="002558A7"/>
    <w:rsid w:val="00255CCA"/>
    <w:rsid w:val="002603E2"/>
    <w:rsid w:val="002606F7"/>
    <w:rsid w:val="00261351"/>
    <w:rsid w:val="00262563"/>
    <w:rsid w:val="00262A8B"/>
    <w:rsid w:val="00263C74"/>
    <w:rsid w:val="00265C19"/>
    <w:rsid w:val="00266E60"/>
    <w:rsid w:val="00267D0C"/>
    <w:rsid w:val="002751F2"/>
    <w:rsid w:val="00280602"/>
    <w:rsid w:val="00280A4F"/>
    <w:rsid w:val="002824E6"/>
    <w:rsid w:val="00283B6B"/>
    <w:rsid w:val="00284431"/>
    <w:rsid w:val="0028461F"/>
    <w:rsid w:val="00284A04"/>
    <w:rsid w:val="00285095"/>
    <w:rsid w:val="00285A8C"/>
    <w:rsid w:val="00286607"/>
    <w:rsid w:val="00286830"/>
    <w:rsid w:val="002872F8"/>
    <w:rsid w:val="00291850"/>
    <w:rsid w:val="00294E37"/>
    <w:rsid w:val="00295694"/>
    <w:rsid w:val="0029667A"/>
    <w:rsid w:val="00297A36"/>
    <w:rsid w:val="00297E29"/>
    <w:rsid w:val="002A32A1"/>
    <w:rsid w:val="002B419F"/>
    <w:rsid w:val="002B4F68"/>
    <w:rsid w:val="002B6279"/>
    <w:rsid w:val="002B6F9F"/>
    <w:rsid w:val="002B7052"/>
    <w:rsid w:val="002B7FF6"/>
    <w:rsid w:val="002C0ED6"/>
    <w:rsid w:val="002C12B7"/>
    <w:rsid w:val="002C1842"/>
    <w:rsid w:val="002C18FB"/>
    <w:rsid w:val="002C3868"/>
    <w:rsid w:val="002C5D39"/>
    <w:rsid w:val="002C65B3"/>
    <w:rsid w:val="002C6A2B"/>
    <w:rsid w:val="002C7028"/>
    <w:rsid w:val="002C7B52"/>
    <w:rsid w:val="002D14A2"/>
    <w:rsid w:val="002D5BE1"/>
    <w:rsid w:val="002D6265"/>
    <w:rsid w:val="002E0D94"/>
    <w:rsid w:val="002E125C"/>
    <w:rsid w:val="002E4DAF"/>
    <w:rsid w:val="002E5561"/>
    <w:rsid w:val="002E5C85"/>
    <w:rsid w:val="002E735A"/>
    <w:rsid w:val="002E7579"/>
    <w:rsid w:val="002F3327"/>
    <w:rsid w:val="002F49EB"/>
    <w:rsid w:val="002F5652"/>
    <w:rsid w:val="002F56C0"/>
    <w:rsid w:val="002F59C1"/>
    <w:rsid w:val="002F65FA"/>
    <w:rsid w:val="00300171"/>
    <w:rsid w:val="0030331E"/>
    <w:rsid w:val="0030372A"/>
    <w:rsid w:val="00306D22"/>
    <w:rsid w:val="00306E10"/>
    <w:rsid w:val="003107F5"/>
    <w:rsid w:val="00310904"/>
    <w:rsid w:val="00311ED5"/>
    <w:rsid w:val="0031306B"/>
    <w:rsid w:val="00313147"/>
    <w:rsid w:val="00315BE0"/>
    <w:rsid w:val="00317B3A"/>
    <w:rsid w:val="003215EA"/>
    <w:rsid w:val="0032259F"/>
    <w:rsid w:val="0033037B"/>
    <w:rsid w:val="00330F26"/>
    <w:rsid w:val="00331773"/>
    <w:rsid w:val="00332E4D"/>
    <w:rsid w:val="003340B5"/>
    <w:rsid w:val="00336E57"/>
    <w:rsid w:val="00340268"/>
    <w:rsid w:val="003409BA"/>
    <w:rsid w:val="00343E8B"/>
    <w:rsid w:val="003471D8"/>
    <w:rsid w:val="00356354"/>
    <w:rsid w:val="00356473"/>
    <w:rsid w:val="00357B57"/>
    <w:rsid w:val="003606D6"/>
    <w:rsid w:val="00362988"/>
    <w:rsid w:val="00365801"/>
    <w:rsid w:val="00365D57"/>
    <w:rsid w:val="003731AC"/>
    <w:rsid w:val="00373410"/>
    <w:rsid w:val="00374820"/>
    <w:rsid w:val="00374B36"/>
    <w:rsid w:val="00375098"/>
    <w:rsid w:val="00376C44"/>
    <w:rsid w:val="003809AD"/>
    <w:rsid w:val="00380D74"/>
    <w:rsid w:val="0038192E"/>
    <w:rsid w:val="00382BE0"/>
    <w:rsid w:val="00382F80"/>
    <w:rsid w:val="0038369C"/>
    <w:rsid w:val="00385DFC"/>
    <w:rsid w:val="00390364"/>
    <w:rsid w:val="00390DF0"/>
    <w:rsid w:val="003912F1"/>
    <w:rsid w:val="003A4C80"/>
    <w:rsid w:val="003A7C9F"/>
    <w:rsid w:val="003A7D79"/>
    <w:rsid w:val="003B62C6"/>
    <w:rsid w:val="003C0BBD"/>
    <w:rsid w:val="003C15A5"/>
    <w:rsid w:val="003C3D9D"/>
    <w:rsid w:val="003C4C32"/>
    <w:rsid w:val="003D02D6"/>
    <w:rsid w:val="003D1C0D"/>
    <w:rsid w:val="003D2C6D"/>
    <w:rsid w:val="003D439F"/>
    <w:rsid w:val="003D5A35"/>
    <w:rsid w:val="003E179A"/>
    <w:rsid w:val="003E347C"/>
    <w:rsid w:val="003E6F1E"/>
    <w:rsid w:val="003F2D52"/>
    <w:rsid w:val="003F3028"/>
    <w:rsid w:val="003F3CD2"/>
    <w:rsid w:val="003F4200"/>
    <w:rsid w:val="00403A17"/>
    <w:rsid w:val="004059D3"/>
    <w:rsid w:val="00405C4A"/>
    <w:rsid w:val="0040625C"/>
    <w:rsid w:val="00406F54"/>
    <w:rsid w:val="00407074"/>
    <w:rsid w:val="004071DB"/>
    <w:rsid w:val="0041044D"/>
    <w:rsid w:val="004132A2"/>
    <w:rsid w:val="00417630"/>
    <w:rsid w:val="004231B6"/>
    <w:rsid w:val="00423DA8"/>
    <w:rsid w:val="00427C27"/>
    <w:rsid w:val="004322DE"/>
    <w:rsid w:val="0043254F"/>
    <w:rsid w:val="0043324D"/>
    <w:rsid w:val="00433AEA"/>
    <w:rsid w:val="00436392"/>
    <w:rsid w:val="00441758"/>
    <w:rsid w:val="00445846"/>
    <w:rsid w:val="00445E98"/>
    <w:rsid w:val="00446268"/>
    <w:rsid w:val="00447130"/>
    <w:rsid w:val="00451133"/>
    <w:rsid w:val="00451F47"/>
    <w:rsid w:val="00452163"/>
    <w:rsid w:val="00454F78"/>
    <w:rsid w:val="00455F7F"/>
    <w:rsid w:val="004561FC"/>
    <w:rsid w:val="004622B0"/>
    <w:rsid w:val="00462DC2"/>
    <w:rsid w:val="00463998"/>
    <w:rsid w:val="004643EF"/>
    <w:rsid w:val="00464743"/>
    <w:rsid w:val="00464D79"/>
    <w:rsid w:val="0046669B"/>
    <w:rsid w:val="00467897"/>
    <w:rsid w:val="00474BBC"/>
    <w:rsid w:val="00475873"/>
    <w:rsid w:val="00475DE1"/>
    <w:rsid w:val="00476B24"/>
    <w:rsid w:val="0048043A"/>
    <w:rsid w:val="004809EC"/>
    <w:rsid w:val="00483762"/>
    <w:rsid w:val="00487099"/>
    <w:rsid w:val="004872F6"/>
    <w:rsid w:val="0049051C"/>
    <w:rsid w:val="00495BCD"/>
    <w:rsid w:val="004A116E"/>
    <w:rsid w:val="004A12E1"/>
    <w:rsid w:val="004A2D78"/>
    <w:rsid w:val="004A2D95"/>
    <w:rsid w:val="004A3ECD"/>
    <w:rsid w:val="004A5DAB"/>
    <w:rsid w:val="004A7196"/>
    <w:rsid w:val="004B1833"/>
    <w:rsid w:val="004B2050"/>
    <w:rsid w:val="004B30AF"/>
    <w:rsid w:val="004B38C7"/>
    <w:rsid w:val="004B396D"/>
    <w:rsid w:val="004C031A"/>
    <w:rsid w:val="004C2A2A"/>
    <w:rsid w:val="004C4DAF"/>
    <w:rsid w:val="004C5A44"/>
    <w:rsid w:val="004D1392"/>
    <w:rsid w:val="004D1B7B"/>
    <w:rsid w:val="004D3B6A"/>
    <w:rsid w:val="004D79CF"/>
    <w:rsid w:val="004D7D1A"/>
    <w:rsid w:val="004E4CDC"/>
    <w:rsid w:val="004E651D"/>
    <w:rsid w:val="004E7CB8"/>
    <w:rsid w:val="004F09D6"/>
    <w:rsid w:val="00501D76"/>
    <w:rsid w:val="00501EEC"/>
    <w:rsid w:val="0050236E"/>
    <w:rsid w:val="005044EF"/>
    <w:rsid w:val="00505B31"/>
    <w:rsid w:val="00506B7E"/>
    <w:rsid w:val="005103D9"/>
    <w:rsid w:val="00513915"/>
    <w:rsid w:val="0051561D"/>
    <w:rsid w:val="005158F0"/>
    <w:rsid w:val="0052045F"/>
    <w:rsid w:val="00520515"/>
    <w:rsid w:val="00521CAE"/>
    <w:rsid w:val="00524838"/>
    <w:rsid w:val="00524CB5"/>
    <w:rsid w:val="00527057"/>
    <w:rsid w:val="005278F6"/>
    <w:rsid w:val="00527C48"/>
    <w:rsid w:val="0053146B"/>
    <w:rsid w:val="005350A1"/>
    <w:rsid w:val="00543CE8"/>
    <w:rsid w:val="005441E5"/>
    <w:rsid w:val="00546C65"/>
    <w:rsid w:val="00547D7E"/>
    <w:rsid w:val="0055148E"/>
    <w:rsid w:val="00551588"/>
    <w:rsid w:val="00551D4F"/>
    <w:rsid w:val="00552E03"/>
    <w:rsid w:val="00554AB5"/>
    <w:rsid w:val="0055577C"/>
    <w:rsid w:val="00555903"/>
    <w:rsid w:val="00557EA8"/>
    <w:rsid w:val="00563A19"/>
    <w:rsid w:val="00563BB4"/>
    <w:rsid w:val="00567128"/>
    <w:rsid w:val="005717F2"/>
    <w:rsid w:val="0057254B"/>
    <w:rsid w:val="00575BC5"/>
    <w:rsid w:val="00576095"/>
    <w:rsid w:val="00576C2D"/>
    <w:rsid w:val="0058325D"/>
    <w:rsid w:val="00583B6D"/>
    <w:rsid w:val="005875CF"/>
    <w:rsid w:val="005968B7"/>
    <w:rsid w:val="00596E36"/>
    <w:rsid w:val="005A0E4B"/>
    <w:rsid w:val="005A1707"/>
    <w:rsid w:val="005A4011"/>
    <w:rsid w:val="005A5D96"/>
    <w:rsid w:val="005A6938"/>
    <w:rsid w:val="005B0E6C"/>
    <w:rsid w:val="005B5F9F"/>
    <w:rsid w:val="005B6A38"/>
    <w:rsid w:val="005C0DFF"/>
    <w:rsid w:val="005D5E69"/>
    <w:rsid w:val="005D665C"/>
    <w:rsid w:val="005D66A6"/>
    <w:rsid w:val="005D78B0"/>
    <w:rsid w:val="005E005B"/>
    <w:rsid w:val="005E210B"/>
    <w:rsid w:val="005E2461"/>
    <w:rsid w:val="005E2616"/>
    <w:rsid w:val="005E3597"/>
    <w:rsid w:val="005F3D40"/>
    <w:rsid w:val="005F6913"/>
    <w:rsid w:val="00604006"/>
    <w:rsid w:val="00604166"/>
    <w:rsid w:val="00605ACE"/>
    <w:rsid w:val="00605FDE"/>
    <w:rsid w:val="00613231"/>
    <w:rsid w:val="00614CA0"/>
    <w:rsid w:val="00614F4C"/>
    <w:rsid w:val="006159C3"/>
    <w:rsid w:val="006204CB"/>
    <w:rsid w:val="00623881"/>
    <w:rsid w:val="00631096"/>
    <w:rsid w:val="006315C5"/>
    <w:rsid w:val="00633362"/>
    <w:rsid w:val="00635EDC"/>
    <w:rsid w:val="006374CA"/>
    <w:rsid w:val="00641908"/>
    <w:rsid w:val="00641ED5"/>
    <w:rsid w:val="00647B61"/>
    <w:rsid w:val="0065092F"/>
    <w:rsid w:val="00650B93"/>
    <w:rsid w:val="006520F0"/>
    <w:rsid w:val="00653F7B"/>
    <w:rsid w:val="00654419"/>
    <w:rsid w:val="00654EFE"/>
    <w:rsid w:val="00656E4B"/>
    <w:rsid w:val="00661AE9"/>
    <w:rsid w:val="0066243B"/>
    <w:rsid w:val="0066298D"/>
    <w:rsid w:val="00666DA6"/>
    <w:rsid w:val="00666DEA"/>
    <w:rsid w:val="00670430"/>
    <w:rsid w:val="00670704"/>
    <w:rsid w:val="006707F4"/>
    <w:rsid w:val="00672503"/>
    <w:rsid w:val="00672CEA"/>
    <w:rsid w:val="00672ECE"/>
    <w:rsid w:val="00673D5E"/>
    <w:rsid w:val="0067492C"/>
    <w:rsid w:val="00675CFF"/>
    <w:rsid w:val="00676162"/>
    <w:rsid w:val="00676918"/>
    <w:rsid w:val="0068338F"/>
    <w:rsid w:val="0068406D"/>
    <w:rsid w:val="00684528"/>
    <w:rsid w:val="006846D6"/>
    <w:rsid w:val="00687470"/>
    <w:rsid w:val="006874C0"/>
    <w:rsid w:val="00690247"/>
    <w:rsid w:val="00691CE9"/>
    <w:rsid w:val="00696E73"/>
    <w:rsid w:val="006A2036"/>
    <w:rsid w:val="006B08DC"/>
    <w:rsid w:val="006B2E00"/>
    <w:rsid w:val="006B5CC4"/>
    <w:rsid w:val="006C0D0C"/>
    <w:rsid w:val="006C5E56"/>
    <w:rsid w:val="006C5F90"/>
    <w:rsid w:val="006D11FE"/>
    <w:rsid w:val="006D178F"/>
    <w:rsid w:val="006D1F8A"/>
    <w:rsid w:val="006D41BB"/>
    <w:rsid w:val="006D5841"/>
    <w:rsid w:val="006D79B7"/>
    <w:rsid w:val="006E6417"/>
    <w:rsid w:val="006F2673"/>
    <w:rsid w:val="006F32A8"/>
    <w:rsid w:val="006F59F2"/>
    <w:rsid w:val="007019A3"/>
    <w:rsid w:val="00703381"/>
    <w:rsid w:val="00704A59"/>
    <w:rsid w:val="00704FD8"/>
    <w:rsid w:val="00705C97"/>
    <w:rsid w:val="007075C6"/>
    <w:rsid w:val="0071027D"/>
    <w:rsid w:val="00713D6E"/>
    <w:rsid w:val="0071577B"/>
    <w:rsid w:val="0071661B"/>
    <w:rsid w:val="00717AE7"/>
    <w:rsid w:val="007200B0"/>
    <w:rsid w:val="007203C9"/>
    <w:rsid w:val="007208BA"/>
    <w:rsid w:val="00722030"/>
    <w:rsid w:val="00723A74"/>
    <w:rsid w:val="00726E5A"/>
    <w:rsid w:val="007303F5"/>
    <w:rsid w:val="007304BB"/>
    <w:rsid w:val="007306CE"/>
    <w:rsid w:val="00734988"/>
    <w:rsid w:val="00735FAF"/>
    <w:rsid w:val="00736EAC"/>
    <w:rsid w:val="00740776"/>
    <w:rsid w:val="0074192B"/>
    <w:rsid w:val="0074766C"/>
    <w:rsid w:val="00747834"/>
    <w:rsid w:val="00747F15"/>
    <w:rsid w:val="00750299"/>
    <w:rsid w:val="007536AF"/>
    <w:rsid w:val="007548CF"/>
    <w:rsid w:val="0076501D"/>
    <w:rsid w:val="00770463"/>
    <w:rsid w:val="00771295"/>
    <w:rsid w:val="007732CF"/>
    <w:rsid w:val="00774397"/>
    <w:rsid w:val="00774A73"/>
    <w:rsid w:val="00776C97"/>
    <w:rsid w:val="00780147"/>
    <w:rsid w:val="007802C8"/>
    <w:rsid w:val="00780641"/>
    <w:rsid w:val="00780F9F"/>
    <w:rsid w:val="00782675"/>
    <w:rsid w:val="0078496C"/>
    <w:rsid w:val="007871E7"/>
    <w:rsid w:val="00790572"/>
    <w:rsid w:val="007934DD"/>
    <w:rsid w:val="00793BA9"/>
    <w:rsid w:val="00793FF5"/>
    <w:rsid w:val="00795547"/>
    <w:rsid w:val="00797200"/>
    <w:rsid w:val="00797C3C"/>
    <w:rsid w:val="007A15D7"/>
    <w:rsid w:val="007A1FC5"/>
    <w:rsid w:val="007A2FAB"/>
    <w:rsid w:val="007A3116"/>
    <w:rsid w:val="007A626A"/>
    <w:rsid w:val="007B294E"/>
    <w:rsid w:val="007B7466"/>
    <w:rsid w:val="007B7A9B"/>
    <w:rsid w:val="007B7E52"/>
    <w:rsid w:val="007C0726"/>
    <w:rsid w:val="007C3B8D"/>
    <w:rsid w:val="007C3C3B"/>
    <w:rsid w:val="007D3E3B"/>
    <w:rsid w:val="007D7804"/>
    <w:rsid w:val="007E08B2"/>
    <w:rsid w:val="007E317F"/>
    <w:rsid w:val="007E4266"/>
    <w:rsid w:val="007F05F6"/>
    <w:rsid w:val="007F11D7"/>
    <w:rsid w:val="007F1DC8"/>
    <w:rsid w:val="007F29E8"/>
    <w:rsid w:val="007F2FF2"/>
    <w:rsid w:val="007F42C6"/>
    <w:rsid w:val="007F523F"/>
    <w:rsid w:val="007F5C9D"/>
    <w:rsid w:val="00802580"/>
    <w:rsid w:val="00803371"/>
    <w:rsid w:val="00803D58"/>
    <w:rsid w:val="00803D8D"/>
    <w:rsid w:val="00804443"/>
    <w:rsid w:val="0081230A"/>
    <w:rsid w:val="00814A41"/>
    <w:rsid w:val="008154E1"/>
    <w:rsid w:val="0082023D"/>
    <w:rsid w:val="008218F3"/>
    <w:rsid w:val="008229FD"/>
    <w:rsid w:val="00823413"/>
    <w:rsid w:val="008236D6"/>
    <w:rsid w:val="0082611E"/>
    <w:rsid w:val="00826FBB"/>
    <w:rsid w:val="008306C0"/>
    <w:rsid w:val="00833951"/>
    <w:rsid w:val="0084146F"/>
    <w:rsid w:val="00841BAB"/>
    <w:rsid w:val="00842547"/>
    <w:rsid w:val="008425C8"/>
    <w:rsid w:val="00842BFF"/>
    <w:rsid w:val="00842DF0"/>
    <w:rsid w:val="00843125"/>
    <w:rsid w:val="008541A8"/>
    <w:rsid w:val="00855EBC"/>
    <w:rsid w:val="00862199"/>
    <w:rsid w:val="00862A8D"/>
    <w:rsid w:val="00862F53"/>
    <w:rsid w:val="00864ADA"/>
    <w:rsid w:val="0087028B"/>
    <w:rsid w:val="00874B7A"/>
    <w:rsid w:val="0087540E"/>
    <w:rsid w:val="008808C4"/>
    <w:rsid w:val="008813A9"/>
    <w:rsid w:val="0088204F"/>
    <w:rsid w:val="008838D2"/>
    <w:rsid w:val="008872BA"/>
    <w:rsid w:val="00887DE3"/>
    <w:rsid w:val="0089209A"/>
    <w:rsid w:val="008957AC"/>
    <w:rsid w:val="008A2EFD"/>
    <w:rsid w:val="008A7E6C"/>
    <w:rsid w:val="008B0412"/>
    <w:rsid w:val="008B2B2A"/>
    <w:rsid w:val="008B2B83"/>
    <w:rsid w:val="008B3242"/>
    <w:rsid w:val="008B34A4"/>
    <w:rsid w:val="008B7FCE"/>
    <w:rsid w:val="008C021A"/>
    <w:rsid w:val="008C077E"/>
    <w:rsid w:val="008C1C12"/>
    <w:rsid w:val="008D0A32"/>
    <w:rsid w:val="008D2428"/>
    <w:rsid w:val="008D34EB"/>
    <w:rsid w:val="008D42D7"/>
    <w:rsid w:val="008D5CA8"/>
    <w:rsid w:val="008E0A91"/>
    <w:rsid w:val="008E294E"/>
    <w:rsid w:val="008E51E7"/>
    <w:rsid w:val="008E791C"/>
    <w:rsid w:val="008F245B"/>
    <w:rsid w:val="008F3138"/>
    <w:rsid w:val="008F3F27"/>
    <w:rsid w:val="008F6038"/>
    <w:rsid w:val="00900122"/>
    <w:rsid w:val="00900ACC"/>
    <w:rsid w:val="00900F0A"/>
    <w:rsid w:val="00905BA9"/>
    <w:rsid w:val="00911305"/>
    <w:rsid w:val="0091252C"/>
    <w:rsid w:val="00917283"/>
    <w:rsid w:val="00917650"/>
    <w:rsid w:val="009214AA"/>
    <w:rsid w:val="009221F6"/>
    <w:rsid w:val="00922CEF"/>
    <w:rsid w:val="00925EE1"/>
    <w:rsid w:val="0092656B"/>
    <w:rsid w:val="009315C9"/>
    <w:rsid w:val="00933D54"/>
    <w:rsid w:val="0093605B"/>
    <w:rsid w:val="009434C9"/>
    <w:rsid w:val="00943E06"/>
    <w:rsid w:val="009445DC"/>
    <w:rsid w:val="00945600"/>
    <w:rsid w:val="0095242D"/>
    <w:rsid w:val="0095493B"/>
    <w:rsid w:val="0095532F"/>
    <w:rsid w:val="00955D9A"/>
    <w:rsid w:val="00956423"/>
    <w:rsid w:val="00960092"/>
    <w:rsid w:val="009625FD"/>
    <w:rsid w:val="00962C7D"/>
    <w:rsid w:val="00963D80"/>
    <w:rsid w:val="009652F5"/>
    <w:rsid w:val="00966E8C"/>
    <w:rsid w:val="009735B1"/>
    <w:rsid w:val="00973B44"/>
    <w:rsid w:val="009742D6"/>
    <w:rsid w:val="0098007E"/>
    <w:rsid w:val="009811D4"/>
    <w:rsid w:val="00982656"/>
    <w:rsid w:val="009866B2"/>
    <w:rsid w:val="00986F75"/>
    <w:rsid w:val="009903F3"/>
    <w:rsid w:val="00992B15"/>
    <w:rsid w:val="0099591B"/>
    <w:rsid w:val="00995CA5"/>
    <w:rsid w:val="009963F5"/>
    <w:rsid w:val="00996BAC"/>
    <w:rsid w:val="009A30C9"/>
    <w:rsid w:val="009A4922"/>
    <w:rsid w:val="009B067F"/>
    <w:rsid w:val="009B251A"/>
    <w:rsid w:val="009B485D"/>
    <w:rsid w:val="009B5BC3"/>
    <w:rsid w:val="009B5C41"/>
    <w:rsid w:val="009B6BD3"/>
    <w:rsid w:val="009C2183"/>
    <w:rsid w:val="009C233C"/>
    <w:rsid w:val="009C2826"/>
    <w:rsid w:val="009C3970"/>
    <w:rsid w:val="009C3E83"/>
    <w:rsid w:val="009C5CFD"/>
    <w:rsid w:val="009C6D5D"/>
    <w:rsid w:val="009D0538"/>
    <w:rsid w:val="009D137D"/>
    <w:rsid w:val="009D3778"/>
    <w:rsid w:val="009D6E9D"/>
    <w:rsid w:val="009E21AC"/>
    <w:rsid w:val="009E2FCC"/>
    <w:rsid w:val="009E3BD6"/>
    <w:rsid w:val="009E46E6"/>
    <w:rsid w:val="009E7E8A"/>
    <w:rsid w:val="009F0381"/>
    <w:rsid w:val="009F08E7"/>
    <w:rsid w:val="009F54B1"/>
    <w:rsid w:val="009F591E"/>
    <w:rsid w:val="009F6E37"/>
    <w:rsid w:val="00A0037E"/>
    <w:rsid w:val="00A00E4A"/>
    <w:rsid w:val="00A02786"/>
    <w:rsid w:val="00A0297A"/>
    <w:rsid w:val="00A03BD2"/>
    <w:rsid w:val="00A04176"/>
    <w:rsid w:val="00A04302"/>
    <w:rsid w:val="00A06259"/>
    <w:rsid w:val="00A06509"/>
    <w:rsid w:val="00A11CD1"/>
    <w:rsid w:val="00A13D67"/>
    <w:rsid w:val="00A17ADF"/>
    <w:rsid w:val="00A24758"/>
    <w:rsid w:val="00A26F5E"/>
    <w:rsid w:val="00A30A98"/>
    <w:rsid w:val="00A30E1B"/>
    <w:rsid w:val="00A31216"/>
    <w:rsid w:val="00A3129E"/>
    <w:rsid w:val="00A318BD"/>
    <w:rsid w:val="00A346B5"/>
    <w:rsid w:val="00A3691C"/>
    <w:rsid w:val="00A46815"/>
    <w:rsid w:val="00A54D42"/>
    <w:rsid w:val="00A6525E"/>
    <w:rsid w:val="00A65FCB"/>
    <w:rsid w:val="00A66ADF"/>
    <w:rsid w:val="00A7198C"/>
    <w:rsid w:val="00A7199B"/>
    <w:rsid w:val="00A72F1B"/>
    <w:rsid w:val="00A7351E"/>
    <w:rsid w:val="00A76190"/>
    <w:rsid w:val="00A7646D"/>
    <w:rsid w:val="00A77B60"/>
    <w:rsid w:val="00A80451"/>
    <w:rsid w:val="00A81FE6"/>
    <w:rsid w:val="00A8375B"/>
    <w:rsid w:val="00A91D3C"/>
    <w:rsid w:val="00AA03AE"/>
    <w:rsid w:val="00AA0786"/>
    <w:rsid w:val="00AA0ACA"/>
    <w:rsid w:val="00AA0FC7"/>
    <w:rsid w:val="00AA1686"/>
    <w:rsid w:val="00AA2CAE"/>
    <w:rsid w:val="00AA3DB1"/>
    <w:rsid w:val="00AA6409"/>
    <w:rsid w:val="00AA6A4E"/>
    <w:rsid w:val="00AB4F37"/>
    <w:rsid w:val="00AB4FF1"/>
    <w:rsid w:val="00AB77AC"/>
    <w:rsid w:val="00AC122B"/>
    <w:rsid w:val="00AC2654"/>
    <w:rsid w:val="00AC284B"/>
    <w:rsid w:val="00AC35AB"/>
    <w:rsid w:val="00AC40B8"/>
    <w:rsid w:val="00AC4288"/>
    <w:rsid w:val="00AC4296"/>
    <w:rsid w:val="00AC48D7"/>
    <w:rsid w:val="00AC65CA"/>
    <w:rsid w:val="00AC7430"/>
    <w:rsid w:val="00AD04CB"/>
    <w:rsid w:val="00AD203C"/>
    <w:rsid w:val="00AD3358"/>
    <w:rsid w:val="00AD70A3"/>
    <w:rsid w:val="00AE00AD"/>
    <w:rsid w:val="00AE0E65"/>
    <w:rsid w:val="00AE4984"/>
    <w:rsid w:val="00AE528B"/>
    <w:rsid w:val="00AE739E"/>
    <w:rsid w:val="00AF0A91"/>
    <w:rsid w:val="00AF1485"/>
    <w:rsid w:val="00AF24E3"/>
    <w:rsid w:val="00AF28B5"/>
    <w:rsid w:val="00AF2C55"/>
    <w:rsid w:val="00B045ED"/>
    <w:rsid w:val="00B102BA"/>
    <w:rsid w:val="00B13130"/>
    <w:rsid w:val="00B135BB"/>
    <w:rsid w:val="00B15E23"/>
    <w:rsid w:val="00B163B7"/>
    <w:rsid w:val="00B16FB6"/>
    <w:rsid w:val="00B22641"/>
    <w:rsid w:val="00B23EE9"/>
    <w:rsid w:val="00B26EA8"/>
    <w:rsid w:val="00B272F3"/>
    <w:rsid w:val="00B30B10"/>
    <w:rsid w:val="00B311E0"/>
    <w:rsid w:val="00B31966"/>
    <w:rsid w:val="00B31B8D"/>
    <w:rsid w:val="00B32940"/>
    <w:rsid w:val="00B35C4D"/>
    <w:rsid w:val="00B417B9"/>
    <w:rsid w:val="00B44C67"/>
    <w:rsid w:val="00B50AED"/>
    <w:rsid w:val="00B50B48"/>
    <w:rsid w:val="00B52718"/>
    <w:rsid w:val="00B5507D"/>
    <w:rsid w:val="00B5600D"/>
    <w:rsid w:val="00B57417"/>
    <w:rsid w:val="00B6315D"/>
    <w:rsid w:val="00B63244"/>
    <w:rsid w:val="00B63F95"/>
    <w:rsid w:val="00B722BC"/>
    <w:rsid w:val="00B72F15"/>
    <w:rsid w:val="00B7428B"/>
    <w:rsid w:val="00B74989"/>
    <w:rsid w:val="00B754EF"/>
    <w:rsid w:val="00B7782B"/>
    <w:rsid w:val="00B77CA8"/>
    <w:rsid w:val="00B8019A"/>
    <w:rsid w:val="00B80BEE"/>
    <w:rsid w:val="00B83053"/>
    <w:rsid w:val="00B9034E"/>
    <w:rsid w:val="00B907F0"/>
    <w:rsid w:val="00B90D0E"/>
    <w:rsid w:val="00B94C98"/>
    <w:rsid w:val="00BA05BB"/>
    <w:rsid w:val="00BA752F"/>
    <w:rsid w:val="00BB4130"/>
    <w:rsid w:val="00BB5BD3"/>
    <w:rsid w:val="00BB7008"/>
    <w:rsid w:val="00BC10A4"/>
    <w:rsid w:val="00BC404A"/>
    <w:rsid w:val="00BC55FB"/>
    <w:rsid w:val="00BC6D5E"/>
    <w:rsid w:val="00BD22AC"/>
    <w:rsid w:val="00BD5B3B"/>
    <w:rsid w:val="00BD6663"/>
    <w:rsid w:val="00BD668C"/>
    <w:rsid w:val="00BE2472"/>
    <w:rsid w:val="00BE2901"/>
    <w:rsid w:val="00BE41DA"/>
    <w:rsid w:val="00BE4D20"/>
    <w:rsid w:val="00BE4FA0"/>
    <w:rsid w:val="00BE62A3"/>
    <w:rsid w:val="00BE6AF6"/>
    <w:rsid w:val="00BF0772"/>
    <w:rsid w:val="00BF1002"/>
    <w:rsid w:val="00BF16FA"/>
    <w:rsid w:val="00BF1782"/>
    <w:rsid w:val="00BF37F5"/>
    <w:rsid w:val="00BF74D3"/>
    <w:rsid w:val="00BF7819"/>
    <w:rsid w:val="00C0261A"/>
    <w:rsid w:val="00C140A3"/>
    <w:rsid w:val="00C161C0"/>
    <w:rsid w:val="00C179F4"/>
    <w:rsid w:val="00C204FC"/>
    <w:rsid w:val="00C223D1"/>
    <w:rsid w:val="00C23F25"/>
    <w:rsid w:val="00C257F2"/>
    <w:rsid w:val="00C30FC0"/>
    <w:rsid w:val="00C321A3"/>
    <w:rsid w:val="00C3343E"/>
    <w:rsid w:val="00C3455C"/>
    <w:rsid w:val="00C34A08"/>
    <w:rsid w:val="00C37D74"/>
    <w:rsid w:val="00C40124"/>
    <w:rsid w:val="00C4265E"/>
    <w:rsid w:val="00C42802"/>
    <w:rsid w:val="00C4595E"/>
    <w:rsid w:val="00C46430"/>
    <w:rsid w:val="00C46632"/>
    <w:rsid w:val="00C46A3A"/>
    <w:rsid w:val="00C46D98"/>
    <w:rsid w:val="00C4749B"/>
    <w:rsid w:val="00C53BA8"/>
    <w:rsid w:val="00C5417D"/>
    <w:rsid w:val="00C54F1F"/>
    <w:rsid w:val="00C56EBC"/>
    <w:rsid w:val="00C62B81"/>
    <w:rsid w:val="00C62BCC"/>
    <w:rsid w:val="00C6330E"/>
    <w:rsid w:val="00C650F4"/>
    <w:rsid w:val="00C66AF2"/>
    <w:rsid w:val="00C701CD"/>
    <w:rsid w:val="00C71318"/>
    <w:rsid w:val="00C736BC"/>
    <w:rsid w:val="00C74323"/>
    <w:rsid w:val="00C75027"/>
    <w:rsid w:val="00C7610C"/>
    <w:rsid w:val="00C76B84"/>
    <w:rsid w:val="00C8774C"/>
    <w:rsid w:val="00C923DB"/>
    <w:rsid w:val="00C96E0F"/>
    <w:rsid w:val="00CA380B"/>
    <w:rsid w:val="00CA407D"/>
    <w:rsid w:val="00CA4FF5"/>
    <w:rsid w:val="00CA68C8"/>
    <w:rsid w:val="00CA6E0E"/>
    <w:rsid w:val="00CA7ED2"/>
    <w:rsid w:val="00CB0805"/>
    <w:rsid w:val="00CB3508"/>
    <w:rsid w:val="00CB6062"/>
    <w:rsid w:val="00CB68FB"/>
    <w:rsid w:val="00CC02DC"/>
    <w:rsid w:val="00CC38D6"/>
    <w:rsid w:val="00CC41AB"/>
    <w:rsid w:val="00CC47AE"/>
    <w:rsid w:val="00CC698B"/>
    <w:rsid w:val="00CC7910"/>
    <w:rsid w:val="00CD0262"/>
    <w:rsid w:val="00CD0426"/>
    <w:rsid w:val="00CD06A5"/>
    <w:rsid w:val="00CD1F6C"/>
    <w:rsid w:val="00CD25CF"/>
    <w:rsid w:val="00CD7B10"/>
    <w:rsid w:val="00CF0CCE"/>
    <w:rsid w:val="00CF2B6E"/>
    <w:rsid w:val="00CF39DB"/>
    <w:rsid w:val="00CF39F0"/>
    <w:rsid w:val="00CF5490"/>
    <w:rsid w:val="00CF613C"/>
    <w:rsid w:val="00CF6378"/>
    <w:rsid w:val="00CF66C3"/>
    <w:rsid w:val="00CF6DF3"/>
    <w:rsid w:val="00D00480"/>
    <w:rsid w:val="00D0093F"/>
    <w:rsid w:val="00D01A90"/>
    <w:rsid w:val="00D027DA"/>
    <w:rsid w:val="00D06511"/>
    <w:rsid w:val="00D1035F"/>
    <w:rsid w:val="00D153DC"/>
    <w:rsid w:val="00D16CE5"/>
    <w:rsid w:val="00D171B7"/>
    <w:rsid w:val="00D17540"/>
    <w:rsid w:val="00D21EFB"/>
    <w:rsid w:val="00D24BA3"/>
    <w:rsid w:val="00D24E87"/>
    <w:rsid w:val="00D325F1"/>
    <w:rsid w:val="00D32994"/>
    <w:rsid w:val="00D3652F"/>
    <w:rsid w:val="00D372D4"/>
    <w:rsid w:val="00D37515"/>
    <w:rsid w:val="00D408BD"/>
    <w:rsid w:val="00D43881"/>
    <w:rsid w:val="00D46DC3"/>
    <w:rsid w:val="00D477EF"/>
    <w:rsid w:val="00D50BB2"/>
    <w:rsid w:val="00D526CF"/>
    <w:rsid w:val="00D569A7"/>
    <w:rsid w:val="00D607A4"/>
    <w:rsid w:val="00D630DE"/>
    <w:rsid w:val="00D6337F"/>
    <w:rsid w:val="00D63721"/>
    <w:rsid w:val="00D6462D"/>
    <w:rsid w:val="00D64DF3"/>
    <w:rsid w:val="00D7195A"/>
    <w:rsid w:val="00D72DAA"/>
    <w:rsid w:val="00D779A9"/>
    <w:rsid w:val="00D819DF"/>
    <w:rsid w:val="00D82995"/>
    <w:rsid w:val="00D83E90"/>
    <w:rsid w:val="00D85A55"/>
    <w:rsid w:val="00D872BD"/>
    <w:rsid w:val="00D90B1D"/>
    <w:rsid w:val="00D91896"/>
    <w:rsid w:val="00D93F3E"/>
    <w:rsid w:val="00D9636B"/>
    <w:rsid w:val="00DA0D1D"/>
    <w:rsid w:val="00DA245F"/>
    <w:rsid w:val="00DA25A0"/>
    <w:rsid w:val="00DA2EBC"/>
    <w:rsid w:val="00DA450D"/>
    <w:rsid w:val="00DA5F55"/>
    <w:rsid w:val="00DB2036"/>
    <w:rsid w:val="00DB3C45"/>
    <w:rsid w:val="00DB4284"/>
    <w:rsid w:val="00DB6A9C"/>
    <w:rsid w:val="00DC2F71"/>
    <w:rsid w:val="00DC37ED"/>
    <w:rsid w:val="00DC47F8"/>
    <w:rsid w:val="00DC59A3"/>
    <w:rsid w:val="00DC5C1D"/>
    <w:rsid w:val="00DD0B81"/>
    <w:rsid w:val="00DD1F27"/>
    <w:rsid w:val="00DD378D"/>
    <w:rsid w:val="00DD3CF7"/>
    <w:rsid w:val="00DD42A5"/>
    <w:rsid w:val="00DD4594"/>
    <w:rsid w:val="00DD493A"/>
    <w:rsid w:val="00DD7E58"/>
    <w:rsid w:val="00DE053F"/>
    <w:rsid w:val="00DE3C73"/>
    <w:rsid w:val="00DE4D3E"/>
    <w:rsid w:val="00DE75B2"/>
    <w:rsid w:val="00DF1525"/>
    <w:rsid w:val="00DF36EC"/>
    <w:rsid w:val="00DF419A"/>
    <w:rsid w:val="00DF59C2"/>
    <w:rsid w:val="00DF66A1"/>
    <w:rsid w:val="00DF6E13"/>
    <w:rsid w:val="00E000D5"/>
    <w:rsid w:val="00E011D3"/>
    <w:rsid w:val="00E10E0B"/>
    <w:rsid w:val="00E12757"/>
    <w:rsid w:val="00E13C4B"/>
    <w:rsid w:val="00E1757F"/>
    <w:rsid w:val="00E20B16"/>
    <w:rsid w:val="00E21C39"/>
    <w:rsid w:val="00E21F96"/>
    <w:rsid w:val="00E23296"/>
    <w:rsid w:val="00E26242"/>
    <w:rsid w:val="00E32DEE"/>
    <w:rsid w:val="00E34B05"/>
    <w:rsid w:val="00E353BB"/>
    <w:rsid w:val="00E37BC0"/>
    <w:rsid w:val="00E37C58"/>
    <w:rsid w:val="00E40AD7"/>
    <w:rsid w:val="00E4184B"/>
    <w:rsid w:val="00E46B50"/>
    <w:rsid w:val="00E47F75"/>
    <w:rsid w:val="00E50A89"/>
    <w:rsid w:val="00E5177A"/>
    <w:rsid w:val="00E5263B"/>
    <w:rsid w:val="00E639C8"/>
    <w:rsid w:val="00E66921"/>
    <w:rsid w:val="00E77F3C"/>
    <w:rsid w:val="00E81F3F"/>
    <w:rsid w:val="00E8275A"/>
    <w:rsid w:val="00E84675"/>
    <w:rsid w:val="00E8516A"/>
    <w:rsid w:val="00E8570D"/>
    <w:rsid w:val="00E97CC6"/>
    <w:rsid w:val="00EA2621"/>
    <w:rsid w:val="00EA5272"/>
    <w:rsid w:val="00EA58DF"/>
    <w:rsid w:val="00EA7A80"/>
    <w:rsid w:val="00EA7D8A"/>
    <w:rsid w:val="00EB2DC3"/>
    <w:rsid w:val="00EB5D2D"/>
    <w:rsid w:val="00EB686E"/>
    <w:rsid w:val="00EB7AD8"/>
    <w:rsid w:val="00EC0258"/>
    <w:rsid w:val="00EC2F27"/>
    <w:rsid w:val="00EC5B05"/>
    <w:rsid w:val="00ED2E61"/>
    <w:rsid w:val="00ED6571"/>
    <w:rsid w:val="00ED73AA"/>
    <w:rsid w:val="00EE020A"/>
    <w:rsid w:val="00EE03A4"/>
    <w:rsid w:val="00EE056A"/>
    <w:rsid w:val="00EE0A6C"/>
    <w:rsid w:val="00EE24E0"/>
    <w:rsid w:val="00EE34AC"/>
    <w:rsid w:val="00EE3A4A"/>
    <w:rsid w:val="00EF30D4"/>
    <w:rsid w:val="00EF366E"/>
    <w:rsid w:val="00EF3D95"/>
    <w:rsid w:val="00F00BA1"/>
    <w:rsid w:val="00F0153A"/>
    <w:rsid w:val="00F03498"/>
    <w:rsid w:val="00F051B6"/>
    <w:rsid w:val="00F05ACC"/>
    <w:rsid w:val="00F06410"/>
    <w:rsid w:val="00F06682"/>
    <w:rsid w:val="00F10399"/>
    <w:rsid w:val="00F13254"/>
    <w:rsid w:val="00F13A01"/>
    <w:rsid w:val="00F15B80"/>
    <w:rsid w:val="00F17BBD"/>
    <w:rsid w:val="00F23BBD"/>
    <w:rsid w:val="00F246E0"/>
    <w:rsid w:val="00F26FE0"/>
    <w:rsid w:val="00F3046A"/>
    <w:rsid w:val="00F324E5"/>
    <w:rsid w:val="00F36375"/>
    <w:rsid w:val="00F37226"/>
    <w:rsid w:val="00F4010A"/>
    <w:rsid w:val="00F43A89"/>
    <w:rsid w:val="00F469CD"/>
    <w:rsid w:val="00F53420"/>
    <w:rsid w:val="00F54318"/>
    <w:rsid w:val="00F5773A"/>
    <w:rsid w:val="00F62322"/>
    <w:rsid w:val="00F65C85"/>
    <w:rsid w:val="00F65FAF"/>
    <w:rsid w:val="00F66C56"/>
    <w:rsid w:val="00F677B0"/>
    <w:rsid w:val="00F702D7"/>
    <w:rsid w:val="00F7162D"/>
    <w:rsid w:val="00F73170"/>
    <w:rsid w:val="00F73C44"/>
    <w:rsid w:val="00F747B2"/>
    <w:rsid w:val="00F7557F"/>
    <w:rsid w:val="00F75B5B"/>
    <w:rsid w:val="00F81AF5"/>
    <w:rsid w:val="00F82BDE"/>
    <w:rsid w:val="00F8577C"/>
    <w:rsid w:val="00F861D6"/>
    <w:rsid w:val="00F86DFC"/>
    <w:rsid w:val="00F873FD"/>
    <w:rsid w:val="00F9011A"/>
    <w:rsid w:val="00F93C67"/>
    <w:rsid w:val="00F9405B"/>
    <w:rsid w:val="00F9650A"/>
    <w:rsid w:val="00F97C67"/>
    <w:rsid w:val="00FA1EA7"/>
    <w:rsid w:val="00FA2303"/>
    <w:rsid w:val="00FA5665"/>
    <w:rsid w:val="00FA5EF4"/>
    <w:rsid w:val="00FB00CC"/>
    <w:rsid w:val="00FB354A"/>
    <w:rsid w:val="00FB4FF6"/>
    <w:rsid w:val="00FB6415"/>
    <w:rsid w:val="00FB7BC3"/>
    <w:rsid w:val="00FC2676"/>
    <w:rsid w:val="00FC37C0"/>
    <w:rsid w:val="00FC39AB"/>
    <w:rsid w:val="00FC62F6"/>
    <w:rsid w:val="00FC6790"/>
    <w:rsid w:val="00FD097A"/>
    <w:rsid w:val="00FD1DE6"/>
    <w:rsid w:val="00FD2DCA"/>
    <w:rsid w:val="00FD4E33"/>
    <w:rsid w:val="00FE0A54"/>
    <w:rsid w:val="00FE0CE9"/>
    <w:rsid w:val="00FE317A"/>
    <w:rsid w:val="00FE5477"/>
    <w:rsid w:val="00FE68FB"/>
    <w:rsid w:val="00FE6FBF"/>
    <w:rsid w:val="00FF1097"/>
    <w:rsid w:val="00FF3484"/>
    <w:rsid w:val="00FF5024"/>
    <w:rsid w:val="00FF7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1815A4"/>
  <w15:chartTrackingRefBased/>
  <w15:docId w15:val="{36FE2FDA-914B-4506-9FCF-1364D27B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E37"/>
    <w:pPr>
      <w:spacing w:after="200" w:line="360" w:lineRule="auto"/>
      <w:jc w:val="both"/>
    </w:pPr>
    <w:rPr>
      <w:rFonts w:ascii="Arial" w:hAnsi="Arial" w:cs="Arial"/>
      <w:sz w:val="24"/>
      <w:szCs w:val="20"/>
    </w:rPr>
  </w:style>
  <w:style w:type="paragraph" w:styleId="Ttulo1">
    <w:name w:val="heading 1"/>
    <w:basedOn w:val="Normal"/>
    <w:next w:val="Normal"/>
    <w:link w:val="Ttulo1Car"/>
    <w:uiPriority w:val="9"/>
    <w:qFormat/>
    <w:rsid w:val="00F9011A"/>
    <w:pPr>
      <w:keepNext/>
      <w:spacing w:before="100" w:beforeAutospacing="1" w:after="100" w:afterAutospacing="1"/>
      <w:outlineLvl w:val="0"/>
    </w:pPr>
    <w:rPr>
      <w:rFonts w:eastAsiaTheme="majorEastAsia" w:cstheme="majorBidi"/>
      <w:b/>
      <w:bCs/>
      <w:caps/>
      <w:kern w:val="32"/>
      <w:szCs w:val="32"/>
    </w:rPr>
  </w:style>
  <w:style w:type="paragraph" w:styleId="Ttulo2">
    <w:name w:val="heading 2"/>
    <w:basedOn w:val="Normal"/>
    <w:next w:val="Normal"/>
    <w:link w:val="Ttulo2Car"/>
    <w:uiPriority w:val="9"/>
    <w:unhideWhenUsed/>
    <w:qFormat/>
    <w:rsid w:val="002C0ED6"/>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9F6E37"/>
    <w:pPr>
      <w:keepNext/>
      <w:keepLines/>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9F6E37"/>
    <w:pPr>
      <w:keepNext/>
      <w:keepLines/>
      <w:spacing w:before="40" w:after="0"/>
      <w:outlineLvl w:val="3"/>
    </w:pPr>
    <w:rPr>
      <w:rFonts w:eastAsiaTheme="majorEastAsia" w:cstheme="majorBidi"/>
      <w:b/>
      <w:iCs/>
    </w:rPr>
  </w:style>
  <w:style w:type="paragraph" w:styleId="Ttulo5">
    <w:name w:val="heading 5"/>
    <w:basedOn w:val="Normal"/>
    <w:next w:val="Normal"/>
    <w:link w:val="Ttulo5Car"/>
    <w:uiPriority w:val="9"/>
    <w:unhideWhenUsed/>
    <w:qFormat/>
    <w:rsid w:val="000B226D"/>
    <w:pPr>
      <w:keepNext/>
      <w:keepLines/>
      <w:spacing w:before="40" w:after="0"/>
      <w:outlineLvl w:val="4"/>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eastAsiaTheme="minorEastAsia"/>
      <w:b/>
      <w:spacing w:val="15"/>
      <w:lang w:val="es-ES_tradnl"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1Car">
    <w:name w:val="Título 1 Car"/>
    <w:basedOn w:val="Fuentedeprrafopredeter"/>
    <w:link w:val="Ttulo1"/>
    <w:uiPriority w:val="9"/>
    <w:rsid w:val="00F9011A"/>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2C0ED6"/>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9F6E37"/>
    <w:rPr>
      <w:rFonts w:ascii="Arial" w:eastAsiaTheme="majorEastAsia" w:hAnsi="Arial" w:cstheme="majorBidi"/>
      <w:b/>
      <w:sz w:val="24"/>
      <w:szCs w:val="24"/>
    </w:rPr>
  </w:style>
  <w:style w:type="paragraph" w:styleId="Encabezado">
    <w:name w:val="header"/>
    <w:basedOn w:val="Normal"/>
    <w:link w:val="EncabezadoCar"/>
    <w:rsid w:val="00F9011A"/>
    <w:pPr>
      <w:tabs>
        <w:tab w:val="center" w:pos="4419"/>
        <w:tab w:val="right" w:pos="8838"/>
      </w:tabs>
      <w:spacing w:after="0" w:line="240" w:lineRule="auto"/>
    </w:pPr>
  </w:style>
  <w:style w:type="character" w:customStyle="1" w:styleId="EncabezadoCar">
    <w:name w:val="Encabezado Car"/>
    <w:basedOn w:val="Fuentedeprrafopredeter"/>
    <w:link w:val="Encabezado"/>
    <w:rsid w:val="00F9011A"/>
    <w:rPr>
      <w:rFonts w:ascii="Arial" w:hAnsi="Arial" w:cs="Arial"/>
      <w:sz w:val="20"/>
      <w:szCs w:val="20"/>
    </w:rPr>
  </w:style>
  <w:style w:type="table" w:styleId="Tablaconcuadrcula">
    <w:name w:val="Table Grid"/>
    <w:basedOn w:val="Tablanormal"/>
    <w:uiPriority w:val="59"/>
    <w:rsid w:val="00F9011A"/>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9011A"/>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9011A"/>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julio,Ref,ftref,R"/>
    <w:basedOn w:val="Fuentedeprrafopredeter"/>
    <w:link w:val="4GChar"/>
    <w:uiPriority w:val="99"/>
    <w:unhideWhenUsed/>
    <w:qFormat/>
    <w:rsid w:val="00F9011A"/>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TEXTO GENERAL SENTENCIAS"/>
    <w:basedOn w:val="Normal"/>
    <w:link w:val="PrrafodelistaCar"/>
    <w:uiPriority w:val="34"/>
    <w:qFormat/>
    <w:rsid w:val="00F9011A"/>
    <w:pPr>
      <w:ind w:left="720"/>
      <w:contextualSpacing/>
    </w:pPr>
  </w:style>
  <w:style w:type="paragraph" w:styleId="Sinespaciado">
    <w:name w:val="No Spacing"/>
    <w:basedOn w:val="Normal"/>
    <w:link w:val="SinespaciadoCar"/>
    <w:uiPriority w:val="1"/>
    <w:qFormat/>
    <w:rsid w:val="00F9011A"/>
    <w:pPr>
      <w:spacing w:after="0" w:line="240" w:lineRule="auto"/>
    </w:pPr>
    <w:rPr>
      <w:rFonts w:cstheme="minorBidi"/>
      <w:sz w:val="18"/>
      <w:szCs w:val="24"/>
    </w:rPr>
  </w:style>
  <w:style w:type="character" w:customStyle="1" w:styleId="SinespaciadoCar">
    <w:name w:val="Sin espaciado Car"/>
    <w:basedOn w:val="Fuentedeprrafopredeter"/>
    <w:link w:val="Sinespaciado"/>
    <w:uiPriority w:val="1"/>
    <w:rsid w:val="00F9011A"/>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9011A"/>
    <w:pPr>
      <w:spacing w:before="100" w:beforeAutospacing="1" w:after="100" w:afterAutospacing="1" w:line="240" w:lineRule="auto"/>
    </w:pPr>
    <w:rPr>
      <w:rFonts w:ascii="Times New Roman" w:eastAsia="Times New Roman" w:hAnsi="Times New Roman"/>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9011A"/>
    <w:rPr>
      <w:rFonts w:ascii="Times New Roman" w:eastAsia="Times New Roman" w:hAnsi="Times New Roman" w:cs="Arial"/>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
    <w:link w:val="Prrafodelista"/>
    <w:uiPriority w:val="34"/>
    <w:qFormat/>
    <w:locked/>
    <w:rsid w:val="00F9011A"/>
    <w:rPr>
      <w:rFonts w:ascii="Arial" w:hAnsi="Arial" w:cs="Arial"/>
      <w:sz w:val="20"/>
      <w:szCs w:val="20"/>
    </w:rPr>
  </w:style>
  <w:style w:type="paragraph" w:styleId="Piedepgina">
    <w:name w:val="footer"/>
    <w:basedOn w:val="Normal"/>
    <w:link w:val="PiedepginaCar"/>
    <w:uiPriority w:val="99"/>
    <w:unhideWhenUsed/>
    <w:rsid w:val="00F90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11A"/>
    <w:rPr>
      <w:rFonts w:ascii="Arial" w:hAnsi="Arial" w:cs="Arial"/>
      <w:sz w:val="20"/>
      <w:szCs w:val="20"/>
    </w:rPr>
  </w:style>
  <w:style w:type="character" w:styleId="Textoennegrita">
    <w:name w:val="Strong"/>
    <w:basedOn w:val="Fuentedeprrafopredeter"/>
    <w:uiPriority w:val="22"/>
    <w:qFormat/>
    <w:rsid w:val="00F9011A"/>
    <w:rPr>
      <w:b/>
      <w:bCs/>
    </w:rPr>
  </w:style>
  <w:style w:type="paragraph" w:styleId="Textodeglobo">
    <w:name w:val="Balloon Text"/>
    <w:basedOn w:val="Normal"/>
    <w:link w:val="TextodegloboCar"/>
    <w:uiPriority w:val="99"/>
    <w:semiHidden/>
    <w:unhideWhenUsed/>
    <w:rsid w:val="00F90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11A"/>
    <w:rPr>
      <w:rFonts w:ascii="Segoe UI" w:hAnsi="Segoe UI" w:cs="Segoe UI"/>
      <w:sz w:val="18"/>
      <w:szCs w:val="18"/>
    </w:rPr>
  </w:style>
  <w:style w:type="table" w:customStyle="1" w:styleId="Tablaconcuadrcula1">
    <w:name w:val="Tabla con cuadrícula1"/>
    <w:basedOn w:val="Tablanormal"/>
    <w:next w:val="Tablaconcuadrcula"/>
    <w:uiPriority w:val="3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011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5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9011A"/>
    <w:pPr>
      <w:spacing w:after="0" w:line="240" w:lineRule="auto"/>
    </w:pPr>
  </w:style>
  <w:style w:type="character" w:customStyle="1" w:styleId="TextonotaalfinalCar">
    <w:name w:val="Texto nota al final Car"/>
    <w:basedOn w:val="Fuentedeprrafopredeter"/>
    <w:link w:val="Textonotaalfinal"/>
    <w:uiPriority w:val="99"/>
    <w:semiHidden/>
    <w:rsid w:val="00F9011A"/>
    <w:rPr>
      <w:rFonts w:ascii="Arial" w:hAnsi="Arial" w:cs="Arial"/>
      <w:sz w:val="20"/>
      <w:szCs w:val="20"/>
    </w:rPr>
  </w:style>
  <w:style w:type="character" w:styleId="Refdenotaalfinal">
    <w:name w:val="endnote reference"/>
    <w:basedOn w:val="Fuentedeprrafopredeter"/>
    <w:uiPriority w:val="99"/>
    <w:semiHidden/>
    <w:unhideWhenUsed/>
    <w:rsid w:val="00F9011A"/>
    <w:rPr>
      <w:vertAlign w:val="superscript"/>
    </w:rPr>
  </w:style>
  <w:style w:type="character" w:customStyle="1" w:styleId="apple-converted-space">
    <w:name w:val="apple-converted-space"/>
    <w:basedOn w:val="Fuentedeprrafopredeter"/>
    <w:rsid w:val="00F9011A"/>
  </w:style>
  <w:style w:type="character" w:styleId="Hipervnculo">
    <w:name w:val="Hyperlink"/>
    <w:basedOn w:val="Fuentedeprrafopredeter"/>
    <w:uiPriority w:val="99"/>
    <w:unhideWhenUsed/>
    <w:rsid w:val="00F9011A"/>
    <w:rPr>
      <w:color w:val="0563C1" w:themeColor="hyperlink"/>
      <w:u w:val="single"/>
    </w:rPr>
  </w:style>
  <w:style w:type="paragraph" w:customStyle="1" w:styleId="Pa3">
    <w:name w:val="Pa3"/>
    <w:basedOn w:val="Normal"/>
    <w:next w:val="Normal"/>
    <w:uiPriority w:val="99"/>
    <w:rsid w:val="00F9011A"/>
    <w:pPr>
      <w:autoSpaceDE w:val="0"/>
      <w:autoSpaceDN w:val="0"/>
      <w:adjustRightInd w:val="0"/>
      <w:spacing w:after="0" w:line="201" w:lineRule="atLeast"/>
    </w:pPr>
    <w:rPr>
      <w:rFonts w:ascii="Avenir Next" w:hAnsi="Avenir Next" w:cstheme="minorBidi"/>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011A"/>
    <w:pPr>
      <w:spacing w:after="0" w:line="240" w:lineRule="auto"/>
    </w:pPr>
    <w:rPr>
      <w:rFonts w:asciiTheme="minorHAnsi" w:hAnsiTheme="minorHAnsi" w:cstheme="minorBidi"/>
      <w:sz w:val="22"/>
      <w:szCs w:val="22"/>
      <w:vertAlign w:val="superscript"/>
    </w:rPr>
  </w:style>
  <w:style w:type="table" w:customStyle="1" w:styleId="Tablaconcuadrcula50">
    <w:name w:val="Tabla con cuadrícula50"/>
    <w:basedOn w:val="Tablanormal"/>
    <w:uiPriority w:val="59"/>
    <w:rsid w:val="00F9011A"/>
    <w:pPr>
      <w:spacing w:after="0" w:line="240" w:lineRule="auto"/>
    </w:pPr>
    <w:rPr>
      <w:rFonts w:ascii="Arial" w:eastAsiaTheme="minorEastAsia"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11A"/>
    <w:rPr>
      <w:sz w:val="16"/>
      <w:szCs w:val="16"/>
    </w:rPr>
  </w:style>
  <w:style w:type="paragraph" w:styleId="Textocomentario">
    <w:name w:val="annotation text"/>
    <w:basedOn w:val="Normal"/>
    <w:link w:val="TextocomentarioCar"/>
    <w:uiPriority w:val="99"/>
    <w:semiHidden/>
    <w:unhideWhenUsed/>
    <w:rsid w:val="00F9011A"/>
    <w:pPr>
      <w:spacing w:line="240" w:lineRule="auto"/>
    </w:pPr>
  </w:style>
  <w:style w:type="character" w:customStyle="1" w:styleId="TextocomentarioCar">
    <w:name w:val="Texto comentario Car"/>
    <w:basedOn w:val="Fuentedeprrafopredeter"/>
    <w:link w:val="Textocomentario"/>
    <w:uiPriority w:val="99"/>
    <w:semiHidden/>
    <w:rsid w:val="00F9011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9011A"/>
    <w:rPr>
      <w:b/>
      <w:bCs/>
    </w:rPr>
  </w:style>
  <w:style w:type="character" w:customStyle="1" w:styleId="AsuntodelcomentarioCar">
    <w:name w:val="Asunto del comentario Car"/>
    <w:basedOn w:val="TextocomentarioCar"/>
    <w:link w:val="Asuntodelcomentario"/>
    <w:uiPriority w:val="99"/>
    <w:semiHidden/>
    <w:rsid w:val="00F9011A"/>
    <w:rPr>
      <w:rFonts w:ascii="Arial" w:hAnsi="Arial" w:cs="Arial"/>
      <w:b/>
      <w:bCs/>
      <w:sz w:val="20"/>
      <w:szCs w:val="20"/>
    </w:rPr>
  </w:style>
  <w:style w:type="paragraph" w:styleId="Revisin">
    <w:name w:val="Revision"/>
    <w:hidden/>
    <w:uiPriority w:val="99"/>
    <w:semiHidden/>
    <w:rsid w:val="00F9011A"/>
    <w:pPr>
      <w:spacing w:after="0" w:line="240" w:lineRule="auto"/>
    </w:pPr>
    <w:rPr>
      <w:rFonts w:ascii="Calibri" w:eastAsia="Calibri" w:hAnsi="Calibri" w:cs="Times New Roman"/>
      <w:sz w:val="20"/>
      <w:szCs w:val="20"/>
    </w:rPr>
  </w:style>
  <w:style w:type="character" w:customStyle="1" w:styleId="lbl-encabezado-negro">
    <w:name w:val="lbl-encabezado-negro"/>
    <w:basedOn w:val="Fuentedeprrafopredeter"/>
    <w:rsid w:val="00F9011A"/>
  </w:style>
  <w:style w:type="character" w:customStyle="1" w:styleId="Mencinsinresolver1">
    <w:name w:val="Mención sin resolver1"/>
    <w:basedOn w:val="Fuentedeprrafopredeter"/>
    <w:uiPriority w:val="99"/>
    <w:semiHidden/>
    <w:unhideWhenUsed/>
    <w:rsid w:val="00F9011A"/>
    <w:rPr>
      <w:color w:val="605E5C"/>
      <w:shd w:val="clear" w:color="auto" w:fill="E1DFDD"/>
    </w:rPr>
  </w:style>
  <w:style w:type="character" w:customStyle="1" w:styleId="red">
    <w:name w:val="red"/>
    <w:basedOn w:val="Fuentedeprrafopredeter"/>
    <w:rsid w:val="00F9011A"/>
  </w:style>
  <w:style w:type="character" w:styleId="Ttulodellibro">
    <w:name w:val="Book Title"/>
    <w:basedOn w:val="Fuentedeprrafopredeter"/>
    <w:uiPriority w:val="33"/>
    <w:qFormat/>
    <w:rsid w:val="00F9011A"/>
    <w:rPr>
      <w:b/>
      <w:bCs/>
      <w:smallCaps/>
      <w:spacing w:val="5"/>
    </w:rPr>
  </w:style>
  <w:style w:type="character" w:customStyle="1" w:styleId="Mencinsinresolver2">
    <w:name w:val="Mención sin resolver2"/>
    <w:basedOn w:val="Fuentedeprrafopredeter"/>
    <w:uiPriority w:val="99"/>
    <w:semiHidden/>
    <w:unhideWhenUsed/>
    <w:rsid w:val="00F9011A"/>
    <w:rPr>
      <w:color w:val="605E5C"/>
      <w:shd w:val="clear" w:color="auto" w:fill="E1DFDD"/>
    </w:rPr>
  </w:style>
  <w:style w:type="paragraph" w:styleId="TtuloTDC">
    <w:name w:val="TOC Heading"/>
    <w:basedOn w:val="Ttulo1"/>
    <w:next w:val="Normal"/>
    <w:uiPriority w:val="39"/>
    <w:unhideWhenUsed/>
    <w:qFormat/>
    <w:rsid w:val="00F9011A"/>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1F4B76"/>
    <w:pPr>
      <w:tabs>
        <w:tab w:val="left" w:pos="284"/>
        <w:tab w:val="left" w:pos="660"/>
        <w:tab w:val="right" w:leader="dot" w:pos="8263"/>
      </w:tabs>
      <w:spacing w:after="100"/>
    </w:pPr>
  </w:style>
  <w:style w:type="paragraph" w:styleId="TDC2">
    <w:name w:val="toc 2"/>
    <w:basedOn w:val="Normal"/>
    <w:next w:val="Normal"/>
    <w:autoRedefine/>
    <w:uiPriority w:val="39"/>
    <w:unhideWhenUsed/>
    <w:rsid w:val="008A7E6C"/>
    <w:pPr>
      <w:tabs>
        <w:tab w:val="right" w:leader="dot" w:pos="8263"/>
      </w:tabs>
      <w:spacing w:after="100"/>
      <w:ind w:left="200"/>
    </w:pPr>
  </w:style>
  <w:style w:type="paragraph" w:styleId="TDC3">
    <w:name w:val="toc 3"/>
    <w:basedOn w:val="Normal"/>
    <w:next w:val="Normal"/>
    <w:autoRedefine/>
    <w:uiPriority w:val="39"/>
    <w:unhideWhenUsed/>
    <w:rsid w:val="00F9011A"/>
    <w:pPr>
      <w:spacing w:after="100"/>
      <w:ind w:left="400"/>
    </w:pPr>
  </w:style>
  <w:style w:type="paragraph" w:customStyle="1" w:styleId="PRRAFOSENTENCIA">
    <w:name w:val="PÁRRAFO SENTENCIA"/>
    <w:basedOn w:val="Normal"/>
    <w:link w:val="PRRAFOSENTENCIACar"/>
    <w:qFormat/>
    <w:rsid w:val="00F9011A"/>
    <w:pPr>
      <w:spacing w:before="100" w:beforeAutospacing="1" w:after="100" w:afterAutospacing="1"/>
    </w:pPr>
    <w:rPr>
      <w:sz w:val="28"/>
      <w:szCs w:val="26"/>
    </w:rPr>
  </w:style>
  <w:style w:type="character" w:customStyle="1" w:styleId="PRRAFOSENTENCIACar">
    <w:name w:val="PÁRRAFO SENTENCIA Car"/>
    <w:basedOn w:val="Fuentedeprrafopredeter"/>
    <w:link w:val="PRRAFOSENTENCIA"/>
    <w:rsid w:val="00F9011A"/>
    <w:rPr>
      <w:rFonts w:ascii="Arial" w:hAnsi="Arial" w:cs="Arial"/>
      <w:sz w:val="28"/>
      <w:szCs w:val="26"/>
    </w:rPr>
  </w:style>
  <w:style w:type="table" w:customStyle="1" w:styleId="Tablaconcuadrcula5">
    <w:name w:val="Tabla con cuadrícula5"/>
    <w:basedOn w:val="Tablanormal"/>
    <w:next w:val="Tablaconcuadrcula"/>
    <w:uiPriority w:val="39"/>
    <w:rsid w:val="00F90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00BA1"/>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922CEF"/>
    <w:rPr>
      <w:i/>
      <w:iCs/>
    </w:rPr>
  </w:style>
  <w:style w:type="character" w:customStyle="1" w:styleId="Ttulo4Car">
    <w:name w:val="Título 4 Car"/>
    <w:basedOn w:val="Fuentedeprrafopredeter"/>
    <w:link w:val="Ttulo4"/>
    <w:uiPriority w:val="9"/>
    <w:rsid w:val="009F6E37"/>
    <w:rPr>
      <w:rFonts w:ascii="Arial" w:eastAsiaTheme="majorEastAsia" w:hAnsi="Arial" w:cstheme="majorBidi"/>
      <w:b/>
      <w:iCs/>
      <w:sz w:val="24"/>
      <w:szCs w:val="20"/>
    </w:rPr>
  </w:style>
  <w:style w:type="character" w:customStyle="1" w:styleId="Ttulo5Car">
    <w:name w:val="Título 5 Car"/>
    <w:basedOn w:val="Fuentedeprrafopredeter"/>
    <w:link w:val="Ttulo5"/>
    <w:uiPriority w:val="9"/>
    <w:rsid w:val="000B226D"/>
    <w:rPr>
      <w:rFonts w:ascii="Arial" w:eastAsiaTheme="majorEastAsia" w:hAnsi="Arial" w:cstheme="majorBidi"/>
      <w:b/>
      <w:sz w:val="24"/>
      <w:szCs w:val="20"/>
    </w:rPr>
  </w:style>
  <w:style w:type="table" w:styleId="Tablaconcuadrcula4-nfasis3">
    <w:name w:val="Grid Table 4 Accent 3"/>
    <w:basedOn w:val="Tablanormal"/>
    <w:uiPriority w:val="49"/>
    <w:rsid w:val="0017380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Notaalpie">
    <w:name w:val="Nota al pie"/>
    <w:basedOn w:val="Sinespaciado"/>
    <w:link w:val="NotaalpieCar"/>
    <w:qFormat/>
    <w:rsid w:val="000B67A0"/>
    <w:pPr>
      <w:spacing w:before="120" w:after="120"/>
    </w:pPr>
    <w:rPr>
      <w:rFonts w:eastAsia="Calibri" w:cs="Arial"/>
      <w:sz w:val="20"/>
      <w:szCs w:val="20"/>
    </w:rPr>
  </w:style>
  <w:style w:type="character" w:customStyle="1" w:styleId="NotaalpieCar">
    <w:name w:val="Nota al pie Car"/>
    <w:basedOn w:val="Fuentedeprrafopredeter"/>
    <w:link w:val="Notaalpie"/>
    <w:rsid w:val="000B67A0"/>
    <w:rPr>
      <w:rFonts w:ascii="Arial" w:eastAsia="Calibri" w:hAnsi="Arial" w:cs="Arial"/>
      <w:sz w:val="20"/>
      <w:szCs w:val="20"/>
    </w:rPr>
  </w:style>
  <w:style w:type="paragraph" w:customStyle="1" w:styleId="texto">
    <w:name w:val="texto"/>
    <w:basedOn w:val="Normal"/>
    <w:rsid w:val="00D569A7"/>
    <w:pPr>
      <w:spacing w:after="101" w:line="216" w:lineRule="atLeast"/>
      <w:ind w:firstLine="288"/>
    </w:pPr>
    <w:rPr>
      <w:rFonts w:eastAsia="Times New Roman"/>
      <w:sz w:val="18"/>
      <w:lang w:val="en-GB" w:eastAsia="es-MX"/>
    </w:rPr>
  </w:style>
  <w:style w:type="paragraph" w:customStyle="1" w:styleId="temp">
    <w:name w:val="temp"/>
    <w:basedOn w:val="Normal"/>
    <w:rsid w:val="00E21C39"/>
    <w:pPr>
      <w:spacing w:before="100" w:beforeAutospacing="1" w:after="100" w:afterAutospacing="1" w:line="240" w:lineRule="auto"/>
      <w:jc w:val="left"/>
    </w:pPr>
    <w:rPr>
      <w:rFonts w:ascii="Times New Roman" w:eastAsia="Times New Roman" w:hAnsi="Times New Roman" w:cs="Times New Roman"/>
      <w:szCs w:val="24"/>
      <w:lang w:eastAsia="es-MX"/>
    </w:rPr>
  </w:style>
  <w:style w:type="character" w:customStyle="1" w:styleId="ng-star-inserted">
    <w:name w:val="ng-star-inserted"/>
    <w:basedOn w:val="Fuentedeprrafopredeter"/>
    <w:rsid w:val="00E2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90117">
      <w:bodyDiv w:val="1"/>
      <w:marLeft w:val="0"/>
      <w:marRight w:val="0"/>
      <w:marTop w:val="0"/>
      <w:marBottom w:val="0"/>
      <w:divBdr>
        <w:top w:val="none" w:sz="0" w:space="0" w:color="auto"/>
        <w:left w:val="none" w:sz="0" w:space="0" w:color="auto"/>
        <w:bottom w:val="none" w:sz="0" w:space="0" w:color="auto"/>
        <w:right w:val="none" w:sz="0" w:space="0" w:color="auto"/>
      </w:divBdr>
    </w:div>
    <w:div w:id="634143309">
      <w:bodyDiv w:val="1"/>
      <w:marLeft w:val="0"/>
      <w:marRight w:val="0"/>
      <w:marTop w:val="0"/>
      <w:marBottom w:val="0"/>
      <w:divBdr>
        <w:top w:val="none" w:sz="0" w:space="0" w:color="auto"/>
        <w:left w:val="none" w:sz="0" w:space="0" w:color="auto"/>
        <w:bottom w:val="none" w:sz="0" w:space="0" w:color="auto"/>
        <w:right w:val="none" w:sz="0" w:space="0" w:color="auto"/>
      </w:divBdr>
    </w:div>
    <w:div w:id="1108503863">
      <w:bodyDiv w:val="1"/>
      <w:marLeft w:val="0"/>
      <w:marRight w:val="0"/>
      <w:marTop w:val="0"/>
      <w:marBottom w:val="0"/>
      <w:divBdr>
        <w:top w:val="none" w:sz="0" w:space="0" w:color="auto"/>
        <w:left w:val="none" w:sz="0" w:space="0" w:color="auto"/>
        <w:bottom w:val="none" w:sz="0" w:space="0" w:color="auto"/>
        <w:right w:val="none" w:sz="0" w:space="0" w:color="auto"/>
      </w:divBdr>
      <w:divsChild>
        <w:div w:id="1187330384">
          <w:marLeft w:val="0"/>
          <w:marRight w:val="0"/>
          <w:marTop w:val="0"/>
          <w:marBottom w:val="0"/>
          <w:divBdr>
            <w:top w:val="none" w:sz="0" w:space="0" w:color="auto"/>
            <w:left w:val="none" w:sz="0" w:space="0" w:color="auto"/>
            <w:bottom w:val="none" w:sz="0" w:space="0" w:color="auto"/>
            <w:right w:val="none" w:sz="0" w:space="0" w:color="auto"/>
          </w:divBdr>
        </w:div>
      </w:divsChild>
    </w:div>
    <w:div w:id="1375350603">
      <w:bodyDiv w:val="1"/>
      <w:marLeft w:val="0"/>
      <w:marRight w:val="0"/>
      <w:marTop w:val="0"/>
      <w:marBottom w:val="0"/>
      <w:divBdr>
        <w:top w:val="none" w:sz="0" w:space="0" w:color="auto"/>
        <w:left w:val="none" w:sz="0" w:space="0" w:color="auto"/>
        <w:bottom w:val="none" w:sz="0" w:space="0" w:color="auto"/>
        <w:right w:val="none" w:sz="0" w:space="0" w:color="auto"/>
      </w:divBdr>
    </w:div>
    <w:div w:id="1435439982">
      <w:bodyDiv w:val="1"/>
      <w:marLeft w:val="0"/>
      <w:marRight w:val="0"/>
      <w:marTop w:val="0"/>
      <w:marBottom w:val="0"/>
      <w:divBdr>
        <w:top w:val="none" w:sz="0" w:space="0" w:color="auto"/>
        <w:left w:val="none" w:sz="0" w:space="0" w:color="auto"/>
        <w:bottom w:val="none" w:sz="0" w:space="0" w:color="auto"/>
        <w:right w:val="none" w:sz="0" w:space="0" w:color="auto"/>
      </w:divBdr>
    </w:div>
    <w:div w:id="1477993386">
      <w:bodyDiv w:val="1"/>
      <w:marLeft w:val="0"/>
      <w:marRight w:val="0"/>
      <w:marTop w:val="0"/>
      <w:marBottom w:val="0"/>
      <w:divBdr>
        <w:top w:val="none" w:sz="0" w:space="0" w:color="auto"/>
        <w:left w:val="none" w:sz="0" w:space="0" w:color="auto"/>
        <w:bottom w:val="none" w:sz="0" w:space="0" w:color="auto"/>
        <w:right w:val="none" w:sz="0" w:space="0" w:color="auto"/>
      </w:divBdr>
    </w:div>
    <w:div w:id="1541938550">
      <w:bodyDiv w:val="1"/>
      <w:marLeft w:val="0"/>
      <w:marRight w:val="0"/>
      <w:marTop w:val="0"/>
      <w:marBottom w:val="0"/>
      <w:divBdr>
        <w:top w:val="none" w:sz="0" w:space="0" w:color="auto"/>
        <w:left w:val="none" w:sz="0" w:space="0" w:color="auto"/>
        <w:bottom w:val="none" w:sz="0" w:space="0" w:color="auto"/>
        <w:right w:val="none" w:sz="0" w:space="0" w:color="auto"/>
      </w:divBdr>
    </w:div>
    <w:div w:id="1729067067">
      <w:bodyDiv w:val="1"/>
      <w:marLeft w:val="0"/>
      <w:marRight w:val="0"/>
      <w:marTop w:val="0"/>
      <w:marBottom w:val="0"/>
      <w:divBdr>
        <w:top w:val="none" w:sz="0" w:space="0" w:color="auto"/>
        <w:left w:val="none" w:sz="0" w:space="0" w:color="auto"/>
        <w:bottom w:val="none" w:sz="0" w:space="0" w:color="auto"/>
        <w:right w:val="none" w:sz="0" w:space="0" w:color="auto"/>
      </w:divBdr>
    </w:div>
    <w:div w:id="1833182708">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10D98-1A96-454D-B479-11529B67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8398</Words>
  <Characters>46193</Characters>
  <Application>Microsoft Office Word</Application>
  <DocSecurity>0</DocSecurity>
  <Lines>384</Lines>
  <Paragraphs>108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karen.gila@te.gob.mx</dc:creator>
  <cp:keywords/>
  <dc:description/>
  <cp:lastModifiedBy>Jorge Alberto Saenz Marines</cp:lastModifiedBy>
  <cp:revision>2</cp:revision>
  <cp:lastPrinted>2021-02-26T20:46:00Z</cp:lastPrinted>
  <dcterms:created xsi:type="dcterms:W3CDTF">2021-02-28T22:51:00Z</dcterms:created>
  <dcterms:modified xsi:type="dcterms:W3CDTF">2021-02-28T22:51:00Z</dcterms:modified>
</cp:coreProperties>
</file>