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right" w:tblpY="-705"/>
        <w:tblW w:w="0" w:type="auto"/>
        <w:tblLook w:val="01E0" w:firstRow="1" w:lastRow="1" w:firstColumn="1" w:lastColumn="1" w:noHBand="0" w:noVBand="0"/>
      </w:tblPr>
      <w:tblGrid>
        <w:gridCol w:w="5291"/>
      </w:tblGrid>
      <w:tr w:rsidR="00A37003" w:rsidRPr="00580811" w14:paraId="3B711967" w14:textId="77777777" w:rsidTr="00E60F29">
        <w:trPr>
          <w:trHeight w:val="4528"/>
        </w:trPr>
        <w:tc>
          <w:tcPr>
            <w:tcW w:w="5291" w:type="dxa"/>
          </w:tcPr>
          <w:p w14:paraId="0403A422" w14:textId="020D9369" w:rsidR="00A37003" w:rsidRPr="00580811" w:rsidRDefault="00A37003" w:rsidP="000F385B">
            <w:pPr>
              <w:pStyle w:val="Sinespaciado"/>
              <w:jc w:val="center"/>
              <w:rPr>
                <w:rFonts w:eastAsia="Times New Roman" w:cs="Arial"/>
                <w:b/>
                <w:sz w:val="24"/>
                <w:szCs w:val="24"/>
                <w:lang w:val="es-ES" w:eastAsia="es-ES"/>
              </w:rPr>
            </w:pPr>
            <w:r w:rsidRPr="00580811">
              <w:rPr>
                <w:rFonts w:cs="Arial"/>
                <w:b/>
                <w:sz w:val="24"/>
                <w:szCs w:val="24"/>
                <w:lang w:val="es-ES" w:eastAsia="es-ES"/>
              </w:rPr>
              <w:t xml:space="preserve">ACUERDO PLENARIO DE </w:t>
            </w:r>
            <w:r w:rsidRPr="00580811">
              <w:rPr>
                <w:rFonts w:eastAsia="Times New Roman" w:cs="Arial"/>
                <w:b/>
                <w:sz w:val="24"/>
                <w:szCs w:val="24"/>
                <w:lang w:val="es-ES" w:eastAsia="es-ES"/>
              </w:rPr>
              <w:t>CUMPLIMIENTO</w:t>
            </w:r>
          </w:p>
          <w:p w14:paraId="6F4C204C" w14:textId="77777777" w:rsidR="000F385B" w:rsidRPr="00580811" w:rsidRDefault="000F385B" w:rsidP="000F385B">
            <w:pPr>
              <w:pStyle w:val="Sinespaciado"/>
              <w:rPr>
                <w:rFonts w:eastAsia="Times New Roman" w:cs="Arial"/>
                <w:b/>
                <w:sz w:val="24"/>
                <w:szCs w:val="24"/>
                <w:lang w:val="es-ES" w:eastAsia="es-ES"/>
              </w:rPr>
            </w:pPr>
          </w:p>
          <w:p w14:paraId="4C277037" w14:textId="77777777" w:rsidR="00C02A37" w:rsidRPr="005F28C3" w:rsidRDefault="00C02A37" w:rsidP="00C02A37">
            <w:pPr>
              <w:spacing w:after="0" w:line="240" w:lineRule="auto"/>
              <w:jc w:val="both"/>
              <w:rPr>
                <w:rFonts w:ascii="Arial" w:eastAsia="Calibri" w:hAnsi="Arial" w:cs="Arial"/>
                <w:b/>
                <w:sz w:val="24"/>
                <w:szCs w:val="24"/>
              </w:rPr>
            </w:pPr>
            <w:r w:rsidRPr="005F28C3">
              <w:rPr>
                <w:rFonts w:ascii="Arial" w:eastAsia="Calibri" w:hAnsi="Arial" w:cs="Arial"/>
                <w:b/>
                <w:sz w:val="24"/>
                <w:szCs w:val="24"/>
              </w:rPr>
              <w:t>JUICIO DE REVISIÓN CONSTITUCIONAL ELECTORAL</w:t>
            </w:r>
          </w:p>
          <w:p w14:paraId="626FDBB1" w14:textId="77777777" w:rsidR="00A94F85" w:rsidRPr="00580811" w:rsidRDefault="00A94F85" w:rsidP="00A94F85">
            <w:pPr>
              <w:spacing w:after="0" w:line="240" w:lineRule="auto"/>
              <w:jc w:val="both"/>
              <w:rPr>
                <w:rFonts w:ascii="Arial" w:eastAsia="Times New Roman" w:hAnsi="Arial" w:cs="Arial"/>
                <w:b/>
                <w:sz w:val="24"/>
                <w:szCs w:val="24"/>
                <w:lang w:val="es-ES" w:eastAsia="es-ES"/>
              </w:rPr>
            </w:pPr>
          </w:p>
          <w:p w14:paraId="08E36F83" w14:textId="205C063E" w:rsidR="00AB4B71" w:rsidRDefault="00AB4B71" w:rsidP="00AB4B71">
            <w:pPr>
              <w:spacing w:after="0" w:line="240" w:lineRule="auto"/>
              <w:jc w:val="both"/>
              <w:rPr>
                <w:rFonts w:ascii="Arial" w:hAnsi="Arial" w:cs="Arial"/>
                <w:sz w:val="24"/>
                <w:szCs w:val="24"/>
              </w:rPr>
            </w:pPr>
            <w:r w:rsidRPr="006C549A">
              <w:rPr>
                <w:rFonts w:ascii="Arial" w:hAnsi="Arial" w:cs="Arial"/>
                <w:b/>
                <w:sz w:val="24"/>
                <w:szCs w:val="24"/>
              </w:rPr>
              <w:t>EXPEDIENTE:</w:t>
            </w:r>
            <w:r w:rsidRPr="006C549A">
              <w:rPr>
                <w:rFonts w:ascii="Arial" w:hAnsi="Arial" w:cs="Arial"/>
                <w:sz w:val="24"/>
                <w:szCs w:val="24"/>
              </w:rPr>
              <w:t xml:space="preserve"> SM-JRC-51/2021 </w:t>
            </w:r>
          </w:p>
          <w:p w14:paraId="18399F3A" w14:textId="77777777" w:rsidR="00AB4B71" w:rsidRPr="006C549A" w:rsidRDefault="00AB4B71" w:rsidP="00AB4B71">
            <w:pPr>
              <w:spacing w:before="100" w:beforeAutospacing="1" w:after="100" w:afterAutospacing="1" w:line="240" w:lineRule="auto"/>
              <w:jc w:val="both"/>
              <w:rPr>
                <w:rFonts w:ascii="Arial" w:hAnsi="Arial" w:cs="Arial"/>
                <w:bCs/>
                <w:sz w:val="24"/>
                <w:szCs w:val="24"/>
              </w:rPr>
            </w:pPr>
            <w:r w:rsidRPr="006C549A">
              <w:rPr>
                <w:rFonts w:ascii="Arial" w:hAnsi="Arial" w:cs="Arial"/>
                <w:b/>
                <w:sz w:val="24"/>
                <w:szCs w:val="24"/>
              </w:rPr>
              <w:t xml:space="preserve">ACTOR: </w:t>
            </w:r>
            <w:r w:rsidRPr="006C549A">
              <w:rPr>
                <w:rFonts w:ascii="Arial" w:hAnsi="Arial" w:cs="Arial"/>
                <w:bCs/>
                <w:sz w:val="24"/>
                <w:szCs w:val="24"/>
              </w:rPr>
              <w:t>PARTIDO ENCUENTRO SOLIDARIO</w:t>
            </w:r>
          </w:p>
          <w:p w14:paraId="3B6503CE" w14:textId="77777777" w:rsidR="00573900" w:rsidRDefault="00AB4B71" w:rsidP="00AB4B71">
            <w:pPr>
              <w:spacing w:after="0" w:line="240" w:lineRule="auto"/>
              <w:jc w:val="both"/>
              <w:rPr>
                <w:rFonts w:ascii="Arial" w:hAnsi="Arial" w:cs="Arial"/>
                <w:color w:val="000000"/>
                <w:sz w:val="24"/>
                <w:szCs w:val="24"/>
                <w:lang w:eastAsia="es-419"/>
              </w:rPr>
            </w:pPr>
            <w:r w:rsidRPr="006C549A">
              <w:rPr>
                <w:rFonts w:ascii="Arial" w:hAnsi="Arial" w:cs="Arial"/>
                <w:b/>
                <w:bCs/>
                <w:sz w:val="24"/>
                <w:szCs w:val="24"/>
              </w:rPr>
              <w:t>RESPONSABLE:</w:t>
            </w:r>
            <w:r w:rsidRPr="006C549A">
              <w:rPr>
                <w:rFonts w:ascii="Arial" w:hAnsi="Arial" w:cs="Arial"/>
                <w:bCs/>
                <w:sz w:val="24"/>
                <w:szCs w:val="24"/>
              </w:rPr>
              <w:t xml:space="preserve"> </w:t>
            </w:r>
            <w:r w:rsidRPr="00485DAF">
              <w:rPr>
                <w:rFonts w:ascii="Arial" w:hAnsi="Arial" w:cs="Arial"/>
                <w:color w:val="000000"/>
                <w:sz w:val="24"/>
                <w:szCs w:val="24"/>
                <w:lang w:eastAsia="es-419"/>
              </w:rPr>
              <w:t>CONSEJO GENERAL DEL INSTITUTO ELECTORAL DEL ESTADO DE GUANAJUATO</w:t>
            </w:r>
          </w:p>
          <w:p w14:paraId="424A2275" w14:textId="0EED29B0" w:rsidR="0066350C" w:rsidRDefault="00AB4B71" w:rsidP="00AB4B71">
            <w:pPr>
              <w:spacing w:after="0" w:line="240" w:lineRule="auto"/>
              <w:jc w:val="both"/>
              <w:rPr>
                <w:rFonts w:ascii="Arial" w:eastAsia="Times New Roman" w:hAnsi="Arial" w:cs="Arial"/>
                <w:sz w:val="24"/>
                <w:szCs w:val="24"/>
                <w:lang w:val="es-ES" w:eastAsia="es-ES"/>
              </w:rPr>
            </w:pPr>
            <w:r w:rsidRPr="00580811">
              <w:rPr>
                <w:rFonts w:ascii="Arial" w:eastAsia="Times New Roman" w:hAnsi="Arial" w:cs="Arial"/>
                <w:sz w:val="24"/>
                <w:szCs w:val="24"/>
                <w:lang w:val="es-ES" w:eastAsia="es-ES"/>
              </w:rPr>
              <w:t xml:space="preserve"> </w:t>
            </w:r>
          </w:p>
          <w:p w14:paraId="155C6491" w14:textId="2D4FB886" w:rsidR="00AB4B71" w:rsidRPr="00573900" w:rsidRDefault="00573900" w:rsidP="00573900">
            <w:pPr>
              <w:jc w:val="both"/>
              <w:rPr>
                <w:rFonts w:ascii="Arial" w:eastAsia="Times New Roman" w:hAnsi="Arial" w:cs="Arial"/>
                <w:sz w:val="24"/>
                <w:szCs w:val="24"/>
              </w:rPr>
            </w:pPr>
            <w:r>
              <w:rPr>
                <w:rFonts w:ascii="Arial" w:hAnsi="Arial" w:cs="Arial"/>
                <w:b/>
              </w:rPr>
              <w:t>MAGISTRADO PONENTE:</w:t>
            </w:r>
            <w:r>
              <w:rPr>
                <w:rFonts w:ascii="Arial" w:hAnsi="Arial" w:cs="Arial"/>
              </w:rPr>
              <w:t xml:space="preserve"> YAIRSINIO DAVID GARCÍA ORTIZ</w:t>
            </w:r>
          </w:p>
          <w:p w14:paraId="1153159E" w14:textId="05BBC915" w:rsidR="002D050C" w:rsidRPr="00580811" w:rsidRDefault="00141DD6" w:rsidP="00E60F29">
            <w:pPr>
              <w:spacing w:after="0" w:line="240" w:lineRule="auto"/>
              <w:jc w:val="both"/>
              <w:rPr>
                <w:rFonts w:ascii="Arial" w:hAnsi="Arial" w:cs="Arial"/>
                <w:sz w:val="24"/>
                <w:szCs w:val="24"/>
              </w:rPr>
            </w:pPr>
            <w:r w:rsidRPr="00580811">
              <w:rPr>
                <w:rFonts w:ascii="Arial" w:eastAsia="Times New Roman" w:hAnsi="Arial" w:cs="Arial"/>
                <w:b/>
                <w:sz w:val="24"/>
                <w:szCs w:val="24"/>
                <w:lang w:val="es-ES" w:eastAsia="es-ES"/>
              </w:rPr>
              <w:t>SECRETARI</w:t>
            </w:r>
            <w:r w:rsidR="00AB4B71">
              <w:rPr>
                <w:rFonts w:ascii="Arial" w:eastAsia="Times New Roman" w:hAnsi="Arial" w:cs="Arial"/>
                <w:b/>
                <w:sz w:val="24"/>
                <w:szCs w:val="24"/>
                <w:lang w:val="es-ES" w:eastAsia="es-ES"/>
              </w:rPr>
              <w:t>O</w:t>
            </w:r>
            <w:r w:rsidRPr="00580811">
              <w:rPr>
                <w:rFonts w:ascii="Arial" w:eastAsia="Times New Roman" w:hAnsi="Arial" w:cs="Arial"/>
                <w:b/>
                <w:sz w:val="24"/>
                <w:szCs w:val="24"/>
                <w:lang w:val="es-ES" w:eastAsia="es-ES"/>
              </w:rPr>
              <w:t xml:space="preserve">: </w:t>
            </w:r>
            <w:r w:rsidR="00AB4B71">
              <w:rPr>
                <w:rFonts w:ascii="Arial" w:eastAsia="Times New Roman" w:hAnsi="Arial" w:cs="Arial"/>
                <w:sz w:val="24"/>
                <w:szCs w:val="24"/>
                <w:lang w:val="es-ES" w:eastAsia="es-ES"/>
              </w:rPr>
              <w:t>HOMERO TREVIÑO LANDÍN</w:t>
            </w:r>
          </w:p>
        </w:tc>
      </w:tr>
    </w:tbl>
    <w:p w14:paraId="7CE8576F" w14:textId="77777777" w:rsidR="00460AB1" w:rsidRPr="00580811" w:rsidRDefault="00460AB1" w:rsidP="00F21C08">
      <w:pPr>
        <w:tabs>
          <w:tab w:val="left" w:pos="2254"/>
        </w:tabs>
        <w:spacing w:after="0" w:line="240" w:lineRule="auto"/>
        <w:jc w:val="both"/>
        <w:rPr>
          <w:rFonts w:ascii="Arial" w:eastAsia="Times New Roman" w:hAnsi="Arial" w:cs="Arial"/>
          <w:sz w:val="24"/>
          <w:szCs w:val="24"/>
          <w:lang w:val="es-ES" w:eastAsia="es-ES"/>
        </w:rPr>
      </w:pPr>
    </w:p>
    <w:p w14:paraId="786F476A" w14:textId="77777777" w:rsidR="009011EA" w:rsidRPr="00580811" w:rsidRDefault="009011EA" w:rsidP="009011EA">
      <w:pPr>
        <w:tabs>
          <w:tab w:val="left" w:pos="2254"/>
        </w:tabs>
        <w:spacing w:after="0" w:line="360" w:lineRule="auto"/>
        <w:jc w:val="both"/>
        <w:rPr>
          <w:rFonts w:ascii="Arial" w:eastAsia="Times New Roman" w:hAnsi="Arial" w:cs="Arial"/>
          <w:sz w:val="24"/>
          <w:szCs w:val="24"/>
          <w:lang w:val="es-ES" w:eastAsia="es-ES"/>
        </w:rPr>
      </w:pPr>
    </w:p>
    <w:p w14:paraId="6013A4B8" w14:textId="77777777" w:rsidR="009011EA" w:rsidRPr="00580811" w:rsidRDefault="009011EA" w:rsidP="009011EA">
      <w:pPr>
        <w:tabs>
          <w:tab w:val="left" w:pos="2254"/>
        </w:tabs>
        <w:spacing w:after="0" w:line="360" w:lineRule="auto"/>
        <w:jc w:val="both"/>
        <w:rPr>
          <w:rFonts w:ascii="Arial" w:eastAsia="Times New Roman" w:hAnsi="Arial" w:cs="Arial"/>
          <w:sz w:val="24"/>
          <w:szCs w:val="24"/>
          <w:lang w:val="es-ES" w:eastAsia="es-ES"/>
        </w:rPr>
      </w:pPr>
    </w:p>
    <w:p w14:paraId="6CA30061" w14:textId="43AEC4AA" w:rsidR="009011EA" w:rsidRPr="00580811" w:rsidRDefault="009011EA" w:rsidP="009011EA">
      <w:pPr>
        <w:tabs>
          <w:tab w:val="left" w:pos="2254"/>
        </w:tabs>
        <w:spacing w:after="0" w:line="360" w:lineRule="auto"/>
        <w:jc w:val="both"/>
        <w:rPr>
          <w:rFonts w:ascii="Arial" w:eastAsia="Times New Roman" w:hAnsi="Arial" w:cs="Arial"/>
          <w:sz w:val="24"/>
          <w:szCs w:val="24"/>
          <w:lang w:val="es-ES" w:eastAsia="es-ES"/>
        </w:rPr>
      </w:pPr>
    </w:p>
    <w:p w14:paraId="44528BC3" w14:textId="232AFF64" w:rsidR="009011EA" w:rsidRPr="00580811" w:rsidRDefault="009011EA" w:rsidP="009011EA">
      <w:pPr>
        <w:tabs>
          <w:tab w:val="left" w:pos="2254"/>
        </w:tabs>
        <w:spacing w:after="0" w:line="360" w:lineRule="auto"/>
        <w:jc w:val="both"/>
        <w:rPr>
          <w:rFonts w:ascii="Arial" w:eastAsia="Times New Roman" w:hAnsi="Arial" w:cs="Arial"/>
          <w:sz w:val="24"/>
          <w:szCs w:val="24"/>
          <w:lang w:val="es-ES" w:eastAsia="es-ES"/>
        </w:rPr>
      </w:pPr>
    </w:p>
    <w:p w14:paraId="2DC8A1DD" w14:textId="77777777" w:rsidR="009011EA" w:rsidRPr="00580811" w:rsidRDefault="009011EA" w:rsidP="009011EA">
      <w:pPr>
        <w:tabs>
          <w:tab w:val="left" w:pos="2254"/>
        </w:tabs>
        <w:spacing w:after="0" w:line="360" w:lineRule="auto"/>
        <w:jc w:val="both"/>
        <w:rPr>
          <w:rFonts w:ascii="Arial" w:eastAsia="Times New Roman" w:hAnsi="Arial" w:cs="Arial"/>
          <w:sz w:val="24"/>
          <w:szCs w:val="24"/>
          <w:lang w:val="es-ES" w:eastAsia="es-ES"/>
        </w:rPr>
      </w:pPr>
    </w:p>
    <w:p w14:paraId="04F675F4" w14:textId="77777777" w:rsidR="009011EA" w:rsidRPr="00580811" w:rsidRDefault="009011EA" w:rsidP="009011EA">
      <w:pPr>
        <w:tabs>
          <w:tab w:val="left" w:pos="2254"/>
        </w:tabs>
        <w:spacing w:after="0" w:line="360" w:lineRule="auto"/>
        <w:jc w:val="both"/>
        <w:rPr>
          <w:rFonts w:ascii="Arial" w:eastAsia="Times New Roman" w:hAnsi="Arial" w:cs="Arial"/>
          <w:sz w:val="24"/>
          <w:szCs w:val="24"/>
          <w:lang w:val="es-ES" w:eastAsia="es-ES"/>
        </w:rPr>
      </w:pPr>
    </w:p>
    <w:p w14:paraId="7E17BCDF" w14:textId="57AD4534" w:rsidR="009011EA" w:rsidRPr="00580811" w:rsidRDefault="009011EA" w:rsidP="009011EA">
      <w:pPr>
        <w:tabs>
          <w:tab w:val="left" w:pos="2254"/>
        </w:tabs>
        <w:spacing w:after="0" w:line="360" w:lineRule="auto"/>
        <w:jc w:val="both"/>
        <w:rPr>
          <w:rFonts w:ascii="Arial" w:eastAsia="Times New Roman" w:hAnsi="Arial" w:cs="Arial"/>
          <w:sz w:val="24"/>
          <w:szCs w:val="24"/>
          <w:lang w:val="es-ES" w:eastAsia="es-ES"/>
        </w:rPr>
      </w:pPr>
    </w:p>
    <w:p w14:paraId="2D44B43C" w14:textId="3FC31B31" w:rsidR="000F385B" w:rsidRPr="00580811" w:rsidRDefault="000F385B" w:rsidP="009011EA">
      <w:pPr>
        <w:tabs>
          <w:tab w:val="left" w:pos="2254"/>
        </w:tabs>
        <w:spacing w:after="0" w:line="360" w:lineRule="auto"/>
        <w:jc w:val="both"/>
        <w:rPr>
          <w:rFonts w:ascii="Arial" w:eastAsia="Times New Roman" w:hAnsi="Arial" w:cs="Arial"/>
          <w:sz w:val="24"/>
          <w:szCs w:val="24"/>
          <w:lang w:val="es-ES" w:eastAsia="es-ES"/>
        </w:rPr>
      </w:pPr>
    </w:p>
    <w:p w14:paraId="3AF705E3" w14:textId="31A99C33" w:rsidR="000F385B" w:rsidRPr="00580811" w:rsidRDefault="000F385B" w:rsidP="009011EA">
      <w:pPr>
        <w:tabs>
          <w:tab w:val="left" w:pos="2254"/>
        </w:tabs>
        <w:spacing w:after="0" w:line="360" w:lineRule="auto"/>
        <w:jc w:val="both"/>
        <w:rPr>
          <w:rFonts w:ascii="Arial" w:eastAsia="Times New Roman" w:hAnsi="Arial" w:cs="Arial"/>
          <w:sz w:val="24"/>
          <w:szCs w:val="24"/>
          <w:lang w:val="es-ES" w:eastAsia="es-ES"/>
        </w:rPr>
      </w:pPr>
    </w:p>
    <w:p w14:paraId="0DE6847F" w14:textId="77777777" w:rsidR="00573900" w:rsidRDefault="00573900" w:rsidP="00803989">
      <w:pPr>
        <w:spacing w:after="100" w:afterAutospacing="1" w:line="360" w:lineRule="auto"/>
        <w:jc w:val="both"/>
        <w:rPr>
          <w:rFonts w:ascii="Arial" w:eastAsia="Times New Roman" w:hAnsi="Arial" w:cs="Arial"/>
          <w:sz w:val="24"/>
          <w:szCs w:val="24"/>
          <w:lang w:val="es-ES" w:eastAsia="es-ES"/>
        </w:rPr>
      </w:pPr>
    </w:p>
    <w:p w14:paraId="3C9766C0" w14:textId="08E0245B" w:rsidR="009F4A01" w:rsidRPr="00AE3A78" w:rsidRDefault="00A37003" w:rsidP="00803989">
      <w:pPr>
        <w:spacing w:after="100" w:afterAutospacing="1" w:line="360" w:lineRule="auto"/>
        <w:jc w:val="both"/>
        <w:rPr>
          <w:rFonts w:ascii="Arial" w:hAnsi="Arial" w:cs="Arial"/>
          <w:color w:val="000000" w:themeColor="text1"/>
          <w:sz w:val="24"/>
          <w:szCs w:val="24"/>
        </w:rPr>
      </w:pPr>
      <w:r w:rsidRPr="00580811">
        <w:rPr>
          <w:rFonts w:ascii="Arial" w:eastAsia="Times New Roman" w:hAnsi="Arial" w:cs="Arial"/>
          <w:sz w:val="24"/>
          <w:szCs w:val="24"/>
          <w:lang w:val="es-ES" w:eastAsia="es-ES"/>
        </w:rPr>
        <w:t>Monterrey</w:t>
      </w:r>
      <w:r w:rsidRPr="00AE3A78">
        <w:rPr>
          <w:rFonts w:ascii="Arial" w:eastAsia="Times New Roman" w:hAnsi="Arial" w:cs="Arial"/>
          <w:sz w:val="24"/>
          <w:szCs w:val="24"/>
          <w:lang w:val="es-ES" w:eastAsia="es-ES"/>
        </w:rPr>
        <w:t xml:space="preserve">, Nuevo León, </w:t>
      </w:r>
      <w:r w:rsidR="00701D9F" w:rsidRPr="00AE3A78">
        <w:rPr>
          <w:rFonts w:ascii="Arial" w:eastAsia="Times New Roman" w:hAnsi="Arial" w:cs="Arial"/>
          <w:sz w:val="24"/>
          <w:szCs w:val="24"/>
          <w:lang w:val="es-ES" w:eastAsia="es-ES"/>
        </w:rPr>
        <w:t xml:space="preserve">a </w:t>
      </w:r>
      <w:r w:rsidR="009523F9">
        <w:rPr>
          <w:rFonts w:ascii="Arial" w:eastAsia="Times New Roman" w:hAnsi="Arial" w:cs="Arial"/>
          <w:sz w:val="24"/>
          <w:szCs w:val="24"/>
          <w:lang w:val="es-ES" w:eastAsia="es-ES"/>
        </w:rPr>
        <w:t>dieciocho</w:t>
      </w:r>
      <w:r w:rsidR="006C10D5" w:rsidRPr="00AE3A78">
        <w:rPr>
          <w:rFonts w:ascii="Arial" w:eastAsia="Times New Roman" w:hAnsi="Arial" w:cs="Arial"/>
          <w:sz w:val="24"/>
          <w:szCs w:val="24"/>
          <w:lang w:val="es-ES" w:eastAsia="es-ES"/>
        </w:rPr>
        <w:t xml:space="preserve"> de </w:t>
      </w:r>
      <w:r w:rsidR="00AE3A78">
        <w:rPr>
          <w:rFonts w:ascii="Arial" w:eastAsia="Times New Roman" w:hAnsi="Arial" w:cs="Arial"/>
          <w:sz w:val="24"/>
          <w:szCs w:val="24"/>
          <w:lang w:val="es-ES" w:eastAsia="es-ES"/>
        </w:rPr>
        <w:t>mayo</w:t>
      </w:r>
      <w:r w:rsidR="006C10D5" w:rsidRPr="00AE3A78">
        <w:rPr>
          <w:rFonts w:ascii="Arial" w:eastAsia="Times New Roman" w:hAnsi="Arial" w:cs="Arial"/>
          <w:sz w:val="24"/>
          <w:szCs w:val="24"/>
          <w:lang w:val="es-ES" w:eastAsia="es-ES"/>
        </w:rPr>
        <w:t xml:space="preserve"> de dos mil veintiuno</w:t>
      </w:r>
      <w:r w:rsidRPr="00AE3A78">
        <w:rPr>
          <w:rFonts w:ascii="Arial" w:eastAsia="Times New Roman" w:hAnsi="Arial" w:cs="Arial"/>
          <w:sz w:val="24"/>
          <w:szCs w:val="24"/>
          <w:lang w:val="es-ES" w:eastAsia="es-ES"/>
        </w:rPr>
        <w:t>.</w:t>
      </w:r>
    </w:p>
    <w:p w14:paraId="70853E39" w14:textId="236ED3D9" w:rsidR="00803989" w:rsidRPr="00AE3A78" w:rsidRDefault="0076482B" w:rsidP="00803989">
      <w:pPr>
        <w:spacing w:after="100" w:afterAutospacing="1" w:line="360" w:lineRule="auto"/>
        <w:jc w:val="both"/>
        <w:rPr>
          <w:rFonts w:ascii="Arial" w:hAnsi="Arial" w:cs="Arial"/>
          <w:color w:val="000000" w:themeColor="text1"/>
          <w:sz w:val="24"/>
          <w:szCs w:val="24"/>
        </w:rPr>
      </w:pPr>
      <w:r w:rsidRPr="00AE3A78">
        <w:rPr>
          <w:rFonts w:ascii="Arial" w:eastAsia="Times New Roman" w:hAnsi="Arial" w:cs="Arial"/>
          <w:b/>
          <w:sz w:val="24"/>
          <w:szCs w:val="24"/>
          <w:lang w:val="es-ES" w:eastAsia="es-ES"/>
        </w:rPr>
        <w:t>I.</w:t>
      </w:r>
      <w:r w:rsidR="00803989" w:rsidRPr="00AE3A78">
        <w:rPr>
          <w:rFonts w:ascii="Arial" w:eastAsia="Times New Roman" w:hAnsi="Arial" w:cs="Arial"/>
          <w:b/>
          <w:sz w:val="24"/>
          <w:szCs w:val="24"/>
          <w:lang w:val="es-ES" w:eastAsia="es-ES"/>
        </w:rPr>
        <w:t xml:space="preserve"> </w:t>
      </w:r>
      <w:r w:rsidR="006C10D5" w:rsidRPr="00AE3A78">
        <w:rPr>
          <w:rFonts w:ascii="Arial" w:eastAsia="Times New Roman" w:hAnsi="Arial" w:cs="Arial"/>
          <w:b/>
          <w:sz w:val="24"/>
          <w:szCs w:val="24"/>
          <w:lang w:val="es-ES" w:eastAsia="es-ES"/>
        </w:rPr>
        <w:t>Acuerdo plenario de reencauzamiento</w:t>
      </w:r>
      <w:r w:rsidRPr="00AE3A78">
        <w:rPr>
          <w:rFonts w:ascii="Arial" w:eastAsia="Times New Roman" w:hAnsi="Arial" w:cs="Arial"/>
          <w:b/>
          <w:sz w:val="24"/>
          <w:szCs w:val="24"/>
          <w:lang w:val="es-ES" w:eastAsia="es-ES"/>
        </w:rPr>
        <w:t>.</w:t>
      </w:r>
      <w:r w:rsidRPr="00AE3A78">
        <w:rPr>
          <w:rFonts w:ascii="Arial" w:eastAsia="Times New Roman" w:hAnsi="Arial" w:cs="Arial"/>
          <w:sz w:val="24"/>
          <w:szCs w:val="24"/>
          <w:lang w:val="es-ES" w:eastAsia="es-ES"/>
        </w:rPr>
        <w:t xml:space="preserve"> </w:t>
      </w:r>
      <w:r w:rsidR="00803989" w:rsidRPr="00AE3A78">
        <w:rPr>
          <w:rFonts w:ascii="Arial" w:hAnsi="Arial" w:cs="Arial"/>
          <w:color w:val="000000" w:themeColor="text1"/>
          <w:sz w:val="24"/>
          <w:szCs w:val="24"/>
        </w:rPr>
        <w:t xml:space="preserve">Mediante </w:t>
      </w:r>
      <w:r w:rsidR="006C10D5" w:rsidRPr="00AE3A78">
        <w:rPr>
          <w:rFonts w:ascii="Arial" w:hAnsi="Arial" w:cs="Arial"/>
          <w:color w:val="000000" w:themeColor="text1"/>
          <w:sz w:val="24"/>
          <w:szCs w:val="24"/>
        </w:rPr>
        <w:t xml:space="preserve">acuerdo </w:t>
      </w:r>
      <w:r w:rsidR="00803989" w:rsidRPr="00AE3A78">
        <w:rPr>
          <w:rFonts w:ascii="Arial" w:hAnsi="Arial" w:cs="Arial"/>
          <w:color w:val="000000" w:themeColor="text1"/>
          <w:sz w:val="24"/>
          <w:szCs w:val="24"/>
        </w:rPr>
        <w:t>de</w:t>
      </w:r>
      <w:r w:rsidR="007334E5" w:rsidRPr="00AE3A78">
        <w:rPr>
          <w:rFonts w:ascii="Arial" w:hAnsi="Arial" w:cs="Arial"/>
          <w:color w:val="000000" w:themeColor="text1"/>
          <w:sz w:val="24"/>
          <w:szCs w:val="24"/>
        </w:rPr>
        <w:t xml:space="preserve">l </w:t>
      </w:r>
      <w:r w:rsidR="00AB4B71" w:rsidRPr="00AE3A78">
        <w:rPr>
          <w:rFonts w:ascii="Arial" w:hAnsi="Arial" w:cs="Arial"/>
          <w:color w:val="000000" w:themeColor="text1"/>
          <w:sz w:val="24"/>
          <w:szCs w:val="24"/>
        </w:rPr>
        <w:t>veintinueve de abril del año en curso</w:t>
      </w:r>
      <w:r w:rsidR="00803989" w:rsidRPr="00AE3A78">
        <w:rPr>
          <w:rFonts w:ascii="Arial" w:hAnsi="Arial" w:cs="Arial"/>
          <w:color w:val="000000" w:themeColor="text1"/>
          <w:sz w:val="24"/>
          <w:szCs w:val="24"/>
        </w:rPr>
        <w:t xml:space="preserve">, esta Sala Regional </w:t>
      </w:r>
      <w:r w:rsidR="006C10D5" w:rsidRPr="00AE3A78">
        <w:rPr>
          <w:rFonts w:ascii="Arial" w:hAnsi="Arial" w:cs="Arial"/>
          <w:color w:val="000000" w:themeColor="text1"/>
          <w:sz w:val="24"/>
          <w:szCs w:val="24"/>
        </w:rPr>
        <w:t xml:space="preserve">determinó que el medio de impugnación presentado por el </w:t>
      </w:r>
      <w:r w:rsidR="00AB4B71" w:rsidRPr="00AE3A78">
        <w:rPr>
          <w:rFonts w:ascii="Arial" w:hAnsi="Arial" w:cs="Arial"/>
          <w:color w:val="000000" w:themeColor="text1"/>
          <w:sz w:val="24"/>
          <w:szCs w:val="24"/>
        </w:rPr>
        <w:t xml:space="preserve">partido </w:t>
      </w:r>
      <w:r w:rsidR="006C10D5" w:rsidRPr="00AE3A78">
        <w:rPr>
          <w:rFonts w:ascii="Arial" w:hAnsi="Arial" w:cs="Arial"/>
          <w:color w:val="000000" w:themeColor="text1"/>
          <w:sz w:val="24"/>
          <w:szCs w:val="24"/>
        </w:rPr>
        <w:t xml:space="preserve">actor era improcedente y lo reencauzó al </w:t>
      </w:r>
      <w:r w:rsidR="007334E5" w:rsidRPr="00AE3A78">
        <w:rPr>
          <w:rFonts w:ascii="Arial" w:hAnsi="Arial" w:cs="Arial"/>
          <w:sz w:val="24"/>
          <w:szCs w:val="24"/>
          <w:lang w:val="es-ES_tradnl"/>
        </w:rPr>
        <w:t xml:space="preserve">Tribunal </w:t>
      </w:r>
      <w:r w:rsidR="00AB4B71" w:rsidRPr="00AE3A78">
        <w:rPr>
          <w:rFonts w:ascii="Arial" w:hAnsi="Arial" w:cs="Arial"/>
          <w:sz w:val="24"/>
          <w:szCs w:val="24"/>
          <w:lang w:val="es-ES_tradnl"/>
        </w:rPr>
        <w:t>Estatal Electoral de Guanajuato</w:t>
      </w:r>
      <w:r w:rsidR="007334E5" w:rsidRPr="00AE3A78">
        <w:rPr>
          <w:rFonts w:ascii="Arial" w:hAnsi="Arial" w:cs="Arial"/>
          <w:sz w:val="24"/>
          <w:szCs w:val="24"/>
        </w:rPr>
        <w:t xml:space="preserve">, </w:t>
      </w:r>
      <w:r w:rsidR="006C10D5" w:rsidRPr="00AE3A78">
        <w:rPr>
          <w:rFonts w:ascii="Arial" w:hAnsi="Arial" w:cs="Arial"/>
          <w:color w:val="000000" w:themeColor="text1"/>
          <w:sz w:val="24"/>
          <w:szCs w:val="24"/>
        </w:rPr>
        <w:t xml:space="preserve">para </w:t>
      </w:r>
      <w:r w:rsidR="00AE3A78" w:rsidRPr="00AE3A78">
        <w:rPr>
          <w:rFonts w:ascii="Arial" w:hAnsi="Arial" w:cs="Arial"/>
          <w:color w:val="000000" w:themeColor="text1"/>
          <w:sz w:val="24"/>
          <w:szCs w:val="24"/>
        </w:rPr>
        <w:t>que,</w:t>
      </w:r>
      <w:r w:rsidR="006C10D5" w:rsidRPr="00AE3A78">
        <w:rPr>
          <w:rFonts w:ascii="Arial" w:hAnsi="Arial" w:cs="Arial"/>
          <w:color w:val="000000" w:themeColor="text1"/>
          <w:sz w:val="24"/>
          <w:szCs w:val="24"/>
        </w:rPr>
        <w:t xml:space="preserve"> </w:t>
      </w:r>
      <w:r w:rsidR="00AE3A78" w:rsidRPr="00AE3A78">
        <w:rPr>
          <w:rFonts w:ascii="Arial" w:hAnsi="Arial" w:cs="Arial"/>
          <w:sz w:val="24"/>
          <w:szCs w:val="24"/>
        </w:rPr>
        <w:t xml:space="preserve">dentro del plazo de </w:t>
      </w:r>
      <w:r w:rsidR="00AE3A78" w:rsidRPr="00AE3A78">
        <w:rPr>
          <w:rFonts w:ascii="Arial" w:hAnsi="Arial" w:cs="Arial"/>
          <w:b/>
          <w:sz w:val="24"/>
          <w:szCs w:val="24"/>
        </w:rPr>
        <w:t xml:space="preserve">dos días, </w:t>
      </w:r>
      <w:r w:rsidR="00AE3A78" w:rsidRPr="00AE3A78">
        <w:rPr>
          <w:rFonts w:ascii="Arial" w:hAnsi="Arial" w:cs="Arial"/>
          <w:bCs/>
          <w:sz w:val="24"/>
          <w:szCs w:val="24"/>
        </w:rPr>
        <w:t>contados a partir de que recib</w:t>
      </w:r>
      <w:r w:rsidR="006B2958">
        <w:rPr>
          <w:rFonts w:ascii="Arial" w:hAnsi="Arial" w:cs="Arial"/>
          <w:bCs/>
          <w:sz w:val="24"/>
          <w:szCs w:val="24"/>
        </w:rPr>
        <w:t>iera</w:t>
      </w:r>
      <w:r w:rsidR="00AE3A78" w:rsidRPr="00AE3A78">
        <w:rPr>
          <w:rFonts w:ascii="Arial" w:hAnsi="Arial" w:cs="Arial"/>
          <w:bCs/>
          <w:sz w:val="24"/>
          <w:szCs w:val="24"/>
        </w:rPr>
        <w:t xml:space="preserve"> las constancias correspondientes</w:t>
      </w:r>
      <w:r w:rsidR="00AE3A78" w:rsidRPr="00AE3A78">
        <w:rPr>
          <w:rFonts w:ascii="Arial" w:hAnsi="Arial" w:cs="Arial"/>
          <w:color w:val="000000" w:themeColor="text1"/>
          <w:sz w:val="24"/>
          <w:szCs w:val="24"/>
        </w:rPr>
        <w:t xml:space="preserve"> lo </w:t>
      </w:r>
      <w:r w:rsidR="006C10D5" w:rsidRPr="00AE3A78">
        <w:rPr>
          <w:rFonts w:ascii="Arial" w:hAnsi="Arial" w:cs="Arial"/>
          <w:color w:val="000000" w:themeColor="text1"/>
          <w:sz w:val="24"/>
          <w:szCs w:val="24"/>
        </w:rPr>
        <w:t xml:space="preserve">resolviera conforme a sus atribuciones. </w:t>
      </w:r>
    </w:p>
    <w:p w14:paraId="31068A56" w14:textId="1DE98214" w:rsidR="00A63650" w:rsidRDefault="00A37003" w:rsidP="009902AD">
      <w:pPr>
        <w:spacing w:before="100" w:beforeAutospacing="1" w:after="100" w:afterAutospacing="1" w:line="360" w:lineRule="auto"/>
        <w:jc w:val="both"/>
        <w:rPr>
          <w:rFonts w:ascii="Arial" w:hAnsi="Arial" w:cs="Arial"/>
          <w:sz w:val="24"/>
          <w:szCs w:val="24"/>
          <w:lang w:val="es-ES_tradnl"/>
        </w:rPr>
      </w:pPr>
      <w:r w:rsidRPr="00580811">
        <w:rPr>
          <w:rFonts w:ascii="Arial" w:eastAsia="Times New Roman" w:hAnsi="Arial" w:cs="Arial"/>
          <w:b/>
          <w:sz w:val="24"/>
          <w:szCs w:val="24"/>
          <w:lang w:val="es-ES" w:eastAsia="es-ES"/>
        </w:rPr>
        <w:t>II.</w:t>
      </w:r>
      <w:r w:rsidR="004D23C5" w:rsidRPr="00580811">
        <w:rPr>
          <w:rFonts w:ascii="Arial" w:eastAsia="Times New Roman" w:hAnsi="Arial" w:cs="Arial"/>
          <w:b/>
          <w:sz w:val="24"/>
          <w:szCs w:val="24"/>
          <w:lang w:val="es-ES" w:eastAsia="es-ES"/>
        </w:rPr>
        <w:t xml:space="preserve"> </w:t>
      </w:r>
      <w:r w:rsidR="006B4138" w:rsidRPr="00580811">
        <w:rPr>
          <w:rFonts w:ascii="Arial" w:eastAsia="Times New Roman" w:hAnsi="Arial" w:cs="Arial"/>
          <w:b/>
          <w:sz w:val="24"/>
          <w:szCs w:val="24"/>
          <w:lang w:val="es-ES" w:eastAsia="es-ES"/>
        </w:rPr>
        <w:t>Recepción</w:t>
      </w:r>
      <w:r w:rsidRPr="00580811">
        <w:rPr>
          <w:rFonts w:ascii="Arial" w:eastAsia="Times New Roman" w:hAnsi="Arial" w:cs="Arial"/>
          <w:b/>
          <w:sz w:val="24"/>
          <w:szCs w:val="24"/>
          <w:lang w:val="es-ES" w:eastAsia="es-ES"/>
        </w:rPr>
        <w:t xml:space="preserve"> de constancias.</w:t>
      </w:r>
      <w:r w:rsidR="001C3AB2" w:rsidRPr="00580811">
        <w:rPr>
          <w:rFonts w:ascii="Arial" w:eastAsia="Times New Roman" w:hAnsi="Arial" w:cs="Arial"/>
          <w:sz w:val="24"/>
          <w:szCs w:val="24"/>
          <w:lang w:val="es-ES" w:eastAsia="es-ES"/>
        </w:rPr>
        <w:t xml:space="preserve"> </w:t>
      </w:r>
      <w:r w:rsidR="009E7305" w:rsidRPr="00580811">
        <w:rPr>
          <w:rFonts w:ascii="Arial" w:eastAsia="Times New Roman" w:hAnsi="Arial" w:cs="Arial"/>
          <w:sz w:val="24"/>
          <w:szCs w:val="24"/>
          <w:lang w:val="es-ES" w:eastAsia="es-ES"/>
        </w:rPr>
        <w:t>E</w:t>
      </w:r>
      <w:r w:rsidR="007334E5" w:rsidRPr="00580811">
        <w:rPr>
          <w:rFonts w:ascii="Arial" w:hAnsi="Arial" w:cs="Arial"/>
          <w:sz w:val="24"/>
          <w:szCs w:val="24"/>
          <w:lang w:val="es-ES_tradnl"/>
        </w:rPr>
        <w:t xml:space="preserve">l </w:t>
      </w:r>
      <w:r w:rsidR="00D30617">
        <w:rPr>
          <w:rFonts w:ascii="Arial" w:hAnsi="Arial" w:cs="Arial"/>
          <w:sz w:val="24"/>
          <w:szCs w:val="24"/>
          <w:lang w:val="es-ES_tradnl"/>
        </w:rPr>
        <w:t xml:space="preserve">Actuario adscrito </w:t>
      </w:r>
      <w:r w:rsidR="00573900">
        <w:rPr>
          <w:rFonts w:ascii="Arial" w:hAnsi="Arial" w:cs="Arial"/>
          <w:sz w:val="24"/>
          <w:szCs w:val="24"/>
          <w:lang w:val="es-ES_tradnl"/>
        </w:rPr>
        <w:t>al</w:t>
      </w:r>
      <w:r w:rsidR="00D30617">
        <w:rPr>
          <w:rFonts w:ascii="Arial" w:hAnsi="Arial" w:cs="Arial"/>
          <w:sz w:val="24"/>
          <w:szCs w:val="24"/>
          <w:lang w:val="es-ES_tradnl"/>
        </w:rPr>
        <w:t xml:space="preserve"> Tribunal Estatal Electoral de Guanajuato</w:t>
      </w:r>
      <w:r w:rsidR="00D30617" w:rsidRPr="00580811">
        <w:rPr>
          <w:rFonts w:ascii="Arial" w:hAnsi="Arial" w:cs="Arial"/>
          <w:sz w:val="24"/>
          <w:szCs w:val="24"/>
          <w:lang w:val="es-ES_tradnl"/>
        </w:rPr>
        <w:t xml:space="preserve"> </w:t>
      </w:r>
      <w:r w:rsidR="009E7305" w:rsidRPr="00580811">
        <w:rPr>
          <w:rFonts w:ascii="Arial" w:hAnsi="Arial" w:cs="Arial"/>
          <w:sz w:val="24"/>
          <w:szCs w:val="24"/>
          <w:lang w:val="es-ES_tradnl"/>
        </w:rPr>
        <w:t>remitió</w:t>
      </w:r>
      <w:r w:rsidR="007334E5" w:rsidRPr="00580811">
        <w:rPr>
          <w:rFonts w:ascii="Arial" w:hAnsi="Arial" w:cs="Arial"/>
          <w:sz w:val="24"/>
          <w:szCs w:val="24"/>
          <w:lang w:val="es-ES_tradnl"/>
        </w:rPr>
        <w:t xml:space="preserve"> </w:t>
      </w:r>
      <w:r w:rsidR="009E7305" w:rsidRPr="00580811">
        <w:rPr>
          <w:rFonts w:ascii="Arial" w:hAnsi="Arial" w:cs="Arial"/>
          <w:sz w:val="24"/>
          <w:szCs w:val="24"/>
          <w:lang w:val="es-ES_tradnl"/>
        </w:rPr>
        <w:t xml:space="preserve">mediante oficio </w:t>
      </w:r>
      <w:r w:rsidR="007334E5" w:rsidRPr="00580811">
        <w:rPr>
          <w:rFonts w:ascii="Arial" w:hAnsi="Arial" w:cs="Arial"/>
          <w:sz w:val="24"/>
          <w:szCs w:val="24"/>
          <w:lang w:val="es-ES_tradnl"/>
        </w:rPr>
        <w:t xml:space="preserve">a esta Sala Regional </w:t>
      </w:r>
      <w:r w:rsidR="00A63650">
        <w:rPr>
          <w:rFonts w:ascii="Arial" w:hAnsi="Arial" w:cs="Arial"/>
          <w:sz w:val="24"/>
          <w:szCs w:val="24"/>
          <w:lang w:val="es-ES_tradnl"/>
        </w:rPr>
        <w:t xml:space="preserve">la resolución emitida por el </w:t>
      </w:r>
      <w:r w:rsidR="00D30617">
        <w:rPr>
          <w:rFonts w:ascii="Arial" w:hAnsi="Arial" w:cs="Arial"/>
          <w:sz w:val="24"/>
          <w:szCs w:val="24"/>
          <w:lang w:val="es-ES_tradnl"/>
        </w:rPr>
        <w:t xml:space="preserve">pleno del </w:t>
      </w:r>
      <w:r w:rsidR="00A63650">
        <w:rPr>
          <w:rFonts w:ascii="Arial" w:hAnsi="Arial" w:cs="Arial"/>
          <w:sz w:val="24"/>
          <w:szCs w:val="24"/>
          <w:lang w:val="es-ES_tradnl"/>
        </w:rPr>
        <w:t>referido órgano jurisdiccional el pasado siete de mayo dentro del expediente TEEG-REV-47/2021</w:t>
      </w:r>
      <w:r w:rsidR="00D30617">
        <w:rPr>
          <w:rFonts w:ascii="Arial" w:hAnsi="Arial" w:cs="Arial"/>
          <w:sz w:val="24"/>
          <w:szCs w:val="24"/>
          <w:lang w:val="es-ES_tradnl"/>
        </w:rPr>
        <w:t>,</w:t>
      </w:r>
      <w:r w:rsidR="00A63650">
        <w:rPr>
          <w:rFonts w:ascii="Arial" w:hAnsi="Arial" w:cs="Arial"/>
          <w:sz w:val="24"/>
          <w:szCs w:val="24"/>
          <w:lang w:val="es-ES_tradnl"/>
        </w:rPr>
        <w:t xml:space="preserve"> en la cual se confirmó el acuerdo CGIEEG/153/2021 aprobado por el Consejo General del Instituto Electoral del Estado de Guanajuato, y co</w:t>
      </w:r>
      <w:r w:rsidR="00A63650" w:rsidRPr="006B2958">
        <w:rPr>
          <w:rFonts w:ascii="Arial" w:hAnsi="Arial" w:cs="Arial"/>
          <w:sz w:val="24"/>
          <w:szCs w:val="24"/>
          <w:lang w:val="es-ES_tradnl"/>
        </w:rPr>
        <w:t>ncedió a MORENA el registro de las planillas de candidatas y candidatos a los Ayuntamientos de Celaya y Guanajuato, al declarar infundados e inoperantes los agravios expuestos por el actor</w:t>
      </w:r>
      <w:r w:rsidR="00D30617" w:rsidRPr="006B2958">
        <w:rPr>
          <w:rFonts w:ascii="Arial" w:hAnsi="Arial" w:cs="Arial"/>
          <w:sz w:val="24"/>
          <w:szCs w:val="24"/>
          <w:lang w:val="es-ES_tradnl"/>
        </w:rPr>
        <w:t>; esto</w:t>
      </w:r>
      <w:r w:rsidR="00A63650" w:rsidRPr="006B2958">
        <w:rPr>
          <w:rFonts w:ascii="Arial" w:hAnsi="Arial" w:cs="Arial"/>
          <w:sz w:val="24"/>
          <w:szCs w:val="24"/>
          <w:lang w:val="es-ES_tradnl"/>
        </w:rPr>
        <w:t xml:space="preserve"> en cumplimiento al Acuerdo Plenario de Reencauzamiento dictado por esta autoridad el pasado veinti</w:t>
      </w:r>
      <w:r w:rsidR="006B2958" w:rsidRPr="006B2958">
        <w:rPr>
          <w:rFonts w:ascii="Arial" w:hAnsi="Arial" w:cs="Arial"/>
          <w:sz w:val="24"/>
          <w:szCs w:val="24"/>
          <w:lang w:val="es-ES_tradnl"/>
        </w:rPr>
        <w:t>nueve</w:t>
      </w:r>
      <w:r w:rsidR="00A63650" w:rsidRPr="006B2958">
        <w:rPr>
          <w:rFonts w:ascii="Arial" w:hAnsi="Arial" w:cs="Arial"/>
          <w:sz w:val="24"/>
          <w:szCs w:val="24"/>
          <w:lang w:val="es-ES_tradnl"/>
        </w:rPr>
        <w:t xml:space="preserve"> de abril de este año.</w:t>
      </w:r>
    </w:p>
    <w:p w14:paraId="5D63C8CE" w14:textId="581E4480" w:rsidR="00131FEF" w:rsidRPr="00580811" w:rsidRDefault="004A316E" w:rsidP="00B90E0F">
      <w:pPr>
        <w:spacing w:before="240" w:after="240" w:line="360" w:lineRule="auto"/>
        <w:jc w:val="both"/>
        <w:rPr>
          <w:rFonts w:ascii="Arial" w:hAnsi="Arial" w:cs="Arial"/>
          <w:sz w:val="24"/>
          <w:szCs w:val="24"/>
          <w:lang w:val="es-ES"/>
        </w:rPr>
      </w:pPr>
      <w:r w:rsidRPr="00580811">
        <w:rPr>
          <w:rFonts w:ascii="Arial" w:hAnsi="Arial" w:cs="Arial"/>
          <w:b/>
          <w:sz w:val="24"/>
          <w:szCs w:val="24"/>
        </w:rPr>
        <w:t xml:space="preserve">III. Cumplimiento. </w:t>
      </w:r>
      <w:r w:rsidRPr="00580811">
        <w:rPr>
          <w:rFonts w:ascii="Arial" w:hAnsi="Arial" w:cs="Arial"/>
          <w:sz w:val="24"/>
          <w:szCs w:val="24"/>
        </w:rPr>
        <w:t>De la documentación presentada se advierte que</w:t>
      </w:r>
      <w:r w:rsidR="00CE6E9C" w:rsidRPr="00580811">
        <w:rPr>
          <w:rFonts w:ascii="Arial" w:hAnsi="Arial" w:cs="Arial"/>
          <w:sz w:val="24"/>
          <w:szCs w:val="24"/>
        </w:rPr>
        <w:t>,</w:t>
      </w:r>
      <w:r w:rsidRPr="00580811">
        <w:rPr>
          <w:rFonts w:ascii="Arial" w:hAnsi="Arial" w:cs="Arial"/>
          <w:sz w:val="24"/>
          <w:szCs w:val="24"/>
        </w:rPr>
        <w:t xml:space="preserve"> </w:t>
      </w:r>
      <w:r w:rsidR="007A178E" w:rsidRPr="00580811">
        <w:rPr>
          <w:rFonts w:ascii="Arial" w:hAnsi="Arial" w:cs="Arial"/>
          <w:sz w:val="24"/>
          <w:szCs w:val="24"/>
        </w:rPr>
        <w:t xml:space="preserve">el </w:t>
      </w:r>
      <w:r w:rsidR="00374577" w:rsidRPr="00580811">
        <w:rPr>
          <w:rFonts w:ascii="Arial" w:hAnsi="Arial" w:cs="Arial"/>
          <w:sz w:val="24"/>
          <w:szCs w:val="24"/>
        </w:rPr>
        <w:t>Tribunal</w:t>
      </w:r>
      <w:r w:rsidR="00E62A73" w:rsidRPr="00580811">
        <w:rPr>
          <w:rFonts w:ascii="Arial" w:hAnsi="Arial" w:cs="Arial"/>
          <w:sz w:val="24"/>
          <w:szCs w:val="24"/>
        </w:rPr>
        <w:t xml:space="preserve"> responsable</w:t>
      </w:r>
      <w:r w:rsidR="00B90E0F" w:rsidRPr="00580811">
        <w:rPr>
          <w:rFonts w:ascii="Arial" w:hAnsi="Arial" w:cs="Arial"/>
          <w:i/>
          <w:sz w:val="24"/>
          <w:szCs w:val="24"/>
        </w:rPr>
        <w:t xml:space="preserve"> </w:t>
      </w:r>
      <w:r w:rsidR="007D22DA" w:rsidRPr="00580811">
        <w:rPr>
          <w:rFonts w:ascii="Arial" w:eastAsia="Calibri" w:hAnsi="Arial" w:cs="Arial"/>
          <w:sz w:val="24"/>
          <w:szCs w:val="24"/>
        </w:rPr>
        <w:t xml:space="preserve">cumplió </w:t>
      </w:r>
      <w:r w:rsidR="00D95AEE" w:rsidRPr="00580811">
        <w:rPr>
          <w:rFonts w:ascii="Arial" w:eastAsia="Calibri" w:hAnsi="Arial" w:cs="Arial"/>
          <w:sz w:val="24"/>
          <w:szCs w:val="24"/>
        </w:rPr>
        <w:t xml:space="preserve">con lo ordenado en </w:t>
      </w:r>
      <w:r w:rsidR="009B07A5" w:rsidRPr="00580811">
        <w:rPr>
          <w:rFonts w:ascii="Arial" w:eastAsia="Calibri" w:hAnsi="Arial" w:cs="Arial"/>
          <w:sz w:val="24"/>
          <w:szCs w:val="24"/>
        </w:rPr>
        <w:t>el reencauzamiento</w:t>
      </w:r>
      <w:r w:rsidR="00D95AEE" w:rsidRPr="00580811">
        <w:rPr>
          <w:rFonts w:ascii="Arial" w:eastAsia="Calibri" w:hAnsi="Arial" w:cs="Arial"/>
          <w:sz w:val="24"/>
          <w:szCs w:val="24"/>
        </w:rPr>
        <w:t xml:space="preserve"> de mérito, </w:t>
      </w:r>
      <w:r w:rsidR="00386881" w:rsidRPr="00580811">
        <w:rPr>
          <w:rFonts w:ascii="Arial" w:hAnsi="Arial" w:cs="Arial"/>
          <w:sz w:val="24"/>
          <w:szCs w:val="24"/>
        </w:rPr>
        <w:t xml:space="preserve">pues </w:t>
      </w:r>
      <w:r w:rsidR="006C10D5" w:rsidRPr="00580811">
        <w:rPr>
          <w:rFonts w:ascii="Arial" w:hAnsi="Arial" w:cs="Arial"/>
          <w:sz w:val="24"/>
          <w:szCs w:val="24"/>
        </w:rPr>
        <w:t xml:space="preserve">el </w:t>
      </w:r>
      <w:r w:rsidR="00A63650">
        <w:rPr>
          <w:rFonts w:ascii="Arial" w:hAnsi="Arial" w:cs="Arial"/>
          <w:sz w:val="24"/>
          <w:szCs w:val="24"/>
        </w:rPr>
        <w:t>siete de mayo</w:t>
      </w:r>
      <w:r w:rsidR="006C10D5" w:rsidRPr="00580811">
        <w:rPr>
          <w:rFonts w:ascii="Arial" w:hAnsi="Arial" w:cs="Arial"/>
          <w:sz w:val="24"/>
          <w:szCs w:val="24"/>
        </w:rPr>
        <w:t xml:space="preserve"> emitió sentencia</w:t>
      </w:r>
      <w:r w:rsidR="00A94F85" w:rsidRPr="00580811">
        <w:rPr>
          <w:rFonts w:ascii="Arial" w:hAnsi="Arial" w:cs="Arial"/>
          <w:sz w:val="24"/>
          <w:szCs w:val="24"/>
        </w:rPr>
        <w:t xml:space="preserve"> </w:t>
      </w:r>
      <w:r w:rsidR="006C10D5" w:rsidRPr="00580811">
        <w:rPr>
          <w:rFonts w:ascii="Arial" w:hAnsi="Arial" w:cs="Arial"/>
          <w:sz w:val="24"/>
          <w:szCs w:val="24"/>
        </w:rPr>
        <w:t>y lo</w:t>
      </w:r>
      <w:r w:rsidR="00B90E0F" w:rsidRPr="00580811">
        <w:rPr>
          <w:rFonts w:ascii="Arial" w:hAnsi="Arial" w:cs="Arial"/>
          <w:sz w:val="24"/>
          <w:szCs w:val="24"/>
        </w:rPr>
        <w:t xml:space="preserve"> informó a esta Sala Regional</w:t>
      </w:r>
      <w:r w:rsidR="00A854A3" w:rsidRPr="00580811">
        <w:rPr>
          <w:rFonts w:ascii="Arial" w:hAnsi="Arial" w:cs="Arial"/>
          <w:sz w:val="24"/>
          <w:szCs w:val="24"/>
        </w:rPr>
        <w:t xml:space="preserve"> remitiendo las constancias correspondientes</w:t>
      </w:r>
      <w:r w:rsidR="00D95AEE" w:rsidRPr="00580811">
        <w:rPr>
          <w:rFonts w:ascii="Arial" w:hAnsi="Arial" w:cs="Arial"/>
          <w:sz w:val="24"/>
          <w:szCs w:val="24"/>
        </w:rPr>
        <w:t>.</w:t>
      </w:r>
      <w:r w:rsidR="00DD7D45" w:rsidRPr="00580811">
        <w:rPr>
          <w:rStyle w:val="Refdenotaalpie"/>
          <w:rFonts w:ascii="Arial" w:hAnsi="Arial" w:cs="Arial"/>
          <w:sz w:val="24"/>
          <w:szCs w:val="24"/>
        </w:rPr>
        <w:footnoteReference w:id="1"/>
      </w:r>
    </w:p>
    <w:p w14:paraId="4C722F90" w14:textId="77777777" w:rsidR="00991582" w:rsidRPr="00580811" w:rsidRDefault="000C33DE" w:rsidP="00991582">
      <w:pPr>
        <w:spacing w:before="240" w:after="240" w:line="360" w:lineRule="auto"/>
        <w:jc w:val="both"/>
        <w:rPr>
          <w:rFonts w:ascii="Arial" w:hAnsi="Arial" w:cs="Arial"/>
          <w:sz w:val="24"/>
          <w:szCs w:val="24"/>
        </w:rPr>
      </w:pPr>
      <w:r w:rsidRPr="00580811">
        <w:rPr>
          <w:rFonts w:ascii="Arial" w:hAnsi="Arial" w:cs="Arial"/>
          <w:sz w:val="24"/>
          <w:szCs w:val="24"/>
        </w:rPr>
        <w:lastRenderedPageBreak/>
        <w:t>C</w:t>
      </w:r>
      <w:r w:rsidR="00A37003" w:rsidRPr="00580811">
        <w:rPr>
          <w:rFonts w:ascii="Arial" w:hAnsi="Arial" w:cs="Arial"/>
          <w:sz w:val="24"/>
          <w:szCs w:val="24"/>
        </w:rPr>
        <w:t>on fundamento</w:t>
      </w:r>
      <w:r w:rsidR="00A37003" w:rsidRPr="00580811">
        <w:rPr>
          <w:rFonts w:ascii="Arial" w:hAnsi="Arial" w:cs="Arial"/>
          <w:b/>
          <w:sz w:val="24"/>
          <w:szCs w:val="24"/>
        </w:rPr>
        <w:t xml:space="preserve"> </w:t>
      </w:r>
      <w:r w:rsidR="00A37003" w:rsidRPr="00580811">
        <w:rPr>
          <w:rFonts w:ascii="Arial" w:hAnsi="Arial" w:cs="Arial"/>
          <w:sz w:val="24"/>
          <w:szCs w:val="24"/>
        </w:rPr>
        <w:t>en los artíc</w:t>
      </w:r>
      <w:r w:rsidR="00B515F6" w:rsidRPr="00580811">
        <w:rPr>
          <w:rFonts w:ascii="Arial" w:hAnsi="Arial" w:cs="Arial"/>
          <w:sz w:val="24"/>
          <w:szCs w:val="24"/>
        </w:rPr>
        <w:t xml:space="preserve">ulos 199, fracciones II </w:t>
      </w:r>
      <w:r w:rsidR="00C61E49" w:rsidRPr="00580811">
        <w:rPr>
          <w:rFonts w:ascii="Arial" w:hAnsi="Arial" w:cs="Arial"/>
          <w:sz w:val="24"/>
          <w:szCs w:val="24"/>
        </w:rPr>
        <w:t>y XV</w:t>
      </w:r>
      <w:r w:rsidR="0016420B" w:rsidRPr="00580811">
        <w:rPr>
          <w:rFonts w:ascii="Arial" w:hAnsi="Arial" w:cs="Arial"/>
          <w:sz w:val="24"/>
          <w:szCs w:val="24"/>
        </w:rPr>
        <w:t>, y</w:t>
      </w:r>
      <w:r w:rsidR="00A37003" w:rsidRPr="00580811">
        <w:rPr>
          <w:rFonts w:ascii="Arial" w:hAnsi="Arial" w:cs="Arial"/>
          <w:sz w:val="24"/>
          <w:szCs w:val="24"/>
        </w:rPr>
        <w:t xml:space="preserve"> 204, fracción VIII, de la Ley Orgánica del Poder Judicial de la </w:t>
      </w:r>
      <w:r w:rsidR="00C61E49" w:rsidRPr="00580811">
        <w:rPr>
          <w:rFonts w:ascii="Arial" w:hAnsi="Arial" w:cs="Arial"/>
          <w:sz w:val="24"/>
          <w:szCs w:val="24"/>
        </w:rPr>
        <w:t xml:space="preserve">Federación; </w:t>
      </w:r>
      <w:r w:rsidR="0016420B" w:rsidRPr="00580811">
        <w:rPr>
          <w:rFonts w:ascii="Arial" w:hAnsi="Arial" w:cs="Arial"/>
          <w:sz w:val="24"/>
          <w:szCs w:val="24"/>
        </w:rPr>
        <w:t>49, 53, fracción I, y 92</w:t>
      </w:r>
      <w:r w:rsidR="007E74AE" w:rsidRPr="00580811">
        <w:rPr>
          <w:rFonts w:ascii="Arial" w:hAnsi="Arial" w:cs="Arial"/>
          <w:sz w:val="24"/>
          <w:szCs w:val="24"/>
        </w:rPr>
        <w:t xml:space="preserve">, </w:t>
      </w:r>
      <w:r w:rsidR="00A37003" w:rsidRPr="00580811">
        <w:rPr>
          <w:rFonts w:ascii="Arial" w:hAnsi="Arial" w:cs="Arial"/>
          <w:sz w:val="24"/>
          <w:szCs w:val="24"/>
        </w:rPr>
        <w:t xml:space="preserve">del Reglamento Interno del Tribunal Electoral del Poder Judicial de la Federación, </w:t>
      </w:r>
      <w:r w:rsidR="00A37003" w:rsidRPr="00580811">
        <w:rPr>
          <w:rFonts w:ascii="Arial" w:hAnsi="Arial" w:cs="Arial"/>
          <w:b/>
          <w:sz w:val="24"/>
          <w:szCs w:val="24"/>
        </w:rPr>
        <w:t>SE ACUERDA:</w:t>
      </w:r>
    </w:p>
    <w:p w14:paraId="1AE00C56" w14:textId="748A2AC4" w:rsidR="00991582" w:rsidRPr="00580811" w:rsidRDefault="00D95AEE" w:rsidP="00991582">
      <w:pPr>
        <w:spacing w:before="240" w:after="240" w:line="360" w:lineRule="auto"/>
        <w:jc w:val="both"/>
        <w:rPr>
          <w:rFonts w:ascii="Arial" w:hAnsi="Arial" w:cs="Arial"/>
          <w:sz w:val="24"/>
          <w:szCs w:val="24"/>
        </w:rPr>
      </w:pPr>
      <w:r w:rsidRPr="00580811">
        <w:rPr>
          <w:rFonts w:ascii="Arial" w:eastAsia="Times New Roman" w:hAnsi="Arial" w:cs="Arial"/>
          <w:b/>
          <w:sz w:val="24"/>
          <w:szCs w:val="24"/>
          <w:lang w:val="es-ES" w:eastAsia="es-ES"/>
        </w:rPr>
        <w:t>ÚNICO</w:t>
      </w:r>
      <w:r w:rsidR="004C4F22" w:rsidRPr="00580811">
        <w:rPr>
          <w:rFonts w:ascii="Arial" w:eastAsia="Times New Roman" w:hAnsi="Arial" w:cs="Arial"/>
          <w:b/>
          <w:sz w:val="24"/>
          <w:szCs w:val="24"/>
          <w:lang w:val="es-ES" w:eastAsia="es-ES"/>
        </w:rPr>
        <w:t>.</w:t>
      </w:r>
      <w:r w:rsidR="000C3189" w:rsidRPr="00580811">
        <w:rPr>
          <w:rFonts w:ascii="Arial" w:hAnsi="Arial" w:cs="Arial"/>
          <w:b/>
          <w:sz w:val="24"/>
          <w:szCs w:val="24"/>
        </w:rPr>
        <w:t xml:space="preserve"> </w:t>
      </w:r>
      <w:r w:rsidR="009D24C6" w:rsidRPr="00580811">
        <w:rPr>
          <w:rFonts w:ascii="Arial" w:hAnsi="Arial" w:cs="Arial"/>
          <w:sz w:val="24"/>
          <w:szCs w:val="24"/>
        </w:rPr>
        <w:t xml:space="preserve">Se </w:t>
      </w:r>
      <w:r w:rsidR="00F70F59" w:rsidRPr="00580811">
        <w:rPr>
          <w:rFonts w:ascii="Arial" w:hAnsi="Arial" w:cs="Arial"/>
          <w:sz w:val="24"/>
          <w:szCs w:val="24"/>
        </w:rPr>
        <w:t xml:space="preserve">tiene </w:t>
      </w:r>
      <w:r w:rsidR="004C4F22" w:rsidRPr="00580811">
        <w:rPr>
          <w:rFonts w:ascii="Arial" w:hAnsi="Arial" w:cs="Arial"/>
          <w:b/>
          <w:sz w:val="24"/>
          <w:szCs w:val="24"/>
        </w:rPr>
        <w:t>por cumplid</w:t>
      </w:r>
      <w:r w:rsidR="00580811" w:rsidRPr="00580811">
        <w:rPr>
          <w:rFonts w:ascii="Arial" w:hAnsi="Arial" w:cs="Arial"/>
          <w:b/>
          <w:sz w:val="24"/>
          <w:szCs w:val="24"/>
        </w:rPr>
        <w:t>o</w:t>
      </w:r>
      <w:r w:rsidR="004C4F22" w:rsidRPr="00580811">
        <w:rPr>
          <w:rFonts w:ascii="Arial" w:hAnsi="Arial" w:cs="Arial"/>
          <w:b/>
          <w:sz w:val="24"/>
          <w:szCs w:val="24"/>
        </w:rPr>
        <w:t xml:space="preserve"> </w:t>
      </w:r>
      <w:r w:rsidR="004C4F22" w:rsidRPr="00580811">
        <w:rPr>
          <w:rFonts w:ascii="Arial" w:hAnsi="Arial" w:cs="Arial"/>
          <w:sz w:val="24"/>
          <w:szCs w:val="24"/>
        </w:rPr>
        <w:t xml:space="preserve">formalmente, </w:t>
      </w:r>
      <w:r w:rsidR="00DD7D45" w:rsidRPr="00580811">
        <w:rPr>
          <w:rFonts w:ascii="Arial" w:hAnsi="Arial" w:cs="Arial"/>
          <w:sz w:val="24"/>
          <w:szCs w:val="24"/>
        </w:rPr>
        <w:t>el acuerdo plenario de reencauzamiento</w:t>
      </w:r>
      <w:r w:rsidR="001A27A3" w:rsidRPr="00580811">
        <w:rPr>
          <w:rFonts w:ascii="Arial" w:hAnsi="Arial" w:cs="Arial"/>
          <w:sz w:val="24"/>
          <w:szCs w:val="24"/>
        </w:rPr>
        <w:t xml:space="preserve"> </w:t>
      </w:r>
      <w:r w:rsidR="0038050A" w:rsidRPr="00580811">
        <w:rPr>
          <w:rFonts w:ascii="Arial" w:hAnsi="Arial" w:cs="Arial"/>
          <w:sz w:val="24"/>
          <w:szCs w:val="24"/>
        </w:rPr>
        <w:t>dictad</w:t>
      </w:r>
      <w:r w:rsidR="00DD7D45" w:rsidRPr="00580811">
        <w:rPr>
          <w:rFonts w:ascii="Arial" w:hAnsi="Arial" w:cs="Arial"/>
          <w:sz w:val="24"/>
          <w:szCs w:val="24"/>
        </w:rPr>
        <w:t>o</w:t>
      </w:r>
      <w:r w:rsidR="0038050A" w:rsidRPr="00580811">
        <w:rPr>
          <w:rFonts w:ascii="Arial" w:hAnsi="Arial" w:cs="Arial"/>
          <w:sz w:val="24"/>
          <w:szCs w:val="24"/>
        </w:rPr>
        <w:t xml:space="preserve"> en </w:t>
      </w:r>
      <w:r w:rsidR="00141DD6" w:rsidRPr="00580811">
        <w:rPr>
          <w:rFonts w:ascii="Arial" w:hAnsi="Arial" w:cs="Arial"/>
          <w:sz w:val="24"/>
          <w:szCs w:val="24"/>
        </w:rPr>
        <w:t>el</w:t>
      </w:r>
      <w:r w:rsidR="0038050A" w:rsidRPr="00580811">
        <w:rPr>
          <w:rFonts w:ascii="Arial" w:hAnsi="Arial" w:cs="Arial"/>
          <w:sz w:val="24"/>
          <w:szCs w:val="24"/>
        </w:rPr>
        <w:t xml:space="preserve"> pres</w:t>
      </w:r>
      <w:r w:rsidR="00796063" w:rsidRPr="00580811">
        <w:rPr>
          <w:rFonts w:ascii="Arial" w:hAnsi="Arial" w:cs="Arial"/>
          <w:sz w:val="24"/>
          <w:szCs w:val="24"/>
        </w:rPr>
        <w:t xml:space="preserve">ente </w:t>
      </w:r>
      <w:r w:rsidR="0038050A" w:rsidRPr="00580811">
        <w:rPr>
          <w:rFonts w:ascii="Arial" w:hAnsi="Arial" w:cs="Arial"/>
          <w:sz w:val="24"/>
          <w:szCs w:val="24"/>
        </w:rPr>
        <w:t>ju</w:t>
      </w:r>
      <w:r w:rsidR="00F35430" w:rsidRPr="00580811">
        <w:rPr>
          <w:rFonts w:ascii="Arial" w:hAnsi="Arial" w:cs="Arial"/>
          <w:sz w:val="24"/>
          <w:szCs w:val="24"/>
        </w:rPr>
        <w:t>i</w:t>
      </w:r>
      <w:r w:rsidR="0038050A" w:rsidRPr="00580811">
        <w:rPr>
          <w:rFonts w:ascii="Arial" w:hAnsi="Arial" w:cs="Arial"/>
          <w:sz w:val="24"/>
          <w:szCs w:val="24"/>
        </w:rPr>
        <w:t>cio</w:t>
      </w:r>
      <w:r w:rsidR="00BE4392" w:rsidRPr="00580811">
        <w:rPr>
          <w:rFonts w:ascii="Arial" w:hAnsi="Arial" w:cs="Arial"/>
          <w:sz w:val="24"/>
          <w:szCs w:val="24"/>
        </w:rPr>
        <w:t>.</w:t>
      </w:r>
    </w:p>
    <w:p w14:paraId="13BB5469" w14:textId="77777777" w:rsidR="00991582" w:rsidRPr="00580811" w:rsidRDefault="00005D0A" w:rsidP="00991582">
      <w:pPr>
        <w:spacing w:before="240" w:after="240" w:line="360" w:lineRule="auto"/>
        <w:jc w:val="both"/>
        <w:rPr>
          <w:rFonts w:ascii="Arial" w:hAnsi="Arial" w:cs="Arial"/>
          <w:sz w:val="24"/>
          <w:szCs w:val="24"/>
        </w:rPr>
      </w:pPr>
      <w:r w:rsidRPr="00580811">
        <w:rPr>
          <w:rFonts w:ascii="Arial" w:eastAsia="Times New Roman" w:hAnsi="Arial" w:cs="Arial"/>
          <w:b/>
          <w:sz w:val="24"/>
          <w:szCs w:val="24"/>
          <w:lang w:val="es-ES" w:eastAsia="es-ES"/>
        </w:rPr>
        <w:t xml:space="preserve">NOTIFÍQUESE. </w:t>
      </w:r>
    </w:p>
    <w:p w14:paraId="15D60B02" w14:textId="4F2979C1" w:rsidR="00BA17A8" w:rsidRPr="00580811" w:rsidRDefault="00BA17A8" w:rsidP="00991582">
      <w:pPr>
        <w:spacing w:before="240" w:after="240" w:line="360" w:lineRule="auto"/>
        <w:jc w:val="both"/>
        <w:rPr>
          <w:rFonts w:ascii="Arial" w:hAnsi="Arial" w:cs="Arial"/>
          <w:sz w:val="24"/>
          <w:szCs w:val="24"/>
        </w:rPr>
      </w:pPr>
      <w:r w:rsidRPr="00580811">
        <w:rPr>
          <w:rFonts w:ascii="Arial" w:hAnsi="Arial" w:cs="Arial"/>
          <w:sz w:val="24"/>
          <w:szCs w:val="24"/>
          <w:lang w:eastAsia="es-ES"/>
        </w:rPr>
        <w:t xml:space="preserve">Así lo acordaron por </w:t>
      </w:r>
      <w:r w:rsidR="007121C6">
        <w:rPr>
          <w:rFonts w:ascii="Arial" w:hAnsi="Arial" w:cs="Arial"/>
          <w:b/>
          <w:bCs/>
          <w:sz w:val="24"/>
          <w:szCs w:val="24"/>
          <w:lang w:eastAsia="es-ES"/>
        </w:rPr>
        <w:t>unanimidad</w:t>
      </w:r>
      <w:r w:rsidR="00580811" w:rsidRPr="00580811">
        <w:rPr>
          <w:rFonts w:ascii="Arial" w:hAnsi="Arial" w:cs="Arial"/>
          <w:b/>
          <w:bCs/>
          <w:sz w:val="24"/>
          <w:szCs w:val="24"/>
          <w:lang w:eastAsia="es-ES"/>
        </w:rPr>
        <w:t xml:space="preserve"> </w:t>
      </w:r>
      <w:r w:rsidRPr="00580811">
        <w:rPr>
          <w:rFonts w:ascii="Arial" w:hAnsi="Arial" w:cs="Arial"/>
          <w:sz w:val="24"/>
          <w:szCs w:val="24"/>
          <w:lang w:eastAsia="es-ES"/>
        </w:rPr>
        <w:t>de votos</w:t>
      </w:r>
      <w:r w:rsidR="0031626B" w:rsidRPr="00580811">
        <w:rPr>
          <w:rFonts w:ascii="Arial" w:hAnsi="Arial" w:cs="Arial"/>
          <w:sz w:val="24"/>
          <w:szCs w:val="24"/>
          <w:lang w:eastAsia="es-ES"/>
        </w:rPr>
        <w:t xml:space="preserve">, </w:t>
      </w:r>
      <w:r w:rsidRPr="00580811">
        <w:rPr>
          <w:rFonts w:ascii="Arial" w:hAnsi="Arial" w:cs="Arial"/>
          <w:sz w:val="24"/>
          <w:szCs w:val="24"/>
          <w:lang w:eastAsia="es-ES"/>
        </w:rPr>
        <w:t xml:space="preserve">la Magistrada y los Magistrados integrantes de la Sala Regional del Tribunal Electoral del Poder Judicial de la Federación, correspondiente a la Segunda Circunscripción Electoral Plurinominal, ante </w:t>
      </w:r>
      <w:r w:rsidR="00580811">
        <w:rPr>
          <w:rFonts w:ascii="Arial" w:hAnsi="Arial" w:cs="Arial"/>
          <w:sz w:val="24"/>
          <w:szCs w:val="24"/>
          <w:lang w:eastAsia="es-ES"/>
        </w:rPr>
        <w:t>el</w:t>
      </w:r>
      <w:r w:rsidRPr="00580811">
        <w:rPr>
          <w:rFonts w:ascii="Arial" w:hAnsi="Arial" w:cs="Arial"/>
          <w:sz w:val="24"/>
          <w:szCs w:val="24"/>
          <w:lang w:eastAsia="es-ES"/>
        </w:rPr>
        <w:t xml:space="preserve"> Secretari</w:t>
      </w:r>
      <w:r w:rsidR="00580811">
        <w:rPr>
          <w:rFonts w:ascii="Arial" w:hAnsi="Arial" w:cs="Arial"/>
          <w:sz w:val="24"/>
          <w:szCs w:val="24"/>
          <w:lang w:eastAsia="es-ES"/>
        </w:rPr>
        <w:t>o</w:t>
      </w:r>
      <w:r w:rsidRPr="00580811">
        <w:rPr>
          <w:rFonts w:ascii="Arial" w:hAnsi="Arial" w:cs="Arial"/>
          <w:sz w:val="24"/>
          <w:szCs w:val="24"/>
          <w:lang w:eastAsia="es-ES"/>
        </w:rPr>
        <w:t xml:space="preserve"> General de Acuerdos, quien autoriza y da fe.</w:t>
      </w:r>
    </w:p>
    <w:p w14:paraId="56546038" w14:textId="4F03B4BE" w:rsidR="00131FEF" w:rsidRPr="00580811" w:rsidRDefault="006A40A0" w:rsidP="00D73B5D">
      <w:pPr>
        <w:spacing w:before="100" w:beforeAutospacing="1" w:after="100" w:afterAutospacing="1"/>
        <w:jc w:val="both"/>
        <w:rPr>
          <w:rFonts w:ascii="Arial" w:hAnsi="Arial" w:cs="Arial"/>
          <w:sz w:val="24"/>
          <w:szCs w:val="24"/>
          <w:lang w:val="es-ES"/>
        </w:rPr>
      </w:pPr>
      <w:bookmarkStart w:id="0" w:name="_Hlk55943271"/>
      <w:r w:rsidRPr="00580811">
        <w:rPr>
          <w:rFonts w:ascii="Arial" w:hAnsi="Arial" w:cs="Arial"/>
          <w:i/>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bookmarkEnd w:id="0"/>
    </w:p>
    <w:sectPr w:rsidR="00131FEF" w:rsidRPr="00580811" w:rsidSect="00232CBB">
      <w:headerReference w:type="even" r:id="rId8"/>
      <w:headerReference w:type="default" r:id="rId9"/>
      <w:footerReference w:type="even" r:id="rId10"/>
      <w:footerReference w:type="default" r:id="rId11"/>
      <w:headerReference w:type="first" r:id="rId12"/>
      <w:footerReference w:type="first" r:id="rId13"/>
      <w:pgSz w:w="12242" w:h="19295" w:code="124"/>
      <w:pgMar w:top="1418" w:right="1134" w:bottom="1985" w:left="3119" w:header="73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F7C15" w14:textId="77777777" w:rsidR="0047777F" w:rsidRDefault="0047777F" w:rsidP="00A37003">
      <w:pPr>
        <w:spacing w:after="0" w:line="240" w:lineRule="auto"/>
      </w:pPr>
      <w:r>
        <w:separator/>
      </w:r>
    </w:p>
  </w:endnote>
  <w:endnote w:type="continuationSeparator" w:id="0">
    <w:p w14:paraId="1543CF8F" w14:textId="77777777" w:rsidR="0047777F" w:rsidRDefault="0047777F" w:rsidP="00A3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CEC1" w14:textId="77777777" w:rsidR="00F22280" w:rsidRDefault="00F22280" w:rsidP="00C31E8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31D6" w14:textId="77777777" w:rsidR="009523F9" w:rsidRDefault="009523F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8AA9" w14:textId="77777777" w:rsidR="00F22280" w:rsidRDefault="00F22280" w:rsidP="003F4BBB">
    <w:pPr>
      <w:pStyle w:val="Piedepgina"/>
      <w:tabs>
        <w:tab w:val="clear" w:pos="4419"/>
        <w:tab w:val="clear" w:pos="8838"/>
        <w:tab w:val="left" w:pos="15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17021" w14:textId="77777777" w:rsidR="0047777F" w:rsidRDefault="0047777F" w:rsidP="00A37003">
      <w:pPr>
        <w:spacing w:after="0" w:line="240" w:lineRule="auto"/>
      </w:pPr>
      <w:r>
        <w:separator/>
      </w:r>
    </w:p>
  </w:footnote>
  <w:footnote w:type="continuationSeparator" w:id="0">
    <w:p w14:paraId="5D4E49B6" w14:textId="77777777" w:rsidR="0047777F" w:rsidRDefault="0047777F" w:rsidP="00A37003">
      <w:pPr>
        <w:spacing w:after="0" w:line="240" w:lineRule="auto"/>
      </w:pPr>
      <w:r>
        <w:continuationSeparator/>
      </w:r>
    </w:p>
  </w:footnote>
  <w:footnote w:id="1">
    <w:p w14:paraId="1FECE0AF" w14:textId="68FDE90D" w:rsidR="00DD7D45" w:rsidRPr="00DD7D45" w:rsidRDefault="00DD7D45" w:rsidP="00DD7D45">
      <w:pPr>
        <w:spacing w:after="0" w:line="240" w:lineRule="auto"/>
        <w:jc w:val="both"/>
        <w:rPr>
          <w:rFonts w:ascii="Arial" w:hAnsi="Arial" w:cs="Arial"/>
          <w:sz w:val="20"/>
          <w:szCs w:val="20"/>
          <w:lang w:val="es-ES"/>
        </w:rPr>
      </w:pPr>
      <w:r w:rsidRPr="00DD7D45">
        <w:rPr>
          <w:rStyle w:val="Refdenotaalpie"/>
          <w:rFonts w:ascii="Arial" w:hAnsi="Arial" w:cs="Arial"/>
          <w:sz w:val="20"/>
          <w:szCs w:val="20"/>
        </w:rPr>
        <w:footnoteRef/>
      </w:r>
      <w:r w:rsidRPr="00DD7D45">
        <w:rPr>
          <w:rFonts w:ascii="Arial" w:hAnsi="Arial" w:cs="Arial"/>
          <w:sz w:val="20"/>
          <w:szCs w:val="20"/>
        </w:rPr>
        <w:t xml:space="preserve"> </w:t>
      </w:r>
      <w:r w:rsidR="00580811">
        <w:rPr>
          <w:rFonts w:ascii="Arial" w:hAnsi="Arial" w:cs="Arial"/>
          <w:sz w:val="20"/>
          <w:szCs w:val="20"/>
        </w:rPr>
        <w:t xml:space="preserve">El </w:t>
      </w:r>
      <w:r w:rsidR="00D30617">
        <w:rPr>
          <w:rFonts w:ascii="Arial" w:hAnsi="Arial" w:cs="Arial"/>
          <w:sz w:val="20"/>
          <w:szCs w:val="20"/>
        </w:rPr>
        <w:t>siete de mayo</w:t>
      </w:r>
      <w:r w:rsidRPr="00DD7D45">
        <w:rPr>
          <w:rFonts w:ascii="Arial" w:hAnsi="Arial" w:cs="Arial"/>
          <w:sz w:val="20"/>
          <w:szCs w:val="20"/>
        </w:rPr>
        <w:t xml:space="preserve"> emitió la resolución y en esa misma fecha lo informó a esta Sala Regio</w:t>
      </w:r>
      <w:r w:rsidR="00580811">
        <w:rPr>
          <w:rFonts w:ascii="Arial" w:hAnsi="Arial" w:cs="Arial"/>
          <w:sz w:val="20"/>
          <w:szCs w:val="20"/>
        </w:rPr>
        <w:t>nal a través de</w:t>
      </w:r>
      <w:r w:rsidRPr="00DD7D45">
        <w:rPr>
          <w:rFonts w:ascii="Arial" w:hAnsi="Arial" w:cs="Arial"/>
          <w:sz w:val="20"/>
          <w:szCs w:val="20"/>
        </w:rPr>
        <w:t xml:space="preserve"> la cuenta de correo</w:t>
      </w:r>
      <w:r w:rsidR="00580811">
        <w:rPr>
          <w:rFonts w:ascii="Arial" w:hAnsi="Arial" w:cs="Arial"/>
          <w:sz w:val="20"/>
          <w:szCs w:val="20"/>
        </w:rPr>
        <w:t xml:space="preserve"> electrónico</w:t>
      </w:r>
      <w:r w:rsidRPr="00DD7D45">
        <w:rPr>
          <w:rFonts w:ascii="Arial" w:hAnsi="Arial" w:cs="Arial"/>
          <w:sz w:val="20"/>
          <w:szCs w:val="20"/>
        </w:rPr>
        <w:t xml:space="preserve"> </w:t>
      </w:r>
      <w:hyperlink r:id="rId1" w:history="1">
        <w:r w:rsidRPr="00DD7D45">
          <w:rPr>
            <w:rStyle w:val="Hipervnculo"/>
            <w:rFonts w:ascii="Arial" w:hAnsi="Arial" w:cs="Arial"/>
            <w:sz w:val="20"/>
            <w:szCs w:val="20"/>
          </w:rPr>
          <w:t>cumplimientos.salamonterrey@te.gob.mx</w:t>
        </w:r>
      </w:hyperlink>
      <w:r w:rsidR="00580811" w:rsidRPr="00580811">
        <w:rPr>
          <w:rStyle w:val="Hipervnculo"/>
          <w:rFonts w:ascii="Arial" w:hAnsi="Arial" w:cs="Arial"/>
          <w:color w:val="auto"/>
          <w:sz w:val="20"/>
          <w:szCs w:val="20"/>
          <w:u w:val="none"/>
        </w:rPr>
        <w:t>,</w:t>
      </w:r>
      <w:r w:rsidR="00580811">
        <w:rPr>
          <w:rStyle w:val="Hipervnculo"/>
          <w:rFonts w:ascii="Arial" w:hAnsi="Arial" w:cs="Arial"/>
          <w:color w:val="auto"/>
          <w:sz w:val="20"/>
          <w:szCs w:val="20"/>
          <w:u w:val="none"/>
        </w:rPr>
        <w:t xml:space="preserve"> y el </w:t>
      </w:r>
      <w:r w:rsidR="00D30617">
        <w:rPr>
          <w:rStyle w:val="Hipervnculo"/>
          <w:rFonts w:ascii="Arial" w:hAnsi="Arial" w:cs="Arial"/>
          <w:color w:val="auto"/>
          <w:sz w:val="20"/>
          <w:szCs w:val="20"/>
          <w:u w:val="none"/>
        </w:rPr>
        <w:t>once</w:t>
      </w:r>
      <w:r w:rsidR="00580811" w:rsidRPr="00DD7D45">
        <w:rPr>
          <w:rStyle w:val="Hipervnculo"/>
          <w:rFonts w:ascii="Arial" w:hAnsi="Arial" w:cs="Arial"/>
          <w:color w:val="auto"/>
          <w:sz w:val="20"/>
          <w:szCs w:val="20"/>
          <w:u w:val="none"/>
        </w:rPr>
        <w:t xml:space="preserve"> </w:t>
      </w:r>
      <w:r w:rsidR="00580811">
        <w:rPr>
          <w:rStyle w:val="Hipervnculo"/>
          <w:rFonts w:ascii="Arial" w:hAnsi="Arial" w:cs="Arial"/>
          <w:color w:val="auto"/>
          <w:sz w:val="20"/>
          <w:szCs w:val="20"/>
          <w:u w:val="none"/>
        </w:rPr>
        <w:t>siguiente ante</w:t>
      </w:r>
      <w:r w:rsidRPr="00DD7D45">
        <w:rPr>
          <w:rStyle w:val="Hipervnculo"/>
          <w:rFonts w:ascii="Arial" w:hAnsi="Arial" w:cs="Arial"/>
          <w:color w:val="auto"/>
          <w:sz w:val="20"/>
          <w:szCs w:val="20"/>
          <w:u w:val="none"/>
        </w:rPr>
        <w:t xml:space="preserve"> la Oficialía de Partes de esta Sala Regional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BB59F" w14:textId="4509D820" w:rsidR="00F22280" w:rsidRPr="00643B1F" w:rsidRDefault="0047777F" w:rsidP="000C3189">
    <w:pPr>
      <w:pStyle w:val="Encabezado"/>
      <w:rPr>
        <w:rFonts w:ascii="Arial" w:hAnsi="Arial" w:cs="Arial"/>
        <w:b/>
        <w:sz w:val="20"/>
        <w:szCs w:val="20"/>
      </w:rPr>
    </w:pPr>
    <w:sdt>
      <w:sdtPr>
        <w:rPr>
          <w:rFonts w:ascii="Arial" w:hAnsi="Arial" w:cs="Arial"/>
          <w:b/>
          <w:sz w:val="20"/>
          <w:szCs w:val="20"/>
        </w:rPr>
        <w:id w:val="698274360"/>
        <w:docPartObj>
          <w:docPartGallery w:val="Page Numbers (Margins)"/>
          <w:docPartUnique/>
        </w:docPartObj>
      </w:sdtPr>
      <w:sdtEndPr/>
      <w:sdtContent>
        <w:r w:rsidR="00F22280" w:rsidRPr="00643B1F">
          <w:rPr>
            <w:rFonts w:ascii="Arial" w:hAnsi="Arial" w:cs="Arial"/>
            <w:b/>
            <w:noProof/>
            <w:sz w:val="20"/>
            <w:szCs w:val="20"/>
            <w:lang w:eastAsia="es-MX"/>
          </w:rPr>
          <mc:AlternateContent>
            <mc:Choice Requires="wps">
              <w:drawing>
                <wp:anchor distT="0" distB="0" distL="114300" distR="114300" simplePos="0" relativeHeight="251657216" behindDoc="0" locked="0" layoutInCell="0" allowOverlap="1" wp14:anchorId="6239401A" wp14:editId="495D1E3B">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05274739"/>
                              </w:sdtPr>
                              <w:sdtEndPr/>
                              <w:sdtContent>
                                <w:sdt>
                                  <w:sdtPr>
                                    <w:rPr>
                                      <w:rFonts w:asciiTheme="majorHAnsi" w:eastAsiaTheme="majorEastAsia" w:hAnsiTheme="majorHAnsi" w:cstheme="majorBidi"/>
                                      <w:sz w:val="48"/>
                                      <w:szCs w:val="48"/>
                                    </w:rPr>
                                    <w:id w:val="1929374727"/>
                                  </w:sdtPr>
                                  <w:sdtEndPr/>
                                  <w:sdtContent>
                                    <w:p w14:paraId="5435A31F" w14:textId="77777777" w:rsidR="00F22280" w:rsidRDefault="00F22280">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Pr="00BB71B9">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9401A" id="Rectángulo 9"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haE74QECAADRAwAADgAAAAAAAAAAAAAA&#10;AAAuAgAAZHJzL2Uyb0RvYy54bWxQSwECLQAUAAYACAAAACEAbNUf09kAAAAFAQAADwAAAAAAAAAA&#10;AAAAAABbBAAAZHJzL2Rvd25yZXYueG1sUEsFBgAAAAAEAAQA8wAAAGEFAAAAAA==&#10;" o:allowincell="f" stroked="f">
                  <v:textbox>
                    <w:txbxContent>
                      <w:sdt>
                        <w:sdtPr>
                          <w:rPr>
                            <w:rFonts w:asciiTheme="majorHAnsi" w:eastAsiaTheme="majorEastAsia" w:hAnsiTheme="majorHAnsi" w:cstheme="majorBidi"/>
                            <w:sz w:val="48"/>
                            <w:szCs w:val="48"/>
                          </w:rPr>
                          <w:id w:val="-2005274739"/>
                        </w:sdtPr>
                        <w:sdtEndPr/>
                        <w:sdtContent>
                          <w:sdt>
                            <w:sdtPr>
                              <w:rPr>
                                <w:rFonts w:asciiTheme="majorHAnsi" w:eastAsiaTheme="majorEastAsia" w:hAnsiTheme="majorHAnsi" w:cstheme="majorBidi"/>
                                <w:sz w:val="48"/>
                                <w:szCs w:val="48"/>
                              </w:rPr>
                              <w:id w:val="1929374727"/>
                            </w:sdtPr>
                            <w:sdtEndPr/>
                            <w:sdtContent>
                              <w:p w14:paraId="5435A31F" w14:textId="77777777" w:rsidR="00F22280" w:rsidRDefault="00F22280">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Pr="00BB71B9">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F22280" w:rsidRPr="00643B1F">
      <w:rPr>
        <w:rFonts w:ascii="Arial" w:hAnsi="Arial" w:cs="Arial"/>
        <w:b/>
        <w:sz w:val="20"/>
        <w:szCs w:val="20"/>
      </w:rPr>
      <w:t>SM-</w:t>
    </w:r>
    <w:r w:rsidR="00F22280">
      <w:rPr>
        <w:rFonts w:ascii="Arial" w:hAnsi="Arial" w:cs="Arial"/>
        <w:b/>
        <w:sz w:val="20"/>
        <w:szCs w:val="20"/>
      </w:rPr>
      <w:t>J</w:t>
    </w:r>
    <w:r w:rsidR="00A63650">
      <w:rPr>
        <w:rFonts w:ascii="Arial" w:hAnsi="Arial" w:cs="Arial"/>
        <w:b/>
        <w:sz w:val="20"/>
        <w:szCs w:val="20"/>
      </w:rPr>
      <w:t>R</w:t>
    </w:r>
    <w:r w:rsidR="00F22280">
      <w:rPr>
        <w:rFonts w:ascii="Arial" w:hAnsi="Arial" w:cs="Arial"/>
        <w:b/>
        <w:sz w:val="20"/>
        <w:szCs w:val="20"/>
      </w:rPr>
      <w:t>C-</w:t>
    </w:r>
    <w:r w:rsidR="00A63650">
      <w:rPr>
        <w:rFonts w:ascii="Arial" w:hAnsi="Arial" w:cs="Arial"/>
        <w:b/>
        <w:sz w:val="20"/>
        <w:szCs w:val="20"/>
      </w:rPr>
      <w:t>51</w:t>
    </w:r>
    <w:r w:rsidR="00DD7D45">
      <w:rPr>
        <w:rFonts w:ascii="Arial" w:hAnsi="Arial" w:cs="Arial"/>
        <w:b/>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F87A" w14:textId="25B525EF" w:rsidR="00F22280" w:rsidRPr="00A15F4D" w:rsidRDefault="0047777F" w:rsidP="00ED12F1">
    <w:pPr>
      <w:pStyle w:val="Encabezado"/>
      <w:rPr>
        <w:rFonts w:ascii="Arial" w:hAnsi="Arial" w:cs="Arial"/>
        <w:b/>
      </w:rPr>
    </w:pPr>
    <w:sdt>
      <w:sdtPr>
        <w:rPr>
          <w:rFonts w:ascii="Arial" w:hAnsi="Arial" w:cs="Arial"/>
          <w:b/>
          <w:sz w:val="20"/>
          <w:szCs w:val="20"/>
        </w:rPr>
        <w:id w:val="314919446"/>
        <w:docPartObj>
          <w:docPartGallery w:val="Page Numbers (Margins)"/>
          <w:docPartUnique/>
        </w:docPartObj>
      </w:sdtPr>
      <w:sdtEndPr/>
      <w:sdtContent>
        <w:r w:rsidR="00F22280" w:rsidRPr="00C31E87">
          <w:rPr>
            <w:rFonts w:ascii="Arial" w:hAnsi="Arial" w:cs="Arial"/>
            <w:b/>
            <w:noProof/>
            <w:sz w:val="20"/>
            <w:szCs w:val="20"/>
            <w:lang w:eastAsia="es-MX"/>
          </w:rPr>
          <mc:AlternateContent>
            <mc:Choice Requires="wps">
              <w:drawing>
                <wp:anchor distT="0" distB="0" distL="114300" distR="114300" simplePos="0" relativeHeight="251658240" behindDoc="0" locked="0" layoutInCell="0" allowOverlap="1" wp14:anchorId="6461B708" wp14:editId="13B7A3C5">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47066901"/>
                              </w:sdtPr>
                              <w:sdtEndPr/>
                              <w:sdtContent>
                                <w:p w14:paraId="5CE23ED1" w14:textId="77777777" w:rsidR="00F22280" w:rsidRDefault="00F22280">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Pr="00DD4276">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1B708" id="_x0000_s1027"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L2342YCAgAA2A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sz w:val="48"/>
                            <w:szCs w:val="48"/>
                          </w:rPr>
                          <w:id w:val="847066901"/>
                        </w:sdtPr>
                        <w:sdtEndPr/>
                        <w:sdtContent>
                          <w:p w14:paraId="5CE23ED1" w14:textId="77777777" w:rsidR="00F22280" w:rsidRDefault="00F22280">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Pr="00DD4276">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ED12F1" w:rsidRPr="00ED12F1">
      <w:rPr>
        <w:rFonts w:ascii="Arial" w:hAnsi="Arial" w:cs="Arial"/>
        <w:b/>
        <w:sz w:val="20"/>
        <w:szCs w:val="20"/>
      </w:rPr>
      <w:t xml:space="preserve"> </w:t>
    </w:r>
    <w:r w:rsidR="00ED12F1">
      <w:rPr>
        <w:rFonts w:ascii="Arial" w:hAnsi="Arial" w:cs="Arial"/>
        <w:b/>
        <w:sz w:val="20"/>
        <w:szCs w:val="20"/>
      </w:rPr>
      <w:tab/>
    </w:r>
    <w:r w:rsidR="00ED12F1">
      <w:rPr>
        <w:rFonts w:ascii="Arial" w:hAnsi="Arial" w:cs="Arial"/>
        <w:b/>
        <w:sz w:val="20"/>
        <w:szCs w:val="20"/>
      </w:rPr>
      <w:tab/>
    </w:r>
    <w:r w:rsidR="00ED12F1" w:rsidRPr="00643B1F">
      <w:rPr>
        <w:rFonts w:ascii="Arial" w:hAnsi="Arial" w:cs="Arial"/>
        <w:b/>
        <w:sz w:val="20"/>
        <w:szCs w:val="20"/>
      </w:rPr>
      <w:t>SM-</w:t>
    </w:r>
    <w:r w:rsidR="00ED12F1">
      <w:rPr>
        <w:rFonts w:ascii="Arial" w:hAnsi="Arial" w:cs="Arial"/>
        <w:b/>
        <w:sz w:val="20"/>
        <w:szCs w:val="20"/>
      </w:rPr>
      <w:t>JDC-3</w:t>
    </w:r>
    <w:r w:rsidR="003843B0">
      <w:rPr>
        <w:rFonts w:ascii="Arial" w:hAnsi="Arial" w:cs="Arial"/>
        <w:b/>
        <w:sz w:val="20"/>
        <w:szCs w:val="20"/>
      </w:rPr>
      <w:t>31</w:t>
    </w:r>
    <w:r w:rsidR="00ED12F1" w:rsidRPr="00643B1F">
      <w:rPr>
        <w:rFonts w:ascii="Arial" w:hAnsi="Arial" w:cs="Arial"/>
        <w:b/>
        <w:sz w:val="20"/>
        <w:szCs w:val="20"/>
      </w:rPr>
      <w:t>/20</w:t>
    </w:r>
    <w:r w:rsidR="00ED12F1">
      <w:rPr>
        <w:rFonts w:ascii="Arial" w:hAnsi="Arial" w:cs="Arial"/>
        <w:b/>
        <w:sz w:val="20"/>
        <w:szCs w:val="20"/>
      </w:rPr>
      <w:t>20</w:t>
    </w:r>
    <w:r w:rsidR="00F22280" w:rsidRPr="00F23F01">
      <w:rPr>
        <w:noProof/>
        <w:sz w:val="24"/>
        <w:lang w:eastAsia="es-MX"/>
      </w:rPr>
      <w:drawing>
        <wp:anchor distT="0" distB="0" distL="114300" distR="114300" simplePos="0" relativeHeight="251660288" behindDoc="0" locked="0" layoutInCell="1" allowOverlap="1" wp14:anchorId="07128BB2" wp14:editId="6D85D7F2">
          <wp:simplePos x="0" y="0"/>
          <wp:positionH relativeFrom="column">
            <wp:posOffset>-1487170</wp:posOffset>
          </wp:positionH>
          <wp:positionV relativeFrom="paragraph">
            <wp:posOffset>248285</wp:posOffset>
          </wp:positionV>
          <wp:extent cx="1378800" cy="1191600"/>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pic:spPr>
              </pic:pic>
            </a:graphicData>
          </a:graphic>
          <wp14:sizeRelH relativeFrom="margin">
            <wp14:pctWidth>0</wp14:pctWidth>
          </wp14:sizeRelH>
          <wp14:sizeRelV relativeFrom="margin">
            <wp14:pctHeight>0</wp14:pctHeight>
          </wp14:sizeRelV>
        </wp:anchor>
      </w:drawing>
    </w:r>
    <w:r w:rsidR="00F22280" w:rsidRPr="004B5BD8">
      <w:rPr>
        <w:rFonts w:ascii="Arial" w:hAnsi="Arial" w:cs="Arial"/>
        <w:b/>
      </w:rPr>
      <w:t xml:space="preserve"> </w:t>
    </w:r>
  </w:p>
  <w:p w14:paraId="504723C1" w14:textId="77777777" w:rsidR="00F22280" w:rsidRPr="00F23F01" w:rsidRDefault="00F22280" w:rsidP="008153F2">
    <w:pPr>
      <w:pStyle w:val="Encabezado"/>
      <w:jc w:val="right"/>
      <w:rPr>
        <w:rFonts w:ascii="Arial" w:hAnsi="Arial" w:cs="Arial"/>
        <w:b/>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99812" w14:textId="3E2C501A" w:rsidR="00F22280" w:rsidRDefault="00F22280">
    <w:pPr>
      <w:pStyle w:val="Encabezado"/>
    </w:pPr>
    <w:r>
      <w:rPr>
        <w:noProof/>
        <w:lang w:eastAsia="es-MX"/>
      </w:rPr>
      <w:drawing>
        <wp:anchor distT="0" distB="0" distL="114300" distR="114300" simplePos="0" relativeHeight="251654144" behindDoc="0" locked="0" layoutInCell="1" allowOverlap="1" wp14:anchorId="7F229EC8" wp14:editId="6E326394">
          <wp:simplePos x="0" y="0"/>
          <wp:positionH relativeFrom="column">
            <wp:posOffset>-1485385</wp:posOffset>
          </wp:positionH>
          <wp:positionV relativeFrom="paragraph">
            <wp:posOffset>247063</wp:posOffset>
          </wp:positionV>
          <wp:extent cx="1377950" cy="119253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C87"/>
    <w:multiLevelType w:val="hybridMultilevel"/>
    <w:tmpl w:val="40463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731069"/>
    <w:multiLevelType w:val="hybridMultilevel"/>
    <w:tmpl w:val="18828A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711CCA"/>
    <w:multiLevelType w:val="hybridMultilevel"/>
    <w:tmpl w:val="593478D0"/>
    <w:lvl w:ilvl="0" w:tplc="43B28198">
      <w:start w:val="1"/>
      <w:numFmt w:val="lowerLetter"/>
      <w:lvlText w:val="%1)"/>
      <w:lvlJc w:val="left"/>
      <w:pPr>
        <w:ind w:left="1144" w:hanging="570"/>
      </w:pPr>
      <w:rPr>
        <w:rFonts w:hint="default"/>
        <w:b/>
      </w:rPr>
    </w:lvl>
    <w:lvl w:ilvl="1" w:tplc="080A0019" w:tentative="1">
      <w:start w:val="1"/>
      <w:numFmt w:val="lowerLetter"/>
      <w:lvlText w:val="%2."/>
      <w:lvlJc w:val="left"/>
      <w:pPr>
        <w:ind w:left="1654" w:hanging="360"/>
      </w:pPr>
    </w:lvl>
    <w:lvl w:ilvl="2" w:tplc="080A001B" w:tentative="1">
      <w:start w:val="1"/>
      <w:numFmt w:val="lowerRoman"/>
      <w:lvlText w:val="%3."/>
      <w:lvlJc w:val="right"/>
      <w:pPr>
        <w:ind w:left="2374" w:hanging="180"/>
      </w:pPr>
    </w:lvl>
    <w:lvl w:ilvl="3" w:tplc="080A000F" w:tentative="1">
      <w:start w:val="1"/>
      <w:numFmt w:val="decimal"/>
      <w:lvlText w:val="%4."/>
      <w:lvlJc w:val="left"/>
      <w:pPr>
        <w:ind w:left="3094" w:hanging="360"/>
      </w:pPr>
    </w:lvl>
    <w:lvl w:ilvl="4" w:tplc="080A0019" w:tentative="1">
      <w:start w:val="1"/>
      <w:numFmt w:val="lowerLetter"/>
      <w:lvlText w:val="%5."/>
      <w:lvlJc w:val="left"/>
      <w:pPr>
        <w:ind w:left="3814" w:hanging="360"/>
      </w:pPr>
    </w:lvl>
    <w:lvl w:ilvl="5" w:tplc="080A001B" w:tentative="1">
      <w:start w:val="1"/>
      <w:numFmt w:val="lowerRoman"/>
      <w:lvlText w:val="%6."/>
      <w:lvlJc w:val="right"/>
      <w:pPr>
        <w:ind w:left="4534" w:hanging="180"/>
      </w:pPr>
    </w:lvl>
    <w:lvl w:ilvl="6" w:tplc="080A000F" w:tentative="1">
      <w:start w:val="1"/>
      <w:numFmt w:val="decimal"/>
      <w:lvlText w:val="%7."/>
      <w:lvlJc w:val="left"/>
      <w:pPr>
        <w:ind w:left="5254" w:hanging="360"/>
      </w:pPr>
    </w:lvl>
    <w:lvl w:ilvl="7" w:tplc="080A0019" w:tentative="1">
      <w:start w:val="1"/>
      <w:numFmt w:val="lowerLetter"/>
      <w:lvlText w:val="%8."/>
      <w:lvlJc w:val="left"/>
      <w:pPr>
        <w:ind w:left="5974" w:hanging="360"/>
      </w:pPr>
    </w:lvl>
    <w:lvl w:ilvl="8" w:tplc="080A001B" w:tentative="1">
      <w:start w:val="1"/>
      <w:numFmt w:val="lowerRoman"/>
      <w:lvlText w:val="%9."/>
      <w:lvlJc w:val="right"/>
      <w:pPr>
        <w:ind w:left="6694" w:hanging="180"/>
      </w:pPr>
    </w:lvl>
  </w:abstractNum>
  <w:abstractNum w:abstractNumId="3" w15:restartNumberingAfterBreak="0">
    <w:nsid w:val="1A9B5D41"/>
    <w:multiLevelType w:val="hybridMultilevel"/>
    <w:tmpl w:val="A8927F8A"/>
    <w:lvl w:ilvl="0" w:tplc="AE2AEE22">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1D5A2CF1"/>
    <w:multiLevelType w:val="hybridMultilevel"/>
    <w:tmpl w:val="BE289C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BB0E12"/>
    <w:multiLevelType w:val="hybridMultilevel"/>
    <w:tmpl w:val="D7987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1C6726"/>
    <w:multiLevelType w:val="hybridMultilevel"/>
    <w:tmpl w:val="C10A393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350C3CD1"/>
    <w:multiLevelType w:val="hybridMultilevel"/>
    <w:tmpl w:val="D250E2AE"/>
    <w:lvl w:ilvl="0" w:tplc="DD5A6EFA">
      <w:start w:val="1"/>
      <w:numFmt w:val="upperRoman"/>
      <w:lvlText w:val="%1."/>
      <w:lvlJc w:val="left"/>
      <w:pPr>
        <w:ind w:left="1080" w:hanging="720"/>
      </w:pPr>
      <w:rPr>
        <w:rFonts w:eastAsia="Times New Roman"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D7453D"/>
    <w:multiLevelType w:val="hybridMultilevel"/>
    <w:tmpl w:val="F0EC5730"/>
    <w:lvl w:ilvl="0" w:tplc="080A0019">
      <w:start w:val="1"/>
      <w:numFmt w:val="lowerLetter"/>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15:restartNumberingAfterBreak="0">
    <w:nsid w:val="40F069A4"/>
    <w:multiLevelType w:val="hybridMultilevel"/>
    <w:tmpl w:val="16C613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518C3CBB"/>
    <w:multiLevelType w:val="hybridMultilevel"/>
    <w:tmpl w:val="3EBC285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56F37C98"/>
    <w:multiLevelType w:val="hybridMultilevel"/>
    <w:tmpl w:val="CF5A52F4"/>
    <w:lvl w:ilvl="0" w:tplc="DA7EC466">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207B66"/>
    <w:multiLevelType w:val="hybridMultilevel"/>
    <w:tmpl w:val="E9B678F6"/>
    <w:lvl w:ilvl="0" w:tplc="F19221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0"/>
  </w:num>
  <w:num w:numId="5">
    <w:abstractNumId w:val="6"/>
  </w:num>
  <w:num w:numId="6">
    <w:abstractNumId w:val="8"/>
  </w:num>
  <w:num w:numId="7">
    <w:abstractNumId w:val="1"/>
  </w:num>
  <w:num w:numId="8">
    <w:abstractNumId w:val="12"/>
  </w:num>
  <w:num w:numId="9">
    <w:abstractNumId w:val="4"/>
  </w:num>
  <w:num w:numId="10">
    <w:abstractNumId w:val="7"/>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03"/>
    <w:rsid w:val="000034C5"/>
    <w:rsid w:val="00005D0A"/>
    <w:rsid w:val="00014B08"/>
    <w:rsid w:val="00015570"/>
    <w:rsid w:val="00015C0D"/>
    <w:rsid w:val="000166C9"/>
    <w:rsid w:val="000169DC"/>
    <w:rsid w:val="00016FD7"/>
    <w:rsid w:val="00017820"/>
    <w:rsid w:val="00017FF3"/>
    <w:rsid w:val="0002065E"/>
    <w:rsid w:val="00023E11"/>
    <w:rsid w:val="0002488E"/>
    <w:rsid w:val="0005645A"/>
    <w:rsid w:val="00070CDE"/>
    <w:rsid w:val="00077103"/>
    <w:rsid w:val="00086C09"/>
    <w:rsid w:val="000904CE"/>
    <w:rsid w:val="00096080"/>
    <w:rsid w:val="00096CF2"/>
    <w:rsid w:val="000A0189"/>
    <w:rsid w:val="000A7576"/>
    <w:rsid w:val="000B3A8D"/>
    <w:rsid w:val="000B4428"/>
    <w:rsid w:val="000B6111"/>
    <w:rsid w:val="000C3189"/>
    <w:rsid w:val="000C33DE"/>
    <w:rsid w:val="000C547A"/>
    <w:rsid w:val="000C58AF"/>
    <w:rsid w:val="000D16AE"/>
    <w:rsid w:val="000D5330"/>
    <w:rsid w:val="000E316D"/>
    <w:rsid w:val="000E5083"/>
    <w:rsid w:val="000F34BA"/>
    <w:rsid w:val="000F37F7"/>
    <w:rsid w:val="000F385B"/>
    <w:rsid w:val="001036C1"/>
    <w:rsid w:val="001129BE"/>
    <w:rsid w:val="00114506"/>
    <w:rsid w:val="0011496E"/>
    <w:rsid w:val="0011753B"/>
    <w:rsid w:val="00123577"/>
    <w:rsid w:val="00127591"/>
    <w:rsid w:val="00130233"/>
    <w:rsid w:val="0013192D"/>
    <w:rsid w:val="00131FEF"/>
    <w:rsid w:val="00141DD6"/>
    <w:rsid w:val="00142069"/>
    <w:rsid w:val="00144DBB"/>
    <w:rsid w:val="001609CD"/>
    <w:rsid w:val="0016420B"/>
    <w:rsid w:val="00164F52"/>
    <w:rsid w:val="00170361"/>
    <w:rsid w:val="00172143"/>
    <w:rsid w:val="00175A31"/>
    <w:rsid w:val="001820DB"/>
    <w:rsid w:val="00190FA6"/>
    <w:rsid w:val="00194284"/>
    <w:rsid w:val="001A27A3"/>
    <w:rsid w:val="001A4708"/>
    <w:rsid w:val="001A7D12"/>
    <w:rsid w:val="001B3156"/>
    <w:rsid w:val="001B38EF"/>
    <w:rsid w:val="001C3105"/>
    <w:rsid w:val="001C3AB2"/>
    <w:rsid w:val="001C54EE"/>
    <w:rsid w:val="001C651A"/>
    <w:rsid w:val="001D1F0C"/>
    <w:rsid w:val="001D3EDF"/>
    <w:rsid w:val="001D6190"/>
    <w:rsid w:val="001F7A39"/>
    <w:rsid w:val="0020007B"/>
    <w:rsid w:val="002049CC"/>
    <w:rsid w:val="002050E9"/>
    <w:rsid w:val="00206720"/>
    <w:rsid w:val="0021563D"/>
    <w:rsid w:val="002162BB"/>
    <w:rsid w:val="00216929"/>
    <w:rsid w:val="002232FD"/>
    <w:rsid w:val="00226DA9"/>
    <w:rsid w:val="00227872"/>
    <w:rsid w:val="00232372"/>
    <w:rsid w:val="00232CBB"/>
    <w:rsid w:val="0023610B"/>
    <w:rsid w:val="00241E3D"/>
    <w:rsid w:val="0024337B"/>
    <w:rsid w:val="0024460C"/>
    <w:rsid w:val="002464A8"/>
    <w:rsid w:val="0024743D"/>
    <w:rsid w:val="00257409"/>
    <w:rsid w:val="002676EF"/>
    <w:rsid w:val="002824CF"/>
    <w:rsid w:val="002855F6"/>
    <w:rsid w:val="0029055A"/>
    <w:rsid w:val="002978D8"/>
    <w:rsid w:val="002A239D"/>
    <w:rsid w:val="002A29E6"/>
    <w:rsid w:val="002B26B6"/>
    <w:rsid w:val="002B4E0B"/>
    <w:rsid w:val="002B4FB3"/>
    <w:rsid w:val="002B6C58"/>
    <w:rsid w:val="002C0083"/>
    <w:rsid w:val="002C282D"/>
    <w:rsid w:val="002C58BE"/>
    <w:rsid w:val="002C6198"/>
    <w:rsid w:val="002D050C"/>
    <w:rsid w:val="002D0F0E"/>
    <w:rsid w:val="002D13B0"/>
    <w:rsid w:val="002D1619"/>
    <w:rsid w:val="002E6FC7"/>
    <w:rsid w:val="002F6456"/>
    <w:rsid w:val="003002D5"/>
    <w:rsid w:val="00312565"/>
    <w:rsid w:val="00314D2C"/>
    <w:rsid w:val="00315684"/>
    <w:rsid w:val="0031626B"/>
    <w:rsid w:val="0032140C"/>
    <w:rsid w:val="00321B36"/>
    <w:rsid w:val="00323D29"/>
    <w:rsid w:val="0032628C"/>
    <w:rsid w:val="00330882"/>
    <w:rsid w:val="0033161B"/>
    <w:rsid w:val="00331D5F"/>
    <w:rsid w:val="003333CF"/>
    <w:rsid w:val="00333489"/>
    <w:rsid w:val="00335AD9"/>
    <w:rsid w:val="00335B08"/>
    <w:rsid w:val="00347F3A"/>
    <w:rsid w:val="00354CA6"/>
    <w:rsid w:val="003569DA"/>
    <w:rsid w:val="003570C8"/>
    <w:rsid w:val="00357618"/>
    <w:rsid w:val="00360C7A"/>
    <w:rsid w:val="0036648C"/>
    <w:rsid w:val="00367201"/>
    <w:rsid w:val="00374577"/>
    <w:rsid w:val="0038050A"/>
    <w:rsid w:val="003843B0"/>
    <w:rsid w:val="00386881"/>
    <w:rsid w:val="00391B72"/>
    <w:rsid w:val="003957A5"/>
    <w:rsid w:val="003A2846"/>
    <w:rsid w:val="003B0C0E"/>
    <w:rsid w:val="003D079F"/>
    <w:rsid w:val="003D2E07"/>
    <w:rsid w:val="003D3502"/>
    <w:rsid w:val="003D747A"/>
    <w:rsid w:val="003E3D3A"/>
    <w:rsid w:val="003F025E"/>
    <w:rsid w:val="003F4BBB"/>
    <w:rsid w:val="00405A3F"/>
    <w:rsid w:val="004202CF"/>
    <w:rsid w:val="00432FD1"/>
    <w:rsid w:val="00433BEE"/>
    <w:rsid w:val="0044555B"/>
    <w:rsid w:val="00450BB7"/>
    <w:rsid w:val="00451BB7"/>
    <w:rsid w:val="004540D4"/>
    <w:rsid w:val="00457C0B"/>
    <w:rsid w:val="00460AB1"/>
    <w:rsid w:val="0046256C"/>
    <w:rsid w:val="00463033"/>
    <w:rsid w:val="004737A6"/>
    <w:rsid w:val="0047777F"/>
    <w:rsid w:val="0048123C"/>
    <w:rsid w:val="0048237A"/>
    <w:rsid w:val="00493F45"/>
    <w:rsid w:val="00496A57"/>
    <w:rsid w:val="00497551"/>
    <w:rsid w:val="004A316E"/>
    <w:rsid w:val="004A3608"/>
    <w:rsid w:val="004A7863"/>
    <w:rsid w:val="004B5BD8"/>
    <w:rsid w:val="004B787C"/>
    <w:rsid w:val="004C31CF"/>
    <w:rsid w:val="004C4F22"/>
    <w:rsid w:val="004C4FB3"/>
    <w:rsid w:val="004D0D7F"/>
    <w:rsid w:val="004D23C5"/>
    <w:rsid w:val="004E3AA3"/>
    <w:rsid w:val="004E5F3E"/>
    <w:rsid w:val="004F443B"/>
    <w:rsid w:val="004F7B0E"/>
    <w:rsid w:val="005051B9"/>
    <w:rsid w:val="00507AE1"/>
    <w:rsid w:val="00522DEC"/>
    <w:rsid w:val="0052610C"/>
    <w:rsid w:val="00530D5F"/>
    <w:rsid w:val="00534348"/>
    <w:rsid w:val="005360C4"/>
    <w:rsid w:val="00536470"/>
    <w:rsid w:val="00543C47"/>
    <w:rsid w:val="0055033A"/>
    <w:rsid w:val="00554798"/>
    <w:rsid w:val="00556182"/>
    <w:rsid w:val="00556F6D"/>
    <w:rsid w:val="00557BC0"/>
    <w:rsid w:val="0056236A"/>
    <w:rsid w:val="005701A1"/>
    <w:rsid w:val="0057110B"/>
    <w:rsid w:val="00572305"/>
    <w:rsid w:val="00573900"/>
    <w:rsid w:val="00575E2B"/>
    <w:rsid w:val="00580278"/>
    <w:rsid w:val="00580811"/>
    <w:rsid w:val="00585133"/>
    <w:rsid w:val="005A2A81"/>
    <w:rsid w:val="005B11F8"/>
    <w:rsid w:val="005B6015"/>
    <w:rsid w:val="005B66B9"/>
    <w:rsid w:val="005B7886"/>
    <w:rsid w:val="005C040A"/>
    <w:rsid w:val="005C41F7"/>
    <w:rsid w:val="005D320C"/>
    <w:rsid w:val="005D794B"/>
    <w:rsid w:val="005F0251"/>
    <w:rsid w:val="005F14D9"/>
    <w:rsid w:val="005F5E89"/>
    <w:rsid w:val="00605BD8"/>
    <w:rsid w:val="00615524"/>
    <w:rsid w:val="00617B44"/>
    <w:rsid w:val="00622F4E"/>
    <w:rsid w:val="006244B0"/>
    <w:rsid w:val="006302B9"/>
    <w:rsid w:val="00643B1F"/>
    <w:rsid w:val="0064421A"/>
    <w:rsid w:val="00647269"/>
    <w:rsid w:val="00650A88"/>
    <w:rsid w:val="006531BE"/>
    <w:rsid w:val="0065360E"/>
    <w:rsid w:val="00654A21"/>
    <w:rsid w:val="0066350C"/>
    <w:rsid w:val="0066527F"/>
    <w:rsid w:val="00666A74"/>
    <w:rsid w:val="00672AD0"/>
    <w:rsid w:val="006731B9"/>
    <w:rsid w:val="006757E4"/>
    <w:rsid w:val="00683C93"/>
    <w:rsid w:val="00687B79"/>
    <w:rsid w:val="006968E8"/>
    <w:rsid w:val="006A3CFC"/>
    <w:rsid w:val="006A40A0"/>
    <w:rsid w:val="006B06F6"/>
    <w:rsid w:val="006B182C"/>
    <w:rsid w:val="006B2958"/>
    <w:rsid w:val="006B4138"/>
    <w:rsid w:val="006B46C1"/>
    <w:rsid w:val="006B4D2B"/>
    <w:rsid w:val="006B4FFC"/>
    <w:rsid w:val="006C0361"/>
    <w:rsid w:val="006C10D5"/>
    <w:rsid w:val="006C366D"/>
    <w:rsid w:val="006C7EE7"/>
    <w:rsid w:val="006D441C"/>
    <w:rsid w:val="006D47E1"/>
    <w:rsid w:val="006E0387"/>
    <w:rsid w:val="006F1C1B"/>
    <w:rsid w:val="006F648A"/>
    <w:rsid w:val="006F708A"/>
    <w:rsid w:val="00701D9F"/>
    <w:rsid w:val="007024D5"/>
    <w:rsid w:val="0070390D"/>
    <w:rsid w:val="00703F9C"/>
    <w:rsid w:val="007076A1"/>
    <w:rsid w:val="007107DB"/>
    <w:rsid w:val="007121C6"/>
    <w:rsid w:val="00716E70"/>
    <w:rsid w:val="0072510F"/>
    <w:rsid w:val="007334E5"/>
    <w:rsid w:val="00736A02"/>
    <w:rsid w:val="00736E51"/>
    <w:rsid w:val="00740CF8"/>
    <w:rsid w:val="00740F7C"/>
    <w:rsid w:val="0074411D"/>
    <w:rsid w:val="00746381"/>
    <w:rsid w:val="00746A53"/>
    <w:rsid w:val="0075226B"/>
    <w:rsid w:val="00763859"/>
    <w:rsid w:val="0076482B"/>
    <w:rsid w:val="00766856"/>
    <w:rsid w:val="00777FE7"/>
    <w:rsid w:val="00781C22"/>
    <w:rsid w:val="00783EB6"/>
    <w:rsid w:val="00796063"/>
    <w:rsid w:val="0079744E"/>
    <w:rsid w:val="007A178E"/>
    <w:rsid w:val="007A1FDB"/>
    <w:rsid w:val="007A3B56"/>
    <w:rsid w:val="007A4571"/>
    <w:rsid w:val="007A4ECF"/>
    <w:rsid w:val="007B146F"/>
    <w:rsid w:val="007B1EEC"/>
    <w:rsid w:val="007D22DA"/>
    <w:rsid w:val="007D5A0B"/>
    <w:rsid w:val="007D76C0"/>
    <w:rsid w:val="007E0123"/>
    <w:rsid w:val="007E74AE"/>
    <w:rsid w:val="007E793E"/>
    <w:rsid w:val="007F2052"/>
    <w:rsid w:val="007F585A"/>
    <w:rsid w:val="007F6885"/>
    <w:rsid w:val="007F6941"/>
    <w:rsid w:val="007F7214"/>
    <w:rsid w:val="00803989"/>
    <w:rsid w:val="008153F2"/>
    <w:rsid w:val="008234A0"/>
    <w:rsid w:val="00827A8C"/>
    <w:rsid w:val="00841873"/>
    <w:rsid w:val="0084383A"/>
    <w:rsid w:val="00847D46"/>
    <w:rsid w:val="00852D16"/>
    <w:rsid w:val="008635AC"/>
    <w:rsid w:val="00874BBE"/>
    <w:rsid w:val="0088024C"/>
    <w:rsid w:val="008957DE"/>
    <w:rsid w:val="008A1A30"/>
    <w:rsid w:val="008A31C5"/>
    <w:rsid w:val="008A4F9C"/>
    <w:rsid w:val="008A65B6"/>
    <w:rsid w:val="008B6DF8"/>
    <w:rsid w:val="008C0A40"/>
    <w:rsid w:val="008C1AD2"/>
    <w:rsid w:val="008D0C8F"/>
    <w:rsid w:val="008D4B82"/>
    <w:rsid w:val="008D5C06"/>
    <w:rsid w:val="008D67D7"/>
    <w:rsid w:val="008E359B"/>
    <w:rsid w:val="008E4EA7"/>
    <w:rsid w:val="008E6218"/>
    <w:rsid w:val="008E770F"/>
    <w:rsid w:val="009011EA"/>
    <w:rsid w:val="00902613"/>
    <w:rsid w:val="0090492C"/>
    <w:rsid w:val="00905B41"/>
    <w:rsid w:val="00905BC2"/>
    <w:rsid w:val="0091186D"/>
    <w:rsid w:val="009161FC"/>
    <w:rsid w:val="0092093B"/>
    <w:rsid w:val="00927322"/>
    <w:rsid w:val="009275D4"/>
    <w:rsid w:val="00927E2D"/>
    <w:rsid w:val="00933DEA"/>
    <w:rsid w:val="00933F9A"/>
    <w:rsid w:val="009523F9"/>
    <w:rsid w:val="0096436C"/>
    <w:rsid w:val="00964C45"/>
    <w:rsid w:val="00965164"/>
    <w:rsid w:val="00970AB7"/>
    <w:rsid w:val="00972A78"/>
    <w:rsid w:val="00974CF9"/>
    <w:rsid w:val="009772F5"/>
    <w:rsid w:val="00987563"/>
    <w:rsid w:val="009902AD"/>
    <w:rsid w:val="00991582"/>
    <w:rsid w:val="009A46E2"/>
    <w:rsid w:val="009B07A5"/>
    <w:rsid w:val="009B7FDC"/>
    <w:rsid w:val="009D24C6"/>
    <w:rsid w:val="009D42EF"/>
    <w:rsid w:val="009D639E"/>
    <w:rsid w:val="009E4086"/>
    <w:rsid w:val="009E5BB4"/>
    <w:rsid w:val="009E7305"/>
    <w:rsid w:val="009F293F"/>
    <w:rsid w:val="009F2F44"/>
    <w:rsid w:val="009F4A01"/>
    <w:rsid w:val="009F72D6"/>
    <w:rsid w:val="00A05FA1"/>
    <w:rsid w:val="00A06DB6"/>
    <w:rsid w:val="00A20634"/>
    <w:rsid w:val="00A367BD"/>
    <w:rsid w:val="00A37003"/>
    <w:rsid w:val="00A37974"/>
    <w:rsid w:val="00A50E4B"/>
    <w:rsid w:val="00A6048C"/>
    <w:rsid w:val="00A62221"/>
    <w:rsid w:val="00A63650"/>
    <w:rsid w:val="00A761EC"/>
    <w:rsid w:val="00A77F24"/>
    <w:rsid w:val="00A8132E"/>
    <w:rsid w:val="00A854A3"/>
    <w:rsid w:val="00A874BD"/>
    <w:rsid w:val="00A87FB4"/>
    <w:rsid w:val="00A94F85"/>
    <w:rsid w:val="00AB4B71"/>
    <w:rsid w:val="00AC5D32"/>
    <w:rsid w:val="00AD54B6"/>
    <w:rsid w:val="00AD5581"/>
    <w:rsid w:val="00AE2CCE"/>
    <w:rsid w:val="00AE3A78"/>
    <w:rsid w:val="00AE3F86"/>
    <w:rsid w:val="00AF3C92"/>
    <w:rsid w:val="00AF4F08"/>
    <w:rsid w:val="00AF582D"/>
    <w:rsid w:val="00AF6981"/>
    <w:rsid w:val="00B05D9D"/>
    <w:rsid w:val="00B113D8"/>
    <w:rsid w:val="00B11FD9"/>
    <w:rsid w:val="00B161AA"/>
    <w:rsid w:val="00B2101C"/>
    <w:rsid w:val="00B214CD"/>
    <w:rsid w:val="00B2170D"/>
    <w:rsid w:val="00B26928"/>
    <w:rsid w:val="00B46BD6"/>
    <w:rsid w:val="00B515F6"/>
    <w:rsid w:val="00B52F25"/>
    <w:rsid w:val="00B532EC"/>
    <w:rsid w:val="00B56552"/>
    <w:rsid w:val="00B6020A"/>
    <w:rsid w:val="00B64071"/>
    <w:rsid w:val="00B66A45"/>
    <w:rsid w:val="00B70FAA"/>
    <w:rsid w:val="00B779AA"/>
    <w:rsid w:val="00B77F1A"/>
    <w:rsid w:val="00B84726"/>
    <w:rsid w:val="00B84B33"/>
    <w:rsid w:val="00B90E0F"/>
    <w:rsid w:val="00BA17A8"/>
    <w:rsid w:val="00BB5F8B"/>
    <w:rsid w:val="00BB68D0"/>
    <w:rsid w:val="00BB71B9"/>
    <w:rsid w:val="00BC622A"/>
    <w:rsid w:val="00BD69C3"/>
    <w:rsid w:val="00BE060B"/>
    <w:rsid w:val="00BE2976"/>
    <w:rsid w:val="00BE2A2C"/>
    <w:rsid w:val="00BE314C"/>
    <w:rsid w:val="00BE4392"/>
    <w:rsid w:val="00BE642D"/>
    <w:rsid w:val="00C02A37"/>
    <w:rsid w:val="00C04D82"/>
    <w:rsid w:val="00C05EC2"/>
    <w:rsid w:val="00C06993"/>
    <w:rsid w:val="00C07838"/>
    <w:rsid w:val="00C11D1E"/>
    <w:rsid w:val="00C274CF"/>
    <w:rsid w:val="00C31E87"/>
    <w:rsid w:val="00C34C34"/>
    <w:rsid w:val="00C373D7"/>
    <w:rsid w:val="00C4110D"/>
    <w:rsid w:val="00C57584"/>
    <w:rsid w:val="00C61E49"/>
    <w:rsid w:val="00C630CC"/>
    <w:rsid w:val="00C63D6A"/>
    <w:rsid w:val="00C74EEF"/>
    <w:rsid w:val="00C76C8C"/>
    <w:rsid w:val="00C8516C"/>
    <w:rsid w:val="00C94E0D"/>
    <w:rsid w:val="00CA1F9C"/>
    <w:rsid w:val="00CB4058"/>
    <w:rsid w:val="00CB4D90"/>
    <w:rsid w:val="00CC2D78"/>
    <w:rsid w:val="00CD0620"/>
    <w:rsid w:val="00CE0B8F"/>
    <w:rsid w:val="00CE2BD8"/>
    <w:rsid w:val="00CE6E9C"/>
    <w:rsid w:val="00CF637D"/>
    <w:rsid w:val="00D00D4B"/>
    <w:rsid w:val="00D01052"/>
    <w:rsid w:val="00D0256C"/>
    <w:rsid w:val="00D14A16"/>
    <w:rsid w:val="00D17D49"/>
    <w:rsid w:val="00D21585"/>
    <w:rsid w:val="00D217A1"/>
    <w:rsid w:val="00D25083"/>
    <w:rsid w:val="00D262A0"/>
    <w:rsid w:val="00D269A7"/>
    <w:rsid w:val="00D27092"/>
    <w:rsid w:val="00D30617"/>
    <w:rsid w:val="00D3087A"/>
    <w:rsid w:val="00D431BC"/>
    <w:rsid w:val="00D437D5"/>
    <w:rsid w:val="00D44A83"/>
    <w:rsid w:val="00D5560A"/>
    <w:rsid w:val="00D6379F"/>
    <w:rsid w:val="00D66532"/>
    <w:rsid w:val="00D73B5D"/>
    <w:rsid w:val="00D7571D"/>
    <w:rsid w:val="00D75EF0"/>
    <w:rsid w:val="00D84B54"/>
    <w:rsid w:val="00D936EC"/>
    <w:rsid w:val="00D95AEE"/>
    <w:rsid w:val="00D95E0F"/>
    <w:rsid w:val="00DA54C6"/>
    <w:rsid w:val="00DA77F6"/>
    <w:rsid w:val="00DB0ABF"/>
    <w:rsid w:val="00DB50E7"/>
    <w:rsid w:val="00DB550A"/>
    <w:rsid w:val="00DB74CF"/>
    <w:rsid w:val="00DC1D82"/>
    <w:rsid w:val="00DD19D8"/>
    <w:rsid w:val="00DD4276"/>
    <w:rsid w:val="00DD6DA5"/>
    <w:rsid w:val="00DD746A"/>
    <w:rsid w:val="00DD7D45"/>
    <w:rsid w:val="00DE2060"/>
    <w:rsid w:val="00DF07E8"/>
    <w:rsid w:val="00DF1AD1"/>
    <w:rsid w:val="00DF3966"/>
    <w:rsid w:val="00DF5E6C"/>
    <w:rsid w:val="00DF6F5F"/>
    <w:rsid w:val="00E01212"/>
    <w:rsid w:val="00E04ED9"/>
    <w:rsid w:val="00E07D6B"/>
    <w:rsid w:val="00E13AB8"/>
    <w:rsid w:val="00E1454B"/>
    <w:rsid w:val="00E16162"/>
    <w:rsid w:val="00E203EF"/>
    <w:rsid w:val="00E2564F"/>
    <w:rsid w:val="00E3062A"/>
    <w:rsid w:val="00E31255"/>
    <w:rsid w:val="00E31B4F"/>
    <w:rsid w:val="00E32268"/>
    <w:rsid w:val="00E32BF9"/>
    <w:rsid w:val="00E3350B"/>
    <w:rsid w:val="00E41297"/>
    <w:rsid w:val="00E4425C"/>
    <w:rsid w:val="00E4541C"/>
    <w:rsid w:val="00E502ED"/>
    <w:rsid w:val="00E5072D"/>
    <w:rsid w:val="00E55C2A"/>
    <w:rsid w:val="00E60F29"/>
    <w:rsid w:val="00E62A73"/>
    <w:rsid w:val="00E819A5"/>
    <w:rsid w:val="00E86F32"/>
    <w:rsid w:val="00E91C1B"/>
    <w:rsid w:val="00E97356"/>
    <w:rsid w:val="00EA2D3C"/>
    <w:rsid w:val="00EA3A59"/>
    <w:rsid w:val="00EB7099"/>
    <w:rsid w:val="00EC5A16"/>
    <w:rsid w:val="00EC7D21"/>
    <w:rsid w:val="00EC7E20"/>
    <w:rsid w:val="00ED049D"/>
    <w:rsid w:val="00ED12F1"/>
    <w:rsid w:val="00ED44D3"/>
    <w:rsid w:val="00EE10D1"/>
    <w:rsid w:val="00EE57A9"/>
    <w:rsid w:val="00EF097A"/>
    <w:rsid w:val="00EF201B"/>
    <w:rsid w:val="00EF4F9D"/>
    <w:rsid w:val="00F04E16"/>
    <w:rsid w:val="00F04FB5"/>
    <w:rsid w:val="00F0501E"/>
    <w:rsid w:val="00F21C08"/>
    <w:rsid w:val="00F22280"/>
    <w:rsid w:val="00F23F01"/>
    <w:rsid w:val="00F25F82"/>
    <w:rsid w:val="00F30F60"/>
    <w:rsid w:val="00F32E20"/>
    <w:rsid w:val="00F35430"/>
    <w:rsid w:val="00F36891"/>
    <w:rsid w:val="00F44D31"/>
    <w:rsid w:val="00F50E6A"/>
    <w:rsid w:val="00F558C0"/>
    <w:rsid w:val="00F57DD4"/>
    <w:rsid w:val="00F70DBF"/>
    <w:rsid w:val="00F70DFA"/>
    <w:rsid w:val="00F70F59"/>
    <w:rsid w:val="00F76C93"/>
    <w:rsid w:val="00F83612"/>
    <w:rsid w:val="00F86611"/>
    <w:rsid w:val="00F91CFF"/>
    <w:rsid w:val="00F92391"/>
    <w:rsid w:val="00F949F3"/>
    <w:rsid w:val="00FA0160"/>
    <w:rsid w:val="00FA6F41"/>
    <w:rsid w:val="00FA76A9"/>
    <w:rsid w:val="00FA7F29"/>
    <w:rsid w:val="00FB330F"/>
    <w:rsid w:val="00FC2558"/>
    <w:rsid w:val="00FD271B"/>
    <w:rsid w:val="00FD3656"/>
    <w:rsid w:val="00FE1FFC"/>
    <w:rsid w:val="00FF1EC7"/>
    <w:rsid w:val="00FF3421"/>
    <w:rsid w:val="00FF5B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5BF4F"/>
  <w15:docId w15:val="{E772E01E-AAD7-48A3-B8B9-286FEBCF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03"/>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ar"/>
    <w:uiPriority w:val="9"/>
    <w:qFormat/>
    <w:rsid w:val="008E4EA7"/>
    <w:pPr>
      <w:keepNext/>
      <w:outlineLvl w:val="0"/>
    </w:pPr>
    <w:rPr>
      <w:rFonts w:eastAsiaTheme="majorEastAsia" w:cstheme="majorBidi"/>
      <w:b/>
      <w:bCs/>
      <w:caps/>
      <w:kern w:val="32"/>
      <w:szCs w:val="32"/>
    </w:rPr>
  </w:style>
  <w:style w:type="paragraph" w:styleId="Ttulo2">
    <w:name w:val="heading 2"/>
    <w:basedOn w:val="Normal"/>
    <w:next w:val="Normal"/>
    <w:link w:val="Ttulo2Car"/>
    <w:uiPriority w:val="9"/>
    <w:unhideWhenUsed/>
    <w:qFormat/>
    <w:rsid w:val="008E4EA7"/>
    <w:pPr>
      <w:keepNext/>
      <w:keepLines/>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8E4E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4EA7"/>
    <w:rPr>
      <w:rFonts w:ascii="Arial" w:eastAsiaTheme="majorEastAsia" w:hAnsi="Arial" w:cstheme="majorBidi"/>
      <w:b/>
      <w:bCs/>
      <w:caps/>
      <w:kern w:val="32"/>
      <w:sz w:val="24"/>
      <w:szCs w:val="32"/>
    </w:rPr>
  </w:style>
  <w:style w:type="paragraph" w:styleId="Prrafodelista">
    <w:name w:val="List Paragraph"/>
    <w:aliases w:val="CNBV Parrafo1,Párrafo de lista1,Parrafo 1,Lista multicolor - Énfasis 11,Lista vistosa - Énfasis 11,Cuadrícula media 1 - Énfasis 21,Cita texto"/>
    <w:basedOn w:val="Normal"/>
    <w:link w:val="PrrafodelistaCar"/>
    <w:uiPriority w:val="34"/>
    <w:qFormat/>
    <w:rsid w:val="008E4EA7"/>
    <w:pPr>
      <w:ind w:left="720"/>
      <w:contextualSpacing/>
    </w:pPr>
  </w:style>
  <w:style w:type="character" w:customStyle="1" w:styleId="Ttulo2Car">
    <w:name w:val="Título 2 Car"/>
    <w:basedOn w:val="Fuentedeprrafopredeter"/>
    <w:link w:val="Ttulo2"/>
    <w:uiPriority w:val="9"/>
    <w:rsid w:val="008E4EA7"/>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8E4EA7"/>
    <w:rPr>
      <w:rFonts w:asciiTheme="majorHAnsi" w:eastAsiaTheme="majorEastAsia" w:hAnsiTheme="majorHAnsi" w:cstheme="majorBidi"/>
      <w:b/>
      <w:bCs/>
      <w:color w:val="4F81BD" w:themeColor="accent1"/>
      <w:sz w:val="22"/>
      <w:szCs w:val="22"/>
    </w:rPr>
  </w:style>
  <w:style w:type="character" w:styleId="Textoennegrita">
    <w:name w:val="Strong"/>
    <w:basedOn w:val="Fuentedeprrafopredeter"/>
    <w:uiPriority w:val="22"/>
    <w:qFormat/>
    <w:rsid w:val="008E4EA7"/>
    <w:rPr>
      <w:b/>
      <w:bCs/>
    </w:rPr>
  </w:style>
  <w:style w:type="character" w:styleId="nfasis">
    <w:name w:val="Emphasis"/>
    <w:basedOn w:val="Fuentedeprrafopredeter"/>
    <w:uiPriority w:val="20"/>
    <w:qFormat/>
    <w:rsid w:val="008E4EA7"/>
    <w:rPr>
      <w:i/>
      <w:iCs/>
    </w:rPr>
  </w:style>
  <w:style w:type="paragraph" w:styleId="Sinespaciado">
    <w:name w:val="No Spacing"/>
    <w:uiPriority w:val="1"/>
    <w:qFormat/>
    <w:rsid w:val="008E4EA7"/>
    <w:pPr>
      <w:jc w:val="both"/>
    </w:pPr>
    <w:rPr>
      <w:rFonts w:ascii="Arial" w:hAnsi="Arial"/>
      <w:sz w:val="18"/>
      <w:szCs w:val="22"/>
    </w:rPr>
  </w:style>
  <w:style w:type="paragraph" w:styleId="TtuloTDC">
    <w:name w:val="TOC Heading"/>
    <w:basedOn w:val="Ttulo1"/>
    <w:next w:val="Normal"/>
    <w:uiPriority w:val="39"/>
    <w:semiHidden/>
    <w:unhideWhenUsed/>
    <w:qFormat/>
    <w:rsid w:val="008E4EA7"/>
    <w:pPr>
      <w:keepLines/>
      <w:spacing w:before="480" w:after="0"/>
      <w:outlineLvl w:val="9"/>
    </w:pPr>
    <w:rPr>
      <w:color w:val="365F91" w:themeColor="accent1" w:themeShade="BF"/>
      <w:kern w:val="0"/>
      <w:sz w:val="28"/>
      <w:szCs w:val="28"/>
      <w:lang w:eastAsia="es-MX"/>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8E4EA7"/>
    <w:pPr>
      <w:spacing w:line="240" w:lineRule="auto"/>
    </w:pPr>
    <w:rPr>
      <w:rFonts w:ascii="Times New Roman" w:eastAsia="Times New Roman" w:hAnsi="Times New Roman"/>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E4EA7"/>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A370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7003"/>
    <w:rPr>
      <w:rFonts w:asciiTheme="minorHAnsi" w:eastAsiaTheme="minorHAnsi" w:hAnsiTheme="minorHAnsi" w:cstheme="minorBidi"/>
      <w:sz w:val="22"/>
      <w:szCs w:val="22"/>
    </w:rPr>
  </w:style>
  <w:style w:type="paragraph" w:styleId="Piedepgina">
    <w:name w:val="footer"/>
    <w:basedOn w:val="Normal"/>
    <w:link w:val="PiedepginaCar"/>
    <w:uiPriority w:val="99"/>
    <w:unhideWhenUsed/>
    <w:rsid w:val="00A370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7003"/>
    <w:rPr>
      <w:rFonts w:asciiTheme="minorHAnsi" w:eastAsiaTheme="minorHAnsi" w:hAnsiTheme="minorHAnsi" w:cstheme="minorBidi"/>
      <w:sz w:val="22"/>
      <w:szCs w:val="22"/>
    </w:rPr>
  </w:style>
  <w:style w:type="character" w:styleId="Nmerodepgina">
    <w:name w:val="page number"/>
    <w:basedOn w:val="Fuentedeprrafopredeter"/>
    <w:uiPriority w:val="99"/>
    <w:rsid w:val="00A37003"/>
    <w:rPr>
      <w:rFonts w:cs="Times New Roman"/>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A37003"/>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A37003"/>
    <w:rPr>
      <w:rFonts w:asciiTheme="minorHAnsi" w:eastAsiaTheme="minorHAnsi" w:hAnsiTheme="minorHAnsi" w:cstheme="minorBidi"/>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Ref. de nota al,R"/>
    <w:basedOn w:val="Fuentedeprrafopredeter"/>
    <w:link w:val="4GChar"/>
    <w:uiPriority w:val="99"/>
    <w:unhideWhenUsed/>
    <w:qFormat/>
    <w:rsid w:val="00A37003"/>
    <w:rPr>
      <w:vertAlign w:val="superscript"/>
    </w:rPr>
  </w:style>
  <w:style w:type="character" w:styleId="Hipervnculo">
    <w:name w:val="Hyperlink"/>
    <w:basedOn w:val="Fuentedeprrafopredeter"/>
    <w:uiPriority w:val="99"/>
    <w:unhideWhenUsed/>
    <w:rsid w:val="00A37003"/>
    <w:rPr>
      <w:color w:val="0000FF" w:themeColor="hyperlink"/>
      <w:u w:val="single"/>
    </w:rPr>
  </w:style>
  <w:style w:type="table" w:styleId="Tablaconcuadrcula">
    <w:name w:val="Table Grid"/>
    <w:basedOn w:val="Tablanormal"/>
    <w:uiPriority w:val="59"/>
    <w:rsid w:val="00005D0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F2F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F44"/>
    <w:rPr>
      <w:rFonts w:ascii="Tahoma" w:eastAsiaTheme="minorHAnsi" w:hAnsi="Tahoma" w:cs="Tahoma"/>
      <w:sz w:val="16"/>
      <w:szCs w:val="16"/>
    </w:rPr>
  </w:style>
  <w:style w:type="character" w:customStyle="1" w:styleId="Mencinsinresolver1">
    <w:name w:val="Mención sin resolver1"/>
    <w:basedOn w:val="Fuentedeprrafopredeter"/>
    <w:uiPriority w:val="99"/>
    <w:semiHidden/>
    <w:unhideWhenUsed/>
    <w:rsid w:val="007D22DA"/>
    <w:rPr>
      <w:color w:val="808080"/>
      <w:shd w:val="clear" w:color="auto" w:fill="E6E6E6"/>
    </w:rPr>
  </w:style>
  <w:style w:type="character" w:styleId="Mencinsinresolver">
    <w:name w:val="Unresolved Mention"/>
    <w:basedOn w:val="Fuentedeprrafopredeter"/>
    <w:uiPriority w:val="99"/>
    <w:semiHidden/>
    <w:unhideWhenUsed/>
    <w:rsid w:val="00323D29"/>
    <w:rPr>
      <w:color w:val="808080"/>
      <w:shd w:val="clear" w:color="auto" w:fill="E6E6E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03989"/>
    <w:pPr>
      <w:spacing w:after="0" w:line="240" w:lineRule="auto"/>
      <w:jc w:val="both"/>
    </w:pPr>
    <w:rPr>
      <w:rFonts w:ascii="Calibri" w:eastAsia="Calibri" w:hAnsi="Calibri" w:cs="Times New Roman"/>
      <w:sz w:val="20"/>
      <w:szCs w:val="20"/>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
    <w:link w:val="Prrafodelista"/>
    <w:uiPriority w:val="34"/>
    <w:locked/>
    <w:rsid w:val="00405A3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3668">
      <w:bodyDiv w:val="1"/>
      <w:marLeft w:val="0"/>
      <w:marRight w:val="0"/>
      <w:marTop w:val="0"/>
      <w:marBottom w:val="0"/>
      <w:divBdr>
        <w:top w:val="none" w:sz="0" w:space="0" w:color="auto"/>
        <w:left w:val="none" w:sz="0" w:space="0" w:color="auto"/>
        <w:bottom w:val="none" w:sz="0" w:space="0" w:color="auto"/>
        <w:right w:val="none" w:sz="0" w:space="0" w:color="auto"/>
      </w:divBdr>
    </w:div>
    <w:div w:id="80951438">
      <w:bodyDiv w:val="1"/>
      <w:marLeft w:val="0"/>
      <w:marRight w:val="0"/>
      <w:marTop w:val="0"/>
      <w:marBottom w:val="0"/>
      <w:divBdr>
        <w:top w:val="none" w:sz="0" w:space="0" w:color="auto"/>
        <w:left w:val="none" w:sz="0" w:space="0" w:color="auto"/>
        <w:bottom w:val="none" w:sz="0" w:space="0" w:color="auto"/>
        <w:right w:val="none" w:sz="0" w:space="0" w:color="auto"/>
      </w:divBdr>
    </w:div>
    <w:div w:id="131483539">
      <w:bodyDiv w:val="1"/>
      <w:marLeft w:val="0"/>
      <w:marRight w:val="0"/>
      <w:marTop w:val="0"/>
      <w:marBottom w:val="0"/>
      <w:divBdr>
        <w:top w:val="none" w:sz="0" w:space="0" w:color="auto"/>
        <w:left w:val="none" w:sz="0" w:space="0" w:color="auto"/>
        <w:bottom w:val="none" w:sz="0" w:space="0" w:color="auto"/>
        <w:right w:val="none" w:sz="0" w:space="0" w:color="auto"/>
      </w:divBdr>
    </w:div>
    <w:div w:id="170461460">
      <w:bodyDiv w:val="1"/>
      <w:marLeft w:val="0"/>
      <w:marRight w:val="0"/>
      <w:marTop w:val="0"/>
      <w:marBottom w:val="0"/>
      <w:divBdr>
        <w:top w:val="none" w:sz="0" w:space="0" w:color="auto"/>
        <w:left w:val="none" w:sz="0" w:space="0" w:color="auto"/>
        <w:bottom w:val="none" w:sz="0" w:space="0" w:color="auto"/>
        <w:right w:val="none" w:sz="0" w:space="0" w:color="auto"/>
      </w:divBdr>
    </w:div>
    <w:div w:id="322708604">
      <w:bodyDiv w:val="1"/>
      <w:marLeft w:val="0"/>
      <w:marRight w:val="0"/>
      <w:marTop w:val="0"/>
      <w:marBottom w:val="0"/>
      <w:divBdr>
        <w:top w:val="none" w:sz="0" w:space="0" w:color="auto"/>
        <w:left w:val="none" w:sz="0" w:space="0" w:color="auto"/>
        <w:bottom w:val="none" w:sz="0" w:space="0" w:color="auto"/>
        <w:right w:val="none" w:sz="0" w:space="0" w:color="auto"/>
      </w:divBdr>
    </w:div>
    <w:div w:id="341443885">
      <w:bodyDiv w:val="1"/>
      <w:marLeft w:val="0"/>
      <w:marRight w:val="0"/>
      <w:marTop w:val="0"/>
      <w:marBottom w:val="0"/>
      <w:divBdr>
        <w:top w:val="none" w:sz="0" w:space="0" w:color="auto"/>
        <w:left w:val="none" w:sz="0" w:space="0" w:color="auto"/>
        <w:bottom w:val="none" w:sz="0" w:space="0" w:color="auto"/>
        <w:right w:val="none" w:sz="0" w:space="0" w:color="auto"/>
      </w:divBdr>
    </w:div>
    <w:div w:id="364714897">
      <w:bodyDiv w:val="1"/>
      <w:marLeft w:val="0"/>
      <w:marRight w:val="0"/>
      <w:marTop w:val="0"/>
      <w:marBottom w:val="0"/>
      <w:divBdr>
        <w:top w:val="none" w:sz="0" w:space="0" w:color="auto"/>
        <w:left w:val="none" w:sz="0" w:space="0" w:color="auto"/>
        <w:bottom w:val="none" w:sz="0" w:space="0" w:color="auto"/>
        <w:right w:val="none" w:sz="0" w:space="0" w:color="auto"/>
      </w:divBdr>
    </w:div>
    <w:div w:id="465507025">
      <w:bodyDiv w:val="1"/>
      <w:marLeft w:val="0"/>
      <w:marRight w:val="0"/>
      <w:marTop w:val="0"/>
      <w:marBottom w:val="0"/>
      <w:divBdr>
        <w:top w:val="none" w:sz="0" w:space="0" w:color="auto"/>
        <w:left w:val="none" w:sz="0" w:space="0" w:color="auto"/>
        <w:bottom w:val="none" w:sz="0" w:space="0" w:color="auto"/>
        <w:right w:val="none" w:sz="0" w:space="0" w:color="auto"/>
      </w:divBdr>
    </w:div>
    <w:div w:id="505479192">
      <w:bodyDiv w:val="1"/>
      <w:marLeft w:val="0"/>
      <w:marRight w:val="0"/>
      <w:marTop w:val="0"/>
      <w:marBottom w:val="0"/>
      <w:divBdr>
        <w:top w:val="none" w:sz="0" w:space="0" w:color="auto"/>
        <w:left w:val="none" w:sz="0" w:space="0" w:color="auto"/>
        <w:bottom w:val="none" w:sz="0" w:space="0" w:color="auto"/>
        <w:right w:val="none" w:sz="0" w:space="0" w:color="auto"/>
      </w:divBdr>
    </w:div>
    <w:div w:id="558134341">
      <w:bodyDiv w:val="1"/>
      <w:marLeft w:val="0"/>
      <w:marRight w:val="0"/>
      <w:marTop w:val="0"/>
      <w:marBottom w:val="0"/>
      <w:divBdr>
        <w:top w:val="none" w:sz="0" w:space="0" w:color="auto"/>
        <w:left w:val="none" w:sz="0" w:space="0" w:color="auto"/>
        <w:bottom w:val="none" w:sz="0" w:space="0" w:color="auto"/>
        <w:right w:val="none" w:sz="0" w:space="0" w:color="auto"/>
      </w:divBdr>
    </w:div>
    <w:div w:id="569123769">
      <w:bodyDiv w:val="1"/>
      <w:marLeft w:val="0"/>
      <w:marRight w:val="0"/>
      <w:marTop w:val="0"/>
      <w:marBottom w:val="0"/>
      <w:divBdr>
        <w:top w:val="none" w:sz="0" w:space="0" w:color="auto"/>
        <w:left w:val="none" w:sz="0" w:space="0" w:color="auto"/>
        <w:bottom w:val="none" w:sz="0" w:space="0" w:color="auto"/>
        <w:right w:val="none" w:sz="0" w:space="0" w:color="auto"/>
      </w:divBdr>
    </w:div>
    <w:div w:id="644509521">
      <w:bodyDiv w:val="1"/>
      <w:marLeft w:val="0"/>
      <w:marRight w:val="0"/>
      <w:marTop w:val="0"/>
      <w:marBottom w:val="0"/>
      <w:divBdr>
        <w:top w:val="none" w:sz="0" w:space="0" w:color="auto"/>
        <w:left w:val="none" w:sz="0" w:space="0" w:color="auto"/>
        <w:bottom w:val="none" w:sz="0" w:space="0" w:color="auto"/>
        <w:right w:val="none" w:sz="0" w:space="0" w:color="auto"/>
      </w:divBdr>
    </w:div>
    <w:div w:id="660083049">
      <w:bodyDiv w:val="1"/>
      <w:marLeft w:val="0"/>
      <w:marRight w:val="0"/>
      <w:marTop w:val="0"/>
      <w:marBottom w:val="0"/>
      <w:divBdr>
        <w:top w:val="none" w:sz="0" w:space="0" w:color="auto"/>
        <w:left w:val="none" w:sz="0" w:space="0" w:color="auto"/>
        <w:bottom w:val="none" w:sz="0" w:space="0" w:color="auto"/>
        <w:right w:val="none" w:sz="0" w:space="0" w:color="auto"/>
      </w:divBdr>
    </w:div>
    <w:div w:id="749812977">
      <w:bodyDiv w:val="1"/>
      <w:marLeft w:val="0"/>
      <w:marRight w:val="0"/>
      <w:marTop w:val="0"/>
      <w:marBottom w:val="0"/>
      <w:divBdr>
        <w:top w:val="none" w:sz="0" w:space="0" w:color="auto"/>
        <w:left w:val="none" w:sz="0" w:space="0" w:color="auto"/>
        <w:bottom w:val="none" w:sz="0" w:space="0" w:color="auto"/>
        <w:right w:val="none" w:sz="0" w:space="0" w:color="auto"/>
      </w:divBdr>
    </w:div>
    <w:div w:id="793132852">
      <w:bodyDiv w:val="1"/>
      <w:marLeft w:val="0"/>
      <w:marRight w:val="0"/>
      <w:marTop w:val="0"/>
      <w:marBottom w:val="0"/>
      <w:divBdr>
        <w:top w:val="none" w:sz="0" w:space="0" w:color="auto"/>
        <w:left w:val="none" w:sz="0" w:space="0" w:color="auto"/>
        <w:bottom w:val="none" w:sz="0" w:space="0" w:color="auto"/>
        <w:right w:val="none" w:sz="0" w:space="0" w:color="auto"/>
      </w:divBdr>
    </w:div>
    <w:div w:id="963198908">
      <w:bodyDiv w:val="1"/>
      <w:marLeft w:val="0"/>
      <w:marRight w:val="0"/>
      <w:marTop w:val="0"/>
      <w:marBottom w:val="0"/>
      <w:divBdr>
        <w:top w:val="none" w:sz="0" w:space="0" w:color="auto"/>
        <w:left w:val="none" w:sz="0" w:space="0" w:color="auto"/>
        <w:bottom w:val="none" w:sz="0" w:space="0" w:color="auto"/>
        <w:right w:val="none" w:sz="0" w:space="0" w:color="auto"/>
      </w:divBdr>
    </w:div>
    <w:div w:id="1252354256">
      <w:bodyDiv w:val="1"/>
      <w:marLeft w:val="0"/>
      <w:marRight w:val="0"/>
      <w:marTop w:val="0"/>
      <w:marBottom w:val="0"/>
      <w:divBdr>
        <w:top w:val="none" w:sz="0" w:space="0" w:color="auto"/>
        <w:left w:val="none" w:sz="0" w:space="0" w:color="auto"/>
        <w:bottom w:val="none" w:sz="0" w:space="0" w:color="auto"/>
        <w:right w:val="none" w:sz="0" w:space="0" w:color="auto"/>
      </w:divBdr>
    </w:div>
    <w:div w:id="1335493733">
      <w:bodyDiv w:val="1"/>
      <w:marLeft w:val="0"/>
      <w:marRight w:val="0"/>
      <w:marTop w:val="0"/>
      <w:marBottom w:val="0"/>
      <w:divBdr>
        <w:top w:val="none" w:sz="0" w:space="0" w:color="auto"/>
        <w:left w:val="none" w:sz="0" w:space="0" w:color="auto"/>
        <w:bottom w:val="none" w:sz="0" w:space="0" w:color="auto"/>
        <w:right w:val="none" w:sz="0" w:space="0" w:color="auto"/>
      </w:divBdr>
    </w:div>
    <w:div w:id="1387410508">
      <w:bodyDiv w:val="1"/>
      <w:marLeft w:val="0"/>
      <w:marRight w:val="0"/>
      <w:marTop w:val="0"/>
      <w:marBottom w:val="0"/>
      <w:divBdr>
        <w:top w:val="none" w:sz="0" w:space="0" w:color="auto"/>
        <w:left w:val="none" w:sz="0" w:space="0" w:color="auto"/>
        <w:bottom w:val="none" w:sz="0" w:space="0" w:color="auto"/>
        <w:right w:val="none" w:sz="0" w:space="0" w:color="auto"/>
      </w:divBdr>
    </w:div>
    <w:div w:id="1810245106">
      <w:bodyDiv w:val="1"/>
      <w:marLeft w:val="0"/>
      <w:marRight w:val="0"/>
      <w:marTop w:val="0"/>
      <w:marBottom w:val="0"/>
      <w:divBdr>
        <w:top w:val="none" w:sz="0" w:space="0" w:color="auto"/>
        <w:left w:val="none" w:sz="0" w:space="0" w:color="auto"/>
        <w:bottom w:val="none" w:sz="0" w:space="0" w:color="auto"/>
        <w:right w:val="none" w:sz="0" w:space="0" w:color="auto"/>
      </w:divBdr>
    </w:div>
    <w:div w:id="1851992187">
      <w:bodyDiv w:val="1"/>
      <w:marLeft w:val="0"/>
      <w:marRight w:val="0"/>
      <w:marTop w:val="0"/>
      <w:marBottom w:val="0"/>
      <w:divBdr>
        <w:top w:val="none" w:sz="0" w:space="0" w:color="auto"/>
        <w:left w:val="none" w:sz="0" w:space="0" w:color="auto"/>
        <w:bottom w:val="none" w:sz="0" w:space="0" w:color="auto"/>
        <w:right w:val="none" w:sz="0" w:space="0" w:color="auto"/>
      </w:divBdr>
    </w:div>
    <w:div w:id="1864634387">
      <w:bodyDiv w:val="1"/>
      <w:marLeft w:val="0"/>
      <w:marRight w:val="0"/>
      <w:marTop w:val="0"/>
      <w:marBottom w:val="0"/>
      <w:divBdr>
        <w:top w:val="none" w:sz="0" w:space="0" w:color="auto"/>
        <w:left w:val="none" w:sz="0" w:space="0" w:color="auto"/>
        <w:bottom w:val="none" w:sz="0" w:space="0" w:color="auto"/>
        <w:right w:val="none" w:sz="0" w:space="0" w:color="auto"/>
      </w:divBdr>
    </w:div>
    <w:div w:id="1979870085">
      <w:bodyDiv w:val="1"/>
      <w:marLeft w:val="0"/>
      <w:marRight w:val="0"/>
      <w:marTop w:val="0"/>
      <w:marBottom w:val="0"/>
      <w:divBdr>
        <w:top w:val="none" w:sz="0" w:space="0" w:color="auto"/>
        <w:left w:val="none" w:sz="0" w:space="0" w:color="auto"/>
        <w:bottom w:val="none" w:sz="0" w:space="0" w:color="auto"/>
        <w:right w:val="none" w:sz="0" w:space="0" w:color="auto"/>
      </w:divBdr>
    </w:div>
    <w:div w:id="2009480401">
      <w:bodyDiv w:val="1"/>
      <w:marLeft w:val="0"/>
      <w:marRight w:val="0"/>
      <w:marTop w:val="0"/>
      <w:marBottom w:val="0"/>
      <w:divBdr>
        <w:top w:val="none" w:sz="0" w:space="0" w:color="auto"/>
        <w:left w:val="none" w:sz="0" w:space="0" w:color="auto"/>
        <w:bottom w:val="none" w:sz="0" w:space="0" w:color="auto"/>
        <w:right w:val="none" w:sz="0" w:space="0" w:color="auto"/>
      </w:divBdr>
    </w:div>
    <w:div w:id="2053453163">
      <w:bodyDiv w:val="1"/>
      <w:marLeft w:val="0"/>
      <w:marRight w:val="0"/>
      <w:marTop w:val="0"/>
      <w:marBottom w:val="0"/>
      <w:divBdr>
        <w:top w:val="none" w:sz="0" w:space="0" w:color="auto"/>
        <w:left w:val="none" w:sz="0" w:space="0" w:color="auto"/>
        <w:bottom w:val="none" w:sz="0" w:space="0" w:color="auto"/>
        <w:right w:val="none" w:sz="0" w:space="0" w:color="auto"/>
      </w:divBdr>
    </w:div>
    <w:div w:id="2141334669">
      <w:bodyDiv w:val="1"/>
      <w:marLeft w:val="0"/>
      <w:marRight w:val="0"/>
      <w:marTop w:val="0"/>
      <w:marBottom w:val="0"/>
      <w:divBdr>
        <w:top w:val="none" w:sz="0" w:space="0" w:color="auto"/>
        <w:left w:val="none" w:sz="0" w:space="0" w:color="auto"/>
        <w:bottom w:val="none" w:sz="0" w:space="0" w:color="auto"/>
        <w:right w:val="none" w:sz="0" w:space="0" w:color="auto"/>
      </w:divBdr>
    </w:div>
    <w:div w:id="21470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umplimientos.salamonterrey@te.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9A201FA-5DF8-44C0-B362-EE8A3159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Montoya Ayala</dc:creator>
  <cp:lastModifiedBy>Natalia Milan Nuñez</cp:lastModifiedBy>
  <cp:revision>4</cp:revision>
  <cp:lastPrinted>2021-05-18T15:06:00Z</cp:lastPrinted>
  <dcterms:created xsi:type="dcterms:W3CDTF">2021-05-18T14:56:00Z</dcterms:created>
  <dcterms:modified xsi:type="dcterms:W3CDTF">2021-05-18T15:07:00Z</dcterms:modified>
</cp:coreProperties>
</file>