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38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F9011A" w:rsidRPr="003A0F7C" w14:paraId="193BB771" w14:textId="77777777" w:rsidTr="00EB3F47">
        <w:trPr>
          <w:trHeight w:val="3677"/>
          <w:jc w:val="right"/>
        </w:trPr>
        <w:tc>
          <w:tcPr>
            <w:tcW w:w="5381" w:type="dxa"/>
          </w:tcPr>
          <w:p w14:paraId="50269140" w14:textId="377C387D" w:rsidR="00A3129E" w:rsidRPr="003A0F7C" w:rsidRDefault="00A3129E" w:rsidP="00B7213E">
            <w:pPr>
              <w:pStyle w:val="Sinespaciado"/>
              <w:jc w:val="center"/>
              <w:rPr>
                <w:b/>
                <w:sz w:val="24"/>
              </w:rPr>
            </w:pPr>
            <w:bookmarkStart w:id="0" w:name="_Hlk49533491"/>
            <w:r w:rsidRPr="003A0F7C">
              <w:rPr>
                <w:b/>
                <w:sz w:val="24"/>
              </w:rPr>
              <w:t>JUICIO</w:t>
            </w:r>
            <w:r w:rsidR="0018283A" w:rsidRPr="003A0F7C">
              <w:rPr>
                <w:b/>
                <w:sz w:val="24"/>
              </w:rPr>
              <w:t xml:space="preserve"> DE REVISIÓN CONSTITUCIONAL</w:t>
            </w:r>
            <w:r w:rsidR="005C4EB1" w:rsidRPr="003A0F7C">
              <w:rPr>
                <w:b/>
                <w:sz w:val="24"/>
              </w:rPr>
              <w:t xml:space="preserve"> ELECTORAL</w:t>
            </w:r>
          </w:p>
          <w:bookmarkEnd w:id="0"/>
          <w:p w14:paraId="729F1BB0" w14:textId="4BAC83AC" w:rsidR="00F9011A" w:rsidRPr="003A0F7C" w:rsidRDefault="00F9011A" w:rsidP="00451F47">
            <w:pPr>
              <w:spacing w:before="100" w:beforeAutospacing="1" w:after="100" w:afterAutospacing="1" w:line="240" w:lineRule="auto"/>
              <w:jc w:val="both"/>
              <w:rPr>
                <w:sz w:val="24"/>
                <w:szCs w:val="24"/>
              </w:rPr>
            </w:pPr>
            <w:r w:rsidRPr="003A0F7C">
              <w:rPr>
                <w:b/>
                <w:sz w:val="24"/>
                <w:szCs w:val="24"/>
              </w:rPr>
              <w:t>EXPEDIENTE:</w:t>
            </w:r>
            <w:r w:rsidRPr="003A0F7C">
              <w:rPr>
                <w:sz w:val="24"/>
                <w:szCs w:val="24"/>
              </w:rPr>
              <w:t xml:space="preserve"> SM-</w:t>
            </w:r>
            <w:r w:rsidR="0018283A" w:rsidRPr="003A0F7C">
              <w:rPr>
                <w:sz w:val="24"/>
                <w:szCs w:val="24"/>
              </w:rPr>
              <w:t>JRC</w:t>
            </w:r>
            <w:r w:rsidR="00A3129E" w:rsidRPr="003A0F7C">
              <w:rPr>
                <w:sz w:val="24"/>
                <w:szCs w:val="24"/>
              </w:rPr>
              <w:t>-</w:t>
            </w:r>
            <w:r w:rsidR="00784890" w:rsidRPr="003A0F7C">
              <w:rPr>
                <w:sz w:val="24"/>
                <w:szCs w:val="24"/>
              </w:rPr>
              <w:t>54</w:t>
            </w:r>
            <w:r w:rsidR="007306CE" w:rsidRPr="003A0F7C">
              <w:rPr>
                <w:sz w:val="24"/>
                <w:szCs w:val="24"/>
              </w:rPr>
              <w:t>/20</w:t>
            </w:r>
            <w:r w:rsidR="00B94C98" w:rsidRPr="003A0F7C">
              <w:rPr>
                <w:sz w:val="24"/>
                <w:szCs w:val="24"/>
              </w:rPr>
              <w:t>2</w:t>
            </w:r>
            <w:r w:rsidR="0066318B" w:rsidRPr="003A0F7C">
              <w:rPr>
                <w:sz w:val="24"/>
                <w:szCs w:val="24"/>
              </w:rPr>
              <w:t xml:space="preserve">1 </w:t>
            </w:r>
          </w:p>
          <w:p w14:paraId="5CF62E2A" w14:textId="23B7C24E" w:rsidR="00F9011A" w:rsidRPr="003A0F7C" w:rsidRDefault="00F9011A" w:rsidP="00451F47">
            <w:pPr>
              <w:spacing w:before="100" w:beforeAutospacing="1" w:after="100" w:afterAutospacing="1" w:line="240" w:lineRule="auto"/>
              <w:jc w:val="both"/>
              <w:rPr>
                <w:sz w:val="24"/>
                <w:szCs w:val="24"/>
              </w:rPr>
            </w:pPr>
            <w:r w:rsidRPr="003A0F7C">
              <w:rPr>
                <w:b/>
                <w:sz w:val="24"/>
                <w:szCs w:val="24"/>
              </w:rPr>
              <w:t>ACTOR</w:t>
            </w:r>
            <w:r w:rsidR="00155185" w:rsidRPr="003A0F7C">
              <w:rPr>
                <w:b/>
                <w:sz w:val="24"/>
                <w:szCs w:val="24"/>
              </w:rPr>
              <w:t xml:space="preserve">: </w:t>
            </w:r>
            <w:r w:rsidR="00155185" w:rsidRPr="003A0F7C">
              <w:rPr>
                <w:bCs/>
                <w:sz w:val="24"/>
                <w:szCs w:val="24"/>
              </w:rPr>
              <w:t>PARTIDO ACCIÓN NACIONAL</w:t>
            </w:r>
          </w:p>
          <w:p w14:paraId="6B55EB94" w14:textId="1C400597" w:rsidR="00284431" w:rsidRPr="003A0F7C" w:rsidRDefault="00155185" w:rsidP="00451F47">
            <w:pPr>
              <w:spacing w:before="100" w:beforeAutospacing="1" w:after="100" w:afterAutospacing="1" w:line="240" w:lineRule="auto"/>
              <w:jc w:val="both"/>
              <w:rPr>
                <w:bCs/>
                <w:sz w:val="24"/>
                <w:szCs w:val="24"/>
              </w:rPr>
            </w:pPr>
            <w:r w:rsidRPr="003A0F7C">
              <w:rPr>
                <w:b/>
                <w:bCs/>
                <w:sz w:val="24"/>
                <w:szCs w:val="24"/>
              </w:rPr>
              <w:t>RESPONSABLE:</w:t>
            </w:r>
            <w:r w:rsidRPr="003A0F7C">
              <w:rPr>
                <w:bCs/>
                <w:sz w:val="24"/>
                <w:szCs w:val="24"/>
              </w:rPr>
              <w:t xml:space="preserve"> TRIBUNAL ESTATAL ELECTORAL DE GUANAJUATO</w:t>
            </w:r>
          </w:p>
          <w:p w14:paraId="5A3B834D" w14:textId="77777777" w:rsidR="00F9011A" w:rsidRPr="003A0F7C" w:rsidRDefault="00F9011A" w:rsidP="00451F47">
            <w:pPr>
              <w:spacing w:before="100" w:beforeAutospacing="1" w:after="100" w:afterAutospacing="1" w:line="240" w:lineRule="auto"/>
              <w:jc w:val="both"/>
              <w:rPr>
                <w:sz w:val="24"/>
                <w:szCs w:val="24"/>
              </w:rPr>
            </w:pPr>
            <w:r w:rsidRPr="003A0F7C">
              <w:rPr>
                <w:b/>
                <w:sz w:val="24"/>
                <w:szCs w:val="24"/>
              </w:rPr>
              <w:t>MAGISTRAD</w:t>
            </w:r>
            <w:r w:rsidR="00BA05BB" w:rsidRPr="003A0F7C">
              <w:rPr>
                <w:b/>
                <w:sz w:val="24"/>
                <w:szCs w:val="24"/>
              </w:rPr>
              <w:t>O</w:t>
            </w:r>
            <w:r w:rsidRPr="003A0F7C">
              <w:rPr>
                <w:b/>
                <w:sz w:val="24"/>
                <w:szCs w:val="24"/>
              </w:rPr>
              <w:t xml:space="preserve"> PONENTE:</w:t>
            </w:r>
            <w:r w:rsidRPr="003A0F7C">
              <w:rPr>
                <w:sz w:val="24"/>
                <w:szCs w:val="24"/>
              </w:rPr>
              <w:t xml:space="preserve"> </w:t>
            </w:r>
            <w:r w:rsidR="00BA05BB" w:rsidRPr="003A0F7C">
              <w:rPr>
                <w:sz w:val="24"/>
                <w:szCs w:val="24"/>
              </w:rPr>
              <w:t>YAIRSINIO DAVID GARCÍA ORTIZ</w:t>
            </w:r>
          </w:p>
          <w:p w14:paraId="38290899" w14:textId="544F569D" w:rsidR="00F9011A" w:rsidRPr="003A0F7C" w:rsidRDefault="00EC2F27" w:rsidP="00451F47">
            <w:pPr>
              <w:spacing w:before="100" w:beforeAutospacing="1" w:after="100" w:afterAutospacing="1" w:line="240" w:lineRule="auto"/>
              <w:jc w:val="both"/>
              <w:rPr>
                <w:sz w:val="24"/>
                <w:szCs w:val="24"/>
              </w:rPr>
            </w:pPr>
            <w:r w:rsidRPr="003A0F7C">
              <w:rPr>
                <w:b/>
                <w:sz w:val="24"/>
                <w:szCs w:val="24"/>
              </w:rPr>
              <w:t>SECRETARI</w:t>
            </w:r>
            <w:r w:rsidR="00C26D55" w:rsidRPr="003A0F7C">
              <w:rPr>
                <w:b/>
                <w:sz w:val="24"/>
                <w:szCs w:val="24"/>
              </w:rPr>
              <w:t>O</w:t>
            </w:r>
            <w:r w:rsidRPr="003A0F7C">
              <w:rPr>
                <w:b/>
                <w:sz w:val="24"/>
                <w:szCs w:val="24"/>
              </w:rPr>
              <w:t>:</w:t>
            </w:r>
            <w:r w:rsidRPr="003A0F7C">
              <w:rPr>
                <w:sz w:val="24"/>
                <w:szCs w:val="24"/>
              </w:rPr>
              <w:t xml:space="preserve"> </w:t>
            </w:r>
            <w:r w:rsidR="00C26D55" w:rsidRPr="003A0F7C">
              <w:rPr>
                <w:sz w:val="24"/>
                <w:szCs w:val="24"/>
              </w:rPr>
              <w:t xml:space="preserve">HOMERO TREVIÑO LANDIN </w:t>
            </w:r>
          </w:p>
        </w:tc>
      </w:tr>
    </w:tbl>
    <w:p w14:paraId="5DEE740A" w14:textId="77777777" w:rsidR="00150E6B" w:rsidRPr="003A0F7C" w:rsidRDefault="00150E6B" w:rsidP="00F9011A">
      <w:pPr>
        <w:tabs>
          <w:tab w:val="left" w:pos="7470"/>
        </w:tabs>
        <w:spacing w:before="100" w:beforeAutospacing="1" w:after="100" w:afterAutospacing="1" w:line="360" w:lineRule="auto"/>
        <w:jc w:val="both"/>
        <w:rPr>
          <w:sz w:val="24"/>
          <w:szCs w:val="24"/>
        </w:rPr>
      </w:pPr>
    </w:p>
    <w:p w14:paraId="4B3646F9" w14:textId="1A871208" w:rsidR="00F9011A" w:rsidRPr="003A0F7C" w:rsidRDefault="00F9011A" w:rsidP="00F9011A">
      <w:pPr>
        <w:tabs>
          <w:tab w:val="left" w:pos="7470"/>
        </w:tabs>
        <w:spacing w:before="100" w:beforeAutospacing="1" w:after="100" w:afterAutospacing="1" w:line="360" w:lineRule="auto"/>
        <w:jc w:val="both"/>
        <w:rPr>
          <w:sz w:val="24"/>
          <w:szCs w:val="24"/>
        </w:rPr>
      </w:pPr>
      <w:r w:rsidRPr="003A0F7C">
        <w:rPr>
          <w:sz w:val="24"/>
          <w:szCs w:val="24"/>
        </w:rPr>
        <w:t>Monterrey, Nuevo León, a</w:t>
      </w:r>
      <w:r w:rsidR="00DD0B81" w:rsidRPr="003A0F7C">
        <w:rPr>
          <w:sz w:val="24"/>
          <w:szCs w:val="24"/>
        </w:rPr>
        <w:t xml:space="preserve"> </w:t>
      </w:r>
      <w:r w:rsidR="004531B1" w:rsidRPr="003A0F7C">
        <w:rPr>
          <w:sz w:val="24"/>
          <w:szCs w:val="24"/>
        </w:rPr>
        <w:t>doce</w:t>
      </w:r>
      <w:r w:rsidR="004769DB" w:rsidRPr="003A0F7C">
        <w:rPr>
          <w:sz w:val="24"/>
          <w:szCs w:val="24"/>
        </w:rPr>
        <w:t xml:space="preserve"> </w:t>
      </w:r>
      <w:r w:rsidRPr="003A0F7C">
        <w:rPr>
          <w:sz w:val="24"/>
          <w:szCs w:val="24"/>
        </w:rPr>
        <w:t xml:space="preserve">de </w:t>
      </w:r>
      <w:r w:rsidR="00155185" w:rsidRPr="003A0F7C">
        <w:rPr>
          <w:sz w:val="24"/>
          <w:szCs w:val="24"/>
        </w:rPr>
        <w:t>mayo</w:t>
      </w:r>
      <w:r w:rsidR="00C26D55" w:rsidRPr="003A0F7C">
        <w:rPr>
          <w:sz w:val="24"/>
          <w:szCs w:val="24"/>
        </w:rPr>
        <w:t xml:space="preserve"> </w:t>
      </w:r>
      <w:r w:rsidRPr="003A0F7C">
        <w:rPr>
          <w:sz w:val="24"/>
          <w:szCs w:val="24"/>
        </w:rPr>
        <w:t xml:space="preserve">de dos mil </w:t>
      </w:r>
      <w:r w:rsidR="0066318B" w:rsidRPr="003A0F7C">
        <w:rPr>
          <w:sz w:val="24"/>
          <w:szCs w:val="24"/>
        </w:rPr>
        <w:t>veintiuno</w:t>
      </w:r>
      <w:r w:rsidR="00734988" w:rsidRPr="003A0F7C">
        <w:rPr>
          <w:sz w:val="24"/>
          <w:szCs w:val="24"/>
        </w:rPr>
        <w:t>.</w:t>
      </w:r>
    </w:p>
    <w:p w14:paraId="6D655537" w14:textId="556489F7" w:rsidR="00DC02FE" w:rsidRPr="003A0F7C" w:rsidRDefault="00F9011A" w:rsidP="007024D4">
      <w:pPr>
        <w:pStyle w:val="NormalWeb"/>
        <w:spacing w:before="240" w:beforeAutospacing="0" w:after="240" w:afterAutospacing="0" w:line="360" w:lineRule="auto"/>
        <w:jc w:val="both"/>
        <w:rPr>
          <w:rFonts w:ascii="Arial" w:hAnsi="Arial"/>
        </w:rPr>
      </w:pPr>
      <w:r w:rsidRPr="003A0F7C">
        <w:rPr>
          <w:rFonts w:ascii="Arial" w:hAnsi="Arial"/>
          <w:b/>
          <w:bCs/>
        </w:rPr>
        <w:t xml:space="preserve">Sentencia definitiva </w:t>
      </w:r>
      <w:r w:rsidRPr="003A0F7C">
        <w:rPr>
          <w:rFonts w:ascii="Arial" w:hAnsi="Arial"/>
        </w:rPr>
        <w:t>qu</w:t>
      </w:r>
      <w:bookmarkStart w:id="1" w:name="_Hlk45866581"/>
      <w:r w:rsidR="00E310F9" w:rsidRPr="003A0F7C">
        <w:rPr>
          <w:rFonts w:ascii="Arial" w:hAnsi="Arial"/>
        </w:rPr>
        <w:t xml:space="preserve">e: </w:t>
      </w:r>
      <w:r w:rsidR="00E310F9" w:rsidRPr="003A0F7C">
        <w:rPr>
          <w:rFonts w:ascii="Arial" w:hAnsi="Arial"/>
          <w:b/>
          <w:bCs/>
        </w:rPr>
        <w:t>a)</w:t>
      </w:r>
      <w:r w:rsidR="00E310F9" w:rsidRPr="003A0F7C">
        <w:rPr>
          <w:rFonts w:ascii="Arial" w:hAnsi="Arial"/>
        </w:rPr>
        <w:t xml:space="preserve"> </w:t>
      </w:r>
      <w:r w:rsidR="00F93EDD" w:rsidRPr="003A0F7C">
        <w:rPr>
          <w:rFonts w:ascii="Arial" w:hAnsi="Arial"/>
          <w:b/>
          <w:bCs/>
        </w:rPr>
        <w:t>confirma</w:t>
      </w:r>
      <w:r w:rsidR="00155185" w:rsidRPr="003A0F7C">
        <w:rPr>
          <w:rFonts w:ascii="Arial" w:hAnsi="Arial"/>
          <w:b/>
          <w:bCs/>
        </w:rPr>
        <w:t xml:space="preserve"> </w:t>
      </w:r>
      <w:r w:rsidR="00155185" w:rsidRPr="003A0F7C">
        <w:rPr>
          <w:rFonts w:ascii="Arial" w:hAnsi="Arial"/>
        </w:rPr>
        <w:t>en lo que fue materia de impugnación</w:t>
      </w:r>
      <w:r w:rsidR="00F93EDD" w:rsidRPr="003A0F7C">
        <w:rPr>
          <w:rFonts w:ascii="Arial" w:hAnsi="Arial"/>
          <w:b/>
          <w:bCs/>
        </w:rPr>
        <w:t xml:space="preserve"> </w:t>
      </w:r>
      <w:r w:rsidR="00C65E91" w:rsidRPr="003A0F7C">
        <w:rPr>
          <w:rFonts w:ascii="Arial" w:hAnsi="Arial"/>
        </w:rPr>
        <w:t xml:space="preserve">la resolución que dictó el </w:t>
      </w:r>
      <w:bookmarkStart w:id="2" w:name="_Hlk71624306"/>
      <w:r w:rsidR="00C65E91" w:rsidRPr="003A0F7C">
        <w:rPr>
          <w:rFonts w:ascii="Arial" w:hAnsi="Arial"/>
        </w:rPr>
        <w:t xml:space="preserve">Tribunal </w:t>
      </w:r>
      <w:r w:rsidR="008F6841" w:rsidRPr="003A0F7C">
        <w:rPr>
          <w:rFonts w:ascii="Arial" w:hAnsi="Arial"/>
        </w:rPr>
        <w:t>Estatal Electoral</w:t>
      </w:r>
      <w:r w:rsidR="00C65E91" w:rsidRPr="003A0F7C">
        <w:rPr>
          <w:rFonts w:ascii="Arial" w:hAnsi="Arial"/>
        </w:rPr>
        <w:t xml:space="preserve"> de </w:t>
      </w:r>
      <w:r w:rsidR="008F6841" w:rsidRPr="003A0F7C">
        <w:rPr>
          <w:rFonts w:ascii="Arial" w:hAnsi="Arial"/>
        </w:rPr>
        <w:t xml:space="preserve">Guanajuato </w:t>
      </w:r>
      <w:bookmarkEnd w:id="2"/>
      <w:r w:rsidR="00C65E91" w:rsidRPr="003A0F7C">
        <w:rPr>
          <w:rFonts w:ascii="Arial" w:hAnsi="Arial"/>
        </w:rPr>
        <w:t xml:space="preserve">en </w:t>
      </w:r>
      <w:r w:rsidR="00DC02FE" w:rsidRPr="003A0F7C">
        <w:rPr>
          <w:rFonts w:ascii="Arial" w:hAnsi="Arial"/>
        </w:rPr>
        <w:t>el recurso de revisión TEEG-REV-18/2021 y acumulados</w:t>
      </w:r>
      <w:r w:rsidR="00C65E91" w:rsidRPr="003A0F7C">
        <w:rPr>
          <w:rFonts w:ascii="Arial" w:hAnsi="Arial"/>
        </w:rPr>
        <w:t xml:space="preserve">, que revocó la diversa resolución </w:t>
      </w:r>
      <w:r w:rsidR="00DC02FE" w:rsidRPr="003A0F7C">
        <w:rPr>
          <w:rFonts w:ascii="Arial" w:hAnsi="Arial"/>
        </w:rPr>
        <w:t>CGIEEG/104/2021</w:t>
      </w:r>
      <w:r w:rsidR="00C65E91" w:rsidRPr="003A0F7C">
        <w:rPr>
          <w:rFonts w:ascii="Arial" w:hAnsi="Arial"/>
        </w:rPr>
        <w:t>, emitida por el</w:t>
      </w:r>
      <w:r w:rsidR="00C65E91" w:rsidRPr="003A0F7C">
        <w:t xml:space="preserve"> </w:t>
      </w:r>
      <w:r w:rsidR="00407AFC" w:rsidRPr="003A0F7C">
        <w:rPr>
          <w:rFonts w:ascii="Arial" w:hAnsi="Arial"/>
        </w:rPr>
        <w:t>Instituto Electoral del referido Estado</w:t>
      </w:r>
      <w:r w:rsidR="00DC02FE" w:rsidRPr="003A0F7C">
        <w:rPr>
          <w:rFonts w:ascii="Arial" w:hAnsi="Arial"/>
        </w:rPr>
        <w:t xml:space="preserve">, al considerar que: </w:t>
      </w:r>
      <w:r w:rsidR="00E310F9" w:rsidRPr="003A0F7C">
        <w:rPr>
          <w:rFonts w:ascii="Arial" w:hAnsi="Arial"/>
          <w:b/>
          <w:bCs/>
        </w:rPr>
        <w:t>i</w:t>
      </w:r>
      <w:r w:rsidR="00DC02FE" w:rsidRPr="003A0F7C">
        <w:rPr>
          <w:rFonts w:ascii="Arial" w:hAnsi="Arial"/>
          <w:b/>
          <w:bCs/>
        </w:rPr>
        <w:t>)</w:t>
      </w:r>
      <w:r w:rsidR="00DC02FE" w:rsidRPr="003A0F7C">
        <w:t xml:space="preserve"> </w:t>
      </w:r>
      <w:r w:rsidR="00DC02FE" w:rsidRPr="003A0F7C">
        <w:rPr>
          <w:rFonts w:ascii="Arial" w:hAnsi="Arial"/>
        </w:rPr>
        <w:t>No se trastocó la garantía de audiencia del P</w:t>
      </w:r>
      <w:r w:rsidR="00CB1ED6" w:rsidRPr="003A0F7C">
        <w:rPr>
          <w:rFonts w:ascii="Arial" w:hAnsi="Arial"/>
        </w:rPr>
        <w:t xml:space="preserve">artido </w:t>
      </w:r>
      <w:r w:rsidR="00DC02FE" w:rsidRPr="003A0F7C">
        <w:rPr>
          <w:rFonts w:ascii="Arial" w:hAnsi="Arial"/>
        </w:rPr>
        <w:t>A</w:t>
      </w:r>
      <w:r w:rsidR="00CB1ED6" w:rsidRPr="003A0F7C">
        <w:rPr>
          <w:rFonts w:ascii="Arial" w:hAnsi="Arial"/>
        </w:rPr>
        <w:t xml:space="preserve">cción </w:t>
      </w:r>
      <w:r w:rsidR="00DC02FE" w:rsidRPr="003A0F7C">
        <w:rPr>
          <w:rFonts w:ascii="Arial" w:hAnsi="Arial"/>
        </w:rPr>
        <w:t>N</w:t>
      </w:r>
      <w:r w:rsidR="00CB1ED6" w:rsidRPr="003A0F7C">
        <w:rPr>
          <w:rFonts w:ascii="Arial" w:hAnsi="Arial"/>
        </w:rPr>
        <w:t>acional</w:t>
      </w:r>
      <w:r w:rsidR="00DC02FE" w:rsidRPr="003A0F7C">
        <w:rPr>
          <w:rFonts w:ascii="Arial" w:hAnsi="Arial"/>
        </w:rPr>
        <w:t xml:space="preserve"> como tercero interesado en el procedimiento relativo al expediente TEEG-REV-18/2021 y acumulados; </w:t>
      </w:r>
      <w:proofErr w:type="spellStart"/>
      <w:r w:rsidR="00E310F9" w:rsidRPr="003A0F7C">
        <w:rPr>
          <w:rFonts w:ascii="Arial" w:hAnsi="Arial"/>
          <w:b/>
          <w:bCs/>
        </w:rPr>
        <w:t>ii</w:t>
      </w:r>
      <w:proofErr w:type="spellEnd"/>
      <w:r w:rsidR="00DC02FE" w:rsidRPr="003A0F7C">
        <w:rPr>
          <w:rFonts w:ascii="Arial" w:hAnsi="Arial"/>
          <w:b/>
          <w:bCs/>
        </w:rPr>
        <w:t>)</w:t>
      </w:r>
      <w:r w:rsidR="00DC02FE" w:rsidRPr="003A0F7C">
        <w:rPr>
          <w:rFonts w:ascii="Arial" w:hAnsi="Arial"/>
        </w:rPr>
        <w:t xml:space="preserve"> </w:t>
      </w:r>
      <w:r w:rsidR="00F62A25" w:rsidRPr="003A0F7C">
        <w:rPr>
          <w:rFonts w:ascii="Arial" w:hAnsi="Arial"/>
        </w:rPr>
        <w:t xml:space="preserve">El acuerdo de admisión de fecha diecisiete de abril, en el que se admitió el recurso de revisión de MORENA, así como los juicios TEEG-JPDC-112/2021, TEEG-JPDC-113/2021, TEEG-JPDC-114/2021, TEEG-JPDC-118/2021 y TEEG-JPDC-119/2021, está debidamente fundado y motivado, aunado a que dichos medios de impugnación fueron presentados en el término previsto en la normatividad electoral local; </w:t>
      </w:r>
      <w:proofErr w:type="spellStart"/>
      <w:r w:rsidR="00E310F9" w:rsidRPr="003A0F7C">
        <w:rPr>
          <w:rFonts w:ascii="Arial" w:hAnsi="Arial"/>
          <w:b/>
          <w:bCs/>
        </w:rPr>
        <w:t>iii</w:t>
      </w:r>
      <w:proofErr w:type="spellEnd"/>
      <w:r w:rsidR="00F62A25" w:rsidRPr="003A0F7C">
        <w:rPr>
          <w:rFonts w:ascii="Arial" w:hAnsi="Arial"/>
          <w:b/>
          <w:bCs/>
        </w:rPr>
        <w:t>)</w:t>
      </w:r>
      <w:r w:rsidR="00F62A25" w:rsidRPr="003A0F7C">
        <w:t xml:space="preserve"> </w:t>
      </w:r>
      <w:r w:rsidR="00F62A25" w:rsidRPr="003A0F7C">
        <w:rPr>
          <w:rFonts w:ascii="Arial" w:hAnsi="Arial"/>
        </w:rPr>
        <w:t xml:space="preserve">Fue correcta la determinación del Tribunal Local relativa a que el Instituto Electoral Local no debió negar el registro de planillas </w:t>
      </w:r>
      <w:r w:rsidR="00CB1ED6" w:rsidRPr="003A0F7C">
        <w:rPr>
          <w:rFonts w:ascii="Arial" w:hAnsi="Arial"/>
        </w:rPr>
        <w:t>con</w:t>
      </w:r>
      <w:r w:rsidR="00F62A25" w:rsidRPr="003A0F7C">
        <w:rPr>
          <w:rFonts w:ascii="Arial" w:hAnsi="Arial"/>
        </w:rPr>
        <w:t xml:space="preserve"> base en inconsistencias que no se dieron a conocer al partido político; </w:t>
      </w:r>
      <w:proofErr w:type="spellStart"/>
      <w:r w:rsidR="00E310F9" w:rsidRPr="003A0F7C">
        <w:rPr>
          <w:rFonts w:ascii="Arial" w:hAnsi="Arial"/>
          <w:b/>
          <w:bCs/>
        </w:rPr>
        <w:t>iv</w:t>
      </w:r>
      <w:proofErr w:type="spellEnd"/>
      <w:r w:rsidR="00F62A25" w:rsidRPr="003A0F7C">
        <w:rPr>
          <w:rFonts w:ascii="Arial" w:hAnsi="Arial"/>
          <w:b/>
          <w:bCs/>
        </w:rPr>
        <w:t>)</w:t>
      </w:r>
      <w:r w:rsidR="00F62A25" w:rsidRPr="003A0F7C">
        <w:rPr>
          <w:b/>
          <w:bCs/>
        </w:rPr>
        <w:t xml:space="preserve"> </w:t>
      </w:r>
      <w:r w:rsidR="00F62A25" w:rsidRPr="003A0F7C">
        <w:rPr>
          <w:rFonts w:ascii="Arial" w:hAnsi="Arial"/>
        </w:rPr>
        <w:t xml:space="preserve">Fue apropiada la determinación en cuanto a que no se respetó la garantía de audiencia de los candidatos, pues no se le hizo de su conocimiento de las inconsistencias detectadas por la autoridad electoral; </w:t>
      </w:r>
      <w:r w:rsidR="00E310F9" w:rsidRPr="003A0F7C">
        <w:rPr>
          <w:rFonts w:ascii="Arial" w:hAnsi="Arial"/>
          <w:b/>
          <w:bCs/>
        </w:rPr>
        <w:t>v</w:t>
      </w:r>
      <w:r w:rsidR="00F62A25" w:rsidRPr="003A0F7C">
        <w:rPr>
          <w:rFonts w:ascii="Arial" w:hAnsi="Arial"/>
          <w:b/>
          <w:bCs/>
        </w:rPr>
        <w:t>)</w:t>
      </w:r>
      <w:r w:rsidR="00F62A25" w:rsidRPr="003A0F7C">
        <w:rPr>
          <w:rFonts w:ascii="Arial" w:hAnsi="Arial"/>
        </w:rPr>
        <w:t xml:space="preserve"> La determinación en cuanto a que incorrectamente se negó el registro de la planilla al Ayuntamiento de Apaseo el Grande, se encuentra ajustada a derecho; y </w:t>
      </w:r>
      <w:r w:rsidR="00E310F9" w:rsidRPr="003A0F7C">
        <w:rPr>
          <w:rFonts w:ascii="Arial" w:hAnsi="Arial"/>
          <w:b/>
          <w:bCs/>
        </w:rPr>
        <w:t>vi</w:t>
      </w:r>
      <w:r w:rsidR="00F62A25" w:rsidRPr="003A0F7C">
        <w:rPr>
          <w:rFonts w:ascii="Arial" w:hAnsi="Arial"/>
          <w:b/>
          <w:bCs/>
        </w:rPr>
        <w:t>)</w:t>
      </w:r>
      <w:r w:rsidR="00F62A25" w:rsidRPr="003A0F7C">
        <w:rPr>
          <w:rFonts w:ascii="Arial" w:hAnsi="Arial"/>
        </w:rPr>
        <w:t xml:space="preserve"> </w:t>
      </w:r>
      <w:r w:rsidR="00D80264" w:rsidRPr="003A0F7C">
        <w:rPr>
          <w:rFonts w:ascii="Arial" w:hAnsi="Arial"/>
        </w:rPr>
        <w:t>El Tribunal Local correctamente precisó las razones y motivos del porque procedía el registro de planillas incompletas, sin que el PAN las controvierta frontalment</w:t>
      </w:r>
      <w:r w:rsidR="00E310F9" w:rsidRPr="003A0F7C">
        <w:rPr>
          <w:rFonts w:ascii="Arial" w:hAnsi="Arial"/>
        </w:rPr>
        <w:t xml:space="preserve">e; y </w:t>
      </w:r>
      <w:r w:rsidR="00E310F9" w:rsidRPr="003A0F7C">
        <w:rPr>
          <w:rFonts w:ascii="Arial" w:hAnsi="Arial"/>
          <w:b/>
          <w:bCs/>
        </w:rPr>
        <w:t>b)</w:t>
      </w:r>
      <w:r w:rsidR="00E310F9" w:rsidRPr="003A0F7C">
        <w:rPr>
          <w:rFonts w:ascii="Arial" w:hAnsi="Arial"/>
        </w:rPr>
        <w:t xml:space="preserve"> </w:t>
      </w:r>
      <w:r w:rsidR="001B5DE4" w:rsidRPr="003A0F7C">
        <w:rPr>
          <w:rFonts w:ascii="Arial" w:hAnsi="Arial"/>
          <w:b/>
          <w:bCs/>
        </w:rPr>
        <w:t>conmina</w:t>
      </w:r>
      <w:r w:rsidR="001B5DE4" w:rsidRPr="003A0F7C">
        <w:rPr>
          <w:rFonts w:ascii="Arial" w:hAnsi="Arial"/>
        </w:rPr>
        <w:t xml:space="preserve"> al Tribunal Estatal Electoral de Guanajuato</w:t>
      </w:r>
      <w:r w:rsidR="00150E6B" w:rsidRPr="003A0F7C">
        <w:rPr>
          <w:rFonts w:ascii="Arial" w:hAnsi="Arial"/>
        </w:rPr>
        <w:t xml:space="preserve"> en los términos del presente fallo.</w:t>
      </w:r>
    </w:p>
    <w:bookmarkEnd w:id="1"/>
    <w:p w14:paraId="465CFE5A" w14:textId="77777777" w:rsidR="00F00BA1" w:rsidRPr="003A0F7C" w:rsidRDefault="00F00BA1" w:rsidP="00F00BA1">
      <w:pPr>
        <w:spacing w:after="100" w:afterAutospacing="1" w:line="360" w:lineRule="auto"/>
        <w:jc w:val="center"/>
        <w:rPr>
          <w:rFonts w:eastAsia="Times New Roman"/>
          <w:b/>
          <w:lang w:eastAsia="es-ES"/>
        </w:rPr>
      </w:pPr>
      <w:r w:rsidRPr="003A0F7C">
        <w:rPr>
          <w:rFonts w:eastAsia="Times New Roman"/>
          <w:b/>
          <w:lang w:eastAsia="es-ES"/>
        </w:rPr>
        <w:lastRenderedPageBreak/>
        <w:t>ÍNDICE</w:t>
      </w:r>
    </w:p>
    <w:tbl>
      <w:tblPr>
        <w:tblStyle w:val="Tablaconcuadrcula4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8"/>
        <w:gridCol w:w="525"/>
      </w:tblGrid>
      <w:tr w:rsidR="00F00BA1" w:rsidRPr="003A0F7C" w14:paraId="1511FFF9" w14:textId="77777777" w:rsidTr="00791815">
        <w:tc>
          <w:tcPr>
            <w:tcW w:w="7498" w:type="dxa"/>
          </w:tcPr>
          <w:p w14:paraId="7896A320" w14:textId="77777777" w:rsidR="00F00BA1" w:rsidRPr="003A0F7C" w:rsidRDefault="00F00BA1" w:rsidP="009D4922">
            <w:pPr>
              <w:spacing w:before="100" w:beforeAutospacing="1" w:after="100" w:afterAutospacing="1"/>
              <w:jc w:val="both"/>
              <w:rPr>
                <w:rFonts w:eastAsia="Times New Roman"/>
                <w:lang w:eastAsia="es-ES"/>
              </w:rPr>
            </w:pPr>
            <w:r w:rsidRPr="003A0F7C">
              <w:rPr>
                <w:rFonts w:eastAsia="Times New Roman"/>
                <w:b/>
                <w:lang w:eastAsia="es-ES"/>
              </w:rPr>
              <w:t xml:space="preserve">GLOSARIO </w:t>
            </w:r>
            <w:r w:rsidRPr="003A0F7C">
              <w:rPr>
                <w:rFonts w:eastAsia="Times New Roman"/>
                <w:lang w:eastAsia="es-ES"/>
              </w:rPr>
              <w:t>………………………………………………………………………</w:t>
            </w:r>
            <w:r w:rsidR="00B63244" w:rsidRPr="003A0F7C">
              <w:rPr>
                <w:rFonts w:eastAsia="Times New Roman"/>
                <w:lang w:eastAsia="es-ES"/>
              </w:rPr>
              <w:t>………..</w:t>
            </w:r>
            <w:r w:rsidR="00E000D5" w:rsidRPr="003A0F7C">
              <w:rPr>
                <w:rFonts w:eastAsia="Times New Roman"/>
                <w:lang w:eastAsia="es-ES"/>
              </w:rPr>
              <w:t>.</w:t>
            </w:r>
          </w:p>
        </w:tc>
        <w:tc>
          <w:tcPr>
            <w:tcW w:w="525" w:type="dxa"/>
          </w:tcPr>
          <w:p w14:paraId="45FCFA10" w14:textId="53935A41" w:rsidR="00F00BA1" w:rsidRPr="003A0F7C" w:rsidRDefault="0032124F" w:rsidP="009D4922">
            <w:pPr>
              <w:spacing w:before="100" w:beforeAutospacing="1" w:after="100" w:afterAutospacing="1"/>
              <w:jc w:val="center"/>
              <w:rPr>
                <w:rFonts w:eastAsia="Times New Roman"/>
                <w:lang w:eastAsia="es-ES"/>
              </w:rPr>
            </w:pPr>
            <w:r w:rsidRPr="003A0F7C">
              <w:rPr>
                <w:rFonts w:eastAsia="Times New Roman"/>
                <w:lang w:eastAsia="es-ES"/>
              </w:rPr>
              <w:t>2</w:t>
            </w:r>
          </w:p>
        </w:tc>
      </w:tr>
      <w:tr w:rsidR="00F00BA1" w:rsidRPr="003A0F7C" w14:paraId="339D1C16" w14:textId="77777777" w:rsidTr="00791815">
        <w:tc>
          <w:tcPr>
            <w:tcW w:w="7498" w:type="dxa"/>
          </w:tcPr>
          <w:p w14:paraId="6E95A3DC" w14:textId="67748CE6" w:rsidR="00F00BA1" w:rsidRPr="003A0F7C" w:rsidRDefault="00F00BA1" w:rsidP="009D4922">
            <w:pPr>
              <w:spacing w:before="100" w:beforeAutospacing="1" w:after="100" w:afterAutospacing="1"/>
              <w:jc w:val="both"/>
              <w:rPr>
                <w:rFonts w:eastAsia="Times New Roman"/>
                <w:b/>
                <w:lang w:eastAsia="es-ES"/>
              </w:rPr>
            </w:pPr>
            <w:r w:rsidRPr="003A0F7C">
              <w:rPr>
                <w:rFonts w:eastAsia="Times New Roman"/>
                <w:b/>
                <w:lang w:eastAsia="es-ES"/>
              </w:rPr>
              <w:t xml:space="preserve">1. ANTECEDENTES </w:t>
            </w:r>
            <w:r w:rsidRPr="003A0F7C">
              <w:rPr>
                <w:rFonts w:eastAsia="Times New Roman"/>
                <w:lang w:eastAsia="es-ES"/>
              </w:rPr>
              <w:t>……………………………………………………………</w:t>
            </w:r>
            <w:r w:rsidR="00B63244" w:rsidRPr="003A0F7C">
              <w:rPr>
                <w:rFonts w:eastAsia="Times New Roman"/>
                <w:lang w:eastAsia="es-ES"/>
              </w:rPr>
              <w:t>………</w:t>
            </w:r>
            <w:r w:rsidR="00DF2DB0" w:rsidRPr="003A0F7C">
              <w:rPr>
                <w:rFonts w:eastAsia="Times New Roman"/>
                <w:lang w:eastAsia="es-ES"/>
              </w:rPr>
              <w:t>...</w:t>
            </w:r>
          </w:p>
        </w:tc>
        <w:tc>
          <w:tcPr>
            <w:tcW w:w="525" w:type="dxa"/>
          </w:tcPr>
          <w:p w14:paraId="7DBC15CC" w14:textId="5A9BBBEA" w:rsidR="00F00BA1" w:rsidRPr="003A0F7C" w:rsidRDefault="0032124F" w:rsidP="009D4922">
            <w:pPr>
              <w:spacing w:before="100" w:beforeAutospacing="1" w:after="100" w:afterAutospacing="1"/>
              <w:jc w:val="center"/>
              <w:rPr>
                <w:rFonts w:eastAsia="Times New Roman"/>
                <w:lang w:eastAsia="es-ES"/>
              </w:rPr>
            </w:pPr>
            <w:r w:rsidRPr="003A0F7C">
              <w:rPr>
                <w:rFonts w:eastAsia="Times New Roman"/>
                <w:lang w:eastAsia="es-ES"/>
              </w:rPr>
              <w:t>2</w:t>
            </w:r>
          </w:p>
        </w:tc>
      </w:tr>
      <w:tr w:rsidR="00E66619" w:rsidRPr="003A0F7C" w14:paraId="1AA6C5A7" w14:textId="77777777" w:rsidTr="00791815">
        <w:tc>
          <w:tcPr>
            <w:tcW w:w="7498" w:type="dxa"/>
          </w:tcPr>
          <w:p w14:paraId="4F232172" w14:textId="10DB7F2C" w:rsidR="00E66619" w:rsidRPr="003A0F7C" w:rsidRDefault="00791815" w:rsidP="00E66619">
            <w:pPr>
              <w:spacing w:before="100" w:beforeAutospacing="1" w:after="100" w:afterAutospacing="1"/>
              <w:jc w:val="both"/>
              <w:rPr>
                <w:rFonts w:eastAsia="Times New Roman"/>
                <w:bCs/>
                <w:lang w:eastAsia="es-ES"/>
              </w:rPr>
            </w:pPr>
            <w:r w:rsidRPr="003A0F7C">
              <w:rPr>
                <w:rFonts w:eastAsia="Times New Roman"/>
                <w:b/>
                <w:lang w:eastAsia="es-ES"/>
              </w:rPr>
              <w:t>2</w:t>
            </w:r>
            <w:r w:rsidR="00E66619" w:rsidRPr="003A0F7C">
              <w:rPr>
                <w:rFonts w:eastAsia="Times New Roman"/>
                <w:b/>
                <w:lang w:eastAsia="es-ES"/>
              </w:rPr>
              <w:t xml:space="preserve">. COMPETENCIA </w:t>
            </w:r>
            <w:r w:rsidR="00E66619" w:rsidRPr="003A0F7C">
              <w:rPr>
                <w:rFonts w:eastAsia="Times New Roman"/>
                <w:lang w:eastAsia="es-ES"/>
              </w:rPr>
              <w:t>……………………………………………………………................</w:t>
            </w:r>
          </w:p>
        </w:tc>
        <w:tc>
          <w:tcPr>
            <w:tcW w:w="525" w:type="dxa"/>
          </w:tcPr>
          <w:p w14:paraId="11C7020F" w14:textId="3DE7C600" w:rsidR="00E66619" w:rsidRPr="003A0F7C" w:rsidRDefault="0032124F" w:rsidP="00E66619">
            <w:pPr>
              <w:spacing w:before="100" w:beforeAutospacing="1" w:after="100" w:afterAutospacing="1"/>
              <w:jc w:val="center"/>
              <w:rPr>
                <w:rFonts w:eastAsia="Times New Roman"/>
                <w:lang w:eastAsia="es-ES"/>
              </w:rPr>
            </w:pPr>
            <w:r w:rsidRPr="003A0F7C">
              <w:rPr>
                <w:rFonts w:eastAsia="Times New Roman"/>
                <w:lang w:eastAsia="es-ES"/>
              </w:rPr>
              <w:t>4</w:t>
            </w:r>
          </w:p>
        </w:tc>
      </w:tr>
      <w:tr w:rsidR="00E66619" w:rsidRPr="003A0F7C" w14:paraId="15B39E16" w14:textId="77777777" w:rsidTr="00791815">
        <w:tc>
          <w:tcPr>
            <w:tcW w:w="7498" w:type="dxa"/>
          </w:tcPr>
          <w:p w14:paraId="11D7E6D4" w14:textId="3E7FD6DB" w:rsidR="00E66619" w:rsidRPr="003A0F7C" w:rsidRDefault="00ED3BC0" w:rsidP="00E66619">
            <w:pPr>
              <w:spacing w:before="100" w:beforeAutospacing="1" w:after="100" w:afterAutospacing="1"/>
              <w:jc w:val="both"/>
              <w:rPr>
                <w:rFonts w:eastAsia="Times New Roman"/>
                <w:lang w:eastAsia="es-ES"/>
              </w:rPr>
            </w:pPr>
            <w:r w:rsidRPr="003A0F7C">
              <w:rPr>
                <w:rFonts w:eastAsia="Times New Roman"/>
                <w:b/>
                <w:lang w:eastAsia="es-ES"/>
              </w:rPr>
              <w:t>3</w:t>
            </w:r>
            <w:r w:rsidR="00E66619" w:rsidRPr="003A0F7C">
              <w:rPr>
                <w:rFonts w:eastAsia="Times New Roman"/>
                <w:b/>
                <w:lang w:eastAsia="es-ES"/>
              </w:rPr>
              <w:t>. PROCEDENCIA</w:t>
            </w:r>
            <w:r w:rsidR="00E66619" w:rsidRPr="003A0F7C">
              <w:rPr>
                <w:rFonts w:eastAsia="Times New Roman"/>
                <w:lang w:eastAsia="es-ES"/>
              </w:rPr>
              <w:t>…………………………………………………………..................</w:t>
            </w:r>
            <w:r w:rsidR="00DF2DB0" w:rsidRPr="003A0F7C">
              <w:rPr>
                <w:rFonts w:eastAsia="Times New Roman"/>
                <w:lang w:eastAsia="es-ES"/>
              </w:rPr>
              <w:t>...</w:t>
            </w:r>
          </w:p>
        </w:tc>
        <w:tc>
          <w:tcPr>
            <w:tcW w:w="525" w:type="dxa"/>
          </w:tcPr>
          <w:p w14:paraId="22BF0871" w14:textId="4844DFA4" w:rsidR="00E66619" w:rsidRPr="003A0F7C" w:rsidRDefault="0032124F" w:rsidP="00E66619">
            <w:pPr>
              <w:spacing w:before="100" w:beforeAutospacing="1" w:after="100" w:afterAutospacing="1"/>
              <w:jc w:val="center"/>
              <w:rPr>
                <w:rFonts w:eastAsia="Times New Roman"/>
                <w:lang w:eastAsia="es-ES"/>
              </w:rPr>
            </w:pPr>
            <w:r w:rsidRPr="003A0F7C">
              <w:rPr>
                <w:rFonts w:eastAsia="Times New Roman"/>
                <w:lang w:eastAsia="es-ES"/>
              </w:rPr>
              <w:t>4</w:t>
            </w:r>
          </w:p>
        </w:tc>
      </w:tr>
      <w:tr w:rsidR="00E66619" w:rsidRPr="003A0F7C" w14:paraId="64FB2D28" w14:textId="77777777" w:rsidTr="00791815">
        <w:tc>
          <w:tcPr>
            <w:tcW w:w="7498" w:type="dxa"/>
          </w:tcPr>
          <w:p w14:paraId="26C46CF6" w14:textId="5DC5F2FF" w:rsidR="00E66619" w:rsidRPr="003A0F7C" w:rsidRDefault="00ED3BC0" w:rsidP="00E66619">
            <w:pPr>
              <w:spacing w:before="100" w:beforeAutospacing="1" w:after="100" w:afterAutospacing="1"/>
              <w:jc w:val="both"/>
              <w:rPr>
                <w:rFonts w:eastAsia="Times New Roman"/>
                <w:b/>
                <w:lang w:eastAsia="es-ES"/>
              </w:rPr>
            </w:pPr>
            <w:r w:rsidRPr="003A0F7C">
              <w:rPr>
                <w:rFonts w:eastAsia="Times New Roman"/>
                <w:b/>
                <w:lang w:eastAsia="es-ES"/>
              </w:rPr>
              <w:t>4</w:t>
            </w:r>
            <w:r w:rsidR="00E66619" w:rsidRPr="003A0F7C">
              <w:rPr>
                <w:rFonts w:eastAsia="Times New Roman"/>
                <w:b/>
                <w:lang w:eastAsia="es-ES"/>
              </w:rPr>
              <w:t>. ESTUDIO DE FONDO</w:t>
            </w:r>
          </w:p>
        </w:tc>
        <w:tc>
          <w:tcPr>
            <w:tcW w:w="525" w:type="dxa"/>
          </w:tcPr>
          <w:p w14:paraId="5894F155" w14:textId="55F2A2C7" w:rsidR="00E66619" w:rsidRPr="003A0F7C" w:rsidRDefault="00E66619" w:rsidP="00E457CD">
            <w:pPr>
              <w:spacing w:before="100" w:beforeAutospacing="1" w:after="100" w:afterAutospacing="1"/>
              <w:rPr>
                <w:rFonts w:eastAsia="Times New Roman"/>
                <w:lang w:eastAsia="es-ES"/>
              </w:rPr>
            </w:pPr>
          </w:p>
        </w:tc>
      </w:tr>
      <w:tr w:rsidR="00E66619" w:rsidRPr="003A0F7C" w14:paraId="333427BE" w14:textId="77777777" w:rsidTr="00791815">
        <w:tc>
          <w:tcPr>
            <w:tcW w:w="7498" w:type="dxa"/>
          </w:tcPr>
          <w:p w14:paraId="13004B39" w14:textId="5CB458A5" w:rsidR="00E66619" w:rsidRPr="003A0F7C" w:rsidRDefault="00E66619" w:rsidP="00E66619">
            <w:pPr>
              <w:spacing w:before="100" w:beforeAutospacing="1" w:after="100" w:afterAutospacing="1"/>
              <w:jc w:val="both"/>
              <w:rPr>
                <w:rFonts w:eastAsia="Times New Roman"/>
                <w:lang w:eastAsia="es-ES"/>
              </w:rPr>
            </w:pPr>
            <w:r w:rsidRPr="003A0F7C">
              <w:rPr>
                <w:rFonts w:eastAsia="Times New Roman"/>
                <w:b/>
                <w:lang w:eastAsia="es-ES"/>
              </w:rPr>
              <w:t xml:space="preserve">          </w:t>
            </w:r>
            <w:r w:rsidR="00ED3BC0" w:rsidRPr="003A0F7C">
              <w:rPr>
                <w:rFonts w:eastAsia="Times New Roman"/>
                <w:b/>
                <w:lang w:eastAsia="es-ES"/>
              </w:rPr>
              <w:t>4</w:t>
            </w:r>
            <w:r w:rsidRPr="003A0F7C">
              <w:rPr>
                <w:rFonts w:eastAsia="Times New Roman"/>
                <w:b/>
                <w:lang w:eastAsia="es-ES"/>
              </w:rPr>
              <w:t xml:space="preserve">.1. </w:t>
            </w:r>
            <w:r w:rsidRPr="003A0F7C">
              <w:rPr>
                <w:rFonts w:eastAsia="Times New Roman"/>
                <w:lang w:eastAsia="es-ES"/>
              </w:rPr>
              <w:t>Materia de la controversia ………………………………………………….</w:t>
            </w:r>
            <w:r w:rsidR="00DF2DB0" w:rsidRPr="003A0F7C">
              <w:rPr>
                <w:rFonts w:eastAsia="Times New Roman"/>
                <w:lang w:eastAsia="es-ES"/>
              </w:rPr>
              <w:t>..</w:t>
            </w:r>
          </w:p>
        </w:tc>
        <w:tc>
          <w:tcPr>
            <w:tcW w:w="525" w:type="dxa"/>
          </w:tcPr>
          <w:p w14:paraId="0D528E92" w14:textId="34177EB6" w:rsidR="00E66619" w:rsidRPr="003A0F7C" w:rsidRDefault="00D76017" w:rsidP="00E66619">
            <w:pPr>
              <w:spacing w:before="100" w:beforeAutospacing="1" w:after="100" w:afterAutospacing="1"/>
              <w:jc w:val="center"/>
              <w:rPr>
                <w:rFonts w:eastAsia="Times New Roman"/>
                <w:lang w:eastAsia="es-ES"/>
              </w:rPr>
            </w:pPr>
            <w:r w:rsidRPr="003A0F7C">
              <w:rPr>
                <w:rFonts w:eastAsia="Times New Roman"/>
                <w:lang w:eastAsia="es-ES"/>
              </w:rPr>
              <w:t>5</w:t>
            </w:r>
          </w:p>
        </w:tc>
      </w:tr>
      <w:tr w:rsidR="00E66619" w:rsidRPr="003A0F7C" w14:paraId="582D98AD" w14:textId="77777777" w:rsidTr="00791815">
        <w:tc>
          <w:tcPr>
            <w:tcW w:w="7498" w:type="dxa"/>
          </w:tcPr>
          <w:p w14:paraId="72E58068" w14:textId="5BA0AB94" w:rsidR="00E66619" w:rsidRPr="003A0F7C" w:rsidRDefault="00E66619" w:rsidP="00E66619">
            <w:pPr>
              <w:spacing w:before="100" w:beforeAutospacing="1" w:after="100" w:afterAutospacing="1"/>
              <w:jc w:val="both"/>
              <w:rPr>
                <w:rFonts w:eastAsia="Times New Roman"/>
                <w:lang w:eastAsia="es-ES"/>
              </w:rPr>
            </w:pPr>
            <w:r w:rsidRPr="003A0F7C">
              <w:rPr>
                <w:rFonts w:eastAsia="Times New Roman"/>
                <w:b/>
                <w:lang w:eastAsia="es-ES"/>
              </w:rPr>
              <w:t xml:space="preserve">          </w:t>
            </w:r>
            <w:r w:rsidR="00ED3BC0" w:rsidRPr="003A0F7C">
              <w:rPr>
                <w:rFonts w:eastAsia="Times New Roman"/>
                <w:b/>
                <w:lang w:eastAsia="es-ES"/>
              </w:rPr>
              <w:t>4</w:t>
            </w:r>
            <w:r w:rsidRPr="003A0F7C">
              <w:rPr>
                <w:rFonts w:eastAsia="Times New Roman"/>
                <w:b/>
                <w:lang w:eastAsia="es-ES"/>
              </w:rPr>
              <w:t xml:space="preserve">.2. </w:t>
            </w:r>
            <w:r w:rsidR="00444340" w:rsidRPr="003A0F7C">
              <w:rPr>
                <w:rFonts w:eastAsia="Times New Roman"/>
                <w:lang w:eastAsia="es-ES"/>
              </w:rPr>
              <w:t>Decisi</w:t>
            </w:r>
            <w:r w:rsidR="00673757" w:rsidRPr="003A0F7C">
              <w:rPr>
                <w:rFonts w:eastAsia="Times New Roman"/>
                <w:lang w:eastAsia="es-ES"/>
              </w:rPr>
              <w:t>ones</w:t>
            </w:r>
            <w:r w:rsidR="00D326FF" w:rsidRPr="003A0F7C">
              <w:rPr>
                <w:rFonts w:eastAsia="Times New Roman"/>
                <w:lang w:eastAsia="es-ES"/>
              </w:rPr>
              <w:t>…...</w:t>
            </w:r>
            <w:r w:rsidRPr="003A0F7C">
              <w:rPr>
                <w:rFonts w:eastAsia="Times New Roman"/>
                <w:lang w:eastAsia="es-ES"/>
              </w:rPr>
              <w:t>………………………………………………………...</w:t>
            </w:r>
            <w:r w:rsidR="00E92AF1" w:rsidRPr="003A0F7C">
              <w:rPr>
                <w:rFonts w:eastAsia="Times New Roman"/>
                <w:lang w:eastAsia="es-ES"/>
              </w:rPr>
              <w:t>....</w:t>
            </w:r>
            <w:r w:rsidR="002D3219" w:rsidRPr="003A0F7C">
              <w:rPr>
                <w:rFonts w:eastAsia="Times New Roman"/>
                <w:lang w:eastAsia="es-ES"/>
              </w:rPr>
              <w:t>...</w:t>
            </w:r>
            <w:r w:rsidR="00234E20" w:rsidRPr="003A0F7C">
              <w:rPr>
                <w:rFonts w:eastAsia="Times New Roman"/>
                <w:lang w:eastAsia="es-ES"/>
              </w:rPr>
              <w:t>....</w:t>
            </w:r>
          </w:p>
        </w:tc>
        <w:tc>
          <w:tcPr>
            <w:tcW w:w="525" w:type="dxa"/>
          </w:tcPr>
          <w:p w14:paraId="697C148F" w14:textId="46E235E8" w:rsidR="00E66619" w:rsidRPr="003A0F7C" w:rsidRDefault="00DD0450" w:rsidP="00E66619">
            <w:pPr>
              <w:spacing w:before="100" w:beforeAutospacing="1" w:after="100" w:afterAutospacing="1"/>
              <w:jc w:val="center"/>
              <w:rPr>
                <w:rFonts w:eastAsia="Times New Roman"/>
                <w:lang w:eastAsia="es-ES"/>
              </w:rPr>
            </w:pPr>
            <w:r w:rsidRPr="003A0F7C">
              <w:rPr>
                <w:rFonts w:eastAsia="Times New Roman"/>
                <w:lang w:eastAsia="es-ES"/>
              </w:rPr>
              <w:t>9</w:t>
            </w:r>
          </w:p>
        </w:tc>
      </w:tr>
      <w:tr w:rsidR="00E66619" w:rsidRPr="003A0F7C" w14:paraId="0B0AA96D" w14:textId="77777777" w:rsidTr="00791815">
        <w:tc>
          <w:tcPr>
            <w:tcW w:w="7498" w:type="dxa"/>
          </w:tcPr>
          <w:p w14:paraId="6846FFCF" w14:textId="1500E3B1" w:rsidR="00E66619" w:rsidRPr="003A0F7C" w:rsidRDefault="00E66619" w:rsidP="00E66619">
            <w:pPr>
              <w:spacing w:before="100" w:beforeAutospacing="1" w:after="100" w:afterAutospacing="1"/>
              <w:jc w:val="both"/>
              <w:rPr>
                <w:rFonts w:eastAsia="Times New Roman"/>
                <w:b/>
                <w:lang w:eastAsia="es-ES"/>
              </w:rPr>
            </w:pPr>
            <w:r w:rsidRPr="003A0F7C">
              <w:rPr>
                <w:rFonts w:eastAsia="Times New Roman"/>
                <w:b/>
                <w:lang w:eastAsia="es-ES"/>
              </w:rPr>
              <w:t xml:space="preserve">          </w:t>
            </w:r>
            <w:r w:rsidR="00ED3BC0" w:rsidRPr="003A0F7C">
              <w:rPr>
                <w:rFonts w:eastAsia="Times New Roman"/>
                <w:b/>
                <w:lang w:eastAsia="es-ES"/>
              </w:rPr>
              <w:t>4</w:t>
            </w:r>
            <w:r w:rsidRPr="003A0F7C">
              <w:rPr>
                <w:rFonts w:eastAsia="Times New Roman"/>
                <w:b/>
                <w:lang w:eastAsia="es-ES"/>
              </w:rPr>
              <w:t xml:space="preserve">.3. </w:t>
            </w:r>
            <w:r w:rsidRPr="003A0F7C">
              <w:rPr>
                <w:rFonts w:eastAsia="Times New Roman"/>
                <w:lang w:eastAsia="es-ES"/>
              </w:rPr>
              <w:t>Justificación de la</w:t>
            </w:r>
            <w:r w:rsidR="00D326FF" w:rsidRPr="003A0F7C">
              <w:rPr>
                <w:rFonts w:eastAsia="Times New Roman"/>
                <w:lang w:eastAsia="es-ES"/>
              </w:rPr>
              <w:t>s</w:t>
            </w:r>
            <w:r w:rsidRPr="003A0F7C">
              <w:rPr>
                <w:rFonts w:eastAsia="Times New Roman"/>
                <w:lang w:eastAsia="es-ES"/>
              </w:rPr>
              <w:t xml:space="preserve"> </w:t>
            </w:r>
            <w:r w:rsidR="00444340" w:rsidRPr="003A0F7C">
              <w:rPr>
                <w:rFonts w:eastAsia="Times New Roman"/>
                <w:lang w:eastAsia="es-ES"/>
              </w:rPr>
              <w:t>decisi</w:t>
            </w:r>
            <w:r w:rsidR="00673757" w:rsidRPr="003A0F7C">
              <w:rPr>
                <w:rFonts w:eastAsia="Times New Roman"/>
                <w:lang w:eastAsia="es-ES"/>
              </w:rPr>
              <w:t>ones</w:t>
            </w:r>
            <w:r w:rsidR="00D326FF" w:rsidRPr="003A0F7C">
              <w:rPr>
                <w:rFonts w:eastAsia="Times New Roman"/>
                <w:lang w:eastAsia="es-ES"/>
              </w:rPr>
              <w:t>...</w:t>
            </w:r>
            <w:r w:rsidRPr="003A0F7C">
              <w:rPr>
                <w:rFonts w:eastAsia="Times New Roman"/>
                <w:lang w:eastAsia="es-ES"/>
              </w:rPr>
              <w:t>………………………………</w:t>
            </w:r>
            <w:proofErr w:type="gramStart"/>
            <w:r w:rsidRPr="003A0F7C">
              <w:rPr>
                <w:rFonts w:eastAsia="Times New Roman"/>
                <w:lang w:eastAsia="es-ES"/>
              </w:rPr>
              <w:t>…</w:t>
            </w:r>
            <w:r w:rsidR="00E92AF1" w:rsidRPr="003A0F7C">
              <w:rPr>
                <w:rFonts w:eastAsia="Times New Roman"/>
                <w:lang w:eastAsia="es-ES"/>
              </w:rPr>
              <w:t>…</w:t>
            </w:r>
            <w:r w:rsidR="00234E20" w:rsidRPr="003A0F7C">
              <w:rPr>
                <w:rFonts w:eastAsia="Times New Roman"/>
                <w:lang w:eastAsia="es-ES"/>
              </w:rPr>
              <w:t>.</w:t>
            </w:r>
            <w:proofErr w:type="gramEnd"/>
            <w:r w:rsidR="006C44F2" w:rsidRPr="003A0F7C">
              <w:rPr>
                <w:rFonts w:eastAsia="Times New Roman"/>
                <w:lang w:eastAsia="es-ES"/>
              </w:rPr>
              <w:t>…</w:t>
            </w:r>
            <w:r w:rsidR="00557B31" w:rsidRPr="003A0F7C">
              <w:rPr>
                <w:rFonts w:eastAsia="Times New Roman"/>
                <w:lang w:eastAsia="es-ES"/>
              </w:rPr>
              <w:t>…</w:t>
            </w:r>
            <w:r w:rsidR="006C44F2" w:rsidRPr="003A0F7C">
              <w:rPr>
                <w:rFonts w:eastAsia="Times New Roman"/>
                <w:lang w:eastAsia="es-ES"/>
              </w:rPr>
              <w:t>….</w:t>
            </w:r>
          </w:p>
        </w:tc>
        <w:tc>
          <w:tcPr>
            <w:tcW w:w="525" w:type="dxa"/>
          </w:tcPr>
          <w:p w14:paraId="06D095AC" w14:textId="0030D032" w:rsidR="00E66619" w:rsidRPr="003A0F7C" w:rsidRDefault="00D76017" w:rsidP="00E66619">
            <w:pPr>
              <w:spacing w:before="100" w:beforeAutospacing="1" w:after="100" w:afterAutospacing="1"/>
              <w:jc w:val="center"/>
              <w:rPr>
                <w:rFonts w:eastAsia="Times New Roman"/>
                <w:lang w:eastAsia="es-ES"/>
              </w:rPr>
            </w:pPr>
            <w:r w:rsidRPr="003A0F7C">
              <w:rPr>
                <w:rFonts w:eastAsia="Times New Roman"/>
                <w:lang w:eastAsia="es-ES"/>
              </w:rPr>
              <w:t>10</w:t>
            </w:r>
          </w:p>
        </w:tc>
      </w:tr>
      <w:tr w:rsidR="00E66619" w:rsidRPr="003A0F7C" w14:paraId="32F42034" w14:textId="77777777" w:rsidTr="00791815">
        <w:tc>
          <w:tcPr>
            <w:tcW w:w="7498" w:type="dxa"/>
          </w:tcPr>
          <w:p w14:paraId="0DFE9122" w14:textId="1F09A377" w:rsidR="00E66619" w:rsidRPr="003A0F7C" w:rsidRDefault="00F9433A" w:rsidP="00E66619">
            <w:pPr>
              <w:spacing w:before="100" w:beforeAutospacing="1" w:after="100" w:afterAutospacing="1"/>
              <w:jc w:val="both"/>
              <w:rPr>
                <w:rFonts w:eastAsia="Times New Roman"/>
                <w:lang w:eastAsia="es-ES"/>
              </w:rPr>
            </w:pPr>
            <w:r w:rsidRPr="003A0F7C">
              <w:rPr>
                <w:rFonts w:eastAsia="Times New Roman"/>
                <w:b/>
                <w:lang w:eastAsia="es-ES"/>
              </w:rPr>
              <w:t>5</w:t>
            </w:r>
            <w:r w:rsidR="00E66619" w:rsidRPr="003A0F7C">
              <w:rPr>
                <w:rFonts w:eastAsia="Times New Roman"/>
                <w:b/>
                <w:lang w:eastAsia="es-ES"/>
              </w:rPr>
              <w:t>. RESOLUTIVO</w:t>
            </w:r>
            <w:r w:rsidR="008B7875" w:rsidRPr="003A0F7C">
              <w:rPr>
                <w:rFonts w:eastAsia="Times New Roman"/>
                <w:b/>
                <w:lang w:eastAsia="es-ES"/>
              </w:rPr>
              <w:t>S</w:t>
            </w:r>
            <w:r w:rsidR="00E66619" w:rsidRPr="003A0F7C">
              <w:rPr>
                <w:rFonts w:eastAsia="Times New Roman"/>
                <w:lang w:eastAsia="es-ES"/>
              </w:rPr>
              <w:t>………………………………………………………………………</w:t>
            </w:r>
            <w:r w:rsidRPr="003A0F7C">
              <w:rPr>
                <w:rFonts w:eastAsia="Times New Roman"/>
                <w:lang w:eastAsia="es-ES"/>
              </w:rPr>
              <w:t>...</w:t>
            </w:r>
          </w:p>
        </w:tc>
        <w:tc>
          <w:tcPr>
            <w:tcW w:w="525" w:type="dxa"/>
          </w:tcPr>
          <w:p w14:paraId="7A128137" w14:textId="467FFE53" w:rsidR="00E66619" w:rsidRPr="003A0F7C" w:rsidRDefault="009C14D8" w:rsidP="00E66619">
            <w:pPr>
              <w:spacing w:before="100" w:beforeAutospacing="1" w:after="100" w:afterAutospacing="1"/>
              <w:jc w:val="center"/>
              <w:rPr>
                <w:rFonts w:eastAsia="Times New Roman"/>
                <w:lang w:eastAsia="es-ES"/>
              </w:rPr>
            </w:pPr>
            <w:r w:rsidRPr="003A0F7C">
              <w:rPr>
                <w:rFonts w:eastAsia="Times New Roman"/>
                <w:lang w:eastAsia="es-ES"/>
              </w:rPr>
              <w:t>2</w:t>
            </w:r>
            <w:r w:rsidR="007700DE" w:rsidRPr="003A0F7C">
              <w:rPr>
                <w:rFonts w:eastAsia="Times New Roman"/>
                <w:lang w:eastAsia="es-ES"/>
              </w:rPr>
              <w:t>9</w:t>
            </w:r>
          </w:p>
        </w:tc>
      </w:tr>
    </w:tbl>
    <w:p w14:paraId="515829C0" w14:textId="77777777" w:rsidR="00F00BA1" w:rsidRPr="003A0F7C" w:rsidRDefault="00F00BA1" w:rsidP="00F00BA1">
      <w:pPr>
        <w:spacing w:after="0" w:line="240" w:lineRule="auto"/>
        <w:contextualSpacing/>
        <w:jc w:val="both"/>
        <w:rPr>
          <w:b/>
          <w:bCs/>
          <w:sz w:val="18"/>
          <w:szCs w:val="18"/>
        </w:rPr>
      </w:pPr>
    </w:p>
    <w:p w14:paraId="7A83795C" w14:textId="77777777" w:rsidR="00BD29C6" w:rsidRPr="003A0F7C" w:rsidRDefault="00BD29C6" w:rsidP="006849BC">
      <w:pPr>
        <w:jc w:val="center"/>
        <w:rPr>
          <w:b/>
          <w:bCs/>
          <w:sz w:val="24"/>
          <w:szCs w:val="24"/>
        </w:rPr>
      </w:pPr>
      <w:bookmarkStart w:id="3" w:name="_Toc27649894"/>
    </w:p>
    <w:p w14:paraId="3E4683B1" w14:textId="43B10E6E" w:rsidR="00F9011A" w:rsidRPr="003A0F7C" w:rsidRDefault="00F9011A" w:rsidP="006849BC">
      <w:pPr>
        <w:jc w:val="center"/>
        <w:rPr>
          <w:b/>
          <w:bCs/>
          <w:sz w:val="24"/>
          <w:szCs w:val="24"/>
        </w:rPr>
      </w:pPr>
      <w:r w:rsidRPr="003A0F7C">
        <w:rPr>
          <w:b/>
          <w:bCs/>
          <w:sz w:val="24"/>
          <w:szCs w:val="24"/>
        </w:rPr>
        <w:t>GLOSARIO</w:t>
      </w:r>
      <w:bookmarkEnd w:id="3"/>
    </w:p>
    <w:tbl>
      <w:tblPr>
        <w:tblW w:w="0" w:type="auto"/>
        <w:jc w:val="center"/>
        <w:tblLook w:val="01E0" w:firstRow="1" w:lastRow="1" w:firstColumn="1" w:lastColumn="1" w:noHBand="0" w:noVBand="0"/>
      </w:tblPr>
      <w:tblGrid>
        <w:gridCol w:w="2835"/>
        <w:gridCol w:w="5148"/>
      </w:tblGrid>
      <w:tr w:rsidR="003C433C" w:rsidRPr="003A0F7C" w14:paraId="66BC429E" w14:textId="77777777" w:rsidTr="008144D9">
        <w:trPr>
          <w:trHeight w:val="471"/>
          <w:jc w:val="center"/>
        </w:trPr>
        <w:tc>
          <w:tcPr>
            <w:tcW w:w="2835" w:type="dxa"/>
          </w:tcPr>
          <w:p w14:paraId="0CDACD2D" w14:textId="677EB73E" w:rsidR="003C433C" w:rsidRPr="003A0F7C" w:rsidRDefault="00F93EDD" w:rsidP="003C433C">
            <w:pPr>
              <w:spacing w:after="0" w:line="240" w:lineRule="auto"/>
              <w:ind w:left="-4"/>
              <w:rPr>
                <w:b/>
                <w:i/>
              </w:rPr>
            </w:pPr>
            <w:r w:rsidRPr="003A0F7C">
              <w:rPr>
                <w:b/>
                <w:i/>
              </w:rPr>
              <w:t xml:space="preserve">Instituto </w:t>
            </w:r>
            <w:r w:rsidR="002E57C8" w:rsidRPr="003A0F7C">
              <w:rPr>
                <w:b/>
                <w:i/>
              </w:rPr>
              <w:t xml:space="preserve">Electoral </w:t>
            </w:r>
            <w:r w:rsidRPr="003A0F7C">
              <w:rPr>
                <w:b/>
                <w:i/>
              </w:rPr>
              <w:t>Local</w:t>
            </w:r>
            <w:r w:rsidR="00BD0913" w:rsidRPr="003A0F7C">
              <w:rPr>
                <w:b/>
                <w:i/>
              </w:rPr>
              <w:t>:</w:t>
            </w:r>
          </w:p>
        </w:tc>
        <w:tc>
          <w:tcPr>
            <w:tcW w:w="5148" w:type="dxa"/>
          </w:tcPr>
          <w:p w14:paraId="40FDE162" w14:textId="385B381D" w:rsidR="00391313" w:rsidRPr="003A0F7C" w:rsidRDefault="00F93EDD" w:rsidP="00BD0913">
            <w:pPr>
              <w:spacing w:after="0" w:line="240" w:lineRule="auto"/>
              <w:jc w:val="both"/>
              <w:rPr>
                <w:lang w:eastAsia="es-MX"/>
              </w:rPr>
            </w:pPr>
            <w:r w:rsidRPr="003A0F7C">
              <w:rPr>
                <w:lang w:eastAsia="es-MX"/>
              </w:rPr>
              <w:t xml:space="preserve">Instituto </w:t>
            </w:r>
            <w:r w:rsidR="002E57C8" w:rsidRPr="003A0F7C">
              <w:rPr>
                <w:lang w:eastAsia="es-MX"/>
              </w:rPr>
              <w:t>Electoral del Estado de Guanajuato</w:t>
            </w:r>
            <w:r w:rsidRPr="003A0F7C">
              <w:rPr>
                <w:lang w:eastAsia="es-MX"/>
              </w:rPr>
              <w:t xml:space="preserve"> </w:t>
            </w:r>
          </w:p>
        </w:tc>
      </w:tr>
      <w:tr w:rsidR="00BD5A8F" w:rsidRPr="003A0F7C" w14:paraId="4FCCA363" w14:textId="77777777" w:rsidTr="008144D9">
        <w:trPr>
          <w:trHeight w:val="471"/>
          <w:jc w:val="center"/>
        </w:trPr>
        <w:tc>
          <w:tcPr>
            <w:tcW w:w="2835" w:type="dxa"/>
          </w:tcPr>
          <w:p w14:paraId="5CB44374" w14:textId="6183396F" w:rsidR="00BD5A8F" w:rsidRPr="003A0F7C" w:rsidRDefault="00BD5A8F" w:rsidP="003C433C">
            <w:pPr>
              <w:spacing w:after="0" w:line="240" w:lineRule="auto"/>
              <w:ind w:left="-4"/>
              <w:rPr>
                <w:b/>
                <w:i/>
              </w:rPr>
            </w:pPr>
            <w:r w:rsidRPr="003A0F7C">
              <w:rPr>
                <w:b/>
                <w:i/>
              </w:rPr>
              <w:t>Ley Electoral Local:</w:t>
            </w:r>
          </w:p>
        </w:tc>
        <w:tc>
          <w:tcPr>
            <w:tcW w:w="5148" w:type="dxa"/>
          </w:tcPr>
          <w:p w14:paraId="107F3564" w14:textId="77777777" w:rsidR="00BD5A8F" w:rsidRPr="003A0F7C" w:rsidRDefault="00BD5A8F" w:rsidP="00BD0913">
            <w:pPr>
              <w:spacing w:after="0" w:line="240" w:lineRule="auto"/>
              <w:jc w:val="both"/>
              <w:rPr>
                <w:lang w:eastAsia="es-MX"/>
              </w:rPr>
            </w:pPr>
            <w:r w:rsidRPr="003A0F7C">
              <w:rPr>
                <w:lang w:eastAsia="es-MX"/>
              </w:rPr>
              <w:t>Ley de Instituciones y Procedimientos Electorales para el Estado de Guanajuato</w:t>
            </w:r>
          </w:p>
          <w:p w14:paraId="0A8C9F6C" w14:textId="40D6EE42" w:rsidR="00BD5A8F" w:rsidRPr="003A0F7C" w:rsidRDefault="00BD5A8F" w:rsidP="00BD0913">
            <w:pPr>
              <w:spacing w:after="0" w:line="240" w:lineRule="auto"/>
              <w:jc w:val="both"/>
              <w:rPr>
                <w:lang w:eastAsia="es-MX"/>
              </w:rPr>
            </w:pPr>
          </w:p>
        </w:tc>
      </w:tr>
      <w:tr w:rsidR="00BD5A8F" w:rsidRPr="003A0F7C" w14:paraId="232D9A2F" w14:textId="77777777" w:rsidTr="008144D9">
        <w:trPr>
          <w:trHeight w:val="471"/>
          <w:jc w:val="center"/>
        </w:trPr>
        <w:tc>
          <w:tcPr>
            <w:tcW w:w="2835" w:type="dxa"/>
          </w:tcPr>
          <w:p w14:paraId="4FAA1B17" w14:textId="125142EE" w:rsidR="00BD5A8F" w:rsidRPr="003A0F7C" w:rsidRDefault="00BD5A8F" w:rsidP="003C433C">
            <w:pPr>
              <w:spacing w:after="0" w:line="240" w:lineRule="auto"/>
              <w:ind w:left="-4"/>
              <w:rPr>
                <w:b/>
                <w:i/>
              </w:rPr>
            </w:pPr>
            <w:r w:rsidRPr="003A0F7C">
              <w:rPr>
                <w:b/>
                <w:i/>
              </w:rPr>
              <w:t>PAN:</w:t>
            </w:r>
          </w:p>
        </w:tc>
        <w:tc>
          <w:tcPr>
            <w:tcW w:w="5148" w:type="dxa"/>
          </w:tcPr>
          <w:p w14:paraId="4BDE1DE4" w14:textId="4048B055" w:rsidR="00BD5A8F" w:rsidRPr="003A0F7C" w:rsidRDefault="00BD5A8F" w:rsidP="00BD0913">
            <w:pPr>
              <w:spacing w:after="0" w:line="240" w:lineRule="auto"/>
              <w:jc w:val="both"/>
              <w:rPr>
                <w:lang w:eastAsia="es-MX"/>
              </w:rPr>
            </w:pPr>
            <w:r w:rsidRPr="003A0F7C">
              <w:rPr>
                <w:lang w:eastAsia="es-MX"/>
              </w:rPr>
              <w:t>Partido Acción Nacional</w:t>
            </w:r>
          </w:p>
        </w:tc>
      </w:tr>
      <w:tr w:rsidR="003C433C" w:rsidRPr="003A0F7C" w14:paraId="297F0CD9" w14:textId="77777777" w:rsidTr="008144D9">
        <w:trPr>
          <w:trHeight w:val="471"/>
          <w:jc w:val="center"/>
        </w:trPr>
        <w:tc>
          <w:tcPr>
            <w:tcW w:w="2835" w:type="dxa"/>
          </w:tcPr>
          <w:p w14:paraId="3C3D5F68" w14:textId="73A7AF2C" w:rsidR="003C433C" w:rsidRPr="003A0F7C" w:rsidRDefault="003C433C" w:rsidP="003C433C">
            <w:pPr>
              <w:spacing w:after="0" w:line="240" w:lineRule="auto"/>
              <w:ind w:left="-4"/>
              <w:rPr>
                <w:b/>
                <w:i/>
              </w:rPr>
            </w:pPr>
            <w:r w:rsidRPr="003A0F7C">
              <w:rPr>
                <w:b/>
                <w:i/>
              </w:rPr>
              <w:t>Tribunal Local:</w:t>
            </w:r>
          </w:p>
        </w:tc>
        <w:tc>
          <w:tcPr>
            <w:tcW w:w="5148" w:type="dxa"/>
          </w:tcPr>
          <w:p w14:paraId="1981F41F" w14:textId="1B6B3726" w:rsidR="003C433C" w:rsidRPr="003A0F7C" w:rsidRDefault="00155185" w:rsidP="003C433C">
            <w:pPr>
              <w:spacing w:after="0" w:line="240" w:lineRule="auto"/>
              <w:jc w:val="both"/>
            </w:pPr>
            <w:r w:rsidRPr="003A0F7C">
              <w:rPr>
                <w:lang w:eastAsia="es-MX"/>
              </w:rPr>
              <w:t>Tribunal Estatal Electoral de Guanajuato</w:t>
            </w:r>
          </w:p>
        </w:tc>
      </w:tr>
    </w:tbl>
    <w:p w14:paraId="7EDE9B60" w14:textId="77777777" w:rsidR="00F9011A" w:rsidRPr="003A0F7C" w:rsidRDefault="00EB2DC3" w:rsidP="00EB2DC3">
      <w:pPr>
        <w:spacing w:before="100" w:beforeAutospacing="1" w:after="100" w:afterAutospacing="1" w:line="360" w:lineRule="auto"/>
        <w:jc w:val="both"/>
        <w:rPr>
          <w:b/>
          <w:sz w:val="24"/>
          <w:szCs w:val="24"/>
        </w:rPr>
      </w:pPr>
      <w:bookmarkStart w:id="4" w:name="_Toc27649895"/>
      <w:r w:rsidRPr="003A0F7C">
        <w:rPr>
          <w:b/>
          <w:sz w:val="24"/>
          <w:szCs w:val="24"/>
        </w:rPr>
        <w:t xml:space="preserve">1. </w:t>
      </w:r>
      <w:r w:rsidR="00F9011A" w:rsidRPr="003A0F7C">
        <w:rPr>
          <w:b/>
          <w:sz w:val="24"/>
          <w:szCs w:val="24"/>
        </w:rPr>
        <w:t>ANTECEDENTES DEL CASO</w:t>
      </w:r>
      <w:bookmarkEnd w:id="4"/>
    </w:p>
    <w:p w14:paraId="7012FFD2" w14:textId="294DD79A" w:rsidR="004F3620" w:rsidRPr="003A0F7C" w:rsidRDefault="004F3620" w:rsidP="004F3620">
      <w:pPr>
        <w:spacing w:before="100" w:beforeAutospacing="1" w:after="100" w:afterAutospacing="1" w:line="360" w:lineRule="auto"/>
        <w:jc w:val="both"/>
        <w:rPr>
          <w:sz w:val="24"/>
          <w:szCs w:val="24"/>
        </w:rPr>
      </w:pPr>
      <w:r w:rsidRPr="003A0F7C">
        <w:rPr>
          <w:sz w:val="24"/>
          <w:szCs w:val="24"/>
        </w:rPr>
        <w:t>Las fechas que se citan corresponden a dos mil veintiuno, salvo precisión en contrario.</w:t>
      </w:r>
    </w:p>
    <w:p w14:paraId="7F99E789" w14:textId="2BCE3E87" w:rsidR="001B55E0" w:rsidRPr="003A0F7C" w:rsidRDefault="007B7BF8" w:rsidP="007B7BF8">
      <w:pPr>
        <w:spacing w:before="100" w:beforeAutospacing="1" w:after="100" w:afterAutospacing="1" w:line="360" w:lineRule="auto"/>
        <w:jc w:val="both"/>
        <w:rPr>
          <w:rFonts w:eastAsia="Calibri"/>
          <w:sz w:val="24"/>
          <w:szCs w:val="24"/>
        </w:rPr>
      </w:pPr>
      <w:r w:rsidRPr="003A0F7C">
        <w:rPr>
          <w:rFonts w:eastAsia="Calibri"/>
          <w:b/>
          <w:bCs/>
          <w:sz w:val="24"/>
          <w:szCs w:val="24"/>
        </w:rPr>
        <w:t xml:space="preserve">1.1. </w:t>
      </w:r>
      <w:r w:rsidR="004F3620" w:rsidRPr="003A0F7C">
        <w:rPr>
          <w:rFonts w:eastAsia="Calibri"/>
          <w:b/>
          <w:bCs/>
          <w:sz w:val="24"/>
          <w:szCs w:val="24"/>
        </w:rPr>
        <w:t xml:space="preserve">Inicio del proceso electoral. </w:t>
      </w:r>
      <w:r w:rsidR="004F3620" w:rsidRPr="003A0F7C">
        <w:rPr>
          <w:rFonts w:eastAsia="Calibri"/>
          <w:sz w:val="24"/>
          <w:szCs w:val="24"/>
        </w:rPr>
        <w:t xml:space="preserve">El </w:t>
      </w:r>
      <w:r w:rsidR="002E57C8" w:rsidRPr="003A0F7C">
        <w:rPr>
          <w:rFonts w:eastAsia="Calibri"/>
          <w:sz w:val="24"/>
          <w:szCs w:val="24"/>
        </w:rPr>
        <w:t>siete de septiembre</w:t>
      </w:r>
      <w:r w:rsidR="004F3620" w:rsidRPr="003A0F7C">
        <w:rPr>
          <w:rFonts w:eastAsia="Calibri"/>
          <w:sz w:val="24"/>
          <w:szCs w:val="24"/>
        </w:rPr>
        <w:t xml:space="preserve"> de dos mil veinte, inició el proceso electoral local 2020-2021, a fin de renovar Ayuntamientos y Diputaciones del Estado de </w:t>
      </w:r>
      <w:r w:rsidR="002E57C8" w:rsidRPr="003A0F7C">
        <w:rPr>
          <w:rFonts w:eastAsia="Calibri"/>
          <w:sz w:val="24"/>
          <w:szCs w:val="24"/>
        </w:rPr>
        <w:t>Guanajuato</w:t>
      </w:r>
      <w:r w:rsidR="004F3620" w:rsidRPr="003A0F7C">
        <w:rPr>
          <w:rFonts w:eastAsia="Calibri"/>
          <w:sz w:val="24"/>
          <w:szCs w:val="24"/>
        </w:rPr>
        <w:t>.</w:t>
      </w:r>
    </w:p>
    <w:p w14:paraId="50CE1FBA" w14:textId="558ACA4C" w:rsidR="002E57C8" w:rsidRPr="003A0F7C" w:rsidRDefault="00391313" w:rsidP="00391313">
      <w:pPr>
        <w:spacing w:before="100" w:beforeAutospacing="1" w:after="100" w:afterAutospacing="1" w:line="360" w:lineRule="auto"/>
        <w:jc w:val="both"/>
        <w:rPr>
          <w:rFonts w:eastAsia="Cambria"/>
          <w:b/>
          <w:bCs/>
          <w:sz w:val="24"/>
          <w:szCs w:val="24"/>
        </w:rPr>
      </w:pPr>
      <w:r w:rsidRPr="003A0F7C">
        <w:rPr>
          <w:rFonts w:eastAsia="Cambria"/>
          <w:b/>
          <w:bCs/>
          <w:sz w:val="24"/>
          <w:szCs w:val="24"/>
        </w:rPr>
        <w:t xml:space="preserve">1.2. </w:t>
      </w:r>
      <w:r w:rsidR="002E57C8" w:rsidRPr="003A0F7C">
        <w:rPr>
          <w:rFonts w:eastAsia="Cambria"/>
          <w:b/>
          <w:bCs/>
          <w:sz w:val="24"/>
          <w:szCs w:val="24"/>
        </w:rPr>
        <w:t>Convocatoria</w:t>
      </w:r>
      <w:r w:rsidR="004F3620" w:rsidRPr="003A0F7C">
        <w:rPr>
          <w:rFonts w:eastAsia="Cambria"/>
          <w:b/>
          <w:bCs/>
          <w:sz w:val="24"/>
          <w:szCs w:val="24"/>
        </w:rPr>
        <w:t xml:space="preserve">. </w:t>
      </w:r>
      <w:r w:rsidR="002E57C8" w:rsidRPr="003A0F7C">
        <w:rPr>
          <w:rFonts w:eastAsia="Cambria"/>
          <w:sz w:val="24"/>
          <w:szCs w:val="24"/>
        </w:rPr>
        <w:t xml:space="preserve">El Consejo General del </w:t>
      </w:r>
      <w:r w:rsidR="002E57C8" w:rsidRPr="003A0F7C">
        <w:rPr>
          <w:rFonts w:eastAsia="Cambria"/>
          <w:i/>
          <w:iCs/>
          <w:sz w:val="24"/>
          <w:szCs w:val="24"/>
        </w:rPr>
        <w:t>Instituto Electoral Local</w:t>
      </w:r>
      <w:r w:rsidR="002E57C8" w:rsidRPr="003A0F7C">
        <w:rPr>
          <w:rFonts w:eastAsia="Cambria"/>
          <w:sz w:val="24"/>
          <w:szCs w:val="24"/>
        </w:rPr>
        <w:t xml:space="preserve">, </w:t>
      </w:r>
      <w:r w:rsidR="002B38EB" w:rsidRPr="003A0F7C">
        <w:rPr>
          <w:rFonts w:eastAsia="Cambria"/>
          <w:sz w:val="24"/>
          <w:szCs w:val="24"/>
        </w:rPr>
        <w:t xml:space="preserve">mediante </w:t>
      </w:r>
      <w:r w:rsidR="002E57C8" w:rsidRPr="003A0F7C">
        <w:rPr>
          <w:rFonts w:eastAsia="Cambria"/>
          <w:sz w:val="24"/>
          <w:szCs w:val="24"/>
        </w:rPr>
        <w:t>acuerdo CGIEEG/045/2020</w:t>
      </w:r>
      <w:r w:rsidR="002B38EB" w:rsidRPr="003A0F7C">
        <w:rPr>
          <w:rFonts w:eastAsia="Cambria"/>
          <w:sz w:val="24"/>
          <w:szCs w:val="24"/>
        </w:rPr>
        <w:t xml:space="preserve">, emitió la </w:t>
      </w:r>
      <w:r w:rsidR="002E57C8" w:rsidRPr="003A0F7C">
        <w:rPr>
          <w:rFonts w:eastAsia="Cambria"/>
          <w:sz w:val="24"/>
          <w:szCs w:val="24"/>
        </w:rPr>
        <w:t xml:space="preserve">convocatoria </w:t>
      </w:r>
      <w:r w:rsidR="008E7379" w:rsidRPr="003A0F7C">
        <w:rPr>
          <w:rFonts w:eastAsia="Cambria"/>
          <w:sz w:val="24"/>
          <w:szCs w:val="24"/>
        </w:rPr>
        <w:t>a</w:t>
      </w:r>
      <w:r w:rsidR="002E57C8" w:rsidRPr="003A0F7C">
        <w:rPr>
          <w:rFonts w:eastAsia="Cambria"/>
          <w:sz w:val="24"/>
          <w:szCs w:val="24"/>
        </w:rPr>
        <w:t xml:space="preserve"> elecciones ordinarias para diputaciones al Congreso del Estado por los principios de mayoría relativa y de representación proporcional, y la renovación de los cuarenta y seis ayuntamientos del Estado de Guanajuato.</w:t>
      </w:r>
    </w:p>
    <w:p w14:paraId="1C215062" w14:textId="2FD235C6" w:rsidR="002E57C8" w:rsidRPr="003A0F7C" w:rsidRDefault="00433B52" w:rsidP="00433B52">
      <w:pPr>
        <w:spacing w:before="100" w:beforeAutospacing="1" w:after="100" w:afterAutospacing="1" w:line="360" w:lineRule="auto"/>
        <w:jc w:val="both"/>
        <w:rPr>
          <w:rFonts w:eastAsia="Calibri"/>
          <w:b/>
          <w:bCs/>
          <w:sz w:val="24"/>
          <w:szCs w:val="24"/>
        </w:rPr>
      </w:pPr>
      <w:r w:rsidRPr="003A0F7C">
        <w:rPr>
          <w:rFonts w:eastAsia="Calibri"/>
          <w:b/>
          <w:bCs/>
          <w:sz w:val="24"/>
          <w:szCs w:val="24"/>
          <w:lang w:eastAsia="es-MX"/>
        </w:rPr>
        <w:t>1.3.</w:t>
      </w:r>
      <w:r w:rsidRPr="003A0F7C">
        <w:rPr>
          <w:rFonts w:eastAsia="Calibri"/>
          <w:b/>
          <w:bCs/>
          <w:sz w:val="24"/>
          <w:szCs w:val="24"/>
        </w:rPr>
        <w:t xml:space="preserve"> </w:t>
      </w:r>
      <w:r w:rsidR="002E57C8" w:rsidRPr="003A0F7C">
        <w:rPr>
          <w:rFonts w:eastAsia="Calibri"/>
          <w:b/>
          <w:bCs/>
          <w:sz w:val="24"/>
          <w:szCs w:val="24"/>
        </w:rPr>
        <w:t>Registro de candidaturas</w:t>
      </w:r>
      <w:r w:rsidR="004F3620" w:rsidRPr="003A0F7C">
        <w:rPr>
          <w:rFonts w:eastAsia="Calibri"/>
          <w:b/>
          <w:bCs/>
          <w:sz w:val="24"/>
          <w:szCs w:val="24"/>
        </w:rPr>
        <w:t xml:space="preserve">. </w:t>
      </w:r>
      <w:r w:rsidR="002E57C8" w:rsidRPr="003A0F7C">
        <w:rPr>
          <w:rFonts w:eastAsia="Calibri"/>
          <w:sz w:val="24"/>
          <w:szCs w:val="24"/>
        </w:rPr>
        <w:t>Del veinte al veintiséis de marzo, transcurrió el plazo relativo al registro de candidaturas.</w:t>
      </w:r>
    </w:p>
    <w:p w14:paraId="4AE6E212" w14:textId="5E225E82" w:rsidR="00026555" w:rsidRPr="003A0F7C" w:rsidRDefault="00433B52" w:rsidP="004F3620">
      <w:pPr>
        <w:spacing w:before="100" w:beforeAutospacing="1" w:after="100" w:afterAutospacing="1" w:line="360" w:lineRule="auto"/>
        <w:jc w:val="both"/>
        <w:rPr>
          <w:rFonts w:eastAsia="Cambria"/>
          <w:sz w:val="24"/>
          <w:szCs w:val="24"/>
        </w:rPr>
      </w:pPr>
      <w:r w:rsidRPr="003A0F7C">
        <w:rPr>
          <w:rFonts w:eastAsia="Cambria"/>
          <w:b/>
          <w:bCs/>
          <w:sz w:val="24"/>
          <w:szCs w:val="24"/>
        </w:rPr>
        <w:t xml:space="preserve">1.4. </w:t>
      </w:r>
      <w:r w:rsidR="00026555" w:rsidRPr="003A0F7C">
        <w:rPr>
          <w:rFonts w:eastAsia="Cambria"/>
          <w:b/>
          <w:bCs/>
          <w:sz w:val="24"/>
          <w:szCs w:val="24"/>
        </w:rPr>
        <w:t xml:space="preserve">Registro de candidaturas </w:t>
      </w:r>
      <w:r w:rsidR="00784890" w:rsidRPr="003A0F7C">
        <w:rPr>
          <w:rFonts w:eastAsia="Cambria"/>
          <w:b/>
          <w:bCs/>
          <w:sz w:val="24"/>
          <w:szCs w:val="24"/>
        </w:rPr>
        <w:t>MORENA</w:t>
      </w:r>
      <w:r w:rsidRPr="003A0F7C">
        <w:rPr>
          <w:rFonts w:eastAsia="Cambria"/>
          <w:b/>
          <w:bCs/>
          <w:sz w:val="24"/>
          <w:szCs w:val="24"/>
        </w:rPr>
        <w:t xml:space="preserve">. </w:t>
      </w:r>
      <w:r w:rsidR="00026555" w:rsidRPr="003A0F7C">
        <w:rPr>
          <w:rFonts w:eastAsia="Cambria"/>
          <w:sz w:val="24"/>
          <w:szCs w:val="24"/>
        </w:rPr>
        <w:t xml:space="preserve">El veintiséis de marzo, el referido partido político presentó ante el </w:t>
      </w:r>
      <w:r w:rsidR="00026555" w:rsidRPr="003A0F7C">
        <w:rPr>
          <w:rFonts w:eastAsia="Cambria"/>
          <w:i/>
          <w:iCs/>
          <w:sz w:val="24"/>
          <w:szCs w:val="24"/>
        </w:rPr>
        <w:t>Instituto Electoral Local</w:t>
      </w:r>
      <w:r w:rsidR="00026555" w:rsidRPr="003A0F7C">
        <w:rPr>
          <w:rFonts w:eastAsia="Cambria"/>
          <w:sz w:val="24"/>
          <w:szCs w:val="24"/>
        </w:rPr>
        <w:t xml:space="preserve"> solicitud de registro de las personas candidatas a integrar los ayuntamientos </w:t>
      </w:r>
      <w:r w:rsidR="00784890" w:rsidRPr="003A0F7C">
        <w:rPr>
          <w:rFonts w:eastAsia="Cambria"/>
          <w:sz w:val="24"/>
          <w:szCs w:val="24"/>
        </w:rPr>
        <w:t>del Estado de Guanajuato.</w:t>
      </w:r>
    </w:p>
    <w:p w14:paraId="3E9B3022" w14:textId="4548E0C1" w:rsidR="00026555" w:rsidRPr="003A0F7C" w:rsidRDefault="00026555" w:rsidP="004F3620">
      <w:pPr>
        <w:spacing w:before="100" w:beforeAutospacing="1" w:after="100" w:afterAutospacing="1" w:line="360" w:lineRule="auto"/>
        <w:jc w:val="both"/>
        <w:rPr>
          <w:sz w:val="24"/>
          <w:szCs w:val="24"/>
        </w:rPr>
      </w:pPr>
      <w:r w:rsidRPr="003A0F7C">
        <w:rPr>
          <w:rFonts w:eastAsia="Cambria"/>
          <w:b/>
          <w:bCs/>
          <w:sz w:val="24"/>
          <w:szCs w:val="24"/>
        </w:rPr>
        <w:lastRenderedPageBreak/>
        <w:t xml:space="preserve">1.5. Requerimientos. </w:t>
      </w:r>
      <w:r w:rsidR="00784890" w:rsidRPr="003A0F7C">
        <w:rPr>
          <w:rFonts w:eastAsia="Cambria"/>
          <w:sz w:val="24"/>
          <w:szCs w:val="24"/>
        </w:rPr>
        <w:t>El</w:t>
      </w:r>
      <w:r w:rsidRPr="003A0F7C">
        <w:rPr>
          <w:rFonts w:eastAsia="Cambria"/>
          <w:sz w:val="24"/>
          <w:szCs w:val="24"/>
        </w:rPr>
        <w:t xml:space="preserve"> </w:t>
      </w:r>
      <w:r w:rsidRPr="003A0F7C">
        <w:rPr>
          <w:rFonts w:eastAsia="Cambria"/>
          <w:i/>
          <w:iCs/>
          <w:sz w:val="24"/>
          <w:szCs w:val="24"/>
        </w:rPr>
        <w:t>Instituto Electoral Local</w:t>
      </w:r>
      <w:r w:rsidRPr="003A0F7C">
        <w:rPr>
          <w:rFonts w:eastAsia="Cambria"/>
          <w:sz w:val="24"/>
          <w:szCs w:val="24"/>
        </w:rPr>
        <w:t xml:space="preserve"> </w:t>
      </w:r>
      <w:r w:rsidR="00784890" w:rsidRPr="003A0F7C">
        <w:rPr>
          <w:rFonts w:eastAsia="Cambria"/>
          <w:sz w:val="24"/>
          <w:szCs w:val="24"/>
        </w:rPr>
        <w:t>emitió diversos requerimientos</w:t>
      </w:r>
      <w:r w:rsidRPr="003A0F7C">
        <w:rPr>
          <w:rFonts w:eastAsia="Cambria"/>
          <w:sz w:val="24"/>
          <w:szCs w:val="24"/>
        </w:rPr>
        <w:t xml:space="preserve"> a </w:t>
      </w:r>
      <w:r w:rsidR="00784890" w:rsidRPr="003A0F7C">
        <w:rPr>
          <w:rFonts w:eastAsia="Cambria"/>
          <w:sz w:val="24"/>
          <w:szCs w:val="24"/>
        </w:rPr>
        <w:t>MORENA</w:t>
      </w:r>
      <w:r w:rsidRPr="003A0F7C">
        <w:rPr>
          <w:rFonts w:eastAsia="Cambria"/>
          <w:sz w:val="24"/>
          <w:szCs w:val="24"/>
        </w:rPr>
        <w:t xml:space="preserve"> para que cumpliera con la totalidad de los requisitos legales para el registro de sus planillas</w:t>
      </w:r>
      <w:r w:rsidR="00784890" w:rsidRPr="003A0F7C">
        <w:rPr>
          <w:rFonts w:eastAsia="Cambria"/>
          <w:sz w:val="24"/>
          <w:szCs w:val="24"/>
        </w:rPr>
        <w:t>.</w:t>
      </w:r>
    </w:p>
    <w:p w14:paraId="11FDCC5D" w14:textId="5C0E6B63" w:rsidR="00026555" w:rsidRPr="003A0F7C" w:rsidRDefault="00026555" w:rsidP="004F3620">
      <w:pPr>
        <w:spacing w:before="100" w:beforeAutospacing="1" w:after="100" w:afterAutospacing="1" w:line="360" w:lineRule="auto"/>
        <w:jc w:val="both"/>
        <w:rPr>
          <w:rFonts w:eastAsia="Cambria"/>
          <w:b/>
          <w:bCs/>
          <w:sz w:val="24"/>
          <w:szCs w:val="24"/>
        </w:rPr>
      </w:pPr>
      <w:r w:rsidRPr="003A0F7C">
        <w:rPr>
          <w:rFonts w:eastAsia="Cambria"/>
          <w:b/>
          <w:bCs/>
          <w:sz w:val="24"/>
          <w:szCs w:val="24"/>
        </w:rPr>
        <w:t xml:space="preserve">1.6. Acuerdo </w:t>
      </w:r>
      <w:bookmarkStart w:id="5" w:name="_Hlk71136095"/>
      <w:r w:rsidRPr="003A0F7C">
        <w:rPr>
          <w:rFonts w:eastAsia="Cambria"/>
          <w:b/>
          <w:bCs/>
          <w:sz w:val="24"/>
          <w:szCs w:val="24"/>
        </w:rPr>
        <w:t>CGIEEG/10</w:t>
      </w:r>
      <w:r w:rsidR="00784890" w:rsidRPr="003A0F7C">
        <w:rPr>
          <w:rFonts w:eastAsia="Cambria"/>
          <w:b/>
          <w:bCs/>
          <w:sz w:val="24"/>
          <w:szCs w:val="24"/>
        </w:rPr>
        <w:t>4</w:t>
      </w:r>
      <w:r w:rsidRPr="003A0F7C">
        <w:rPr>
          <w:rFonts w:eastAsia="Cambria"/>
          <w:b/>
          <w:bCs/>
          <w:sz w:val="24"/>
          <w:szCs w:val="24"/>
        </w:rPr>
        <w:t>/2021</w:t>
      </w:r>
      <w:bookmarkEnd w:id="5"/>
      <w:r w:rsidRPr="003A0F7C">
        <w:rPr>
          <w:rFonts w:eastAsia="Cambria"/>
          <w:b/>
          <w:bCs/>
          <w:sz w:val="24"/>
          <w:szCs w:val="24"/>
        </w:rPr>
        <w:t xml:space="preserve">. </w:t>
      </w:r>
      <w:r w:rsidRPr="003A0F7C">
        <w:rPr>
          <w:rFonts w:eastAsia="Cambria"/>
          <w:sz w:val="24"/>
          <w:szCs w:val="24"/>
        </w:rPr>
        <w:t xml:space="preserve">El Consejo General del </w:t>
      </w:r>
      <w:r w:rsidRPr="003A0F7C">
        <w:rPr>
          <w:rFonts w:eastAsia="Cambria"/>
          <w:i/>
          <w:iCs/>
          <w:sz w:val="24"/>
          <w:szCs w:val="24"/>
        </w:rPr>
        <w:t>Instituto Electoral Local</w:t>
      </w:r>
      <w:r w:rsidRPr="003A0F7C">
        <w:rPr>
          <w:rFonts w:eastAsia="Cambria"/>
          <w:sz w:val="24"/>
          <w:szCs w:val="24"/>
        </w:rPr>
        <w:t xml:space="preserve"> </w:t>
      </w:r>
      <w:r w:rsidR="00A00119" w:rsidRPr="003A0F7C">
        <w:rPr>
          <w:rFonts w:eastAsia="Cambria"/>
          <w:sz w:val="24"/>
          <w:szCs w:val="24"/>
        </w:rPr>
        <w:t>aprobó</w:t>
      </w:r>
      <w:r w:rsidRPr="003A0F7C">
        <w:rPr>
          <w:rFonts w:eastAsia="Cambria"/>
          <w:sz w:val="24"/>
          <w:szCs w:val="24"/>
        </w:rPr>
        <w:t xml:space="preserve"> el referido acuerdo</w:t>
      </w:r>
      <w:r w:rsidR="00A00119" w:rsidRPr="003A0F7C">
        <w:rPr>
          <w:rFonts w:eastAsia="Cambria"/>
          <w:sz w:val="24"/>
          <w:szCs w:val="24"/>
        </w:rPr>
        <w:t xml:space="preserve"> el cinco de abril,</w:t>
      </w:r>
      <w:r w:rsidRPr="003A0F7C">
        <w:rPr>
          <w:rFonts w:eastAsia="Cambria"/>
          <w:sz w:val="24"/>
          <w:szCs w:val="24"/>
        </w:rPr>
        <w:t xml:space="preserve"> en el </w:t>
      </w:r>
      <w:r w:rsidR="00784890" w:rsidRPr="003A0F7C">
        <w:rPr>
          <w:rFonts w:eastAsia="Cambria"/>
          <w:sz w:val="24"/>
          <w:szCs w:val="24"/>
        </w:rPr>
        <w:t xml:space="preserve">que entre otras cuestiones determinó improcedente el registro </w:t>
      </w:r>
      <w:r w:rsidR="00D8547E" w:rsidRPr="003A0F7C">
        <w:rPr>
          <w:rFonts w:eastAsia="Cambria"/>
          <w:sz w:val="24"/>
          <w:szCs w:val="24"/>
        </w:rPr>
        <w:t xml:space="preserve">de las planillas para integrar los ayuntamientos de Apaseo el Grande, Celaya, </w:t>
      </w:r>
      <w:proofErr w:type="spellStart"/>
      <w:r w:rsidR="00D8547E" w:rsidRPr="003A0F7C">
        <w:rPr>
          <w:rFonts w:eastAsia="Cambria"/>
          <w:sz w:val="24"/>
          <w:szCs w:val="24"/>
        </w:rPr>
        <w:t>Cortazar</w:t>
      </w:r>
      <w:proofErr w:type="spellEnd"/>
      <w:r w:rsidR="00D8547E" w:rsidRPr="003A0F7C">
        <w:rPr>
          <w:rFonts w:eastAsia="Cambria"/>
          <w:sz w:val="24"/>
          <w:szCs w:val="24"/>
        </w:rPr>
        <w:t>, Cuerámaro, Dolores Hidalgo Cuna de la Independencia Nacional, Guanajuato, Moroleón, Pueblo Nuevo, Salamanca, Tarimoro y Victoria.</w:t>
      </w:r>
    </w:p>
    <w:p w14:paraId="0599C705" w14:textId="36865CBE" w:rsidR="005D503B" w:rsidRPr="003A0F7C" w:rsidRDefault="00433B52" w:rsidP="0035716F">
      <w:pPr>
        <w:spacing w:before="100" w:beforeAutospacing="1" w:after="100" w:afterAutospacing="1" w:line="360" w:lineRule="auto"/>
        <w:jc w:val="both"/>
        <w:rPr>
          <w:b/>
          <w:bCs/>
          <w:sz w:val="24"/>
          <w:szCs w:val="24"/>
          <w:lang w:eastAsia="es-MX"/>
        </w:rPr>
      </w:pPr>
      <w:r w:rsidRPr="003A0F7C">
        <w:rPr>
          <w:rFonts w:eastAsia="Cambria"/>
          <w:b/>
          <w:bCs/>
          <w:sz w:val="24"/>
          <w:szCs w:val="24"/>
        </w:rPr>
        <w:t>1.</w:t>
      </w:r>
      <w:r w:rsidR="008931BF" w:rsidRPr="003A0F7C">
        <w:rPr>
          <w:rFonts w:eastAsia="Cambria"/>
          <w:b/>
          <w:bCs/>
          <w:sz w:val="24"/>
          <w:szCs w:val="24"/>
        </w:rPr>
        <w:t>7</w:t>
      </w:r>
      <w:r w:rsidRPr="003A0F7C">
        <w:rPr>
          <w:rFonts w:eastAsia="Cambria"/>
          <w:b/>
          <w:bCs/>
          <w:sz w:val="24"/>
          <w:szCs w:val="24"/>
        </w:rPr>
        <w:t xml:space="preserve">. </w:t>
      </w:r>
      <w:r w:rsidR="002001AC" w:rsidRPr="003A0F7C">
        <w:rPr>
          <w:b/>
          <w:bCs/>
          <w:sz w:val="24"/>
          <w:szCs w:val="24"/>
          <w:lang w:eastAsia="es-MX"/>
        </w:rPr>
        <w:t>Recurso</w:t>
      </w:r>
      <w:r w:rsidR="00167883" w:rsidRPr="003A0F7C">
        <w:rPr>
          <w:b/>
          <w:bCs/>
          <w:sz w:val="24"/>
          <w:szCs w:val="24"/>
          <w:lang w:eastAsia="es-MX"/>
        </w:rPr>
        <w:t xml:space="preserve"> local. </w:t>
      </w:r>
      <w:r w:rsidR="00167883" w:rsidRPr="003A0F7C">
        <w:rPr>
          <w:sz w:val="24"/>
          <w:szCs w:val="24"/>
          <w:lang w:eastAsia="es-MX"/>
        </w:rPr>
        <w:t xml:space="preserve">El </w:t>
      </w:r>
      <w:r w:rsidR="00D8547E" w:rsidRPr="003A0F7C">
        <w:rPr>
          <w:sz w:val="24"/>
          <w:szCs w:val="24"/>
          <w:lang w:eastAsia="es-MX"/>
        </w:rPr>
        <w:t>nueve</w:t>
      </w:r>
      <w:r w:rsidR="008931BF" w:rsidRPr="003A0F7C">
        <w:rPr>
          <w:sz w:val="24"/>
          <w:szCs w:val="24"/>
          <w:lang w:eastAsia="es-MX"/>
        </w:rPr>
        <w:t xml:space="preserve"> de abril </w:t>
      </w:r>
      <w:r w:rsidR="00D8547E" w:rsidRPr="003A0F7C">
        <w:rPr>
          <w:sz w:val="24"/>
          <w:szCs w:val="24"/>
          <w:lang w:eastAsia="es-MX"/>
        </w:rPr>
        <w:t>MORENA</w:t>
      </w:r>
      <w:r w:rsidR="00167883" w:rsidRPr="003A0F7C">
        <w:rPr>
          <w:sz w:val="24"/>
          <w:szCs w:val="24"/>
          <w:lang w:eastAsia="es-MX"/>
        </w:rPr>
        <w:t xml:space="preserve"> </w:t>
      </w:r>
      <w:r w:rsidR="008931BF" w:rsidRPr="003A0F7C">
        <w:rPr>
          <w:sz w:val="24"/>
          <w:szCs w:val="24"/>
          <w:lang w:eastAsia="es-MX"/>
        </w:rPr>
        <w:t>interpuso</w:t>
      </w:r>
      <w:r w:rsidR="00167883" w:rsidRPr="003A0F7C">
        <w:rPr>
          <w:sz w:val="24"/>
          <w:szCs w:val="24"/>
          <w:lang w:eastAsia="es-MX"/>
        </w:rPr>
        <w:t xml:space="preserve"> ante el </w:t>
      </w:r>
      <w:r w:rsidR="00167883" w:rsidRPr="003A0F7C">
        <w:rPr>
          <w:i/>
          <w:iCs/>
          <w:sz w:val="24"/>
          <w:szCs w:val="24"/>
          <w:lang w:eastAsia="es-MX"/>
        </w:rPr>
        <w:t>Tribunal Local</w:t>
      </w:r>
      <w:r w:rsidR="00167883" w:rsidRPr="003A0F7C">
        <w:rPr>
          <w:b/>
          <w:bCs/>
          <w:sz w:val="24"/>
          <w:szCs w:val="24"/>
          <w:lang w:eastAsia="es-MX"/>
        </w:rPr>
        <w:t xml:space="preserve"> </w:t>
      </w:r>
      <w:r w:rsidR="008931BF" w:rsidRPr="003A0F7C">
        <w:rPr>
          <w:sz w:val="24"/>
          <w:szCs w:val="24"/>
          <w:lang w:eastAsia="es-MX"/>
        </w:rPr>
        <w:t>recurso de revisión</w:t>
      </w:r>
      <w:r w:rsidR="001008A2" w:rsidRPr="003A0F7C">
        <w:rPr>
          <w:sz w:val="24"/>
          <w:szCs w:val="24"/>
          <w:lang w:eastAsia="es-MX"/>
        </w:rPr>
        <w:t xml:space="preserve"> en contra del acuerdo señalado en el punto anterior</w:t>
      </w:r>
      <w:r w:rsidR="00167883" w:rsidRPr="003A0F7C">
        <w:rPr>
          <w:sz w:val="24"/>
          <w:szCs w:val="24"/>
          <w:lang w:eastAsia="es-MX"/>
        </w:rPr>
        <w:t xml:space="preserve">, quedando radicado el mismo con el número de expediente </w:t>
      </w:r>
      <w:r w:rsidR="008931BF" w:rsidRPr="003A0F7C">
        <w:rPr>
          <w:sz w:val="24"/>
          <w:szCs w:val="24"/>
          <w:lang w:eastAsia="es-MX"/>
        </w:rPr>
        <w:t>TEEG-REV-</w:t>
      </w:r>
      <w:r w:rsidR="00D8547E" w:rsidRPr="003A0F7C">
        <w:rPr>
          <w:sz w:val="24"/>
          <w:szCs w:val="24"/>
          <w:lang w:eastAsia="es-MX"/>
        </w:rPr>
        <w:t>18</w:t>
      </w:r>
      <w:r w:rsidR="008931BF" w:rsidRPr="003A0F7C">
        <w:rPr>
          <w:sz w:val="24"/>
          <w:szCs w:val="24"/>
          <w:lang w:eastAsia="es-MX"/>
        </w:rPr>
        <w:t>/2021</w:t>
      </w:r>
      <w:r w:rsidR="00167883" w:rsidRPr="003A0F7C">
        <w:rPr>
          <w:sz w:val="24"/>
          <w:szCs w:val="24"/>
          <w:lang w:eastAsia="es-MX"/>
        </w:rPr>
        <w:t>.</w:t>
      </w:r>
    </w:p>
    <w:p w14:paraId="18B9FBD4" w14:textId="62AD3691" w:rsidR="00D8547E" w:rsidRPr="003A0F7C" w:rsidRDefault="002266CA" w:rsidP="0035716F">
      <w:pPr>
        <w:spacing w:before="100" w:beforeAutospacing="1" w:after="100" w:afterAutospacing="1" w:line="360" w:lineRule="auto"/>
        <w:jc w:val="both"/>
        <w:rPr>
          <w:rFonts w:eastAsia="Cambria"/>
          <w:sz w:val="24"/>
          <w:szCs w:val="24"/>
        </w:rPr>
      </w:pPr>
      <w:r w:rsidRPr="003A0F7C">
        <w:rPr>
          <w:rFonts w:eastAsia="Cambria"/>
          <w:b/>
          <w:bCs/>
          <w:sz w:val="24"/>
          <w:szCs w:val="24"/>
        </w:rPr>
        <w:t>1.</w:t>
      </w:r>
      <w:r w:rsidR="00BF4CA1" w:rsidRPr="003A0F7C">
        <w:rPr>
          <w:rFonts w:eastAsia="Cambria"/>
          <w:b/>
          <w:bCs/>
          <w:sz w:val="24"/>
          <w:szCs w:val="24"/>
        </w:rPr>
        <w:t>8</w:t>
      </w:r>
      <w:r w:rsidRPr="003A0F7C">
        <w:rPr>
          <w:rFonts w:eastAsia="Cambria"/>
          <w:b/>
          <w:bCs/>
          <w:sz w:val="24"/>
          <w:szCs w:val="24"/>
        </w:rPr>
        <w:t xml:space="preserve">. </w:t>
      </w:r>
      <w:r w:rsidR="00D8547E" w:rsidRPr="003A0F7C">
        <w:rPr>
          <w:rFonts w:eastAsia="Cambria"/>
          <w:b/>
          <w:bCs/>
          <w:sz w:val="24"/>
          <w:szCs w:val="24"/>
        </w:rPr>
        <w:t>Presentación de Juicios para la Protección de los Derechos Político-Electorales del Ciudadano</w:t>
      </w:r>
      <w:r w:rsidR="00B71309" w:rsidRPr="003A0F7C">
        <w:rPr>
          <w:rFonts w:eastAsia="Cambria"/>
          <w:b/>
          <w:bCs/>
          <w:sz w:val="24"/>
          <w:szCs w:val="24"/>
        </w:rPr>
        <w:t xml:space="preserve"> locales</w:t>
      </w:r>
      <w:r w:rsidR="00D8547E" w:rsidRPr="003A0F7C">
        <w:rPr>
          <w:rFonts w:eastAsia="Cambria"/>
          <w:b/>
          <w:bCs/>
          <w:sz w:val="24"/>
          <w:szCs w:val="24"/>
        </w:rPr>
        <w:t xml:space="preserve">. </w:t>
      </w:r>
      <w:r w:rsidR="00D8547E" w:rsidRPr="003A0F7C">
        <w:rPr>
          <w:rFonts w:eastAsia="Cambria"/>
          <w:sz w:val="24"/>
          <w:szCs w:val="24"/>
        </w:rPr>
        <w:t xml:space="preserve">Del siete al catorce de abril, </w:t>
      </w:r>
      <w:r w:rsidR="007623D4" w:rsidRPr="003A0F7C">
        <w:rPr>
          <w:rFonts w:eastAsia="Cambria"/>
          <w:sz w:val="24"/>
          <w:szCs w:val="24"/>
        </w:rPr>
        <w:t>diversos ciudadanos interpusieron</w:t>
      </w:r>
      <w:r w:rsidR="00D8547E" w:rsidRPr="003A0F7C">
        <w:rPr>
          <w:rFonts w:eastAsia="Cambria"/>
          <w:sz w:val="24"/>
          <w:szCs w:val="24"/>
        </w:rPr>
        <w:t xml:space="preserve"> ante el </w:t>
      </w:r>
      <w:r w:rsidR="00D8547E" w:rsidRPr="003A0F7C">
        <w:rPr>
          <w:rFonts w:eastAsia="Cambria"/>
          <w:i/>
          <w:iCs/>
          <w:sz w:val="24"/>
          <w:szCs w:val="24"/>
        </w:rPr>
        <w:t>Tribunal Local</w:t>
      </w:r>
      <w:r w:rsidR="007623D4" w:rsidRPr="003A0F7C">
        <w:rPr>
          <w:rFonts w:eastAsia="Cambria"/>
          <w:sz w:val="24"/>
          <w:szCs w:val="24"/>
        </w:rPr>
        <w:t xml:space="preserve"> </w:t>
      </w:r>
      <w:r w:rsidR="00D8547E" w:rsidRPr="003A0F7C">
        <w:rPr>
          <w:rFonts w:eastAsia="Cambria"/>
          <w:sz w:val="24"/>
          <w:szCs w:val="24"/>
        </w:rPr>
        <w:t xml:space="preserve">juicios en contra del Acuerdo CGIEEG/104/2021, emitido por Consejo General del </w:t>
      </w:r>
      <w:r w:rsidR="00D8547E" w:rsidRPr="003A0F7C">
        <w:rPr>
          <w:rFonts w:eastAsia="Cambria"/>
          <w:i/>
          <w:iCs/>
          <w:sz w:val="24"/>
          <w:szCs w:val="24"/>
        </w:rPr>
        <w:t>Instituto Electoral Local</w:t>
      </w:r>
      <w:r w:rsidR="00896E0B" w:rsidRPr="003A0F7C">
        <w:rPr>
          <w:rFonts w:eastAsia="Cambria"/>
          <w:sz w:val="24"/>
          <w:szCs w:val="24"/>
        </w:rPr>
        <w:t>, los cuales quedaron radicados con los números de expedientes TEEG-JPDC-46/2021, TEEG-JPDC-52/2021, TEEG-JPDC- 53/2021, TEEG-JPDC-54/2021, TEEG-JPDC-55/2021, TEEG-JPDC- 56/2021, TEEG-JPDC-90/2021, TEEG-JPDC-91/2021, TEEG-JPDC- 92/2021, TEEG-JPDC-93/2021, TEEG-JPDC-96/2021, TEEG-JPDC-97/2021, TEEG-JPDC-112/2021, TEEG-JPDC-113/2021 y TEEG-JPDC-114/2021.</w:t>
      </w:r>
    </w:p>
    <w:p w14:paraId="2AF5291A" w14:textId="33BDC04F" w:rsidR="00896E0B" w:rsidRPr="003A0F7C" w:rsidRDefault="007623D4" w:rsidP="0035716F">
      <w:pPr>
        <w:spacing w:before="100" w:beforeAutospacing="1" w:after="100" w:afterAutospacing="1" w:line="360" w:lineRule="auto"/>
        <w:jc w:val="both"/>
        <w:rPr>
          <w:rFonts w:eastAsia="Cambria"/>
          <w:sz w:val="24"/>
          <w:szCs w:val="24"/>
        </w:rPr>
      </w:pPr>
      <w:r w:rsidRPr="003A0F7C">
        <w:rPr>
          <w:rFonts w:eastAsia="Cambria"/>
          <w:b/>
          <w:bCs/>
          <w:sz w:val="24"/>
          <w:szCs w:val="24"/>
        </w:rPr>
        <w:t>1.9. Juicios Ciudadanos Federales.</w:t>
      </w:r>
      <w:r w:rsidRPr="003A0F7C">
        <w:rPr>
          <w:rFonts w:eastAsia="Cambria"/>
          <w:sz w:val="24"/>
          <w:szCs w:val="24"/>
        </w:rPr>
        <w:t xml:space="preserve"> En fecha seis y ocho de abril, respectivamente, se interpusieron juicios ciudadanos federales, en los que los actores solicitaban se conociera de sus medios de impugnación vía </w:t>
      </w:r>
      <w:r w:rsidRPr="003A0F7C">
        <w:rPr>
          <w:rFonts w:eastAsia="Cambria"/>
          <w:i/>
          <w:iCs/>
          <w:sz w:val="24"/>
          <w:szCs w:val="24"/>
        </w:rPr>
        <w:t xml:space="preserve">per </w:t>
      </w:r>
      <w:proofErr w:type="spellStart"/>
      <w:r w:rsidRPr="003A0F7C">
        <w:rPr>
          <w:rFonts w:eastAsia="Cambria"/>
          <w:i/>
          <w:iCs/>
          <w:sz w:val="24"/>
          <w:szCs w:val="24"/>
        </w:rPr>
        <w:t>saltum</w:t>
      </w:r>
      <w:proofErr w:type="spellEnd"/>
      <w:r w:rsidRPr="003A0F7C">
        <w:rPr>
          <w:rFonts w:eastAsia="Cambria"/>
          <w:sz w:val="24"/>
          <w:szCs w:val="24"/>
        </w:rPr>
        <w:t xml:space="preserve"> por esta Sala Regional.</w:t>
      </w:r>
    </w:p>
    <w:p w14:paraId="11876740" w14:textId="29B1ACD8" w:rsidR="007623D4" w:rsidRPr="003A0F7C" w:rsidRDefault="007623D4" w:rsidP="0035716F">
      <w:pPr>
        <w:spacing w:before="100" w:beforeAutospacing="1" w:after="100" w:afterAutospacing="1" w:line="360" w:lineRule="auto"/>
        <w:jc w:val="both"/>
        <w:rPr>
          <w:rFonts w:eastAsia="Cambria"/>
          <w:sz w:val="24"/>
          <w:szCs w:val="24"/>
        </w:rPr>
      </w:pPr>
      <w:r w:rsidRPr="003A0F7C">
        <w:rPr>
          <w:rFonts w:eastAsia="Cambria"/>
          <w:b/>
          <w:bCs/>
          <w:sz w:val="24"/>
          <w:szCs w:val="24"/>
        </w:rPr>
        <w:t>1.10. Acuerdos plenarios de reencauzamiento.</w:t>
      </w:r>
      <w:r w:rsidRPr="003A0F7C">
        <w:rPr>
          <w:rFonts w:eastAsia="Cambria"/>
          <w:sz w:val="24"/>
          <w:szCs w:val="24"/>
        </w:rPr>
        <w:t xml:space="preserve"> Mediante acuerdos plenarios</w:t>
      </w:r>
      <w:r w:rsidR="00D94EB1" w:rsidRPr="003A0F7C">
        <w:rPr>
          <w:rFonts w:eastAsia="Cambria"/>
          <w:sz w:val="24"/>
          <w:szCs w:val="24"/>
        </w:rPr>
        <w:t xml:space="preserve"> de trece y catorce de abril</w:t>
      </w:r>
      <w:r w:rsidRPr="003A0F7C">
        <w:rPr>
          <w:rFonts w:eastAsia="Cambria"/>
          <w:sz w:val="24"/>
          <w:szCs w:val="24"/>
        </w:rPr>
        <w:t xml:space="preserve"> dictados en los expedientes SM-JDC-216/2021 y SM-JDC-217/2021, </w:t>
      </w:r>
      <w:r w:rsidR="00D94EB1" w:rsidRPr="003A0F7C">
        <w:rPr>
          <w:rFonts w:eastAsia="Cambria"/>
          <w:sz w:val="24"/>
          <w:szCs w:val="24"/>
        </w:rPr>
        <w:t xml:space="preserve">se determinó reencauzar los medios de impugnación presentados al </w:t>
      </w:r>
      <w:r w:rsidR="00D94EB1" w:rsidRPr="003A0F7C">
        <w:rPr>
          <w:rFonts w:eastAsia="Cambria"/>
          <w:i/>
          <w:iCs/>
          <w:sz w:val="24"/>
          <w:szCs w:val="24"/>
        </w:rPr>
        <w:t>Tribunal Local</w:t>
      </w:r>
      <w:r w:rsidR="00D94EB1" w:rsidRPr="003A0F7C">
        <w:rPr>
          <w:rFonts w:eastAsia="Cambria"/>
          <w:sz w:val="24"/>
          <w:szCs w:val="24"/>
        </w:rPr>
        <w:t>, al no agotarse la instancia ordinaria, quedando radicados los medios de impugnación en la instancia local con los números de expedientes</w:t>
      </w:r>
      <w:r w:rsidR="00D94EB1" w:rsidRPr="003A0F7C">
        <w:t xml:space="preserve"> </w:t>
      </w:r>
      <w:r w:rsidR="00D94EB1" w:rsidRPr="003A0F7C">
        <w:rPr>
          <w:rFonts w:eastAsia="Cambria"/>
          <w:sz w:val="24"/>
          <w:szCs w:val="24"/>
        </w:rPr>
        <w:t>TEEG-JPDC-118/2021 y TEEG-JPDC-119/2021.</w:t>
      </w:r>
    </w:p>
    <w:p w14:paraId="044DC8E7" w14:textId="2CCD2613" w:rsidR="00BF4CA1" w:rsidRPr="003A0F7C" w:rsidRDefault="00BF4CA1" w:rsidP="0035716F">
      <w:pPr>
        <w:spacing w:before="100" w:beforeAutospacing="1" w:after="100" w:afterAutospacing="1" w:line="360" w:lineRule="auto"/>
        <w:jc w:val="both"/>
        <w:rPr>
          <w:rFonts w:eastAsia="Cambria"/>
          <w:b/>
          <w:bCs/>
          <w:sz w:val="24"/>
          <w:szCs w:val="24"/>
        </w:rPr>
      </w:pPr>
      <w:r w:rsidRPr="003A0F7C">
        <w:rPr>
          <w:rFonts w:eastAsia="Cambria"/>
          <w:b/>
          <w:bCs/>
          <w:sz w:val="24"/>
          <w:szCs w:val="24"/>
        </w:rPr>
        <w:lastRenderedPageBreak/>
        <w:t>1.</w:t>
      </w:r>
      <w:r w:rsidR="00D94EB1" w:rsidRPr="003A0F7C">
        <w:rPr>
          <w:rFonts w:eastAsia="Cambria"/>
          <w:b/>
          <w:bCs/>
          <w:sz w:val="24"/>
          <w:szCs w:val="24"/>
        </w:rPr>
        <w:t>11</w:t>
      </w:r>
      <w:r w:rsidRPr="003A0F7C">
        <w:rPr>
          <w:rFonts w:eastAsia="Cambria"/>
          <w:b/>
          <w:bCs/>
          <w:sz w:val="24"/>
          <w:szCs w:val="24"/>
        </w:rPr>
        <w:t>. Acumulación</w:t>
      </w:r>
      <w:r w:rsidR="00D94EB1" w:rsidRPr="003A0F7C">
        <w:rPr>
          <w:rFonts w:eastAsia="Cambria"/>
          <w:b/>
          <w:bCs/>
          <w:sz w:val="24"/>
          <w:szCs w:val="24"/>
        </w:rPr>
        <w:t>.</w:t>
      </w:r>
      <w:r w:rsidR="00D94EB1" w:rsidRPr="003A0F7C">
        <w:t xml:space="preserve"> </w:t>
      </w:r>
      <w:r w:rsidR="00D94EB1" w:rsidRPr="003A0F7C">
        <w:rPr>
          <w:rFonts w:eastAsia="Cambria"/>
          <w:sz w:val="24"/>
          <w:szCs w:val="24"/>
        </w:rPr>
        <w:t xml:space="preserve">El diecisiete de abril, el </w:t>
      </w:r>
      <w:r w:rsidR="00D94EB1" w:rsidRPr="003A0F7C">
        <w:rPr>
          <w:rFonts w:eastAsia="Cambria"/>
          <w:i/>
          <w:iCs/>
          <w:sz w:val="24"/>
          <w:szCs w:val="24"/>
        </w:rPr>
        <w:t>Tribunal Local</w:t>
      </w:r>
      <w:r w:rsidR="00D94EB1" w:rsidRPr="003A0F7C">
        <w:rPr>
          <w:rFonts w:eastAsia="Cambria"/>
          <w:sz w:val="24"/>
          <w:szCs w:val="24"/>
        </w:rPr>
        <w:t xml:space="preserve"> acordó acumular los juicios ciudadanos locales </w:t>
      </w:r>
      <w:bookmarkStart w:id="6" w:name="_Hlk71570045"/>
      <w:r w:rsidR="00D94EB1" w:rsidRPr="003A0F7C">
        <w:rPr>
          <w:rFonts w:eastAsia="Cambria"/>
          <w:sz w:val="24"/>
          <w:szCs w:val="24"/>
        </w:rPr>
        <w:t>TEEG-JPDC-46/2021, TEEG-JPDC-52/2021, TEEG-JPDC- 53/2021, TEEG-JPDC-54/2021, TEEG-JPDC-55/2021, TEEG-JPDC- 56/2021, TEEG-JPDC-90/2021, TEEG-JPDC-91/2021, TEEG-JPDC- 92/2021, TEEG-JPDC-93/2021, TEEG-JPDC-96/2021, TEEG-JPDC-97/2021, TEEG-JPDC-112/2021, TEEG-JPDC-113/2021, TEEG-JPDC-114/2021, TEEG-JPDC-118/2021 y TEEG-JPDC-119/2021 al recurso de revisión TEEG-REV-18/2021</w:t>
      </w:r>
      <w:bookmarkEnd w:id="6"/>
      <w:r w:rsidR="00D94EB1" w:rsidRPr="003A0F7C">
        <w:rPr>
          <w:rFonts w:eastAsia="Cambria"/>
          <w:sz w:val="24"/>
          <w:szCs w:val="24"/>
        </w:rPr>
        <w:t>.</w:t>
      </w:r>
    </w:p>
    <w:p w14:paraId="3EC3C10C" w14:textId="1636CBDA" w:rsidR="002266CA" w:rsidRPr="003A0F7C" w:rsidRDefault="00D94EB1" w:rsidP="0035716F">
      <w:pPr>
        <w:spacing w:before="100" w:beforeAutospacing="1" w:after="100" w:afterAutospacing="1" w:line="360" w:lineRule="auto"/>
        <w:jc w:val="both"/>
        <w:rPr>
          <w:rFonts w:eastAsia="Cambria"/>
          <w:b/>
          <w:bCs/>
          <w:sz w:val="24"/>
          <w:szCs w:val="24"/>
        </w:rPr>
      </w:pPr>
      <w:r w:rsidRPr="003A0F7C">
        <w:rPr>
          <w:rFonts w:eastAsia="Cambria"/>
          <w:b/>
          <w:bCs/>
          <w:sz w:val="24"/>
          <w:szCs w:val="24"/>
        </w:rPr>
        <w:t xml:space="preserve">1.12. </w:t>
      </w:r>
      <w:r w:rsidR="002266CA" w:rsidRPr="003A0F7C">
        <w:rPr>
          <w:rFonts w:eastAsia="Cambria"/>
          <w:b/>
          <w:bCs/>
          <w:sz w:val="24"/>
          <w:szCs w:val="24"/>
        </w:rPr>
        <w:t>Sentencia impugnada.</w:t>
      </w:r>
      <w:r w:rsidR="002266CA" w:rsidRPr="003A0F7C">
        <w:rPr>
          <w:rFonts w:eastAsia="Cambria"/>
          <w:sz w:val="24"/>
          <w:szCs w:val="24"/>
        </w:rPr>
        <w:t xml:space="preserve"> </w:t>
      </w:r>
      <w:r w:rsidR="00E139FE" w:rsidRPr="003A0F7C">
        <w:rPr>
          <w:rFonts w:eastAsia="Cambria"/>
          <w:sz w:val="24"/>
          <w:szCs w:val="24"/>
        </w:rPr>
        <w:t xml:space="preserve">El </w:t>
      </w:r>
      <w:r w:rsidR="00E139FE" w:rsidRPr="003A0F7C">
        <w:rPr>
          <w:rFonts w:eastAsia="Cambria"/>
          <w:i/>
          <w:iCs/>
          <w:sz w:val="24"/>
          <w:szCs w:val="24"/>
        </w:rPr>
        <w:t>Tribunal Local</w:t>
      </w:r>
      <w:r w:rsidR="00E139FE" w:rsidRPr="003A0F7C">
        <w:rPr>
          <w:rFonts w:eastAsia="Cambria"/>
          <w:sz w:val="24"/>
          <w:szCs w:val="24"/>
        </w:rPr>
        <w:t xml:space="preserve"> mediante fallo de </w:t>
      </w:r>
      <w:r w:rsidRPr="003A0F7C">
        <w:rPr>
          <w:rFonts w:eastAsia="Cambria"/>
          <w:sz w:val="24"/>
          <w:szCs w:val="24"/>
        </w:rPr>
        <w:t>dieciocho</w:t>
      </w:r>
      <w:r w:rsidR="001008A2" w:rsidRPr="003A0F7C">
        <w:rPr>
          <w:rFonts w:eastAsia="Cambria"/>
          <w:sz w:val="24"/>
          <w:szCs w:val="24"/>
        </w:rPr>
        <w:t xml:space="preserve"> de abril</w:t>
      </w:r>
      <w:r w:rsidR="00E139FE" w:rsidRPr="003A0F7C">
        <w:rPr>
          <w:rFonts w:eastAsia="Cambria"/>
          <w:sz w:val="24"/>
          <w:szCs w:val="24"/>
        </w:rPr>
        <w:t xml:space="preserve">, resolvió </w:t>
      </w:r>
      <w:r w:rsidR="00167883" w:rsidRPr="003A0F7C">
        <w:rPr>
          <w:rFonts w:eastAsia="Cambria"/>
          <w:sz w:val="24"/>
          <w:szCs w:val="24"/>
        </w:rPr>
        <w:t xml:space="preserve">el </w:t>
      </w:r>
      <w:r w:rsidR="001008A2" w:rsidRPr="003A0F7C">
        <w:rPr>
          <w:rFonts w:eastAsia="Cambria"/>
          <w:sz w:val="24"/>
          <w:szCs w:val="24"/>
        </w:rPr>
        <w:t>recurso de revisión</w:t>
      </w:r>
      <w:r w:rsidR="00167883" w:rsidRPr="003A0F7C">
        <w:rPr>
          <w:rFonts w:eastAsia="Cambria"/>
          <w:sz w:val="24"/>
          <w:szCs w:val="24"/>
        </w:rPr>
        <w:t xml:space="preserve"> </w:t>
      </w:r>
      <w:r w:rsidR="001008A2" w:rsidRPr="003A0F7C">
        <w:rPr>
          <w:rFonts w:eastAsia="Cambria"/>
          <w:sz w:val="24"/>
          <w:szCs w:val="24"/>
        </w:rPr>
        <w:t>TEEG-REV-</w:t>
      </w:r>
      <w:r w:rsidRPr="003A0F7C">
        <w:rPr>
          <w:rFonts w:eastAsia="Cambria"/>
          <w:sz w:val="24"/>
          <w:szCs w:val="24"/>
        </w:rPr>
        <w:t>18</w:t>
      </w:r>
      <w:r w:rsidR="001008A2" w:rsidRPr="003A0F7C">
        <w:rPr>
          <w:rFonts w:eastAsia="Cambria"/>
          <w:sz w:val="24"/>
          <w:szCs w:val="24"/>
        </w:rPr>
        <w:t>/2021</w:t>
      </w:r>
      <w:r w:rsidRPr="003A0F7C">
        <w:rPr>
          <w:rFonts w:eastAsia="Cambria"/>
          <w:sz w:val="24"/>
          <w:szCs w:val="24"/>
        </w:rPr>
        <w:t xml:space="preserve"> y acumulados</w:t>
      </w:r>
      <w:r w:rsidR="00190B80" w:rsidRPr="003A0F7C">
        <w:rPr>
          <w:rFonts w:eastAsia="Cambria"/>
          <w:sz w:val="24"/>
          <w:szCs w:val="24"/>
        </w:rPr>
        <w:t>,</w:t>
      </w:r>
      <w:r w:rsidR="00167883" w:rsidRPr="003A0F7C">
        <w:rPr>
          <w:rFonts w:eastAsia="Cambria"/>
          <w:sz w:val="24"/>
          <w:szCs w:val="24"/>
        </w:rPr>
        <w:t xml:space="preserve"> en el</w:t>
      </w:r>
      <w:r w:rsidR="00190B80" w:rsidRPr="003A0F7C">
        <w:rPr>
          <w:rFonts w:eastAsia="Cambria"/>
          <w:sz w:val="24"/>
          <w:szCs w:val="24"/>
        </w:rPr>
        <w:t xml:space="preserve"> que, entre otras cuestiones, </w:t>
      </w:r>
      <w:r w:rsidR="00167883" w:rsidRPr="003A0F7C">
        <w:rPr>
          <w:rFonts w:eastAsia="Cambria"/>
          <w:sz w:val="24"/>
          <w:szCs w:val="24"/>
        </w:rPr>
        <w:t>revoc</w:t>
      </w:r>
      <w:r w:rsidR="00190B80" w:rsidRPr="003A0F7C">
        <w:rPr>
          <w:rFonts w:eastAsia="Cambria"/>
          <w:sz w:val="24"/>
          <w:szCs w:val="24"/>
        </w:rPr>
        <w:t>ó</w:t>
      </w:r>
      <w:r w:rsidR="00167883" w:rsidRPr="003A0F7C">
        <w:rPr>
          <w:rFonts w:eastAsia="Cambria"/>
          <w:sz w:val="24"/>
          <w:szCs w:val="24"/>
        </w:rPr>
        <w:t xml:space="preserve"> </w:t>
      </w:r>
      <w:r w:rsidR="00190B80" w:rsidRPr="003A0F7C">
        <w:rPr>
          <w:rFonts w:eastAsia="Cambria"/>
          <w:sz w:val="24"/>
          <w:szCs w:val="24"/>
        </w:rPr>
        <w:t xml:space="preserve">el acuerdo CGIEEG/104/2021 </w:t>
      </w:r>
      <w:r w:rsidR="00167883" w:rsidRPr="003A0F7C">
        <w:rPr>
          <w:rFonts w:eastAsia="Cambria"/>
          <w:sz w:val="24"/>
          <w:szCs w:val="24"/>
        </w:rPr>
        <w:t xml:space="preserve">del </w:t>
      </w:r>
      <w:r w:rsidR="00167883" w:rsidRPr="003A0F7C">
        <w:rPr>
          <w:rFonts w:eastAsia="Cambria"/>
          <w:i/>
          <w:iCs/>
          <w:sz w:val="24"/>
          <w:szCs w:val="24"/>
        </w:rPr>
        <w:t>Instituto</w:t>
      </w:r>
      <w:r w:rsidR="001008A2" w:rsidRPr="003A0F7C">
        <w:rPr>
          <w:rFonts w:eastAsia="Cambria"/>
          <w:i/>
          <w:iCs/>
          <w:sz w:val="24"/>
          <w:szCs w:val="24"/>
        </w:rPr>
        <w:t xml:space="preserve"> Electoral</w:t>
      </w:r>
      <w:r w:rsidR="00167883" w:rsidRPr="003A0F7C">
        <w:rPr>
          <w:rFonts w:eastAsia="Cambria"/>
          <w:i/>
          <w:iCs/>
          <w:sz w:val="24"/>
          <w:szCs w:val="24"/>
        </w:rPr>
        <w:t xml:space="preserve"> Local</w:t>
      </w:r>
      <w:r w:rsidR="00167883" w:rsidRPr="003A0F7C">
        <w:rPr>
          <w:rFonts w:eastAsia="Cambria"/>
          <w:sz w:val="24"/>
          <w:szCs w:val="24"/>
        </w:rPr>
        <w:t xml:space="preserve">, </w:t>
      </w:r>
      <w:r w:rsidR="00F93EDD" w:rsidRPr="003A0F7C">
        <w:rPr>
          <w:rFonts w:eastAsia="Cambria"/>
          <w:sz w:val="24"/>
          <w:szCs w:val="24"/>
        </w:rPr>
        <w:t xml:space="preserve">para los efectos precisados en </w:t>
      </w:r>
      <w:r w:rsidR="00CB1ED6" w:rsidRPr="003A0F7C">
        <w:rPr>
          <w:rFonts w:eastAsia="Cambria"/>
          <w:sz w:val="24"/>
          <w:szCs w:val="24"/>
        </w:rPr>
        <w:t xml:space="preserve">el </w:t>
      </w:r>
      <w:r w:rsidR="00F93EDD" w:rsidRPr="003A0F7C">
        <w:rPr>
          <w:rFonts w:eastAsia="Cambria"/>
          <w:sz w:val="24"/>
          <w:szCs w:val="24"/>
        </w:rPr>
        <w:t>mism</w:t>
      </w:r>
      <w:r w:rsidR="00CB1ED6" w:rsidRPr="003A0F7C">
        <w:rPr>
          <w:rFonts w:eastAsia="Cambria"/>
          <w:sz w:val="24"/>
          <w:szCs w:val="24"/>
        </w:rPr>
        <w:t>o</w:t>
      </w:r>
      <w:r w:rsidR="00F93EDD" w:rsidRPr="003A0F7C">
        <w:rPr>
          <w:rFonts w:eastAsia="Cambria"/>
          <w:sz w:val="24"/>
          <w:szCs w:val="24"/>
        </w:rPr>
        <w:t>.</w:t>
      </w:r>
    </w:p>
    <w:p w14:paraId="7B0AB609" w14:textId="246BA0C2" w:rsidR="00B34A1A" w:rsidRPr="003A0F7C" w:rsidRDefault="00B34A1A" w:rsidP="004C65E3">
      <w:pPr>
        <w:spacing w:before="100" w:beforeAutospacing="1" w:after="100" w:afterAutospacing="1" w:line="360" w:lineRule="auto"/>
        <w:jc w:val="both"/>
        <w:rPr>
          <w:rFonts w:eastAsia="Calibri"/>
          <w:sz w:val="24"/>
          <w:szCs w:val="24"/>
        </w:rPr>
      </w:pPr>
      <w:r w:rsidRPr="003A0F7C">
        <w:rPr>
          <w:rFonts w:eastAsia="Calibri"/>
          <w:b/>
          <w:bCs/>
          <w:sz w:val="24"/>
          <w:szCs w:val="24"/>
        </w:rPr>
        <w:t>1.</w:t>
      </w:r>
      <w:r w:rsidR="000D4910" w:rsidRPr="003A0F7C">
        <w:rPr>
          <w:rFonts w:eastAsia="Calibri"/>
          <w:b/>
          <w:bCs/>
          <w:sz w:val="24"/>
          <w:szCs w:val="24"/>
        </w:rPr>
        <w:t>13</w:t>
      </w:r>
      <w:r w:rsidRPr="003A0F7C">
        <w:rPr>
          <w:rFonts w:eastAsia="Calibri"/>
          <w:b/>
          <w:bCs/>
          <w:sz w:val="24"/>
          <w:szCs w:val="24"/>
        </w:rPr>
        <w:t>.</w:t>
      </w:r>
      <w:r w:rsidR="00FB6AC0" w:rsidRPr="003A0F7C">
        <w:rPr>
          <w:rFonts w:eastAsia="Calibri"/>
          <w:b/>
          <w:bCs/>
          <w:sz w:val="24"/>
          <w:szCs w:val="24"/>
        </w:rPr>
        <w:t xml:space="preserve"> </w:t>
      </w:r>
      <w:r w:rsidRPr="003A0F7C">
        <w:rPr>
          <w:rFonts w:eastAsia="Calibri"/>
          <w:b/>
          <w:bCs/>
          <w:sz w:val="24"/>
          <w:szCs w:val="24"/>
        </w:rPr>
        <w:t xml:space="preserve">Juicio </w:t>
      </w:r>
      <w:r w:rsidR="00E139FE" w:rsidRPr="003A0F7C">
        <w:rPr>
          <w:rFonts w:eastAsia="Calibri"/>
          <w:b/>
          <w:bCs/>
          <w:sz w:val="24"/>
          <w:szCs w:val="24"/>
        </w:rPr>
        <w:t>de Revisión Constitucional Electoral SM-JRC-</w:t>
      </w:r>
      <w:r w:rsidR="00190B80" w:rsidRPr="003A0F7C">
        <w:rPr>
          <w:rFonts w:eastAsia="Calibri"/>
          <w:b/>
          <w:bCs/>
          <w:sz w:val="24"/>
          <w:szCs w:val="24"/>
        </w:rPr>
        <w:t>54</w:t>
      </w:r>
      <w:r w:rsidR="00E139FE" w:rsidRPr="003A0F7C">
        <w:rPr>
          <w:rFonts w:eastAsia="Calibri"/>
          <w:b/>
          <w:bCs/>
          <w:sz w:val="24"/>
          <w:szCs w:val="24"/>
        </w:rPr>
        <w:t>/2021</w:t>
      </w:r>
      <w:r w:rsidRPr="003A0F7C">
        <w:rPr>
          <w:rFonts w:eastAsia="Calibri"/>
          <w:b/>
          <w:bCs/>
          <w:sz w:val="24"/>
          <w:szCs w:val="24"/>
        </w:rPr>
        <w:t>.</w:t>
      </w:r>
      <w:r w:rsidRPr="003A0F7C">
        <w:rPr>
          <w:rFonts w:eastAsia="Calibri"/>
          <w:sz w:val="24"/>
          <w:szCs w:val="24"/>
        </w:rPr>
        <w:t xml:space="preserve"> </w:t>
      </w:r>
      <w:r w:rsidR="00B9542D" w:rsidRPr="003A0F7C">
        <w:rPr>
          <w:rFonts w:eastAsia="Calibri"/>
          <w:sz w:val="24"/>
          <w:szCs w:val="24"/>
        </w:rPr>
        <w:t>Inconforme con la re</w:t>
      </w:r>
      <w:r w:rsidR="00CB1ED6" w:rsidRPr="003A0F7C">
        <w:rPr>
          <w:rFonts w:eastAsia="Calibri"/>
          <w:sz w:val="24"/>
          <w:szCs w:val="24"/>
        </w:rPr>
        <w:t>ferida determinación</w:t>
      </w:r>
      <w:r w:rsidR="00B9542D" w:rsidRPr="003A0F7C">
        <w:rPr>
          <w:rFonts w:eastAsia="Calibri"/>
          <w:sz w:val="24"/>
          <w:szCs w:val="24"/>
        </w:rPr>
        <w:t>, e</w:t>
      </w:r>
      <w:r w:rsidRPr="003A0F7C">
        <w:rPr>
          <w:rFonts w:eastAsia="Calibri"/>
          <w:sz w:val="24"/>
          <w:szCs w:val="24"/>
        </w:rPr>
        <w:t xml:space="preserve">l </w:t>
      </w:r>
      <w:r w:rsidR="00CB1ED6" w:rsidRPr="003A0F7C">
        <w:rPr>
          <w:rFonts w:eastAsia="Calibri"/>
          <w:sz w:val="24"/>
          <w:szCs w:val="24"/>
        </w:rPr>
        <w:t>veintitrés</w:t>
      </w:r>
      <w:r w:rsidR="001008A2" w:rsidRPr="003A0F7C">
        <w:rPr>
          <w:rFonts w:eastAsia="Calibri"/>
          <w:sz w:val="24"/>
          <w:szCs w:val="24"/>
        </w:rPr>
        <w:t xml:space="preserve"> de abril</w:t>
      </w:r>
      <w:r w:rsidR="00E139FE" w:rsidRPr="003A0F7C">
        <w:rPr>
          <w:rFonts w:eastAsia="Calibri"/>
          <w:sz w:val="24"/>
          <w:szCs w:val="24"/>
        </w:rPr>
        <w:t xml:space="preserve"> el </w:t>
      </w:r>
      <w:r w:rsidR="00AE0D07" w:rsidRPr="003A0F7C">
        <w:rPr>
          <w:rFonts w:eastAsia="Calibri"/>
          <w:i/>
          <w:iCs/>
          <w:sz w:val="24"/>
          <w:szCs w:val="24"/>
        </w:rPr>
        <w:t>PAN</w:t>
      </w:r>
      <w:r w:rsidR="00E139FE" w:rsidRPr="003A0F7C">
        <w:rPr>
          <w:rFonts w:eastAsia="Calibri"/>
          <w:sz w:val="24"/>
          <w:szCs w:val="24"/>
        </w:rPr>
        <w:t xml:space="preserve"> interpuso el presente juicio.</w:t>
      </w:r>
    </w:p>
    <w:p w14:paraId="264EEC6D" w14:textId="77777777" w:rsidR="00791815" w:rsidRPr="003A0F7C" w:rsidRDefault="00E66619" w:rsidP="00791815">
      <w:pPr>
        <w:spacing w:before="100" w:beforeAutospacing="1" w:after="100" w:afterAutospacing="1" w:line="360" w:lineRule="auto"/>
        <w:jc w:val="both"/>
        <w:rPr>
          <w:b/>
          <w:caps/>
          <w:sz w:val="24"/>
          <w:szCs w:val="24"/>
        </w:rPr>
      </w:pPr>
      <w:r w:rsidRPr="003A0F7C">
        <w:rPr>
          <w:rFonts w:eastAsia="Times New Roman"/>
          <w:b/>
          <w:bCs/>
          <w:sz w:val="24"/>
          <w:szCs w:val="24"/>
          <w:lang w:eastAsia="es-ES"/>
        </w:rPr>
        <w:t xml:space="preserve">2. </w:t>
      </w:r>
      <w:bookmarkStart w:id="7" w:name="_Toc27649896"/>
      <w:r w:rsidR="00791815" w:rsidRPr="003A0F7C">
        <w:rPr>
          <w:b/>
          <w:sz w:val="24"/>
          <w:szCs w:val="24"/>
        </w:rPr>
        <w:t>COMPETENCIA</w:t>
      </w:r>
    </w:p>
    <w:p w14:paraId="5A5E3BA8" w14:textId="6B79928E" w:rsidR="00611D46" w:rsidRPr="003A0F7C" w:rsidRDefault="00591910" w:rsidP="00611D46">
      <w:pPr>
        <w:spacing w:before="240" w:after="240" w:line="360" w:lineRule="auto"/>
        <w:jc w:val="both"/>
        <w:rPr>
          <w:sz w:val="24"/>
          <w:szCs w:val="24"/>
        </w:rPr>
      </w:pPr>
      <w:r w:rsidRPr="003A0F7C">
        <w:rPr>
          <w:sz w:val="24"/>
          <w:szCs w:val="24"/>
        </w:rPr>
        <w:t xml:space="preserve">Esta Sala Regional es competente para conocer y resolver el presente asunto, porque se trata de un juicio en el que se controvierte una sentencia dictada por el </w:t>
      </w:r>
      <w:r w:rsidRPr="003A0F7C">
        <w:rPr>
          <w:i/>
          <w:sz w:val="24"/>
          <w:szCs w:val="24"/>
        </w:rPr>
        <w:t>Tribunal Local</w:t>
      </w:r>
      <w:r w:rsidRPr="003A0F7C">
        <w:rPr>
          <w:sz w:val="24"/>
          <w:szCs w:val="24"/>
        </w:rPr>
        <w:t xml:space="preserve">, </w:t>
      </w:r>
      <w:r w:rsidR="00272EAA" w:rsidRPr="003A0F7C">
        <w:rPr>
          <w:sz w:val="24"/>
          <w:szCs w:val="24"/>
        </w:rPr>
        <w:t xml:space="preserve">en la que </w:t>
      </w:r>
      <w:r w:rsidR="00F93EDD" w:rsidRPr="003A0F7C">
        <w:rPr>
          <w:sz w:val="24"/>
          <w:szCs w:val="24"/>
        </w:rPr>
        <w:t xml:space="preserve">revocó una resolución del </w:t>
      </w:r>
      <w:r w:rsidR="00F93EDD" w:rsidRPr="003A0F7C">
        <w:rPr>
          <w:i/>
          <w:iCs/>
          <w:sz w:val="24"/>
          <w:szCs w:val="24"/>
        </w:rPr>
        <w:t>Instituto</w:t>
      </w:r>
      <w:r w:rsidR="008E7379" w:rsidRPr="003A0F7C">
        <w:rPr>
          <w:i/>
          <w:iCs/>
          <w:sz w:val="24"/>
          <w:szCs w:val="24"/>
        </w:rPr>
        <w:t xml:space="preserve"> Electoral</w:t>
      </w:r>
      <w:r w:rsidR="00F93EDD" w:rsidRPr="003A0F7C">
        <w:rPr>
          <w:i/>
          <w:iCs/>
          <w:sz w:val="24"/>
          <w:szCs w:val="24"/>
        </w:rPr>
        <w:t xml:space="preserve"> Local</w:t>
      </w:r>
      <w:r w:rsidR="00F93EDD" w:rsidRPr="003A0F7C">
        <w:rPr>
          <w:sz w:val="24"/>
          <w:szCs w:val="24"/>
        </w:rPr>
        <w:t xml:space="preserve">, </w:t>
      </w:r>
      <w:r w:rsidR="00D52BFB" w:rsidRPr="003A0F7C">
        <w:rPr>
          <w:sz w:val="24"/>
          <w:szCs w:val="24"/>
        </w:rPr>
        <w:t xml:space="preserve">que declaró improcedente el registro de las planillas de MORENA para integrar los ayuntamientos de Apaseo el Grande, Celaya, </w:t>
      </w:r>
      <w:proofErr w:type="spellStart"/>
      <w:r w:rsidR="00D52BFB" w:rsidRPr="003A0F7C">
        <w:rPr>
          <w:sz w:val="24"/>
          <w:szCs w:val="24"/>
        </w:rPr>
        <w:t>Cortazar</w:t>
      </w:r>
      <w:proofErr w:type="spellEnd"/>
      <w:r w:rsidR="00D52BFB" w:rsidRPr="003A0F7C">
        <w:rPr>
          <w:sz w:val="24"/>
          <w:szCs w:val="24"/>
        </w:rPr>
        <w:t xml:space="preserve">, Cuerámaro, Dolores Hidalgo Cuna de la Independencia Nacional, Guanajuato, Moroleón, Pueblo Nuevo, Salamanca, Tarimoro y Victoria, </w:t>
      </w:r>
      <w:r w:rsidR="006106FF" w:rsidRPr="003A0F7C">
        <w:rPr>
          <w:sz w:val="24"/>
          <w:szCs w:val="24"/>
        </w:rPr>
        <w:t xml:space="preserve">Guanajuato, </w:t>
      </w:r>
      <w:r w:rsidRPr="003A0F7C">
        <w:rPr>
          <w:sz w:val="24"/>
          <w:szCs w:val="24"/>
        </w:rPr>
        <w:t>entidad</w:t>
      </w:r>
      <w:r w:rsidRPr="003A0F7C">
        <w:rPr>
          <w:rFonts w:eastAsia="Calibri"/>
          <w:sz w:val="24"/>
          <w:szCs w:val="24"/>
          <w:lang w:eastAsia="es-ES"/>
        </w:rPr>
        <w:t xml:space="preserve"> federativa que se ubica en la Segunda Circunscripción Electoral Plurinominal en la que se ejerce jurisdicción.</w:t>
      </w:r>
    </w:p>
    <w:p w14:paraId="0E1401BC" w14:textId="77777777" w:rsidR="00611D46" w:rsidRPr="003A0F7C" w:rsidRDefault="0053084B" w:rsidP="00611D46">
      <w:pPr>
        <w:spacing w:before="240" w:after="240" w:line="360" w:lineRule="auto"/>
        <w:jc w:val="both"/>
        <w:rPr>
          <w:sz w:val="24"/>
          <w:szCs w:val="24"/>
        </w:rPr>
      </w:pPr>
      <w:r w:rsidRPr="003A0F7C">
        <w:rPr>
          <w:rFonts w:eastAsia="Times New Roman"/>
          <w:sz w:val="24"/>
          <w:szCs w:val="24"/>
          <w:lang w:eastAsia="es-MX"/>
        </w:rPr>
        <w:t>Lo anterior, de conformidad con los artículos 195, fracción III, de la Ley Orgánica del Poder Judicial de la Federación; y 87, párrafo 1, inciso b), de la Ley General del Sistema de Medios de Impugnación en Materia Electoral.</w:t>
      </w:r>
    </w:p>
    <w:p w14:paraId="66D53A76" w14:textId="77777777" w:rsidR="00611D46" w:rsidRPr="003A0F7C" w:rsidRDefault="00ED3BC0" w:rsidP="00611D46">
      <w:pPr>
        <w:spacing w:before="240" w:after="240" w:line="360" w:lineRule="auto"/>
        <w:jc w:val="both"/>
        <w:rPr>
          <w:sz w:val="24"/>
          <w:szCs w:val="24"/>
        </w:rPr>
      </w:pPr>
      <w:r w:rsidRPr="003A0F7C">
        <w:rPr>
          <w:b/>
          <w:sz w:val="24"/>
          <w:szCs w:val="24"/>
        </w:rPr>
        <w:t>3</w:t>
      </w:r>
      <w:r w:rsidR="00CC47AE" w:rsidRPr="003A0F7C">
        <w:rPr>
          <w:b/>
          <w:sz w:val="24"/>
          <w:szCs w:val="24"/>
        </w:rPr>
        <w:t xml:space="preserve">. </w:t>
      </w:r>
      <w:bookmarkEnd w:id="7"/>
      <w:r w:rsidR="004A25F4" w:rsidRPr="003A0F7C">
        <w:rPr>
          <w:b/>
          <w:sz w:val="24"/>
          <w:szCs w:val="24"/>
        </w:rPr>
        <w:t>PROCEDENCIA</w:t>
      </w:r>
      <w:bookmarkStart w:id="8" w:name="_Toc27649899"/>
    </w:p>
    <w:p w14:paraId="06F4DDB1" w14:textId="3FDD0AE2" w:rsidR="007564C8" w:rsidRPr="003A0F7C" w:rsidRDefault="007564C8" w:rsidP="00611D46">
      <w:pPr>
        <w:spacing w:before="240" w:after="240" w:line="360" w:lineRule="auto"/>
        <w:jc w:val="both"/>
        <w:rPr>
          <w:sz w:val="24"/>
          <w:szCs w:val="24"/>
        </w:rPr>
      </w:pPr>
      <w:r w:rsidRPr="003A0F7C">
        <w:rPr>
          <w:sz w:val="24"/>
          <w:szCs w:val="24"/>
        </w:rPr>
        <w:t xml:space="preserve">El presente juicio es procedente porque reúne los requisitos previstos en los artículos </w:t>
      </w:r>
      <w:r w:rsidRPr="003A0F7C">
        <w:rPr>
          <w:rFonts w:eastAsia="MS Mincho"/>
          <w:sz w:val="24"/>
          <w:szCs w:val="24"/>
          <w:lang w:eastAsia="es-MX"/>
        </w:rPr>
        <w:t xml:space="preserve">8, 9, párrafo 1, 86 y 88 de la </w:t>
      </w:r>
      <w:r w:rsidRPr="003A0F7C">
        <w:rPr>
          <w:rFonts w:eastAsia="Times New Roman"/>
          <w:sz w:val="24"/>
          <w:szCs w:val="24"/>
          <w:lang w:eastAsia="es-MX"/>
        </w:rPr>
        <w:t xml:space="preserve">Ley General del Sistema de Medios de </w:t>
      </w:r>
      <w:r w:rsidRPr="003A0F7C">
        <w:rPr>
          <w:rFonts w:eastAsia="Times New Roman"/>
          <w:sz w:val="24"/>
          <w:szCs w:val="24"/>
          <w:lang w:eastAsia="es-MX"/>
        </w:rPr>
        <w:lastRenderedPageBreak/>
        <w:t>Impugnación en Materia Electoral</w:t>
      </w:r>
      <w:r w:rsidRPr="003A0F7C">
        <w:rPr>
          <w:sz w:val="24"/>
          <w:szCs w:val="24"/>
        </w:rPr>
        <w:t>, conforme lo razonado en el auto de admisión respectivo</w:t>
      </w:r>
      <w:r w:rsidR="00D52BFB" w:rsidRPr="003A0F7C">
        <w:rPr>
          <w:rStyle w:val="Refdenotaalpie"/>
          <w:sz w:val="24"/>
          <w:szCs w:val="24"/>
        </w:rPr>
        <w:footnoteReference w:id="1"/>
      </w:r>
      <w:r w:rsidRPr="003A0F7C">
        <w:rPr>
          <w:sz w:val="24"/>
          <w:szCs w:val="24"/>
        </w:rPr>
        <w:t>.</w:t>
      </w:r>
    </w:p>
    <w:p w14:paraId="7B8B39B8" w14:textId="4E3F2AF1" w:rsidR="00D800DD" w:rsidRPr="003A0F7C" w:rsidRDefault="00ED3BC0" w:rsidP="00D800DD">
      <w:pPr>
        <w:spacing w:before="100" w:beforeAutospacing="1" w:after="100" w:afterAutospacing="1" w:line="360" w:lineRule="auto"/>
        <w:jc w:val="both"/>
        <w:rPr>
          <w:sz w:val="24"/>
          <w:szCs w:val="24"/>
        </w:rPr>
      </w:pPr>
      <w:r w:rsidRPr="003A0F7C">
        <w:rPr>
          <w:b/>
          <w:sz w:val="24"/>
          <w:szCs w:val="24"/>
        </w:rPr>
        <w:t>4</w:t>
      </w:r>
      <w:r w:rsidR="00CC47AE" w:rsidRPr="003A0F7C">
        <w:rPr>
          <w:b/>
          <w:sz w:val="24"/>
          <w:szCs w:val="24"/>
        </w:rPr>
        <w:t xml:space="preserve">. </w:t>
      </w:r>
      <w:bookmarkEnd w:id="8"/>
      <w:r w:rsidR="00DE3F70" w:rsidRPr="003A0F7C">
        <w:rPr>
          <w:rFonts w:eastAsia="Calibri"/>
          <w:b/>
          <w:sz w:val="24"/>
          <w:szCs w:val="24"/>
        </w:rPr>
        <w:t>ESTUDIO DE FONDO</w:t>
      </w:r>
    </w:p>
    <w:p w14:paraId="66052C5E" w14:textId="1D30AA12" w:rsidR="00D800DD" w:rsidRPr="003A0F7C" w:rsidRDefault="00ED3BC0" w:rsidP="00D800DD">
      <w:pPr>
        <w:spacing w:before="100" w:beforeAutospacing="1" w:after="100" w:afterAutospacing="1" w:line="360" w:lineRule="auto"/>
        <w:jc w:val="both"/>
        <w:rPr>
          <w:rFonts w:eastAsia="Calibri"/>
          <w:b/>
          <w:sz w:val="24"/>
          <w:szCs w:val="24"/>
        </w:rPr>
      </w:pPr>
      <w:r w:rsidRPr="003A0F7C">
        <w:rPr>
          <w:rFonts w:eastAsia="Calibri"/>
          <w:b/>
          <w:color w:val="000000"/>
          <w:sz w:val="24"/>
          <w:szCs w:val="24"/>
        </w:rPr>
        <w:t>4</w:t>
      </w:r>
      <w:r w:rsidR="00D95F17" w:rsidRPr="003A0F7C">
        <w:rPr>
          <w:rFonts w:eastAsia="Calibri"/>
          <w:b/>
          <w:sz w:val="24"/>
          <w:szCs w:val="24"/>
        </w:rPr>
        <w:t>.1. Materia de la controversia</w:t>
      </w:r>
    </w:p>
    <w:p w14:paraId="21BDFE11" w14:textId="78BED68A" w:rsidR="00535C11" w:rsidRPr="003A0F7C" w:rsidRDefault="00E15E50" w:rsidP="00535C11">
      <w:pPr>
        <w:spacing w:before="100" w:beforeAutospacing="1" w:after="100" w:afterAutospacing="1" w:line="360" w:lineRule="auto"/>
        <w:jc w:val="both"/>
        <w:rPr>
          <w:sz w:val="24"/>
          <w:szCs w:val="24"/>
        </w:rPr>
      </w:pPr>
      <w:r w:rsidRPr="003A0F7C">
        <w:rPr>
          <w:b/>
          <w:bCs/>
          <w:sz w:val="24"/>
          <w:szCs w:val="24"/>
        </w:rPr>
        <w:t>Resolución</w:t>
      </w:r>
      <w:r w:rsidR="00A56011" w:rsidRPr="003A0F7C">
        <w:rPr>
          <w:b/>
          <w:bCs/>
          <w:sz w:val="24"/>
          <w:szCs w:val="24"/>
        </w:rPr>
        <w:t xml:space="preserve"> impugnada.</w:t>
      </w:r>
      <w:r w:rsidR="00A56011" w:rsidRPr="003A0F7C">
        <w:rPr>
          <w:sz w:val="24"/>
          <w:szCs w:val="24"/>
        </w:rPr>
        <w:t xml:space="preserve"> </w:t>
      </w:r>
      <w:r w:rsidR="00535C11" w:rsidRPr="003A0F7C">
        <w:rPr>
          <w:sz w:val="24"/>
          <w:szCs w:val="24"/>
        </w:rPr>
        <w:t xml:space="preserve">El pasado </w:t>
      </w:r>
      <w:r w:rsidR="00D52BFB" w:rsidRPr="003A0F7C">
        <w:rPr>
          <w:sz w:val="24"/>
          <w:szCs w:val="24"/>
        </w:rPr>
        <w:t>dieciocho</w:t>
      </w:r>
      <w:r w:rsidR="00535C11" w:rsidRPr="003A0F7C">
        <w:rPr>
          <w:sz w:val="24"/>
          <w:szCs w:val="24"/>
        </w:rPr>
        <w:t xml:space="preserve"> de abril, el </w:t>
      </w:r>
      <w:r w:rsidR="00535C11" w:rsidRPr="003A0F7C">
        <w:rPr>
          <w:i/>
          <w:iCs/>
          <w:sz w:val="24"/>
          <w:szCs w:val="24"/>
        </w:rPr>
        <w:t>Tribunal Local</w:t>
      </w:r>
      <w:r w:rsidR="00535C11" w:rsidRPr="003A0F7C">
        <w:rPr>
          <w:sz w:val="24"/>
          <w:szCs w:val="24"/>
        </w:rPr>
        <w:t xml:space="preserve"> determinó </w:t>
      </w:r>
      <w:r w:rsidR="00D52BFB" w:rsidRPr="003A0F7C">
        <w:rPr>
          <w:sz w:val="24"/>
          <w:szCs w:val="24"/>
        </w:rPr>
        <w:t xml:space="preserve">entre otras cuestiones </w:t>
      </w:r>
      <w:r w:rsidR="00535C11" w:rsidRPr="003A0F7C">
        <w:rPr>
          <w:sz w:val="24"/>
          <w:szCs w:val="24"/>
        </w:rPr>
        <w:t xml:space="preserve">revocar el acuerdo </w:t>
      </w:r>
      <w:r w:rsidR="00D52BFB" w:rsidRPr="003A0F7C">
        <w:rPr>
          <w:sz w:val="24"/>
          <w:szCs w:val="24"/>
        </w:rPr>
        <w:t>CGIEEG/104/2021</w:t>
      </w:r>
      <w:r w:rsidR="00535C11" w:rsidRPr="003A0F7C">
        <w:rPr>
          <w:sz w:val="24"/>
          <w:szCs w:val="24"/>
        </w:rPr>
        <w:t xml:space="preserve">, del Consejo General del </w:t>
      </w:r>
      <w:r w:rsidR="00535C11" w:rsidRPr="003A0F7C">
        <w:rPr>
          <w:i/>
          <w:iCs/>
          <w:sz w:val="24"/>
          <w:szCs w:val="24"/>
        </w:rPr>
        <w:t>Instituto Electoral Local</w:t>
      </w:r>
      <w:r w:rsidR="00D52BFB" w:rsidRPr="003A0F7C">
        <w:rPr>
          <w:sz w:val="24"/>
          <w:szCs w:val="24"/>
        </w:rPr>
        <w:t>.</w:t>
      </w:r>
    </w:p>
    <w:p w14:paraId="3D23AAEE" w14:textId="3BE857BE" w:rsidR="005B1B53" w:rsidRPr="003A0F7C" w:rsidRDefault="00D52BFB" w:rsidP="00D52BFB">
      <w:pPr>
        <w:spacing w:before="100" w:beforeAutospacing="1" w:after="100" w:afterAutospacing="1" w:line="360" w:lineRule="auto"/>
        <w:jc w:val="both"/>
        <w:rPr>
          <w:sz w:val="24"/>
          <w:szCs w:val="24"/>
        </w:rPr>
      </w:pPr>
      <w:r w:rsidRPr="003A0F7C">
        <w:rPr>
          <w:sz w:val="24"/>
          <w:szCs w:val="24"/>
        </w:rPr>
        <w:t xml:space="preserve">En el fallo respectivo, </w:t>
      </w:r>
      <w:r w:rsidR="005B1B53" w:rsidRPr="003A0F7C">
        <w:rPr>
          <w:sz w:val="24"/>
          <w:szCs w:val="24"/>
        </w:rPr>
        <w:t xml:space="preserve">en el apartado 4.6., </w:t>
      </w:r>
      <w:r w:rsidR="00E43B01" w:rsidRPr="003A0F7C">
        <w:rPr>
          <w:sz w:val="24"/>
          <w:szCs w:val="24"/>
        </w:rPr>
        <w:t xml:space="preserve">se </w:t>
      </w:r>
      <w:r w:rsidRPr="003A0F7C">
        <w:rPr>
          <w:sz w:val="24"/>
          <w:szCs w:val="24"/>
        </w:rPr>
        <w:t>precisó</w:t>
      </w:r>
      <w:r w:rsidR="005B1B53" w:rsidRPr="003A0F7C">
        <w:rPr>
          <w:sz w:val="24"/>
          <w:szCs w:val="24"/>
        </w:rPr>
        <w:t xml:space="preserve"> que</w:t>
      </w:r>
      <w:r w:rsidRPr="003A0F7C">
        <w:rPr>
          <w:sz w:val="24"/>
          <w:szCs w:val="24"/>
        </w:rPr>
        <w:t xml:space="preserve"> </w:t>
      </w:r>
      <w:bookmarkStart w:id="10" w:name="_Hlk71112961"/>
      <w:r w:rsidRPr="003A0F7C">
        <w:rPr>
          <w:sz w:val="24"/>
          <w:szCs w:val="24"/>
        </w:rPr>
        <w:t xml:space="preserve">fue indebido que el </w:t>
      </w:r>
      <w:r w:rsidRPr="003A0F7C">
        <w:rPr>
          <w:i/>
          <w:iCs/>
          <w:sz w:val="24"/>
          <w:szCs w:val="24"/>
        </w:rPr>
        <w:t>Instituto Electoral Local</w:t>
      </w:r>
      <w:r w:rsidRPr="003A0F7C">
        <w:rPr>
          <w:sz w:val="24"/>
          <w:szCs w:val="24"/>
        </w:rPr>
        <w:t xml:space="preserve"> negara el registro de las planillas con base en inconsistencias respecto de las que no formuló un requerimiento</w:t>
      </w:r>
      <w:r w:rsidR="005B1B53" w:rsidRPr="003A0F7C">
        <w:rPr>
          <w:sz w:val="24"/>
          <w:szCs w:val="24"/>
        </w:rPr>
        <w:t>.</w:t>
      </w:r>
    </w:p>
    <w:bookmarkEnd w:id="10"/>
    <w:p w14:paraId="4C3960CC" w14:textId="21973E30" w:rsidR="00D52BFB" w:rsidRPr="003A0F7C" w:rsidRDefault="005B1B53" w:rsidP="00D52BFB">
      <w:pPr>
        <w:spacing w:before="100" w:beforeAutospacing="1" w:after="100" w:afterAutospacing="1" w:line="360" w:lineRule="auto"/>
        <w:jc w:val="both"/>
        <w:rPr>
          <w:sz w:val="24"/>
          <w:szCs w:val="24"/>
        </w:rPr>
      </w:pPr>
      <w:r w:rsidRPr="003A0F7C">
        <w:rPr>
          <w:sz w:val="24"/>
          <w:szCs w:val="24"/>
        </w:rPr>
        <w:t>A</w:t>
      </w:r>
      <w:r w:rsidR="00D52BFB" w:rsidRPr="003A0F7C">
        <w:rPr>
          <w:sz w:val="24"/>
          <w:szCs w:val="24"/>
        </w:rPr>
        <w:t>l respecto estableció que el artículo 19</w:t>
      </w:r>
      <w:r w:rsidR="001C3F82" w:rsidRPr="003A0F7C">
        <w:rPr>
          <w:sz w:val="24"/>
          <w:szCs w:val="24"/>
        </w:rPr>
        <w:t xml:space="preserve">1 de la </w:t>
      </w:r>
      <w:r w:rsidR="001C3F82" w:rsidRPr="003A0F7C">
        <w:rPr>
          <w:i/>
          <w:iCs/>
          <w:sz w:val="24"/>
          <w:szCs w:val="24"/>
        </w:rPr>
        <w:t>Ley Electoral Local</w:t>
      </w:r>
      <w:r w:rsidR="001C3F82" w:rsidRPr="003A0F7C">
        <w:rPr>
          <w:sz w:val="24"/>
          <w:szCs w:val="24"/>
        </w:rPr>
        <w:t>, preveía que la autoridad electoral debía realizar una verificación a la solicitud de registro de candidaturas y en caso de identificar una inconsistencia debía requerir al partido solicitante que las subsanara.</w:t>
      </w:r>
    </w:p>
    <w:p w14:paraId="423969F0" w14:textId="674FDA90" w:rsidR="005B1B53" w:rsidRPr="003A0F7C" w:rsidRDefault="005B1B53" w:rsidP="00D52BFB">
      <w:pPr>
        <w:spacing w:before="100" w:beforeAutospacing="1" w:after="100" w:afterAutospacing="1" w:line="360" w:lineRule="auto"/>
        <w:jc w:val="both"/>
        <w:rPr>
          <w:sz w:val="24"/>
          <w:szCs w:val="24"/>
        </w:rPr>
      </w:pPr>
      <w:r w:rsidRPr="003A0F7C">
        <w:rPr>
          <w:sz w:val="24"/>
          <w:szCs w:val="24"/>
        </w:rPr>
        <w:t xml:space="preserve">Una vez que analizó las constancias que obraban en autos se percató que </w:t>
      </w:r>
      <w:r w:rsidR="00255B3D" w:rsidRPr="003A0F7C">
        <w:rPr>
          <w:sz w:val="24"/>
          <w:szCs w:val="24"/>
        </w:rPr>
        <w:t>si bien el</w:t>
      </w:r>
      <w:r w:rsidRPr="003A0F7C">
        <w:rPr>
          <w:sz w:val="24"/>
          <w:szCs w:val="24"/>
        </w:rPr>
        <w:t xml:space="preserve"> </w:t>
      </w:r>
      <w:r w:rsidRPr="003A0F7C">
        <w:rPr>
          <w:i/>
          <w:iCs/>
          <w:sz w:val="24"/>
          <w:szCs w:val="24"/>
        </w:rPr>
        <w:t>Instituto Electoral Local</w:t>
      </w:r>
      <w:r w:rsidR="0042388A" w:rsidRPr="003A0F7C">
        <w:rPr>
          <w:i/>
          <w:iCs/>
          <w:sz w:val="24"/>
          <w:szCs w:val="24"/>
        </w:rPr>
        <w:t xml:space="preserve"> </w:t>
      </w:r>
      <w:r w:rsidR="00255B3D" w:rsidRPr="003A0F7C">
        <w:rPr>
          <w:sz w:val="24"/>
          <w:szCs w:val="24"/>
        </w:rPr>
        <w:t xml:space="preserve">emitió requerimientos de documentación a MORENA, </w:t>
      </w:r>
      <w:r w:rsidR="0042388A" w:rsidRPr="003A0F7C">
        <w:rPr>
          <w:sz w:val="24"/>
          <w:szCs w:val="24"/>
        </w:rPr>
        <w:t>relacionados con los municipios de Apaseo el Grande, Celaya, Cuerámaro, Dolores Hidalgo Cuna de la Independencia Nacional, Moroleón y Salamanca</w:t>
      </w:r>
      <w:r w:rsidR="00255B3D" w:rsidRPr="003A0F7C">
        <w:rPr>
          <w:sz w:val="24"/>
          <w:szCs w:val="24"/>
        </w:rPr>
        <w:t>; las razones que precisó para negar el registro respectivo eran referentes a documentación que propiamente no fue requerida al partido, por lo que debió emitir un segundo requerimiento para que se subsanara la inconsistencia respectiva, situación que no había acontecido.</w:t>
      </w:r>
    </w:p>
    <w:p w14:paraId="506FE037" w14:textId="43A12F38" w:rsidR="00255B3D" w:rsidRPr="003A0F7C" w:rsidRDefault="00255B3D" w:rsidP="007A7540">
      <w:pPr>
        <w:spacing w:before="100" w:beforeAutospacing="1" w:after="100" w:afterAutospacing="1" w:line="360" w:lineRule="auto"/>
        <w:jc w:val="both"/>
        <w:rPr>
          <w:sz w:val="24"/>
          <w:szCs w:val="24"/>
        </w:rPr>
      </w:pPr>
      <w:r w:rsidRPr="003A0F7C">
        <w:rPr>
          <w:sz w:val="24"/>
          <w:szCs w:val="24"/>
        </w:rPr>
        <w:t>Por otro lado, en la resolución combatida en su</w:t>
      </w:r>
      <w:bookmarkStart w:id="11" w:name="_Hlk71145644"/>
      <w:r w:rsidRPr="003A0F7C">
        <w:rPr>
          <w:sz w:val="24"/>
          <w:szCs w:val="24"/>
        </w:rPr>
        <w:t xml:space="preserve"> apartado 4.7., determin</w:t>
      </w:r>
      <w:r w:rsidR="007A7540" w:rsidRPr="003A0F7C">
        <w:rPr>
          <w:sz w:val="24"/>
          <w:szCs w:val="24"/>
        </w:rPr>
        <w:t xml:space="preserve">ó que no se respetó la garantía de audiencia de quienes fueron materia de requerimiento por el </w:t>
      </w:r>
      <w:r w:rsidR="007A7540" w:rsidRPr="003A0F7C">
        <w:rPr>
          <w:i/>
          <w:iCs/>
          <w:sz w:val="24"/>
          <w:szCs w:val="24"/>
        </w:rPr>
        <w:t>Instituto Electoral Local</w:t>
      </w:r>
      <w:r w:rsidR="007A7540" w:rsidRPr="003A0F7C">
        <w:rPr>
          <w:sz w:val="24"/>
          <w:szCs w:val="24"/>
        </w:rPr>
        <w:t>, pues no se les notificó</w:t>
      </w:r>
      <w:r w:rsidR="007A7540" w:rsidRPr="003A0F7C">
        <w:t xml:space="preserve"> </w:t>
      </w:r>
      <w:r w:rsidR="007A7540" w:rsidRPr="003A0F7C">
        <w:rPr>
          <w:sz w:val="24"/>
          <w:szCs w:val="24"/>
        </w:rPr>
        <w:t>éste y con ello se les impidió manifestarse al respecto.</w:t>
      </w:r>
    </w:p>
    <w:p w14:paraId="6A8E2B2C" w14:textId="3E3A7E09" w:rsidR="00EE624F" w:rsidRPr="003A0F7C" w:rsidRDefault="00EE624F" w:rsidP="00EE624F">
      <w:pPr>
        <w:spacing w:before="100" w:beforeAutospacing="1" w:after="100" w:afterAutospacing="1" w:line="360" w:lineRule="auto"/>
        <w:jc w:val="both"/>
        <w:rPr>
          <w:sz w:val="24"/>
          <w:szCs w:val="24"/>
        </w:rPr>
      </w:pPr>
      <w:r w:rsidRPr="003A0F7C">
        <w:rPr>
          <w:sz w:val="24"/>
          <w:szCs w:val="24"/>
        </w:rPr>
        <w:t xml:space="preserve">Precisó que las y los integrantes de las planillas de candidaturas a los ayuntamientos de </w:t>
      </w:r>
      <w:proofErr w:type="spellStart"/>
      <w:r w:rsidRPr="003A0F7C">
        <w:rPr>
          <w:sz w:val="24"/>
          <w:szCs w:val="24"/>
        </w:rPr>
        <w:t>Cortazar</w:t>
      </w:r>
      <w:proofErr w:type="spellEnd"/>
      <w:r w:rsidRPr="003A0F7C">
        <w:rPr>
          <w:sz w:val="24"/>
          <w:szCs w:val="24"/>
        </w:rPr>
        <w:t xml:space="preserve">, Guanajuato y Pueblo Nuevo, en ningún momento tuvieron conocimiento de los diversos requerimientos que la autoridad electoral realizó a Morena dentro del proceso de registro de candidaturas (ni tampoco el partido realizó actos tendentes a notificar las irregularidades respectivas), lo </w:t>
      </w:r>
      <w:r w:rsidRPr="003A0F7C">
        <w:rPr>
          <w:sz w:val="24"/>
          <w:szCs w:val="24"/>
        </w:rPr>
        <w:lastRenderedPageBreak/>
        <w:t>que configuraba una vulneración a su garantía de audiencia y su derecho político electoral al voto pasivo, contenidos en los artículos 14, párrafo segundo y 35, fracción II, de la Constitución Política de los Estados Unidos Mexicanos.</w:t>
      </w:r>
    </w:p>
    <w:bookmarkEnd w:id="11"/>
    <w:p w14:paraId="6C2C7BA9" w14:textId="41AF0E4C" w:rsidR="00EE624F" w:rsidRPr="003A0F7C" w:rsidRDefault="00EE624F" w:rsidP="00EE624F">
      <w:pPr>
        <w:spacing w:before="100" w:beforeAutospacing="1" w:after="100" w:afterAutospacing="1" w:line="360" w:lineRule="auto"/>
        <w:jc w:val="both"/>
        <w:rPr>
          <w:sz w:val="24"/>
          <w:szCs w:val="24"/>
        </w:rPr>
      </w:pPr>
      <w:r w:rsidRPr="003A0F7C">
        <w:rPr>
          <w:sz w:val="24"/>
          <w:szCs w:val="24"/>
        </w:rPr>
        <w:t>Por tanto, la ausencia de comunicación entre el partido y sus postulantes colocaba a los candidatos en un notorio estado de indefensión para subsanarlas, en consecuencia, resultaba ilegal se les aplicara una sanción que obedecía a la inobservancia del partido.</w:t>
      </w:r>
    </w:p>
    <w:p w14:paraId="6F9852D8" w14:textId="01468756" w:rsidR="00EE624F" w:rsidRPr="003A0F7C" w:rsidRDefault="00EE624F" w:rsidP="00B479B3">
      <w:pPr>
        <w:spacing w:before="100" w:beforeAutospacing="1" w:after="100" w:afterAutospacing="1" w:line="360" w:lineRule="auto"/>
        <w:jc w:val="both"/>
        <w:rPr>
          <w:sz w:val="24"/>
          <w:szCs w:val="24"/>
        </w:rPr>
      </w:pPr>
      <w:r w:rsidRPr="003A0F7C">
        <w:rPr>
          <w:sz w:val="24"/>
          <w:szCs w:val="24"/>
        </w:rPr>
        <w:t xml:space="preserve">Por otra parte, en la sentencia impugnada, en el apartado 4.8.1. el </w:t>
      </w:r>
      <w:r w:rsidRPr="003A0F7C">
        <w:rPr>
          <w:i/>
          <w:iCs/>
          <w:sz w:val="24"/>
          <w:szCs w:val="24"/>
        </w:rPr>
        <w:t>Tribunal Local</w:t>
      </w:r>
      <w:r w:rsidRPr="003A0F7C">
        <w:rPr>
          <w:sz w:val="24"/>
          <w:szCs w:val="24"/>
        </w:rPr>
        <w:t xml:space="preserve"> determinó que la negativa de registro a la planilla al Ayuntamiento de Apaseo el Grande, no se encontraba fundada ni motivada, pues </w:t>
      </w:r>
      <w:r w:rsidR="004B78B2" w:rsidRPr="003A0F7C">
        <w:rPr>
          <w:sz w:val="24"/>
          <w:szCs w:val="24"/>
        </w:rPr>
        <w:t>se sustentó</w:t>
      </w:r>
      <w:r w:rsidRPr="003A0F7C">
        <w:rPr>
          <w:sz w:val="24"/>
          <w:szCs w:val="24"/>
        </w:rPr>
        <w:t xml:space="preserve"> por el incumplimiento de un requisito que no está contemplado en la normatividad electoral, tal y como lo era </w:t>
      </w:r>
      <w:r w:rsidR="00B479B3" w:rsidRPr="003A0F7C">
        <w:rPr>
          <w:sz w:val="24"/>
          <w:szCs w:val="24"/>
        </w:rPr>
        <w:t xml:space="preserve">la </w:t>
      </w:r>
      <w:r w:rsidR="00B479B3" w:rsidRPr="003A0F7C">
        <w:rPr>
          <w:i/>
          <w:iCs/>
          <w:sz w:val="24"/>
          <w:szCs w:val="24"/>
        </w:rPr>
        <w:t>“solicitud de registro de la candidatura a la presidencia municipal”</w:t>
      </w:r>
      <w:r w:rsidR="004B78B2" w:rsidRPr="003A0F7C">
        <w:rPr>
          <w:i/>
          <w:iCs/>
          <w:sz w:val="24"/>
          <w:szCs w:val="24"/>
        </w:rPr>
        <w:t xml:space="preserve">, </w:t>
      </w:r>
      <w:r w:rsidR="004B78B2" w:rsidRPr="003A0F7C">
        <w:rPr>
          <w:sz w:val="24"/>
          <w:szCs w:val="24"/>
        </w:rPr>
        <w:t xml:space="preserve">destacando que la </w:t>
      </w:r>
      <w:r w:rsidR="004B78B2" w:rsidRPr="003A0F7C">
        <w:rPr>
          <w:i/>
          <w:iCs/>
          <w:sz w:val="24"/>
          <w:szCs w:val="24"/>
        </w:rPr>
        <w:t>Ley Electoral Local</w:t>
      </w:r>
      <w:r w:rsidR="004B78B2" w:rsidRPr="003A0F7C">
        <w:rPr>
          <w:sz w:val="24"/>
          <w:szCs w:val="24"/>
        </w:rPr>
        <w:t xml:space="preserve"> únicamente establece que debe presentarse la solicitud de registro de candidaturas qu</w:t>
      </w:r>
      <w:r w:rsidR="00E43B01" w:rsidRPr="003A0F7C">
        <w:rPr>
          <w:sz w:val="24"/>
          <w:szCs w:val="24"/>
        </w:rPr>
        <w:t>e</w:t>
      </w:r>
      <w:r w:rsidR="004B78B2" w:rsidRPr="003A0F7C">
        <w:rPr>
          <w:sz w:val="24"/>
          <w:szCs w:val="24"/>
        </w:rPr>
        <w:t xml:space="preserve"> debe ser firmada por quien represente al partido político que postulaba, situación que aconteció en el caso en concreto, pues la propia autoridad electoral lo refirió así en su acuerdo.</w:t>
      </w:r>
    </w:p>
    <w:p w14:paraId="31EFA6FC" w14:textId="723D179C" w:rsidR="00EE624F" w:rsidRPr="003A0F7C" w:rsidRDefault="004B78B2" w:rsidP="00EE624F">
      <w:pPr>
        <w:spacing w:before="100" w:beforeAutospacing="1" w:after="100" w:afterAutospacing="1" w:line="360" w:lineRule="auto"/>
        <w:jc w:val="both"/>
        <w:rPr>
          <w:sz w:val="24"/>
          <w:szCs w:val="24"/>
        </w:rPr>
      </w:pPr>
      <w:r w:rsidRPr="003A0F7C">
        <w:rPr>
          <w:sz w:val="24"/>
          <w:szCs w:val="24"/>
        </w:rPr>
        <w:t xml:space="preserve">Asimismo, en el fallo respectivo, en el apartado 4.9., resolvió el </w:t>
      </w:r>
      <w:r w:rsidRPr="003A0F7C">
        <w:rPr>
          <w:i/>
          <w:iCs/>
          <w:sz w:val="24"/>
          <w:szCs w:val="24"/>
        </w:rPr>
        <w:t xml:space="preserve">Tribunal Local </w:t>
      </w:r>
      <w:r w:rsidRPr="003A0F7C">
        <w:rPr>
          <w:sz w:val="24"/>
          <w:szCs w:val="24"/>
        </w:rPr>
        <w:t xml:space="preserve">que </w:t>
      </w:r>
      <w:r w:rsidR="00A86DE7" w:rsidRPr="003A0F7C">
        <w:rPr>
          <w:sz w:val="24"/>
          <w:szCs w:val="24"/>
        </w:rPr>
        <w:t xml:space="preserve">no se encontraba ajustada a derecho la determinación del </w:t>
      </w:r>
      <w:r w:rsidR="00A86DE7" w:rsidRPr="003A0F7C">
        <w:rPr>
          <w:i/>
          <w:iCs/>
          <w:sz w:val="24"/>
          <w:szCs w:val="24"/>
        </w:rPr>
        <w:t>Instituto Electoral Local</w:t>
      </w:r>
      <w:r w:rsidR="00A86DE7" w:rsidRPr="003A0F7C">
        <w:rPr>
          <w:sz w:val="24"/>
          <w:szCs w:val="24"/>
        </w:rPr>
        <w:t>, en cuanto a que no era posible el registro de diversas planillas incompletas.</w:t>
      </w:r>
    </w:p>
    <w:p w14:paraId="2CBFB8CE" w14:textId="2D9C38D8" w:rsidR="00A86DE7" w:rsidRPr="003A0F7C" w:rsidRDefault="00A86DE7" w:rsidP="00FE1412">
      <w:pPr>
        <w:spacing w:before="100" w:beforeAutospacing="1" w:after="100" w:afterAutospacing="1" w:line="360" w:lineRule="auto"/>
        <w:jc w:val="both"/>
        <w:rPr>
          <w:sz w:val="24"/>
          <w:szCs w:val="24"/>
        </w:rPr>
      </w:pPr>
      <w:r w:rsidRPr="003A0F7C">
        <w:rPr>
          <w:sz w:val="24"/>
          <w:szCs w:val="24"/>
        </w:rPr>
        <w:t xml:space="preserve">Esto pues </w:t>
      </w:r>
      <w:r w:rsidR="00FE1412" w:rsidRPr="003A0F7C">
        <w:rPr>
          <w:sz w:val="24"/>
          <w:szCs w:val="24"/>
        </w:rPr>
        <w:t xml:space="preserve">sí es posible el registro de planillas incompletas para salvaguardar los derechos de quienes cumplieron debidamente con la conformación de su expediente y los requisitos de elegibilidad, solo estableciendo ciertas medidas para que, en el caso de que tal planilla incompleta obtuviera el triunfo electoral, se asegure la debida y completa conformación del ayuntamiento para su correcto funcionamiento, esto acorde a la </w:t>
      </w:r>
      <w:r w:rsidRPr="003A0F7C">
        <w:rPr>
          <w:sz w:val="24"/>
          <w:szCs w:val="24"/>
        </w:rPr>
        <w:t>jurisprudencia 17/2018 de rubro “</w:t>
      </w:r>
      <w:r w:rsidRPr="003A0F7C">
        <w:rPr>
          <w:i/>
          <w:iCs/>
          <w:sz w:val="24"/>
          <w:szCs w:val="24"/>
        </w:rPr>
        <w:t>CANDIDATURAS A CARGOS DE ELECCIÓN POPULAR. LOS PARTIDOS POLÍTICOS TIENEN LA OBLIGACIÓN DE PRESENTAR FÓRMULAS COMPLETAS, A FIN DE GARANTIZAR LA CORRECTA INTEGRACIÓN DE LOS AYUNTAMIENTOS</w:t>
      </w:r>
      <w:r w:rsidRPr="003A0F7C">
        <w:rPr>
          <w:sz w:val="24"/>
          <w:szCs w:val="24"/>
        </w:rPr>
        <w:t>”</w:t>
      </w:r>
      <w:r w:rsidR="00FE1412" w:rsidRPr="003A0F7C">
        <w:rPr>
          <w:sz w:val="24"/>
          <w:szCs w:val="24"/>
        </w:rPr>
        <w:t>.</w:t>
      </w:r>
    </w:p>
    <w:p w14:paraId="7ED39F72" w14:textId="5E370EAE" w:rsidR="00BE10ED" w:rsidRPr="003A0F7C" w:rsidRDefault="00D95F17" w:rsidP="00535C11">
      <w:pPr>
        <w:spacing w:before="100" w:beforeAutospacing="1" w:after="100" w:afterAutospacing="1" w:line="360" w:lineRule="auto"/>
        <w:jc w:val="both"/>
        <w:rPr>
          <w:rFonts w:eastAsia="Calibri"/>
          <w:bCs/>
          <w:sz w:val="24"/>
          <w:szCs w:val="24"/>
        </w:rPr>
      </w:pPr>
      <w:r w:rsidRPr="003A0F7C">
        <w:rPr>
          <w:rFonts w:eastAsia="Calibri"/>
          <w:b/>
          <w:sz w:val="24"/>
          <w:szCs w:val="24"/>
        </w:rPr>
        <w:t xml:space="preserve">Pretensión y planteamiento. </w:t>
      </w:r>
      <w:r w:rsidR="003A7BB5" w:rsidRPr="003A0F7C">
        <w:rPr>
          <w:rFonts w:eastAsia="Calibri"/>
          <w:bCs/>
          <w:sz w:val="24"/>
          <w:szCs w:val="24"/>
        </w:rPr>
        <w:t xml:space="preserve">Inconforme con lo resuelto </w:t>
      </w:r>
      <w:r w:rsidR="00CC01EC" w:rsidRPr="003A0F7C">
        <w:rPr>
          <w:rFonts w:eastAsia="Calibri"/>
          <w:bCs/>
          <w:sz w:val="24"/>
          <w:szCs w:val="24"/>
        </w:rPr>
        <w:t xml:space="preserve">el </w:t>
      </w:r>
      <w:r w:rsidR="00644FCC" w:rsidRPr="003A0F7C">
        <w:rPr>
          <w:rFonts w:eastAsia="Calibri"/>
          <w:bCs/>
          <w:i/>
          <w:iCs/>
          <w:sz w:val="24"/>
          <w:szCs w:val="24"/>
        </w:rPr>
        <w:t>PAN</w:t>
      </w:r>
      <w:r w:rsidR="00BE10ED" w:rsidRPr="003A0F7C">
        <w:rPr>
          <w:rFonts w:eastAsia="Calibri"/>
          <w:bCs/>
          <w:sz w:val="24"/>
          <w:szCs w:val="24"/>
        </w:rPr>
        <w:t xml:space="preserve"> </w:t>
      </w:r>
      <w:bookmarkStart w:id="12" w:name="_Hlk60780010"/>
      <w:r w:rsidR="00BE10ED" w:rsidRPr="003A0F7C">
        <w:rPr>
          <w:rFonts w:eastAsia="Calibri"/>
          <w:bCs/>
          <w:sz w:val="24"/>
          <w:szCs w:val="24"/>
        </w:rPr>
        <w:t>pretende se revoque la resolución impugnada</w:t>
      </w:r>
      <w:bookmarkEnd w:id="12"/>
      <w:r w:rsidR="00CC01EC" w:rsidRPr="003A0F7C">
        <w:rPr>
          <w:rFonts w:eastAsia="Calibri"/>
          <w:bCs/>
          <w:sz w:val="24"/>
          <w:szCs w:val="24"/>
        </w:rPr>
        <w:t>.</w:t>
      </w:r>
    </w:p>
    <w:p w14:paraId="651A726C" w14:textId="619C9A86" w:rsidR="00222D48" w:rsidRPr="003A0F7C" w:rsidRDefault="00F66CB2" w:rsidP="00534667">
      <w:pPr>
        <w:spacing w:before="280" w:after="280" w:line="360" w:lineRule="auto"/>
        <w:ind w:right="51"/>
        <w:jc w:val="both"/>
        <w:rPr>
          <w:rFonts w:eastAsia="Calibri"/>
          <w:bCs/>
          <w:sz w:val="24"/>
          <w:szCs w:val="24"/>
        </w:rPr>
      </w:pPr>
      <w:r w:rsidRPr="003A0F7C">
        <w:rPr>
          <w:rFonts w:eastAsia="Calibri"/>
          <w:bCs/>
          <w:sz w:val="24"/>
          <w:szCs w:val="24"/>
        </w:rPr>
        <w:lastRenderedPageBreak/>
        <w:t xml:space="preserve">Para sustentar su pretensión, </w:t>
      </w:r>
      <w:r w:rsidR="00CC01EC" w:rsidRPr="003A0F7C">
        <w:rPr>
          <w:rFonts w:eastAsia="Calibri"/>
          <w:bCs/>
          <w:sz w:val="24"/>
          <w:szCs w:val="24"/>
        </w:rPr>
        <w:t>el</w:t>
      </w:r>
      <w:r w:rsidRPr="003A0F7C">
        <w:rPr>
          <w:rFonts w:eastAsia="Calibri"/>
          <w:bCs/>
          <w:sz w:val="24"/>
          <w:szCs w:val="24"/>
        </w:rPr>
        <w:t xml:space="preserve"> </w:t>
      </w:r>
      <w:r w:rsidR="007F7749" w:rsidRPr="003A0F7C">
        <w:rPr>
          <w:rFonts w:eastAsia="Calibri"/>
          <w:bCs/>
          <w:sz w:val="24"/>
          <w:szCs w:val="24"/>
        </w:rPr>
        <w:t>actor</w:t>
      </w:r>
      <w:r w:rsidRPr="003A0F7C">
        <w:rPr>
          <w:rFonts w:eastAsia="Calibri"/>
          <w:bCs/>
          <w:sz w:val="24"/>
          <w:szCs w:val="24"/>
        </w:rPr>
        <w:t xml:space="preserve"> en esencia </w:t>
      </w:r>
      <w:r w:rsidR="006B3971" w:rsidRPr="003A0F7C">
        <w:rPr>
          <w:rFonts w:eastAsia="Calibri"/>
          <w:bCs/>
          <w:sz w:val="24"/>
          <w:szCs w:val="24"/>
        </w:rPr>
        <w:t xml:space="preserve">alega </w:t>
      </w:r>
      <w:r w:rsidR="00222D48" w:rsidRPr="003A0F7C">
        <w:rPr>
          <w:rFonts w:eastAsia="Calibri"/>
          <w:bCs/>
          <w:sz w:val="24"/>
          <w:szCs w:val="24"/>
        </w:rPr>
        <w:t>lo siguiente:</w:t>
      </w:r>
    </w:p>
    <w:p w14:paraId="030E888B" w14:textId="65BD8412" w:rsidR="00222D48" w:rsidRPr="003A0F7C" w:rsidRDefault="00222D48" w:rsidP="00222D48">
      <w:pPr>
        <w:numPr>
          <w:ilvl w:val="0"/>
          <w:numId w:val="19"/>
        </w:numPr>
        <w:spacing w:line="360" w:lineRule="auto"/>
        <w:ind w:left="714" w:hanging="357"/>
        <w:jc w:val="both"/>
        <w:rPr>
          <w:rFonts w:eastAsia="Calibri"/>
          <w:bCs/>
          <w:sz w:val="24"/>
          <w:szCs w:val="24"/>
        </w:rPr>
      </w:pPr>
      <w:bookmarkStart w:id="13" w:name="_Hlk69226635"/>
      <w:r w:rsidRPr="003A0F7C">
        <w:rPr>
          <w:rFonts w:eastAsia="Calibri"/>
          <w:bCs/>
          <w:sz w:val="24"/>
          <w:szCs w:val="24"/>
        </w:rPr>
        <w:t xml:space="preserve">Que el </w:t>
      </w:r>
      <w:r w:rsidRPr="003A0F7C">
        <w:rPr>
          <w:rFonts w:eastAsia="Calibri"/>
          <w:bCs/>
          <w:i/>
          <w:iCs/>
          <w:sz w:val="24"/>
          <w:szCs w:val="24"/>
        </w:rPr>
        <w:t>Tribunal Local</w:t>
      </w:r>
      <w:r w:rsidRPr="003A0F7C">
        <w:rPr>
          <w:rFonts w:eastAsia="Calibri"/>
          <w:bCs/>
          <w:sz w:val="24"/>
          <w:szCs w:val="24"/>
        </w:rPr>
        <w:t xml:space="preserve"> violó el procedimiento</w:t>
      </w:r>
      <w:r w:rsidR="00CE5562" w:rsidRPr="003A0F7C">
        <w:rPr>
          <w:rFonts w:eastAsia="Calibri"/>
          <w:bCs/>
          <w:sz w:val="24"/>
          <w:szCs w:val="24"/>
        </w:rPr>
        <w:t xml:space="preserve"> trastocando su garantía de audiencia como tercero interesado,</w:t>
      </w:r>
      <w:r w:rsidRPr="003A0F7C">
        <w:rPr>
          <w:rFonts w:eastAsia="Calibri"/>
          <w:bCs/>
          <w:sz w:val="24"/>
          <w:szCs w:val="24"/>
        </w:rPr>
        <w:t xml:space="preserve"> pues únicamente otorgó un plazo de seis horas para que se apersonaran los terceros interesados, cuando la </w:t>
      </w:r>
      <w:r w:rsidRPr="003A0F7C">
        <w:rPr>
          <w:rFonts w:eastAsia="Calibri"/>
          <w:bCs/>
          <w:i/>
          <w:iCs/>
          <w:sz w:val="24"/>
          <w:szCs w:val="24"/>
        </w:rPr>
        <w:t>Ley Electoral Local</w:t>
      </w:r>
      <w:r w:rsidRPr="003A0F7C">
        <w:rPr>
          <w:rFonts w:eastAsia="Calibri"/>
          <w:bCs/>
          <w:sz w:val="24"/>
          <w:szCs w:val="24"/>
        </w:rPr>
        <w:t xml:space="preserve"> prevé un plazo de cuarenta y ocho horas, </w:t>
      </w:r>
      <w:r w:rsidR="00AC4A5D" w:rsidRPr="003A0F7C">
        <w:rPr>
          <w:rFonts w:eastAsia="Calibri"/>
          <w:bCs/>
          <w:sz w:val="24"/>
          <w:szCs w:val="24"/>
        </w:rPr>
        <w:t>además de que fue omiso en notificar de manera personal el auto de admisión a los terceros interesados, aunado a que los medios de impugnación no se radicaron dentro de los cuatro días siguientes a los que fueron presentados.</w:t>
      </w:r>
      <w:r w:rsidR="0038663A" w:rsidRPr="003A0F7C">
        <w:rPr>
          <w:rFonts w:eastAsia="Calibri"/>
          <w:bCs/>
          <w:sz w:val="24"/>
          <w:szCs w:val="24"/>
        </w:rPr>
        <w:t xml:space="preserve"> </w:t>
      </w:r>
    </w:p>
    <w:p w14:paraId="5F98E4CE" w14:textId="48CB5AD8" w:rsidR="00222D48" w:rsidRPr="003A0F7C" w:rsidRDefault="00AC4A5D" w:rsidP="00222D48">
      <w:pPr>
        <w:spacing w:line="360" w:lineRule="auto"/>
        <w:ind w:left="714"/>
        <w:jc w:val="both"/>
        <w:rPr>
          <w:rFonts w:eastAsia="Calibri"/>
          <w:bCs/>
          <w:sz w:val="24"/>
          <w:szCs w:val="24"/>
        </w:rPr>
      </w:pPr>
      <w:r w:rsidRPr="003A0F7C">
        <w:rPr>
          <w:rFonts w:eastAsia="Calibri"/>
          <w:bCs/>
          <w:sz w:val="24"/>
          <w:szCs w:val="24"/>
        </w:rPr>
        <w:t xml:space="preserve">Agrega que </w:t>
      </w:r>
      <w:r w:rsidR="006561E1" w:rsidRPr="003A0F7C">
        <w:rPr>
          <w:rFonts w:eastAsia="Calibri"/>
          <w:bCs/>
          <w:sz w:val="24"/>
          <w:szCs w:val="24"/>
        </w:rPr>
        <w:t xml:space="preserve">presentó un recurso de revisión en contra del acuerdo CGIEEG-124/2021 y su antecedente CGIEG-104/2021, en fecha diez de abril, </w:t>
      </w:r>
      <w:r w:rsidR="00392AD7" w:rsidRPr="003A0F7C">
        <w:rPr>
          <w:rFonts w:eastAsia="Calibri"/>
          <w:bCs/>
          <w:sz w:val="24"/>
          <w:szCs w:val="24"/>
        </w:rPr>
        <w:t xml:space="preserve">por lo que el </w:t>
      </w:r>
      <w:r w:rsidR="006561E1" w:rsidRPr="003A0F7C">
        <w:rPr>
          <w:rFonts w:eastAsia="Calibri"/>
          <w:bCs/>
          <w:i/>
          <w:iCs/>
          <w:sz w:val="24"/>
          <w:szCs w:val="24"/>
        </w:rPr>
        <w:t>Tribunal Local</w:t>
      </w:r>
      <w:r w:rsidR="006561E1" w:rsidRPr="003A0F7C">
        <w:rPr>
          <w:rFonts w:eastAsia="Calibri"/>
          <w:bCs/>
          <w:sz w:val="24"/>
          <w:szCs w:val="24"/>
        </w:rPr>
        <w:t xml:space="preserve"> </w:t>
      </w:r>
      <w:r w:rsidR="00392AD7" w:rsidRPr="003A0F7C">
        <w:rPr>
          <w:rFonts w:eastAsia="Calibri"/>
          <w:bCs/>
          <w:sz w:val="24"/>
          <w:szCs w:val="24"/>
        </w:rPr>
        <w:t xml:space="preserve">debió resolver de </w:t>
      </w:r>
      <w:r w:rsidR="00BD5780" w:rsidRPr="003A0F7C">
        <w:rPr>
          <w:rFonts w:eastAsia="Calibri"/>
          <w:bCs/>
          <w:sz w:val="24"/>
          <w:szCs w:val="24"/>
        </w:rPr>
        <w:t>forma acumulada con el recurso de revisión TEEG-REV-18/2021.</w:t>
      </w:r>
    </w:p>
    <w:p w14:paraId="3DE73D8C" w14:textId="00AB7BB8" w:rsidR="00222D48" w:rsidRPr="003A0F7C" w:rsidRDefault="00222D48" w:rsidP="00836638">
      <w:pPr>
        <w:numPr>
          <w:ilvl w:val="0"/>
          <w:numId w:val="19"/>
        </w:numPr>
        <w:spacing w:line="360" w:lineRule="auto"/>
        <w:ind w:left="714" w:hanging="357"/>
        <w:jc w:val="both"/>
        <w:rPr>
          <w:rFonts w:eastAsia="Calibri"/>
          <w:bCs/>
          <w:sz w:val="24"/>
          <w:szCs w:val="24"/>
        </w:rPr>
      </w:pPr>
      <w:r w:rsidRPr="003A0F7C">
        <w:rPr>
          <w:rFonts w:eastAsia="Calibri"/>
          <w:bCs/>
          <w:sz w:val="24"/>
          <w:szCs w:val="24"/>
        </w:rPr>
        <w:t xml:space="preserve">Que el </w:t>
      </w:r>
      <w:r w:rsidR="00BD5780" w:rsidRPr="003A0F7C">
        <w:rPr>
          <w:rFonts w:eastAsia="Calibri"/>
          <w:bCs/>
          <w:sz w:val="24"/>
          <w:szCs w:val="24"/>
        </w:rPr>
        <w:t>acuerdo de fecha diecisiete de abril, en el que se admitió el recurso de revisión de MORENA, así como los juicios</w:t>
      </w:r>
      <w:r w:rsidR="00A52C25" w:rsidRPr="003A0F7C">
        <w:t xml:space="preserve"> </w:t>
      </w:r>
      <w:bookmarkStart w:id="14" w:name="_Hlk71112859"/>
      <w:r w:rsidR="00A52C25" w:rsidRPr="003A0F7C">
        <w:rPr>
          <w:rFonts w:eastAsia="Calibri"/>
          <w:bCs/>
          <w:sz w:val="24"/>
          <w:szCs w:val="24"/>
        </w:rPr>
        <w:t>TEEG-JPDC-112/2021, TEEG-JPDC-113/2021, TEEG-JPDC-114/2021, TEEG-JPDC-118/2021 y TEEG-JPDC-119/2021</w:t>
      </w:r>
      <w:bookmarkEnd w:id="14"/>
      <w:r w:rsidR="00A52C25" w:rsidRPr="003A0F7C">
        <w:rPr>
          <w:rFonts w:eastAsia="Calibri"/>
          <w:bCs/>
          <w:sz w:val="24"/>
          <w:szCs w:val="24"/>
        </w:rPr>
        <w:t xml:space="preserve">, </w:t>
      </w:r>
      <w:r w:rsidR="00BD5780" w:rsidRPr="003A0F7C">
        <w:rPr>
          <w:rFonts w:eastAsia="Calibri"/>
          <w:bCs/>
          <w:sz w:val="24"/>
          <w:szCs w:val="24"/>
        </w:rPr>
        <w:t xml:space="preserve">no </w:t>
      </w:r>
      <w:r w:rsidR="00A52C25" w:rsidRPr="003A0F7C">
        <w:rPr>
          <w:rFonts w:eastAsia="Calibri"/>
          <w:bCs/>
          <w:sz w:val="24"/>
          <w:szCs w:val="24"/>
        </w:rPr>
        <w:t>está</w:t>
      </w:r>
      <w:r w:rsidR="00BD5780" w:rsidRPr="003A0F7C">
        <w:rPr>
          <w:rFonts w:eastAsia="Calibri"/>
          <w:bCs/>
          <w:sz w:val="24"/>
          <w:szCs w:val="24"/>
        </w:rPr>
        <w:t xml:space="preserve"> debidamente fundado y motivado, pues </w:t>
      </w:r>
      <w:r w:rsidR="00A52C25" w:rsidRPr="003A0F7C">
        <w:rPr>
          <w:rFonts w:eastAsia="Calibri"/>
          <w:bCs/>
          <w:sz w:val="24"/>
          <w:szCs w:val="24"/>
        </w:rPr>
        <w:t xml:space="preserve">los mismos no se presentaron dentro del plazo de cinco días previsto en la </w:t>
      </w:r>
      <w:r w:rsidR="00A52C25" w:rsidRPr="003A0F7C">
        <w:rPr>
          <w:rFonts w:eastAsia="Calibri"/>
          <w:bCs/>
          <w:i/>
          <w:iCs/>
          <w:sz w:val="24"/>
          <w:szCs w:val="24"/>
        </w:rPr>
        <w:t>Ley Electoral Local</w:t>
      </w:r>
      <w:r w:rsidR="00A52C25" w:rsidRPr="003A0F7C">
        <w:rPr>
          <w:rFonts w:eastAsia="Calibri"/>
          <w:bCs/>
          <w:sz w:val="24"/>
          <w:szCs w:val="24"/>
        </w:rPr>
        <w:t>.</w:t>
      </w:r>
    </w:p>
    <w:p w14:paraId="4DB5FC96" w14:textId="78C3F1CE" w:rsidR="00A52C25" w:rsidRPr="003A0F7C" w:rsidRDefault="00A839DE" w:rsidP="00836638">
      <w:pPr>
        <w:numPr>
          <w:ilvl w:val="0"/>
          <w:numId w:val="19"/>
        </w:numPr>
        <w:spacing w:line="360" w:lineRule="auto"/>
        <w:ind w:left="714" w:hanging="357"/>
        <w:jc w:val="both"/>
        <w:rPr>
          <w:rFonts w:eastAsia="Calibri"/>
          <w:bCs/>
          <w:sz w:val="24"/>
          <w:szCs w:val="24"/>
        </w:rPr>
      </w:pPr>
      <w:r w:rsidRPr="003A0F7C">
        <w:rPr>
          <w:rFonts w:eastAsia="Calibri"/>
          <w:bCs/>
          <w:sz w:val="24"/>
          <w:szCs w:val="24"/>
        </w:rPr>
        <w:t xml:space="preserve">Que lo resuelto por el </w:t>
      </w:r>
      <w:r w:rsidRPr="003A0F7C">
        <w:rPr>
          <w:rFonts w:eastAsia="Calibri"/>
          <w:bCs/>
          <w:i/>
          <w:iCs/>
          <w:sz w:val="24"/>
          <w:szCs w:val="24"/>
        </w:rPr>
        <w:t>Tribunal Local</w:t>
      </w:r>
      <w:r w:rsidRPr="003A0F7C">
        <w:rPr>
          <w:rFonts w:eastAsia="Calibri"/>
          <w:bCs/>
          <w:sz w:val="24"/>
          <w:szCs w:val="24"/>
        </w:rPr>
        <w:t xml:space="preserve"> en el apartado 4.6. de la sentencia impugnada, no se encuentra debidamente fundado y motivado, pues si bien el artículo 191 de la </w:t>
      </w:r>
      <w:r w:rsidRPr="003A0F7C">
        <w:rPr>
          <w:rFonts w:eastAsia="Calibri"/>
          <w:bCs/>
          <w:i/>
          <w:iCs/>
          <w:sz w:val="24"/>
          <w:szCs w:val="24"/>
        </w:rPr>
        <w:t>Ley Electoral Local</w:t>
      </w:r>
      <w:r w:rsidRPr="003A0F7C">
        <w:rPr>
          <w:rFonts w:eastAsia="Calibri"/>
          <w:bCs/>
          <w:sz w:val="24"/>
          <w:szCs w:val="24"/>
        </w:rPr>
        <w:t xml:space="preserve"> contiene un deber </w:t>
      </w:r>
      <w:r w:rsidR="00F542A8" w:rsidRPr="003A0F7C">
        <w:rPr>
          <w:rFonts w:eastAsia="Calibri"/>
          <w:bCs/>
          <w:sz w:val="24"/>
          <w:szCs w:val="24"/>
        </w:rPr>
        <w:t xml:space="preserve">de la autoridad electoral de verificar y, en su caso, requerir al partido para que subsane </w:t>
      </w:r>
      <w:r w:rsidR="00BC78DA" w:rsidRPr="003A0F7C">
        <w:rPr>
          <w:rFonts w:eastAsia="Calibri"/>
          <w:bCs/>
          <w:sz w:val="24"/>
          <w:szCs w:val="24"/>
        </w:rPr>
        <w:t>omisiones</w:t>
      </w:r>
      <w:r w:rsidR="00F542A8" w:rsidRPr="003A0F7C">
        <w:rPr>
          <w:rFonts w:eastAsia="Calibri"/>
          <w:bCs/>
          <w:sz w:val="24"/>
          <w:szCs w:val="24"/>
        </w:rPr>
        <w:t>, no debe derivar una presunción en el cumplimiento de requisitos sobre lo no requeridos, pues la ley prevé que ante el incumplimiento de requisitos las candidaturas no deben ser registradas.</w:t>
      </w:r>
    </w:p>
    <w:p w14:paraId="2457DC91" w14:textId="239394AD" w:rsidR="00F542A8" w:rsidRPr="003A0F7C" w:rsidRDefault="00F542A8" w:rsidP="00F542A8">
      <w:pPr>
        <w:spacing w:line="360" w:lineRule="auto"/>
        <w:ind w:left="714"/>
        <w:jc w:val="both"/>
        <w:rPr>
          <w:rFonts w:eastAsia="Calibri"/>
          <w:bCs/>
          <w:sz w:val="24"/>
          <w:szCs w:val="24"/>
        </w:rPr>
      </w:pPr>
      <w:r w:rsidRPr="003A0F7C">
        <w:rPr>
          <w:rFonts w:eastAsia="Calibri"/>
          <w:bCs/>
          <w:sz w:val="24"/>
          <w:szCs w:val="24"/>
        </w:rPr>
        <w:t xml:space="preserve">Agrega que lo resuelto es incongruente pues en un principio establece la presunción de dar por satisfechos de documentales que no fueron requeridas, y al concluir precisa que el </w:t>
      </w:r>
      <w:r w:rsidRPr="003A0F7C">
        <w:rPr>
          <w:rFonts w:eastAsia="Calibri"/>
          <w:bCs/>
          <w:i/>
          <w:iCs/>
          <w:sz w:val="24"/>
          <w:szCs w:val="24"/>
        </w:rPr>
        <w:t>Instituto Electoral Local</w:t>
      </w:r>
      <w:r w:rsidRPr="003A0F7C">
        <w:rPr>
          <w:rFonts w:eastAsia="Calibri"/>
          <w:bCs/>
          <w:sz w:val="24"/>
          <w:szCs w:val="24"/>
        </w:rPr>
        <w:t xml:space="preserve"> debe emitir un nuevo acuerdo sobre la solicitud de MORENA, previo a que se les otorgue el derecho de subsanar las irregularidades que no fueron objeto de un requerimiento previo.</w:t>
      </w:r>
    </w:p>
    <w:p w14:paraId="48E4F597" w14:textId="5C1C02BF" w:rsidR="00F542A8" w:rsidRPr="003A0F7C" w:rsidRDefault="00F542A8" w:rsidP="00836638">
      <w:pPr>
        <w:numPr>
          <w:ilvl w:val="0"/>
          <w:numId w:val="19"/>
        </w:numPr>
        <w:spacing w:line="360" w:lineRule="auto"/>
        <w:ind w:left="714" w:hanging="357"/>
        <w:jc w:val="both"/>
        <w:rPr>
          <w:rFonts w:eastAsia="Calibri"/>
          <w:bCs/>
          <w:sz w:val="24"/>
          <w:szCs w:val="24"/>
        </w:rPr>
      </w:pPr>
      <w:bookmarkStart w:id="15" w:name="_Hlk71145479"/>
      <w:r w:rsidRPr="003A0F7C">
        <w:rPr>
          <w:rFonts w:eastAsia="Calibri"/>
          <w:bCs/>
          <w:sz w:val="24"/>
          <w:szCs w:val="24"/>
        </w:rPr>
        <w:lastRenderedPageBreak/>
        <w:t>Que lo resuelto en el apartado 4.7 del fallo, le causa agravio al considerarse que no se respetó la garantía de audiencia de los candidatos.</w:t>
      </w:r>
    </w:p>
    <w:p w14:paraId="39A2528C" w14:textId="0F86F1EE" w:rsidR="00F542A8" w:rsidRPr="003A0F7C" w:rsidRDefault="00F542A8" w:rsidP="00F542A8">
      <w:pPr>
        <w:spacing w:line="360" w:lineRule="auto"/>
        <w:ind w:left="714"/>
        <w:jc w:val="both"/>
        <w:rPr>
          <w:rFonts w:eastAsia="Calibri"/>
          <w:bCs/>
          <w:sz w:val="24"/>
          <w:szCs w:val="24"/>
        </w:rPr>
      </w:pPr>
      <w:r w:rsidRPr="003A0F7C">
        <w:rPr>
          <w:rFonts w:eastAsia="Calibri"/>
          <w:bCs/>
          <w:sz w:val="24"/>
          <w:szCs w:val="24"/>
        </w:rPr>
        <w:t xml:space="preserve">Que la </w:t>
      </w:r>
      <w:r w:rsidRPr="003A0F7C">
        <w:rPr>
          <w:rFonts w:eastAsia="Calibri"/>
          <w:bCs/>
          <w:i/>
          <w:iCs/>
          <w:sz w:val="24"/>
          <w:szCs w:val="24"/>
        </w:rPr>
        <w:t>Ley Electoral Local</w:t>
      </w:r>
      <w:r w:rsidRPr="003A0F7C">
        <w:rPr>
          <w:rFonts w:eastAsia="Calibri"/>
          <w:bCs/>
          <w:sz w:val="24"/>
          <w:szCs w:val="24"/>
        </w:rPr>
        <w:t xml:space="preserve"> no prevé que imponga a los partidos políticos o al </w:t>
      </w:r>
      <w:r w:rsidRPr="003A0F7C">
        <w:rPr>
          <w:rFonts w:eastAsia="Calibri"/>
          <w:bCs/>
          <w:i/>
          <w:iCs/>
          <w:sz w:val="24"/>
          <w:szCs w:val="24"/>
        </w:rPr>
        <w:t>Instituto Electoral Local</w:t>
      </w:r>
      <w:r w:rsidRPr="003A0F7C">
        <w:rPr>
          <w:rFonts w:eastAsia="Calibri"/>
          <w:bCs/>
          <w:sz w:val="24"/>
          <w:szCs w:val="24"/>
        </w:rPr>
        <w:t xml:space="preserve"> la obligación de notificar los requerimientos que fueron formulados a los partidos a las personas que integran la planilla de candidaturas.</w:t>
      </w:r>
    </w:p>
    <w:bookmarkEnd w:id="15"/>
    <w:p w14:paraId="2C6DF3E4" w14:textId="0C311A5E" w:rsidR="00F542A8" w:rsidRPr="003A0F7C" w:rsidRDefault="00FF63A8" w:rsidP="00836638">
      <w:pPr>
        <w:numPr>
          <w:ilvl w:val="0"/>
          <w:numId w:val="19"/>
        </w:numPr>
        <w:spacing w:line="360" w:lineRule="auto"/>
        <w:ind w:left="714" w:hanging="357"/>
        <w:jc w:val="both"/>
        <w:rPr>
          <w:rFonts w:eastAsia="Calibri"/>
          <w:bCs/>
          <w:sz w:val="24"/>
          <w:szCs w:val="24"/>
        </w:rPr>
      </w:pPr>
      <w:r w:rsidRPr="003A0F7C">
        <w:rPr>
          <w:rFonts w:eastAsia="Calibri"/>
          <w:bCs/>
          <w:sz w:val="24"/>
          <w:szCs w:val="24"/>
        </w:rPr>
        <w:t xml:space="preserve">En cuanto a lo resuelto en el apartado 4.8.1., señala que fue incorrecto lo </w:t>
      </w:r>
      <w:r w:rsidR="009D0468" w:rsidRPr="003A0F7C">
        <w:rPr>
          <w:rFonts w:eastAsia="Calibri"/>
          <w:bCs/>
          <w:sz w:val="24"/>
          <w:szCs w:val="24"/>
        </w:rPr>
        <w:t>determinado</w:t>
      </w:r>
      <w:r w:rsidRPr="003A0F7C">
        <w:rPr>
          <w:rFonts w:eastAsia="Calibri"/>
          <w:bCs/>
          <w:sz w:val="24"/>
          <w:szCs w:val="24"/>
        </w:rPr>
        <w:t xml:space="preserve"> por el </w:t>
      </w:r>
      <w:r w:rsidRPr="003A0F7C">
        <w:rPr>
          <w:rFonts w:eastAsia="Calibri"/>
          <w:bCs/>
          <w:i/>
          <w:iCs/>
          <w:sz w:val="24"/>
          <w:szCs w:val="24"/>
        </w:rPr>
        <w:t>Tribunal Local</w:t>
      </w:r>
      <w:r w:rsidRPr="003A0F7C">
        <w:rPr>
          <w:rFonts w:eastAsia="Calibri"/>
          <w:bCs/>
          <w:sz w:val="24"/>
          <w:szCs w:val="24"/>
        </w:rPr>
        <w:t xml:space="preserve">, pues la razón por la cual el </w:t>
      </w:r>
      <w:r w:rsidRPr="003A0F7C">
        <w:rPr>
          <w:rFonts w:eastAsia="Calibri"/>
          <w:bCs/>
          <w:i/>
          <w:iCs/>
          <w:sz w:val="24"/>
          <w:szCs w:val="24"/>
        </w:rPr>
        <w:t>Instituto Electoral Local</w:t>
      </w:r>
      <w:r w:rsidRPr="003A0F7C">
        <w:rPr>
          <w:rFonts w:eastAsia="Calibri"/>
          <w:bCs/>
          <w:sz w:val="24"/>
          <w:szCs w:val="24"/>
        </w:rPr>
        <w:t xml:space="preserve"> negó el registro de la planilla al Ayuntamiento de Apaseo el Grande fue en razón a que no se exhibió la solicitud de registro de candidaturas y no una “</w:t>
      </w:r>
      <w:r w:rsidRPr="003A0F7C">
        <w:rPr>
          <w:rFonts w:eastAsia="Calibri"/>
          <w:bCs/>
          <w:i/>
          <w:iCs/>
          <w:sz w:val="24"/>
          <w:szCs w:val="24"/>
        </w:rPr>
        <w:t>solicitud de registro de la candidatura a la presidencia municipal</w:t>
      </w:r>
      <w:r w:rsidRPr="003A0F7C">
        <w:rPr>
          <w:rFonts w:eastAsia="Calibri"/>
          <w:bCs/>
          <w:sz w:val="24"/>
          <w:szCs w:val="24"/>
        </w:rPr>
        <w:t>”, por lo que la autoridad electoral únicamente cometió un error en la redacción del acuerdo.</w:t>
      </w:r>
    </w:p>
    <w:p w14:paraId="0A2B9876" w14:textId="6B1251FC" w:rsidR="00FF63A8" w:rsidRPr="003A0F7C" w:rsidRDefault="00FF63A8" w:rsidP="00836638">
      <w:pPr>
        <w:numPr>
          <w:ilvl w:val="0"/>
          <w:numId w:val="19"/>
        </w:numPr>
        <w:spacing w:line="360" w:lineRule="auto"/>
        <w:ind w:left="714" w:hanging="357"/>
        <w:jc w:val="both"/>
        <w:rPr>
          <w:rFonts w:eastAsia="Calibri"/>
          <w:bCs/>
          <w:sz w:val="24"/>
          <w:szCs w:val="24"/>
        </w:rPr>
      </w:pPr>
      <w:r w:rsidRPr="003A0F7C">
        <w:rPr>
          <w:rFonts w:eastAsia="Calibri"/>
          <w:bCs/>
          <w:sz w:val="24"/>
          <w:szCs w:val="24"/>
        </w:rPr>
        <w:t xml:space="preserve">Que lo resuelto en el apartado 4.9, en el sentido de que pueden registrarse planillas incompletas no se encuentra ajustado a derecho, pues el artículo 191, último párrafo, de la </w:t>
      </w:r>
      <w:r w:rsidRPr="003A0F7C">
        <w:rPr>
          <w:rFonts w:eastAsia="Calibri"/>
          <w:bCs/>
          <w:i/>
          <w:iCs/>
          <w:sz w:val="24"/>
          <w:szCs w:val="24"/>
        </w:rPr>
        <w:t>Ley Electoral Local,</w:t>
      </w:r>
      <w:r w:rsidRPr="003A0F7C">
        <w:rPr>
          <w:rFonts w:eastAsia="Calibri"/>
          <w:bCs/>
          <w:sz w:val="24"/>
          <w:szCs w:val="24"/>
        </w:rPr>
        <w:t xml:space="preserve"> establece </w:t>
      </w:r>
      <w:r w:rsidR="00A528E3" w:rsidRPr="003A0F7C">
        <w:rPr>
          <w:rFonts w:eastAsia="Calibri"/>
          <w:bCs/>
          <w:sz w:val="24"/>
          <w:szCs w:val="24"/>
        </w:rPr>
        <w:t>que,</w:t>
      </w:r>
      <w:r w:rsidRPr="003A0F7C">
        <w:rPr>
          <w:rFonts w:eastAsia="Calibri"/>
          <w:bCs/>
          <w:sz w:val="24"/>
          <w:szCs w:val="24"/>
        </w:rPr>
        <w:t xml:space="preserve"> en el caso de las planillas de ayuntamiento, éstas se registraran cuando cada uno de los candidatos cumplan con todos los requisitos señalados en la Ley</w:t>
      </w:r>
      <w:r w:rsidR="00A528E3" w:rsidRPr="003A0F7C">
        <w:rPr>
          <w:rFonts w:eastAsia="Calibri"/>
          <w:bCs/>
          <w:sz w:val="24"/>
          <w:szCs w:val="24"/>
        </w:rPr>
        <w:t xml:space="preserve"> y cuando estén integradas de manera completa.</w:t>
      </w:r>
    </w:p>
    <w:bookmarkEnd w:id="13"/>
    <w:p w14:paraId="41DCDDA3" w14:textId="27CB1C3C" w:rsidR="00085B11" w:rsidRPr="003A0F7C" w:rsidRDefault="00534667" w:rsidP="001B67EE">
      <w:pPr>
        <w:spacing w:before="280" w:after="280" w:line="360" w:lineRule="auto"/>
        <w:ind w:right="51"/>
        <w:jc w:val="both"/>
        <w:rPr>
          <w:rFonts w:eastAsia="Calibri"/>
          <w:sz w:val="24"/>
          <w:szCs w:val="24"/>
        </w:rPr>
      </w:pPr>
      <w:proofErr w:type="gramStart"/>
      <w:r w:rsidRPr="003A0F7C">
        <w:rPr>
          <w:rFonts w:eastAsia="Calibri"/>
          <w:b/>
          <w:sz w:val="24"/>
          <w:szCs w:val="24"/>
        </w:rPr>
        <w:t>Cuesti</w:t>
      </w:r>
      <w:r w:rsidR="00673757" w:rsidRPr="003A0F7C">
        <w:rPr>
          <w:rFonts w:eastAsia="Calibri"/>
          <w:b/>
          <w:sz w:val="24"/>
          <w:szCs w:val="24"/>
        </w:rPr>
        <w:t>ones</w:t>
      </w:r>
      <w:r w:rsidR="00D95F17" w:rsidRPr="003A0F7C">
        <w:rPr>
          <w:rFonts w:eastAsia="Calibri"/>
          <w:b/>
          <w:sz w:val="24"/>
          <w:szCs w:val="24"/>
        </w:rPr>
        <w:t xml:space="preserve"> a resolver</w:t>
      </w:r>
      <w:proofErr w:type="gramEnd"/>
      <w:r w:rsidR="00D95F17" w:rsidRPr="003A0F7C">
        <w:rPr>
          <w:rFonts w:eastAsia="Calibri"/>
          <w:b/>
          <w:sz w:val="24"/>
          <w:szCs w:val="24"/>
        </w:rPr>
        <w:t>.</w:t>
      </w:r>
      <w:r w:rsidR="00D95F17" w:rsidRPr="003A0F7C">
        <w:rPr>
          <w:rFonts w:eastAsia="Calibri"/>
          <w:sz w:val="24"/>
          <w:szCs w:val="24"/>
        </w:rPr>
        <w:t xml:space="preserve"> </w:t>
      </w:r>
      <w:r w:rsidR="00673757" w:rsidRPr="003A0F7C">
        <w:rPr>
          <w:rFonts w:eastAsia="Calibri"/>
          <w:sz w:val="24"/>
          <w:szCs w:val="24"/>
        </w:rPr>
        <w:t>Con base en lo anterior, en la presente sentencia se analizará:</w:t>
      </w:r>
    </w:p>
    <w:p w14:paraId="4C0719E0" w14:textId="235AC0E9" w:rsidR="00B776F0" w:rsidRPr="003A0F7C" w:rsidRDefault="00CE5562" w:rsidP="00B776F0">
      <w:pPr>
        <w:numPr>
          <w:ilvl w:val="0"/>
          <w:numId w:val="48"/>
        </w:numPr>
        <w:spacing w:after="160" w:line="360" w:lineRule="auto"/>
        <w:ind w:left="714" w:hanging="357"/>
        <w:jc w:val="both"/>
        <w:rPr>
          <w:rFonts w:eastAsia="Calibri"/>
          <w:sz w:val="24"/>
          <w:szCs w:val="24"/>
        </w:rPr>
      </w:pPr>
      <w:r w:rsidRPr="003A0F7C">
        <w:rPr>
          <w:rFonts w:eastAsia="Calibri"/>
          <w:sz w:val="24"/>
          <w:szCs w:val="24"/>
        </w:rPr>
        <w:t xml:space="preserve">Si se trastocó la garantía de audiencia como tercero interesado </w:t>
      </w:r>
      <w:r w:rsidR="00F00192" w:rsidRPr="003A0F7C">
        <w:rPr>
          <w:rFonts w:eastAsia="Calibri"/>
          <w:sz w:val="24"/>
          <w:szCs w:val="24"/>
        </w:rPr>
        <w:t xml:space="preserve">por parte del </w:t>
      </w:r>
      <w:r w:rsidR="00F00192" w:rsidRPr="003A0F7C">
        <w:rPr>
          <w:rFonts w:eastAsia="Calibri"/>
          <w:i/>
          <w:iCs/>
          <w:sz w:val="24"/>
          <w:szCs w:val="24"/>
        </w:rPr>
        <w:t>Tribunal Local</w:t>
      </w:r>
      <w:r w:rsidR="00F00192" w:rsidRPr="003A0F7C">
        <w:rPr>
          <w:rFonts w:eastAsia="Calibri"/>
          <w:sz w:val="24"/>
          <w:szCs w:val="24"/>
        </w:rPr>
        <w:t xml:space="preserve"> en la substanciación del expediente TEEG-REV-18/2021 y acumulados.</w:t>
      </w:r>
    </w:p>
    <w:p w14:paraId="47787B91" w14:textId="54E894E3" w:rsidR="00B776F0" w:rsidRPr="003A0F7C" w:rsidRDefault="00F00192" w:rsidP="00B776F0">
      <w:pPr>
        <w:numPr>
          <w:ilvl w:val="0"/>
          <w:numId w:val="48"/>
        </w:numPr>
        <w:spacing w:after="160" w:line="360" w:lineRule="auto"/>
        <w:ind w:left="714" w:hanging="357"/>
        <w:jc w:val="both"/>
        <w:rPr>
          <w:rFonts w:eastAsia="Calibri"/>
          <w:sz w:val="24"/>
          <w:szCs w:val="24"/>
        </w:rPr>
      </w:pPr>
      <w:r w:rsidRPr="003A0F7C">
        <w:rPr>
          <w:rFonts w:eastAsia="Calibri"/>
          <w:sz w:val="24"/>
          <w:szCs w:val="24"/>
        </w:rPr>
        <w:t>Si el acuerdo de admisión de demanda se encuentra fundado y motivado, y si fue correcto que se admitieran el recurso de revisión presentado por MORENA, así como los diversos juicios TEEG-JPDC-112/2021, TEEG-JPDC-113/2021, TEEG-JPDC-114/2021, TEEG-JPDC-118/2021 y TEEG-JPDC-119/2021.</w:t>
      </w:r>
    </w:p>
    <w:p w14:paraId="7FB532CD" w14:textId="52EEA640" w:rsidR="00F00192" w:rsidRPr="003A0F7C" w:rsidRDefault="00F00192" w:rsidP="00B776F0">
      <w:pPr>
        <w:numPr>
          <w:ilvl w:val="0"/>
          <w:numId w:val="48"/>
        </w:numPr>
        <w:spacing w:after="160" w:line="360" w:lineRule="auto"/>
        <w:ind w:left="714" w:hanging="357"/>
        <w:jc w:val="both"/>
        <w:rPr>
          <w:rFonts w:eastAsia="Calibri"/>
          <w:sz w:val="24"/>
          <w:szCs w:val="24"/>
        </w:rPr>
      </w:pPr>
      <w:r w:rsidRPr="003A0F7C">
        <w:rPr>
          <w:rFonts w:eastAsia="Calibri"/>
          <w:sz w:val="24"/>
          <w:szCs w:val="24"/>
        </w:rPr>
        <w:t xml:space="preserve">Si lo resuelto por el </w:t>
      </w:r>
      <w:r w:rsidRPr="003A0F7C">
        <w:rPr>
          <w:rFonts w:eastAsia="Calibri"/>
          <w:i/>
          <w:iCs/>
          <w:sz w:val="24"/>
          <w:szCs w:val="24"/>
        </w:rPr>
        <w:t>Tribunal Local</w:t>
      </w:r>
      <w:r w:rsidRPr="003A0F7C">
        <w:rPr>
          <w:rFonts w:eastAsia="Calibri"/>
          <w:sz w:val="24"/>
          <w:szCs w:val="24"/>
        </w:rPr>
        <w:t xml:space="preserve"> fue correcto o no en cuanto a que el </w:t>
      </w:r>
      <w:r w:rsidRPr="003A0F7C">
        <w:rPr>
          <w:rFonts w:eastAsia="Calibri"/>
          <w:i/>
          <w:iCs/>
          <w:sz w:val="24"/>
          <w:szCs w:val="24"/>
        </w:rPr>
        <w:t>Instituto Electoral Local</w:t>
      </w:r>
      <w:r w:rsidRPr="003A0F7C">
        <w:rPr>
          <w:rFonts w:eastAsia="Calibri"/>
          <w:sz w:val="24"/>
          <w:szCs w:val="24"/>
        </w:rPr>
        <w:t xml:space="preserve"> no debió negar el registro de planillas en base a inconsistencias que no fueron dadas a conocer al partido político a fin de que las subsanara.</w:t>
      </w:r>
    </w:p>
    <w:p w14:paraId="79A49B68" w14:textId="51D0B0AA" w:rsidR="00F00192" w:rsidRPr="003A0F7C" w:rsidRDefault="00F00192" w:rsidP="00B776F0">
      <w:pPr>
        <w:numPr>
          <w:ilvl w:val="0"/>
          <w:numId w:val="48"/>
        </w:numPr>
        <w:spacing w:after="160" w:line="360" w:lineRule="auto"/>
        <w:ind w:left="714" w:hanging="357"/>
        <w:jc w:val="both"/>
        <w:rPr>
          <w:rFonts w:eastAsia="Calibri"/>
          <w:sz w:val="24"/>
          <w:szCs w:val="24"/>
        </w:rPr>
      </w:pPr>
      <w:r w:rsidRPr="003A0F7C">
        <w:rPr>
          <w:rFonts w:eastAsia="Calibri"/>
          <w:sz w:val="24"/>
          <w:szCs w:val="24"/>
        </w:rPr>
        <w:lastRenderedPageBreak/>
        <w:t xml:space="preserve">Si fue correcta la determinación del Tribunal en cuanto a que no se respetó la garantía de audiencia de los candidatos que </w:t>
      </w:r>
      <w:r w:rsidR="00A14BB2" w:rsidRPr="003A0F7C">
        <w:rPr>
          <w:rFonts w:eastAsia="Calibri"/>
          <w:sz w:val="24"/>
          <w:szCs w:val="24"/>
        </w:rPr>
        <w:t xml:space="preserve">no </w:t>
      </w:r>
      <w:r w:rsidRPr="003A0F7C">
        <w:rPr>
          <w:rFonts w:eastAsia="Calibri"/>
          <w:sz w:val="24"/>
          <w:szCs w:val="24"/>
        </w:rPr>
        <w:t xml:space="preserve">fueron materia de requerimiento por el </w:t>
      </w:r>
      <w:r w:rsidRPr="003A0F7C">
        <w:rPr>
          <w:rFonts w:eastAsia="Calibri"/>
          <w:i/>
          <w:iCs/>
          <w:sz w:val="24"/>
          <w:szCs w:val="24"/>
        </w:rPr>
        <w:t>Instituto Electoral Local</w:t>
      </w:r>
      <w:r w:rsidRPr="003A0F7C">
        <w:rPr>
          <w:rFonts w:eastAsia="Calibri"/>
          <w:sz w:val="24"/>
          <w:szCs w:val="24"/>
        </w:rPr>
        <w:t>.</w:t>
      </w:r>
    </w:p>
    <w:p w14:paraId="64949FB1" w14:textId="34009D20" w:rsidR="00483378" w:rsidRPr="003A0F7C" w:rsidRDefault="007C22F2" w:rsidP="00836638">
      <w:pPr>
        <w:numPr>
          <w:ilvl w:val="0"/>
          <w:numId w:val="48"/>
        </w:numPr>
        <w:spacing w:after="160" w:line="360" w:lineRule="auto"/>
        <w:ind w:left="714" w:hanging="357"/>
        <w:jc w:val="both"/>
        <w:rPr>
          <w:rFonts w:eastAsia="Calibri"/>
          <w:sz w:val="24"/>
          <w:szCs w:val="24"/>
        </w:rPr>
      </w:pPr>
      <w:r w:rsidRPr="003A0F7C">
        <w:rPr>
          <w:rFonts w:eastAsia="Calibri"/>
          <w:sz w:val="24"/>
          <w:szCs w:val="24"/>
        </w:rPr>
        <w:t xml:space="preserve">Si las precisiones que razonó el </w:t>
      </w:r>
      <w:r w:rsidRPr="003A0F7C">
        <w:rPr>
          <w:rFonts w:eastAsia="Calibri"/>
          <w:i/>
          <w:iCs/>
          <w:sz w:val="24"/>
          <w:szCs w:val="24"/>
        </w:rPr>
        <w:t>Tribunal Local</w:t>
      </w:r>
      <w:r w:rsidRPr="003A0F7C">
        <w:rPr>
          <w:rFonts w:eastAsia="Calibri"/>
          <w:sz w:val="24"/>
          <w:szCs w:val="24"/>
        </w:rPr>
        <w:t xml:space="preserve"> en cuanto a que fue incorrecto la negativa de registro de la planilla al Ayuntamiento de Apaseo el Grande</w:t>
      </w:r>
      <w:r w:rsidR="00483378" w:rsidRPr="003A0F7C">
        <w:rPr>
          <w:rFonts w:eastAsia="Calibri"/>
          <w:sz w:val="24"/>
          <w:szCs w:val="24"/>
        </w:rPr>
        <w:t>, por el incumplimiento de un requisito que no está contemplado en la normatividad electoral, se encuentra ajustada a derecho.</w:t>
      </w:r>
    </w:p>
    <w:p w14:paraId="42031C31" w14:textId="4808E229" w:rsidR="00483378" w:rsidRPr="003A0F7C" w:rsidRDefault="00483378" w:rsidP="00B776F0">
      <w:pPr>
        <w:numPr>
          <w:ilvl w:val="0"/>
          <w:numId w:val="48"/>
        </w:numPr>
        <w:spacing w:after="160" w:line="360" w:lineRule="auto"/>
        <w:ind w:left="714" w:hanging="357"/>
        <w:jc w:val="both"/>
        <w:rPr>
          <w:rFonts w:eastAsia="Calibri"/>
          <w:sz w:val="24"/>
          <w:szCs w:val="24"/>
        </w:rPr>
      </w:pPr>
      <w:r w:rsidRPr="003A0F7C">
        <w:rPr>
          <w:rFonts w:eastAsia="Calibri"/>
          <w:sz w:val="24"/>
          <w:szCs w:val="24"/>
        </w:rPr>
        <w:t>Si lo resuelto en cuanto a la posibilidad del registro de planillas incompletas es apegado a derecho.</w:t>
      </w:r>
    </w:p>
    <w:p w14:paraId="0D61C0A5" w14:textId="5634DB34" w:rsidR="00D95F17" w:rsidRPr="003A0F7C" w:rsidRDefault="00ED3BC0" w:rsidP="000A0690">
      <w:pPr>
        <w:spacing w:before="280" w:after="280" w:line="360" w:lineRule="auto"/>
        <w:ind w:right="51"/>
        <w:jc w:val="both"/>
        <w:rPr>
          <w:rFonts w:eastAsia="Calibri"/>
          <w:b/>
          <w:sz w:val="24"/>
          <w:szCs w:val="24"/>
        </w:rPr>
      </w:pPr>
      <w:r w:rsidRPr="003A0F7C">
        <w:rPr>
          <w:rFonts w:eastAsia="Calibri"/>
          <w:b/>
          <w:sz w:val="24"/>
          <w:szCs w:val="24"/>
        </w:rPr>
        <w:t>4</w:t>
      </w:r>
      <w:r w:rsidR="00D95F17" w:rsidRPr="003A0F7C">
        <w:rPr>
          <w:rFonts w:eastAsia="Calibri"/>
          <w:b/>
          <w:sz w:val="24"/>
          <w:szCs w:val="24"/>
        </w:rPr>
        <w:t xml:space="preserve">.2. </w:t>
      </w:r>
      <w:r w:rsidR="00140944" w:rsidRPr="003A0F7C">
        <w:rPr>
          <w:rFonts w:eastAsia="Calibri"/>
          <w:b/>
          <w:sz w:val="24"/>
          <w:szCs w:val="24"/>
        </w:rPr>
        <w:t>Decisi</w:t>
      </w:r>
      <w:r w:rsidR="00B776F0" w:rsidRPr="003A0F7C">
        <w:rPr>
          <w:rFonts w:eastAsia="Calibri"/>
          <w:b/>
          <w:sz w:val="24"/>
          <w:szCs w:val="24"/>
        </w:rPr>
        <w:t>ones</w:t>
      </w:r>
    </w:p>
    <w:p w14:paraId="5276196D" w14:textId="5A2BCA89" w:rsidR="00483378" w:rsidRPr="003A0F7C" w:rsidRDefault="00483378" w:rsidP="00483378">
      <w:pPr>
        <w:spacing w:line="360" w:lineRule="auto"/>
        <w:jc w:val="both"/>
        <w:rPr>
          <w:rFonts w:eastAsia="Times New Roman"/>
          <w:sz w:val="24"/>
          <w:szCs w:val="24"/>
        </w:rPr>
      </w:pPr>
      <w:bookmarkStart w:id="16" w:name="_Hlk60785679"/>
      <w:r w:rsidRPr="003A0F7C">
        <w:rPr>
          <w:rFonts w:eastAsia="Times New Roman"/>
          <w:sz w:val="24"/>
          <w:szCs w:val="24"/>
        </w:rPr>
        <w:t xml:space="preserve">Esta Sala Regional estima que debe </w:t>
      </w:r>
      <w:r w:rsidRPr="003A0F7C">
        <w:rPr>
          <w:rFonts w:eastAsia="Times New Roman"/>
          <w:b/>
          <w:bCs/>
          <w:sz w:val="24"/>
          <w:szCs w:val="24"/>
        </w:rPr>
        <w:t xml:space="preserve">confirmarse </w:t>
      </w:r>
      <w:r w:rsidRPr="003A0F7C">
        <w:rPr>
          <w:rFonts w:eastAsia="Times New Roman"/>
          <w:sz w:val="24"/>
          <w:szCs w:val="24"/>
        </w:rPr>
        <w:t>en lo que fue materia de impugnación la resolución impugnada, en atención a que:</w:t>
      </w:r>
    </w:p>
    <w:p w14:paraId="0C94D226" w14:textId="5FABFE26" w:rsidR="00563C4E" w:rsidRPr="003A0F7C" w:rsidRDefault="00483378" w:rsidP="00563C4E">
      <w:pPr>
        <w:numPr>
          <w:ilvl w:val="0"/>
          <w:numId w:val="22"/>
        </w:numPr>
        <w:spacing w:line="360" w:lineRule="auto"/>
        <w:jc w:val="both"/>
        <w:rPr>
          <w:rFonts w:eastAsia="Calibri"/>
          <w:sz w:val="24"/>
          <w:szCs w:val="24"/>
        </w:rPr>
      </w:pPr>
      <w:bookmarkStart w:id="17" w:name="_Hlk69730545"/>
      <w:r w:rsidRPr="003A0F7C">
        <w:rPr>
          <w:rFonts w:eastAsia="Calibri"/>
          <w:sz w:val="24"/>
          <w:szCs w:val="24"/>
        </w:rPr>
        <w:t xml:space="preserve">No </w:t>
      </w:r>
      <w:r w:rsidR="00563C4E" w:rsidRPr="003A0F7C">
        <w:rPr>
          <w:rFonts w:eastAsia="Calibri"/>
          <w:sz w:val="24"/>
          <w:szCs w:val="24"/>
        </w:rPr>
        <w:t xml:space="preserve">se trastocó la garantía de audiencia del </w:t>
      </w:r>
      <w:r w:rsidR="00563C4E" w:rsidRPr="003A0F7C">
        <w:rPr>
          <w:rFonts w:eastAsia="Calibri"/>
          <w:i/>
          <w:iCs/>
          <w:sz w:val="24"/>
          <w:szCs w:val="24"/>
        </w:rPr>
        <w:t>PAN</w:t>
      </w:r>
      <w:r w:rsidR="00563C4E" w:rsidRPr="003A0F7C">
        <w:rPr>
          <w:rFonts w:eastAsia="Calibri"/>
          <w:sz w:val="24"/>
          <w:szCs w:val="24"/>
        </w:rPr>
        <w:t xml:space="preserve"> como tercero interesado en el</w:t>
      </w:r>
      <w:r w:rsidR="004971EC" w:rsidRPr="003A0F7C">
        <w:rPr>
          <w:rFonts w:eastAsia="Calibri"/>
          <w:sz w:val="24"/>
          <w:szCs w:val="24"/>
        </w:rPr>
        <w:t xml:space="preserve"> procedimiento relativo al</w:t>
      </w:r>
      <w:r w:rsidR="00563C4E" w:rsidRPr="003A0F7C">
        <w:rPr>
          <w:rFonts w:eastAsia="Calibri"/>
          <w:sz w:val="24"/>
          <w:szCs w:val="24"/>
        </w:rPr>
        <w:t xml:space="preserve"> expediente TEEG-REV-18/2021 y acumulados.</w:t>
      </w:r>
      <w:bookmarkStart w:id="18" w:name="_Hlk69227859"/>
      <w:bookmarkEnd w:id="17"/>
    </w:p>
    <w:p w14:paraId="7EAA88E0" w14:textId="76213F99" w:rsidR="00563C4E" w:rsidRPr="003A0F7C" w:rsidRDefault="00483378" w:rsidP="00563C4E">
      <w:pPr>
        <w:numPr>
          <w:ilvl w:val="0"/>
          <w:numId w:val="22"/>
        </w:numPr>
        <w:spacing w:line="360" w:lineRule="auto"/>
        <w:jc w:val="both"/>
        <w:rPr>
          <w:rFonts w:eastAsia="Calibri"/>
          <w:sz w:val="24"/>
          <w:szCs w:val="24"/>
        </w:rPr>
      </w:pPr>
      <w:r w:rsidRPr="003A0F7C">
        <w:rPr>
          <w:rFonts w:eastAsia="Calibri"/>
          <w:sz w:val="24"/>
          <w:szCs w:val="24"/>
        </w:rPr>
        <w:t xml:space="preserve">El </w:t>
      </w:r>
      <w:r w:rsidR="00563C4E" w:rsidRPr="003A0F7C">
        <w:rPr>
          <w:rFonts w:eastAsia="Calibri"/>
          <w:sz w:val="24"/>
          <w:szCs w:val="24"/>
        </w:rPr>
        <w:t xml:space="preserve">acuerdo de admisión de fecha diecisiete de abril, en el que se admitió el recurso de revisión de MORENA, así como los juicios TEEG-JPDC-112/2021, TEEG-JPDC-113/2021, TEEG-JPDC-114/2021, TEEG-JPDC-118/2021 y TEEG-JPDC-119/2021, está debidamente fundado y motivado, </w:t>
      </w:r>
      <w:r w:rsidR="00001242" w:rsidRPr="003A0F7C">
        <w:rPr>
          <w:rFonts w:eastAsia="Calibri"/>
          <w:sz w:val="24"/>
          <w:szCs w:val="24"/>
        </w:rPr>
        <w:t xml:space="preserve">aunado a que </w:t>
      </w:r>
      <w:r w:rsidR="00DC02FE" w:rsidRPr="003A0F7C">
        <w:rPr>
          <w:rFonts w:eastAsia="Calibri"/>
          <w:sz w:val="24"/>
          <w:szCs w:val="24"/>
        </w:rPr>
        <w:t>dichos medios de impugnación</w:t>
      </w:r>
      <w:r w:rsidR="00563C4E" w:rsidRPr="003A0F7C">
        <w:rPr>
          <w:rFonts w:eastAsia="Calibri"/>
          <w:sz w:val="24"/>
          <w:szCs w:val="24"/>
        </w:rPr>
        <w:t xml:space="preserve"> fueron presentados en el término previsto en la normatividad electoral local.</w:t>
      </w:r>
    </w:p>
    <w:p w14:paraId="75DD8505" w14:textId="028A6A86" w:rsidR="00A14BB2" w:rsidRPr="003A0F7C" w:rsidRDefault="00A14BB2" w:rsidP="00483378">
      <w:pPr>
        <w:numPr>
          <w:ilvl w:val="0"/>
          <w:numId w:val="22"/>
        </w:numPr>
        <w:spacing w:line="360" w:lineRule="auto"/>
        <w:jc w:val="both"/>
        <w:rPr>
          <w:rFonts w:eastAsia="Times New Roman"/>
          <w:sz w:val="24"/>
          <w:szCs w:val="24"/>
        </w:rPr>
      </w:pPr>
      <w:r w:rsidRPr="003A0F7C">
        <w:rPr>
          <w:rFonts w:eastAsia="Times New Roman"/>
          <w:sz w:val="24"/>
          <w:szCs w:val="24"/>
        </w:rPr>
        <w:t xml:space="preserve">Fue correcta la determinación del </w:t>
      </w:r>
      <w:r w:rsidRPr="003A0F7C">
        <w:rPr>
          <w:rFonts w:eastAsia="Times New Roman"/>
          <w:i/>
          <w:iCs/>
          <w:sz w:val="24"/>
          <w:szCs w:val="24"/>
        </w:rPr>
        <w:t>Tribunal Local</w:t>
      </w:r>
      <w:r w:rsidRPr="003A0F7C">
        <w:rPr>
          <w:rFonts w:eastAsia="Times New Roman"/>
          <w:sz w:val="24"/>
          <w:szCs w:val="24"/>
        </w:rPr>
        <w:t xml:space="preserve"> relativa a que el </w:t>
      </w:r>
      <w:r w:rsidRPr="003A0F7C">
        <w:rPr>
          <w:rFonts w:eastAsia="Times New Roman"/>
          <w:i/>
          <w:iCs/>
          <w:sz w:val="24"/>
          <w:szCs w:val="24"/>
        </w:rPr>
        <w:t>Instituto Electoral Local</w:t>
      </w:r>
      <w:r w:rsidRPr="003A0F7C">
        <w:rPr>
          <w:rFonts w:eastAsia="Times New Roman"/>
          <w:sz w:val="24"/>
          <w:szCs w:val="24"/>
        </w:rPr>
        <w:t xml:space="preserve"> no debió negar el registro de planillas </w:t>
      </w:r>
      <w:r w:rsidR="00655DCE" w:rsidRPr="003A0F7C">
        <w:rPr>
          <w:rFonts w:eastAsia="Times New Roman"/>
          <w:sz w:val="24"/>
          <w:szCs w:val="24"/>
        </w:rPr>
        <w:t>con</w:t>
      </w:r>
      <w:r w:rsidRPr="003A0F7C">
        <w:rPr>
          <w:rFonts w:eastAsia="Times New Roman"/>
          <w:sz w:val="24"/>
          <w:szCs w:val="24"/>
        </w:rPr>
        <w:t xml:space="preserve"> base en inconsistencias que no se dieron a conocer al partido político.</w:t>
      </w:r>
    </w:p>
    <w:p w14:paraId="5643E582" w14:textId="7A8A5549" w:rsidR="00563C4E" w:rsidRPr="003A0F7C" w:rsidRDefault="00A14BB2" w:rsidP="00836638">
      <w:pPr>
        <w:numPr>
          <w:ilvl w:val="0"/>
          <w:numId w:val="22"/>
        </w:numPr>
        <w:spacing w:line="360" w:lineRule="auto"/>
        <w:jc w:val="both"/>
        <w:rPr>
          <w:rFonts w:eastAsia="Times New Roman"/>
          <w:sz w:val="24"/>
          <w:szCs w:val="24"/>
        </w:rPr>
      </w:pPr>
      <w:r w:rsidRPr="003A0F7C">
        <w:rPr>
          <w:rFonts w:eastAsia="Times New Roman"/>
          <w:sz w:val="24"/>
          <w:szCs w:val="24"/>
        </w:rPr>
        <w:t xml:space="preserve">Fue apropiada la determinación en cuanto a que no se respetó la garantía de audiencia de los candidatos, pues no se le hizo de su conocimiento de las inconsistencias detectadas por el </w:t>
      </w:r>
      <w:r w:rsidRPr="003A0F7C">
        <w:rPr>
          <w:rFonts w:eastAsia="Times New Roman"/>
          <w:i/>
          <w:iCs/>
          <w:sz w:val="24"/>
          <w:szCs w:val="24"/>
        </w:rPr>
        <w:t>Instituto Electoral Local</w:t>
      </w:r>
      <w:r w:rsidRPr="003A0F7C">
        <w:rPr>
          <w:rFonts w:eastAsia="Times New Roman"/>
          <w:sz w:val="24"/>
          <w:szCs w:val="24"/>
        </w:rPr>
        <w:t>.</w:t>
      </w:r>
    </w:p>
    <w:p w14:paraId="309AAE6C" w14:textId="77777777" w:rsidR="00D80264" w:rsidRPr="003A0F7C" w:rsidRDefault="00A14BB2" w:rsidP="00D80264">
      <w:pPr>
        <w:numPr>
          <w:ilvl w:val="0"/>
          <w:numId w:val="22"/>
        </w:numPr>
        <w:spacing w:line="360" w:lineRule="auto"/>
        <w:jc w:val="both"/>
        <w:rPr>
          <w:rFonts w:eastAsia="Times New Roman"/>
          <w:sz w:val="24"/>
          <w:szCs w:val="24"/>
        </w:rPr>
      </w:pPr>
      <w:r w:rsidRPr="003A0F7C">
        <w:rPr>
          <w:rFonts w:eastAsia="Times New Roman"/>
          <w:sz w:val="24"/>
          <w:szCs w:val="24"/>
        </w:rPr>
        <w:t>La determinación en cuanto a que incorrectamente se negó el registro de la planilla al Ayuntamiento de Apaseo el Grande, se encuentra ajustada a derecho.</w:t>
      </w:r>
      <w:bookmarkEnd w:id="16"/>
      <w:bookmarkEnd w:id="18"/>
    </w:p>
    <w:p w14:paraId="2C37736C" w14:textId="718FD0EF" w:rsidR="00D80264" w:rsidRPr="003A0F7C" w:rsidRDefault="00D80264" w:rsidP="00D80264">
      <w:pPr>
        <w:numPr>
          <w:ilvl w:val="0"/>
          <w:numId w:val="22"/>
        </w:numPr>
        <w:spacing w:line="360" w:lineRule="auto"/>
        <w:jc w:val="both"/>
        <w:rPr>
          <w:rFonts w:eastAsia="Times New Roman"/>
          <w:sz w:val="24"/>
          <w:szCs w:val="24"/>
        </w:rPr>
      </w:pPr>
      <w:r w:rsidRPr="003A0F7C">
        <w:rPr>
          <w:rFonts w:eastAsia="Times New Roman"/>
          <w:sz w:val="24"/>
          <w:szCs w:val="24"/>
        </w:rPr>
        <w:lastRenderedPageBreak/>
        <w:t xml:space="preserve">El </w:t>
      </w:r>
      <w:r w:rsidRPr="003A0F7C">
        <w:rPr>
          <w:rFonts w:eastAsia="Times New Roman"/>
          <w:i/>
          <w:iCs/>
          <w:sz w:val="24"/>
          <w:szCs w:val="24"/>
        </w:rPr>
        <w:t>Tribunal Local</w:t>
      </w:r>
      <w:r w:rsidRPr="003A0F7C">
        <w:rPr>
          <w:rFonts w:eastAsia="Times New Roman"/>
          <w:sz w:val="24"/>
          <w:szCs w:val="24"/>
        </w:rPr>
        <w:t xml:space="preserve"> correctamente precisó las razones y motivos del porque procedía el registro de planillas incompletas, sin que el </w:t>
      </w:r>
      <w:r w:rsidRPr="003A0F7C">
        <w:rPr>
          <w:rFonts w:eastAsia="Times New Roman"/>
          <w:i/>
          <w:iCs/>
          <w:sz w:val="24"/>
          <w:szCs w:val="24"/>
        </w:rPr>
        <w:t>PAN</w:t>
      </w:r>
      <w:r w:rsidRPr="003A0F7C">
        <w:rPr>
          <w:rFonts w:eastAsia="Times New Roman"/>
          <w:sz w:val="24"/>
          <w:szCs w:val="24"/>
        </w:rPr>
        <w:t xml:space="preserve"> las controvierta frontalmente.</w:t>
      </w:r>
    </w:p>
    <w:p w14:paraId="73CD633F" w14:textId="37A0BB1F" w:rsidR="00D95F17" w:rsidRPr="003A0F7C" w:rsidRDefault="00ED3BC0" w:rsidP="000A0690">
      <w:pPr>
        <w:spacing w:before="280" w:after="280" w:line="360" w:lineRule="auto"/>
        <w:ind w:right="51"/>
        <w:jc w:val="both"/>
        <w:rPr>
          <w:rFonts w:eastAsia="Calibri"/>
          <w:b/>
          <w:sz w:val="24"/>
          <w:szCs w:val="24"/>
        </w:rPr>
      </w:pPr>
      <w:r w:rsidRPr="003A0F7C">
        <w:rPr>
          <w:rFonts w:eastAsia="Calibri"/>
          <w:b/>
          <w:sz w:val="24"/>
          <w:szCs w:val="24"/>
        </w:rPr>
        <w:t>4</w:t>
      </w:r>
      <w:r w:rsidR="00D95F17" w:rsidRPr="003A0F7C">
        <w:rPr>
          <w:rFonts w:eastAsia="Calibri"/>
          <w:b/>
          <w:sz w:val="24"/>
          <w:szCs w:val="24"/>
        </w:rPr>
        <w:t>.3. Justificación de la</w:t>
      </w:r>
      <w:r w:rsidR="00B776F0" w:rsidRPr="003A0F7C">
        <w:rPr>
          <w:rFonts w:eastAsia="Calibri"/>
          <w:b/>
          <w:sz w:val="24"/>
          <w:szCs w:val="24"/>
        </w:rPr>
        <w:t>s</w:t>
      </w:r>
      <w:r w:rsidR="00324444" w:rsidRPr="003A0F7C">
        <w:rPr>
          <w:rFonts w:eastAsia="Calibri"/>
          <w:b/>
          <w:sz w:val="24"/>
          <w:szCs w:val="24"/>
        </w:rPr>
        <w:t xml:space="preserve"> </w:t>
      </w:r>
      <w:r w:rsidR="00777E89" w:rsidRPr="003A0F7C">
        <w:rPr>
          <w:rFonts w:eastAsia="Calibri"/>
          <w:b/>
          <w:sz w:val="24"/>
          <w:szCs w:val="24"/>
        </w:rPr>
        <w:t>decisi</w:t>
      </w:r>
      <w:r w:rsidR="00B776F0" w:rsidRPr="003A0F7C">
        <w:rPr>
          <w:rFonts w:eastAsia="Calibri"/>
          <w:b/>
          <w:sz w:val="24"/>
          <w:szCs w:val="24"/>
        </w:rPr>
        <w:t>ones</w:t>
      </w:r>
    </w:p>
    <w:p w14:paraId="4ED2C1EE" w14:textId="05A1EC84" w:rsidR="00FF1C5C" w:rsidRPr="003A0F7C" w:rsidRDefault="00ED3BC0" w:rsidP="00173081">
      <w:pPr>
        <w:spacing w:before="280" w:after="280" w:line="360" w:lineRule="auto"/>
        <w:ind w:right="51"/>
        <w:jc w:val="both"/>
        <w:rPr>
          <w:rFonts w:eastAsia="Calibri"/>
          <w:b/>
          <w:sz w:val="24"/>
          <w:szCs w:val="24"/>
        </w:rPr>
      </w:pPr>
      <w:r w:rsidRPr="003A0F7C">
        <w:rPr>
          <w:rFonts w:eastAsia="Calibri"/>
          <w:b/>
          <w:sz w:val="24"/>
          <w:szCs w:val="24"/>
        </w:rPr>
        <w:t>4</w:t>
      </w:r>
      <w:r w:rsidR="002F7273" w:rsidRPr="003A0F7C">
        <w:rPr>
          <w:rFonts w:eastAsia="Calibri"/>
          <w:b/>
          <w:sz w:val="24"/>
          <w:szCs w:val="24"/>
        </w:rPr>
        <w:t>.3.1.</w:t>
      </w:r>
      <w:r w:rsidR="00FF1C5C" w:rsidRPr="003A0F7C">
        <w:t xml:space="preserve"> </w:t>
      </w:r>
      <w:r w:rsidR="00FF1C5C" w:rsidRPr="003A0F7C">
        <w:rPr>
          <w:rFonts w:eastAsia="Calibri"/>
          <w:b/>
          <w:sz w:val="24"/>
          <w:szCs w:val="24"/>
        </w:rPr>
        <w:t xml:space="preserve">No se trastocó la garantía de audiencia del </w:t>
      </w:r>
      <w:r w:rsidR="00FF1C5C" w:rsidRPr="003A0F7C">
        <w:rPr>
          <w:rFonts w:eastAsia="Calibri"/>
          <w:b/>
          <w:i/>
          <w:iCs/>
          <w:sz w:val="24"/>
          <w:szCs w:val="24"/>
        </w:rPr>
        <w:t>PAN</w:t>
      </w:r>
      <w:r w:rsidR="00FF1C5C" w:rsidRPr="003A0F7C">
        <w:rPr>
          <w:rFonts w:eastAsia="Calibri"/>
          <w:b/>
          <w:sz w:val="24"/>
          <w:szCs w:val="24"/>
        </w:rPr>
        <w:t xml:space="preserve"> como tercero interesado en el </w:t>
      </w:r>
      <w:r w:rsidR="004971EC" w:rsidRPr="003A0F7C">
        <w:rPr>
          <w:rFonts w:eastAsia="Calibri"/>
          <w:b/>
          <w:sz w:val="24"/>
          <w:szCs w:val="24"/>
        </w:rPr>
        <w:t xml:space="preserve">procedimiento relativo al </w:t>
      </w:r>
      <w:r w:rsidR="00FF1C5C" w:rsidRPr="003A0F7C">
        <w:rPr>
          <w:rFonts w:eastAsia="Calibri"/>
          <w:b/>
          <w:sz w:val="24"/>
          <w:szCs w:val="24"/>
        </w:rPr>
        <w:t>expediente TEEG-REV-18/2021 y acumulados</w:t>
      </w:r>
    </w:p>
    <w:p w14:paraId="2A80B1CB" w14:textId="4ABD129A" w:rsidR="004971EC" w:rsidRPr="003A0F7C" w:rsidRDefault="004971EC" w:rsidP="004971EC">
      <w:pPr>
        <w:pStyle w:val="Prrafodelista"/>
        <w:numPr>
          <w:ilvl w:val="0"/>
          <w:numId w:val="49"/>
        </w:numPr>
        <w:spacing w:before="280" w:after="280" w:line="360" w:lineRule="auto"/>
        <w:ind w:right="51"/>
        <w:jc w:val="both"/>
        <w:rPr>
          <w:rFonts w:eastAsia="Calibri"/>
          <w:bCs/>
          <w:i/>
          <w:iCs/>
          <w:sz w:val="24"/>
          <w:szCs w:val="24"/>
        </w:rPr>
      </w:pPr>
      <w:bookmarkStart w:id="19" w:name="_Hlk71124531"/>
      <w:r w:rsidRPr="003A0F7C">
        <w:rPr>
          <w:rFonts w:eastAsia="Calibri"/>
          <w:bCs/>
          <w:i/>
          <w:iCs/>
          <w:sz w:val="24"/>
          <w:szCs w:val="24"/>
        </w:rPr>
        <w:t>La parte actora señala que el Tribunal Local trastocó su garantía de audiencia como tercero interesado, pues únicamente otorgó un plazo de seis horas para que se apersonaran los terceros interesados, cuando la Ley Electoral Local prevé un plazo de cuarenta y ocho horas, además de que fue omiso en notificar de manera personal el auto de admisión a los terceros interesados</w:t>
      </w:r>
      <w:r w:rsidR="00D32003" w:rsidRPr="003A0F7C">
        <w:rPr>
          <w:rFonts w:eastAsia="Calibri"/>
          <w:bCs/>
          <w:i/>
          <w:iCs/>
          <w:sz w:val="24"/>
          <w:szCs w:val="24"/>
        </w:rPr>
        <w:t>, aunado a que los medios de impugnación no se radicaron dentro de los cuatro días siguientes a los que fueron presentados los medios de impugnación.</w:t>
      </w:r>
    </w:p>
    <w:bookmarkEnd w:id="19"/>
    <w:p w14:paraId="679CF75F" w14:textId="79798318" w:rsidR="004971EC" w:rsidRPr="003A0F7C" w:rsidRDefault="004971EC" w:rsidP="004971EC">
      <w:pPr>
        <w:spacing w:before="280" w:after="280" w:line="360" w:lineRule="auto"/>
        <w:ind w:right="51"/>
        <w:jc w:val="both"/>
        <w:rPr>
          <w:rFonts w:eastAsia="Calibri"/>
          <w:bCs/>
          <w:sz w:val="24"/>
          <w:szCs w:val="24"/>
        </w:rPr>
      </w:pPr>
      <w:r w:rsidRPr="003A0F7C">
        <w:rPr>
          <w:rFonts w:eastAsia="Calibri"/>
          <w:bCs/>
          <w:sz w:val="24"/>
          <w:szCs w:val="24"/>
        </w:rPr>
        <w:t xml:space="preserve">A consideración de esta Sala Regional, </w:t>
      </w:r>
      <w:r w:rsidRPr="003A0F7C">
        <w:rPr>
          <w:rFonts w:eastAsia="Calibri"/>
          <w:b/>
          <w:sz w:val="24"/>
          <w:szCs w:val="24"/>
        </w:rPr>
        <w:t>no le asiste la razón</w:t>
      </w:r>
      <w:r w:rsidRPr="003A0F7C">
        <w:rPr>
          <w:rFonts w:eastAsia="Calibri"/>
          <w:bCs/>
          <w:sz w:val="24"/>
          <w:szCs w:val="24"/>
        </w:rPr>
        <w:t xml:space="preserve"> al </w:t>
      </w:r>
      <w:r w:rsidRPr="003A0F7C">
        <w:rPr>
          <w:rFonts w:eastAsia="Calibri"/>
          <w:bCs/>
          <w:i/>
          <w:iCs/>
          <w:sz w:val="24"/>
          <w:szCs w:val="24"/>
        </w:rPr>
        <w:t>PAN</w:t>
      </w:r>
      <w:r w:rsidRPr="003A0F7C">
        <w:rPr>
          <w:rFonts w:eastAsia="Calibri"/>
          <w:bCs/>
          <w:sz w:val="24"/>
          <w:szCs w:val="24"/>
        </w:rPr>
        <w:t>, en atención a las siguientes consideraciones</w:t>
      </w:r>
      <w:r w:rsidR="00F5628B" w:rsidRPr="003A0F7C">
        <w:rPr>
          <w:rFonts w:eastAsia="Calibri"/>
          <w:bCs/>
          <w:sz w:val="24"/>
          <w:szCs w:val="24"/>
        </w:rPr>
        <w:t>.</w:t>
      </w:r>
    </w:p>
    <w:p w14:paraId="53563E41" w14:textId="6CA3F450" w:rsidR="004971EC" w:rsidRPr="003A0F7C" w:rsidRDefault="004971EC" w:rsidP="00173081">
      <w:pPr>
        <w:spacing w:before="280" w:after="280" w:line="360" w:lineRule="auto"/>
        <w:ind w:right="51"/>
        <w:jc w:val="both"/>
        <w:rPr>
          <w:rFonts w:eastAsia="Calibri"/>
          <w:bCs/>
          <w:sz w:val="24"/>
          <w:szCs w:val="24"/>
        </w:rPr>
      </w:pPr>
      <w:r w:rsidRPr="003A0F7C">
        <w:rPr>
          <w:rFonts w:eastAsia="Calibri"/>
          <w:bCs/>
          <w:sz w:val="24"/>
          <w:szCs w:val="24"/>
        </w:rPr>
        <w:t>De las constancias que obran en autos se advierte que MORENA, así como diversos ciudadanos interpusieron un recurso de revisión, así como diversos juicios ciudadanos locales en contra del acuerdo CGIEEG/104/2021</w:t>
      </w:r>
      <w:r w:rsidRPr="003A0F7C">
        <w:rPr>
          <w:rFonts w:eastAsia="Calibri"/>
          <w:b/>
          <w:sz w:val="24"/>
          <w:szCs w:val="24"/>
        </w:rPr>
        <w:t xml:space="preserve"> </w:t>
      </w:r>
      <w:r w:rsidRPr="003A0F7C">
        <w:rPr>
          <w:rFonts w:eastAsia="Calibri"/>
          <w:bCs/>
          <w:sz w:val="24"/>
          <w:szCs w:val="24"/>
        </w:rPr>
        <w:t xml:space="preserve">del </w:t>
      </w:r>
      <w:r w:rsidRPr="003A0F7C">
        <w:rPr>
          <w:rFonts w:eastAsia="Calibri"/>
          <w:bCs/>
          <w:i/>
          <w:iCs/>
          <w:sz w:val="24"/>
          <w:szCs w:val="24"/>
        </w:rPr>
        <w:t>Instituto Electoral Local</w:t>
      </w:r>
      <w:r w:rsidRPr="003A0F7C">
        <w:rPr>
          <w:rFonts w:eastAsia="Calibri"/>
          <w:bCs/>
          <w:sz w:val="24"/>
          <w:szCs w:val="24"/>
        </w:rPr>
        <w:t xml:space="preserve"> en el que determinó improcedente el registro de las planillas para integrar los ayuntamientos de Apaseo el Grande, Celaya, </w:t>
      </w:r>
      <w:proofErr w:type="spellStart"/>
      <w:r w:rsidRPr="003A0F7C">
        <w:rPr>
          <w:rFonts w:eastAsia="Calibri"/>
          <w:bCs/>
          <w:sz w:val="24"/>
          <w:szCs w:val="24"/>
        </w:rPr>
        <w:t>Cortazar</w:t>
      </w:r>
      <w:proofErr w:type="spellEnd"/>
      <w:r w:rsidRPr="003A0F7C">
        <w:rPr>
          <w:rFonts w:eastAsia="Calibri"/>
          <w:bCs/>
          <w:sz w:val="24"/>
          <w:szCs w:val="24"/>
        </w:rPr>
        <w:t>, Cuerámaro, Dolores Hidalgo Cuna de la Independencia Nacional, Guanajuato, Moroleón, Pueblo Nuevo, Salamanca, Tarimoro y Victoria.</w:t>
      </w:r>
    </w:p>
    <w:p w14:paraId="68E09C3E" w14:textId="0373F54B" w:rsidR="004971EC" w:rsidRPr="003A0F7C" w:rsidRDefault="004971EC" w:rsidP="00173081">
      <w:pPr>
        <w:spacing w:before="280" w:after="280" w:line="360" w:lineRule="auto"/>
        <w:ind w:right="51"/>
        <w:jc w:val="both"/>
        <w:rPr>
          <w:rFonts w:eastAsia="Calibri"/>
          <w:bCs/>
          <w:sz w:val="24"/>
          <w:szCs w:val="24"/>
        </w:rPr>
      </w:pPr>
      <w:r w:rsidRPr="003A0F7C">
        <w:rPr>
          <w:rFonts w:eastAsia="Calibri"/>
          <w:bCs/>
          <w:sz w:val="24"/>
          <w:szCs w:val="24"/>
        </w:rPr>
        <w:t xml:space="preserve">En fecha diecisiete de abril, el </w:t>
      </w:r>
      <w:r w:rsidRPr="003A0F7C">
        <w:rPr>
          <w:rFonts w:eastAsia="Calibri"/>
          <w:bCs/>
          <w:i/>
          <w:iCs/>
          <w:sz w:val="24"/>
          <w:szCs w:val="24"/>
        </w:rPr>
        <w:t>Tribunal Local</w:t>
      </w:r>
      <w:r w:rsidRPr="003A0F7C">
        <w:rPr>
          <w:rFonts w:eastAsia="Calibri"/>
          <w:bCs/>
          <w:sz w:val="24"/>
          <w:szCs w:val="24"/>
        </w:rPr>
        <w:t xml:space="preserve"> emitió acuerdo en el que determinó acumular los expedientes TEEG-JPDC-46/2021, TEEG-JPDC-52/2021, TEEG-JPDC- 53/2021, TEEG-JPDC-54/2021, TEEG-JPDC-55/2021, TEEG-JPDC- 56/2021, TEEG-JPDC-90/2021, TEEG-JPDC-91/2021, TEEG-JPDC- 92/2021, TEEG-JPDC-93/2021, TEEG-JPDC-96/2021, TEEG-JPDC-97/2021, TEEG-JPDC-112/2021, TEEG-JPDC-113/2021, TEEG-JPDC-114/2021, TEEG-JPDC-118/2021 y TEEG-JPDC-119/2021 al recurso de revisión </w:t>
      </w:r>
      <w:bookmarkStart w:id="20" w:name="_Hlk71122893"/>
      <w:r w:rsidRPr="003A0F7C">
        <w:rPr>
          <w:rFonts w:eastAsia="Calibri"/>
          <w:bCs/>
          <w:sz w:val="24"/>
          <w:szCs w:val="24"/>
        </w:rPr>
        <w:t>TEEG-REV-18/2021</w:t>
      </w:r>
      <w:bookmarkEnd w:id="20"/>
      <w:r w:rsidRPr="003A0F7C">
        <w:rPr>
          <w:rFonts w:eastAsia="Calibri"/>
          <w:bCs/>
          <w:sz w:val="24"/>
          <w:szCs w:val="24"/>
        </w:rPr>
        <w:t xml:space="preserve">, </w:t>
      </w:r>
      <w:r w:rsidR="00053D68" w:rsidRPr="003A0F7C">
        <w:rPr>
          <w:rFonts w:eastAsia="Calibri"/>
          <w:bCs/>
          <w:sz w:val="24"/>
          <w:szCs w:val="24"/>
        </w:rPr>
        <w:t xml:space="preserve">al estar estrechamente relacionados, pues en ellos se controvertía la resolución del </w:t>
      </w:r>
      <w:r w:rsidR="00053D68" w:rsidRPr="003A0F7C">
        <w:rPr>
          <w:rFonts w:eastAsia="Calibri"/>
          <w:bCs/>
          <w:i/>
          <w:iCs/>
          <w:sz w:val="24"/>
          <w:szCs w:val="24"/>
        </w:rPr>
        <w:t xml:space="preserve">Instituto Electoral Local </w:t>
      </w:r>
      <w:r w:rsidR="00053D68" w:rsidRPr="003A0F7C">
        <w:rPr>
          <w:rFonts w:eastAsia="Calibri"/>
          <w:bCs/>
          <w:sz w:val="24"/>
          <w:szCs w:val="24"/>
        </w:rPr>
        <w:t>que negó el registro de diversas planillas de MORENA.</w:t>
      </w:r>
      <w:r w:rsidRPr="003A0F7C">
        <w:rPr>
          <w:rFonts w:eastAsia="Calibri"/>
          <w:bCs/>
          <w:sz w:val="24"/>
          <w:szCs w:val="24"/>
        </w:rPr>
        <w:t xml:space="preserve"> </w:t>
      </w:r>
    </w:p>
    <w:p w14:paraId="1295E3DD" w14:textId="5AB595AC" w:rsidR="00053D68" w:rsidRPr="003A0F7C" w:rsidRDefault="00053D68" w:rsidP="00173081">
      <w:pPr>
        <w:spacing w:before="280" w:after="280" w:line="360" w:lineRule="auto"/>
        <w:ind w:right="51"/>
        <w:jc w:val="both"/>
        <w:rPr>
          <w:rFonts w:eastAsia="Calibri"/>
          <w:bCs/>
          <w:sz w:val="24"/>
          <w:szCs w:val="24"/>
        </w:rPr>
      </w:pPr>
      <w:r w:rsidRPr="003A0F7C">
        <w:rPr>
          <w:rFonts w:eastAsia="Calibri"/>
          <w:bCs/>
          <w:sz w:val="24"/>
          <w:szCs w:val="24"/>
        </w:rPr>
        <w:lastRenderedPageBreak/>
        <w:t xml:space="preserve">Entre otras cuestiones en dicho auto, el </w:t>
      </w:r>
      <w:r w:rsidRPr="003A0F7C">
        <w:rPr>
          <w:rFonts w:eastAsia="Calibri"/>
          <w:bCs/>
          <w:i/>
          <w:iCs/>
          <w:sz w:val="24"/>
          <w:szCs w:val="24"/>
        </w:rPr>
        <w:t>Tribunal Local</w:t>
      </w:r>
      <w:r w:rsidRPr="003A0F7C">
        <w:rPr>
          <w:rFonts w:eastAsia="Calibri"/>
          <w:bCs/>
          <w:sz w:val="24"/>
          <w:szCs w:val="24"/>
        </w:rPr>
        <w:t xml:space="preserve"> admitió </w:t>
      </w:r>
      <w:r w:rsidR="004235E2" w:rsidRPr="003A0F7C">
        <w:rPr>
          <w:rFonts w:eastAsia="Calibri"/>
          <w:bCs/>
          <w:sz w:val="24"/>
          <w:szCs w:val="24"/>
        </w:rPr>
        <w:t xml:space="preserve">el recurso, así como los juicios ciudadanos locales, teniendo como autoridad responsable al Consejo General del </w:t>
      </w:r>
      <w:r w:rsidR="004235E2" w:rsidRPr="003A0F7C">
        <w:rPr>
          <w:rFonts w:eastAsia="Calibri"/>
          <w:bCs/>
          <w:i/>
          <w:iCs/>
          <w:sz w:val="24"/>
          <w:szCs w:val="24"/>
        </w:rPr>
        <w:t>Instituto Electoral Local,</w:t>
      </w:r>
      <w:r w:rsidR="004235E2" w:rsidRPr="003A0F7C">
        <w:rPr>
          <w:rFonts w:eastAsia="Calibri"/>
          <w:bCs/>
          <w:sz w:val="24"/>
          <w:szCs w:val="24"/>
        </w:rPr>
        <w:t xml:space="preserve"> otorgándole el término de seis horas, </w:t>
      </w:r>
      <w:r w:rsidR="00655DCE" w:rsidRPr="003A0F7C">
        <w:rPr>
          <w:rFonts w:eastAsia="Calibri"/>
          <w:bCs/>
          <w:sz w:val="24"/>
          <w:szCs w:val="24"/>
        </w:rPr>
        <w:t>a</w:t>
      </w:r>
      <w:r w:rsidR="004235E2" w:rsidRPr="003A0F7C">
        <w:rPr>
          <w:rFonts w:eastAsia="Calibri"/>
          <w:bCs/>
          <w:sz w:val="24"/>
          <w:szCs w:val="24"/>
        </w:rPr>
        <w:t xml:space="preserve"> cualquier persona diversa interesada, para que en caso de estimarlo comparecieran a manifestar alegaciones y ofrecieran pruebas.</w:t>
      </w:r>
    </w:p>
    <w:p w14:paraId="3DA0453F" w14:textId="5E20D2A7" w:rsidR="004235E2" w:rsidRPr="003A0F7C" w:rsidRDefault="00417A53" w:rsidP="00173081">
      <w:pPr>
        <w:spacing w:before="280" w:after="280" w:line="360" w:lineRule="auto"/>
        <w:ind w:right="51"/>
        <w:jc w:val="both"/>
        <w:rPr>
          <w:rFonts w:eastAsia="Calibri"/>
          <w:bCs/>
          <w:sz w:val="24"/>
          <w:szCs w:val="24"/>
        </w:rPr>
      </w:pPr>
      <w:r w:rsidRPr="003A0F7C">
        <w:rPr>
          <w:rFonts w:eastAsia="Calibri"/>
          <w:bCs/>
          <w:sz w:val="24"/>
          <w:szCs w:val="24"/>
        </w:rPr>
        <w:t xml:space="preserve">Lo anterior, lo determinó </w:t>
      </w:r>
      <w:r w:rsidR="00655DCE" w:rsidRPr="003A0F7C">
        <w:rPr>
          <w:rFonts w:eastAsia="Calibri"/>
          <w:bCs/>
          <w:sz w:val="24"/>
          <w:szCs w:val="24"/>
        </w:rPr>
        <w:t>con</w:t>
      </w:r>
      <w:r w:rsidRPr="003A0F7C">
        <w:rPr>
          <w:rFonts w:eastAsia="Calibri"/>
          <w:bCs/>
          <w:sz w:val="24"/>
          <w:szCs w:val="24"/>
        </w:rPr>
        <w:t xml:space="preserve"> base </w:t>
      </w:r>
      <w:r w:rsidR="00655DCE" w:rsidRPr="003A0F7C">
        <w:rPr>
          <w:rFonts w:eastAsia="Calibri"/>
          <w:bCs/>
          <w:sz w:val="24"/>
          <w:szCs w:val="24"/>
        </w:rPr>
        <w:t>en</w:t>
      </w:r>
      <w:r w:rsidRPr="003A0F7C">
        <w:rPr>
          <w:rFonts w:eastAsia="Calibri"/>
          <w:bCs/>
          <w:sz w:val="24"/>
          <w:szCs w:val="24"/>
        </w:rPr>
        <w:t xml:space="preserve"> que los juicios </w:t>
      </w:r>
      <w:bookmarkStart w:id="21" w:name="_Hlk71122538"/>
      <w:r w:rsidRPr="003A0F7C">
        <w:rPr>
          <w:rFonts w:eastAsia="Calibri"/>
          <w:bCs/>
          <w:sz w:val="24"/>
          <w:szCs w:val="24"/>
        </w:rPr>
        <w:t>TEEG-JPDC-118/2021 y TEEG-JPDC-119/2021</w:t>
      </w:r>
      <w:bookmarkEnd w:id="21"/>
      <w:r w:rsidRPr="003A0F7C">
        <w:rPr>
          <w:rFonts w:eastAsia="Calibri"/>
          <w:bCs/>
          <w:sz w:val="24"/>
          <w:szCs w:val="24"/>
        </w:rPr>
        <w:t>, originados por los acuerdos plenarios de reencauzamiento dictados por esta Sala Regional, se otorgó un plazo para su resolución de dos días, contados a partir de que recibiera las constancias correspondientes.</w:t>
      </w:r>
    </w:p>
    <w:p w14:paraId="57BD1FF1" w14:textId="0ABD0FE3" w:rsidR="00417A53" w:rsidRPr="003A0F7C" w:rsidRDefault="00417A53" w:rsidP="00173081">
      <w:pPr>
        <w:spacing w:before="280" w:after="280" w:line="360" w:lineRule="auto"/>
        <w:ind w:right="51"/>
        <w:jc w:val="both"/>
        <w:rPr>
          <w:rFonts w:eastAsia="Calibri"/>
          <w:bCs/>
          <w:sz w:val="24"/>
          <w:szCs w:val="24"/>
        </w:rPr>
      </w:pPr>
      <w:r w:rsidRPr="003A0F7C">
        <w:rPr>
          <w:rFonts w:eastAsia="Calibri"/>
          <w:bCs/>
          <w:sz w:val="24"/>
          <w:szCs w:val="24"/>
        </w:rPr>
        <w:t>Dicho acuerdo fue notificado por estrados a las partes y a cualquier persona diversa tercera interesada a las veinte horas del día diecisiete de abril, tal y como se desprende de la foja 109 de autos del cuaderno accesorio uno.</w:t>
      </w:r>
    </w:p>
    <w:p w14:paraId="12171EF5" w14:textId="4315A223" w:rsidR="00417A53" w:rsidRPr="003A0F7C" w:rsidRDefault="00417A53" w:rsidP="00173081">
      <w:pPr>
        <w:spacing w:before="280" w:after="280" w:line="360" w:lineRule="auto"/>
        <w:ind w:right="51"/>
        <w:jc w:val="both"/>
        <w:rPr>
          <w:rFonts w:eastAsia="Calibri"/>
          <w:bCs/>
          <w:sz w:val="24"/>
          <w:szCs w:val="24"/>
        </w:rPr>
      </w:pPr>
      <w:r w:rsidRPr="003A0F7C">
        <w:rPr>
          <w:rFonts w:eastAsia="Calibri"/>
          <w:bCs/>
          <w:sz w:val="24"/>
          <w:szCs w:val="24"/>
        </w:rPr>
        <w:t xml:space="preserve">Ahora bien, se considera que no se violentó la garantía de audiencia del </w:t>
      </w:r>
      <w:r w:rsidRPr="003A0F7C">
        <w:rPr>
          <w:rFonts w:eastAsia="Calibri"/>
          <w:bCs/>
          <w:i/>
          <w:iCs/>
          <w:sz w:val="24"/>
          <w:szCs w:val="24"/>
        </w:rPr>
        <w:t>PAN</w:t>
      </w:r>
      <w:r w:rsidRPr="003A0F7C">
        <w:rPr>
          <w:rFonts w:eastAsia="Calibri"/>
          <w:bCs/>
          <w:sz w:val="24"/>
          <w:szCs w:val="24"/>
        </w:rPr>
        <w:t xml:space="preserve"> como tercero interesado, pues como se ha precisado en líneas anteriores el </w:t>
      </w:r>
      <w:r w:rsidRPr="003A0F7C">
        <w:rPr>
          <w:rFonts w:eastAsia="Calibri"/>
          <w:bCs/>
          <w:i/>
          <w:iCs/>
          <w:sz w:val="24"/>
          <w:szCs w:val="24"/>
        </w:rPr>
        <w:t>Tribunal Local</w:t>
      </w:r>
      <w:r w:rsidRPr="003A0F7C">
        <w:rPr>
          <w:rFonts w:eastAsia="Calibri"/>
          <w:bCs/>
          <w:sz w:val="24"/>
          <w:szCs w:val="24"/>
        </w:rPr>
        <w:t xml:space="preserve"> otorgó plazo para que en su caso se apersonaran a juicio cualquier tercero que con un derecho incompatible al de los actores.</w:t>
      </w:r>
    </w:p>
    <w:p w14:paraId="2FF9F960" w14:textId="3C60556B" w:rsidR="00D40CE1" w:rsidRPr="003A0F7C" w:rsidRDefault="00D40CE1" w:rsidP="00173081">
      <w:pPr>
        <w:spacing w:before="280" w:after="280" w:line="360" w:lineRule="auto"/>
        <w:ind w:right="51"/>
        <w:jc w:val="both"/>
        <w:rPr>
          <w:rFonts w:eastAsia="Calibri"/>
          <w:bCs/>
          <w:sz w:val="24"/>
          <w:szCs w:val="24"/>
        </w:rPr>
      </w:pPr>
      <w:r w:rsidRPr="003A0F7C">
        <w:rPr>
          <w:rFonts w:eastAsia="Calibri"/>
          <w:bCs/>
          <w:sz w:val="24"/>
          <w:szCs w:val="24"/>
        </w:rPr>
        <w:t>En cuanto a que únicamente se otorgó un plazo de seis horas, se tiene que se encuentra justificada tal determinación</w:t>
      </w:r>
      <w:r w:rsidR="00E047F0" w:rsidRPr="003A0F7C">
        <w:rPr>
          <w:rFonts w:eastAsia="Calibri"/>
          <w:bCs/>
          <w:sz w:val="24"/>
          <w:szCs w:val="24"/>
        </w:rPr>
        <w:t>,</w:t>
      </w:r>
      <w:r w:rsidRPr="003A0F7C">
        <w:rPr>
          <w:rFonts w:eastAsia="Calibri"/>
          <w:bCs/>
          <w:sz w:val="24"/>
          <w:szCs w:val="24"/>
        </w:rPr>
        <w:t xml:space="preserve"> pues </w:t>
      </w:r>
      <w:r w:rsidR="0099034F" w:rsidRPr="003A0F7C">
        <w:rPr>
          <w:rFonts w:eastAsia="Calibri"/>
          <w:bCs/>
          <w:sz w:val="24"/>
          <w:szCs w:val="24"/>
        </w:rPr>
        <w:t xml:space="preserve">tal y como lo precisó el </w:t>
      </w:r>
      <w:r w:rsidR="0099034F" w:rsidRPr="003A0F7C">
        <w:rPr>
          <w:rFonts w:eastAsia="Calibri"/>
          <w:bCs/>
          <w:i/>
          <w:iCs/>
          <w:sz w:val="24"/>
          <w:szCs w:val="24"/>
        </w:rPr>
        <w:t>Tribunal Local</w:t>
      </w:r>
      <w:r w:rsidR="0099034F" w:rsidRPr="003A0F7C">
        <w:rPr>
          <w:rFonts w:eastAsia="Calibri"/>
          <w:bCs/>
          <w:sz w:val="24"/>
          <w:szCs w:val="24"/>
        </w:rPr>
        <w:t xml:space="preserve"> en los juicios TEEG-JPDC-118/2021 y TEEG-JPDC-119/2021, originados por los acuerdos plenarios dictados por esta Sala Regional en los asuntos SM-JDC-216/2021 y SM-JDC-217/2021, se otorgó el plazo de dos días para resolver los mismos.</w:t>
      </w:r>
    </w:p>
    <w:p w14:paraId="56B9CDD3" w14:textId="5C1346FD" w:rsidR="0099034F" w:rsidRPr="003A0F7C" w:rsidRDefault="0099034F" w:rsidP="00173081">
      <w:pPr>
        <w:spacing w:before="280" w:after="280" w:line="360" w:lineRule="auto"/>
        <w:ind w:right="51"/>
        <w:jc w:val="both"/>
        <w:rPr>
          <w:rFonts w:eastAsia="Calibri"/>
          <w:bCs/>
          <w:sz w:val="24"/>
          <w:szCs w:val="24"/>
        </w:rPr>
      </w:pPr>
      <w:r w:rsidRPr="003A0F7C">
        <w:rPr>
          <w:rFonts w:eastAsia="Calibri"/>
          <w:bCs/>
          <w:sz w:val="24"/>
          <w:szCs w:val="24"/>
        </w:rPr>
        <w:t>Ante esta situación, y ya que los juicios TEEG-JPDC-118/2021 y TEEG-JPDC-119/2021, fueron acumulados al diverso recurso de revisión</w:t>
      </w:r>
      <w:r w:rsidRPr="003A0F7C">
        <w:t xml:space="preserve"> </w:t>
      </w:r>
      <w:r w:rsidRPr="003A0F7C">
        <w:rPr>
          <w:rFonts w:eastAsia="Calibri"/>
          <w:bCs/>
          <w:sz w:val="24"/>
          <w:szCs w:val="24"/>
        </w:rPr>
        <w:t>TEEG-REV-18/2021, fue razonable el plazo que otorgó el Tribunal Local para que cualquier persona interesada compareciera a juicio.</w:t>
      </w:r>
    </w:p>
    <w:p w14:paraId="6A974CF2" w14:textId="36DCC157" w:rsidR="0099034F" w:rsidRPr="003A0F7C" w:rsidRDefault="0099034F" w:rsidP="00173081">
      <w:pPr>
        <w:spacing w:before="280" w:after="280" w:line="360" w:lineRule="auto"/>
        <w:ind w:right="51"/>
        <w:jc w:val="both"/>
        <w:rPr>
          <w:rFonts w:eastAsia="Calibri"/>
          <w:bCs/>
          <w:sz w:val="24"/>
          <w:szCs w:val="24"/>
        </w:rPr>
      </w:pPr>
      <w:r w:rsidRPr="003A0F7C">
        <w:rPr>
          <w:rFonts w:eastAsia="Calibri"/>
          <w:bCs/>
          <w:sz w:val="24"/>
          <w:szCs w:val="24"/>
        </w:rPr>
        <w:t>Máxime que no debe perderse de vista, que el asunto controvertido en la instancia local consistía en un asunto de urgente resolución, por lo que aún y cuando pudo resolver los expedientes que acumuló sin haber finalizado el trámite respectivo, otorgó un plazo a fin de respetar la garantía de audiencia de los terceros que tuvieran un interés en el asunto.</w:t>
      </w:r>
    </w:p>
    <w:p w14:paraId="4DF1E94B" w14:textId="5597BB2F" w:rsidR="0099034F" w:rsidRPr="003A0F7C" w:rsidRDefault="0099034F" w:rsidP="00173081">
      <w:pPr>
        <w:spacing w:before="280" w:after="280" w:line="360" w:lineRule="auto"/>
        <w:ind w:right="51"/>
        <w:jc w:val="both"/>
        <w:rPr>
          <w:rFonts w:eastAsia="Calibri"/>
          <w:bCs/>
          <w:sz w:val="24"/>
          <w:szCs w:val="24"/>
        </w:rPr>
      </w:pPr>
      <w:r w:rsidRPr="003A0F7C">
        <w:rPr>
          <w:rFonts w:eastAsia="Calibri"/>
          <w:bCs/>
          <w:sz w:val="24"/>
          <w:szCs w:val="24"/>
        </w:rPr>
        <w:lastRenderedPageBreak/>
        <w:t>Debe señalarse que de conformidad con la tesis III/2021 de rubro “</w:t>
      </w:r>
      <w:r w:rsidRPr="003A0F7C">
        <w:rPr>
          <w:rFonts w:eastAsia="Calibri"/>
          <w:bCs/>
          <w:i/>
          <w:iCs/>
          <w:sz w:val="24"/>
          <w:szCs w:val="24"/>
        </w:rPr>
        <w:t>MEDIOS DE IMPUGNACIÓN. EXCEPCIONALMENTE PODRÁ EMITIRSE LA SENTENCIA SIN QUE HAYA CONCLUIDO EL TRÁMITE</w:t>
      </w:r>
      <w:r w:rsidRPr="003A0F7C">
        <w:rPr>
          <w:rFonts w:eastAsia="Calibri"/>
          <w:bCs/>
          <w:sz w:val="24"/>
          <w:szCs w:val="24"/>
        </w:rPr>
        <w:t>”</w:t>
      </w:r>
      <w:r w:rsidR="00764563" w:rsidRPr="003A0F7C">
        <w:rPr>
          <w:rStyle w:val="Refdenotaalpie"/>
          <w:rFonts w:eastAsia="Calibri"/>
          <w:bCs/>
          <w:sz w:val="24"/>
          <w:szCs w:val="24"/>
        </w:rPr>
        <w:footnoteReference w:id="2"/>
      </w:r>
      <w:r w:rsidRPr="003A0F7C">
        <w:rPr>
          <w:rFonts w:eastAsia="Calibri"/>
          <w:bCs/>
          <w:sz w:val="24"/>
          <w:szCs w:val="24"/>
        </w:rPr>
        <w:t xml:space="preserve">, se establece que excepcionalmente, en aquellos asuntos de urgente resolución, será posible la emisión de una sentencia sin que haya finalizado el trámite, por tanto, el hecho de que no se hubiera respetado el plazo de cuarenta y ocho horas establecido en la </w:t>
      </w:r>
      <w:r w:rsidRPr="003A0F7C">
        <w:rPr>
          <w:rFonts w:eastAsia="Calibri"/>
          <w:bCs/>
          <w:i/>
          <w:iCs/>
          <w:sz w:val="24"/>
          <w:szCs w:val="24"/>
        </w:rPr>
        <w:t>Ley Electoral Local</w:t>
      </w:r>
      <w:r w:rsidRPr="003A0F7C">
        <w:rPr>
          <w:rStyle w:val="Refdenotaalpie"/>
          <w:rFonts w:eastAsia="Calibri"/>
          <w:bCs/>
          <w:sz w:val="24"/>
          <w:szCs w:val="24"/>
        </w:rPr>
        <w:footnoteReference w:id="3"/>
      </w:r>
      <w:r w:rsidRPr="003A0F7C">
        <w:rPr>
          <w:rFonts w:eastAsia="Calibri"/>
          <w:bCs/>
          <w:sz w:val="24"/>
          <w:szCs w:val="24"/>
        </w:rPr>
        <w:t xml:space="preserve">, no causa perjuicio alguno al </w:t>
      </w:r>
      <w:r w:rsidRPr="003A0F7C">
        <w:rPr>
          <w:rFonts w:eastAsia="Calibri"/>
          <w:bCs/>
          <w:i/>
          <w:iCs/>
          <w:sz w:val="24"/>
          <w:szCs w:val="24"/>
        </w:rPr>
        <w:t>PAN</w:t>
      </w:r>
      <w:r w:rsidRPr="003A0F7C">
        <w:rPr>
          <w:rFonts w:eastAsia="Calibri"/>
          <w:bCs/>
          <w:sz w:val="24"/>
          <w:szCs w:val="24"/>
        </w:rPr>
        <w:t>, pues por una parte</w:t>
      </w:r>
      <w:r w:rsidR="000B7E16" w:rsidRPr="003A0F7C">
        <w:rPr>
          <w:rFonts w:eastAsia="Calibri"/>
          <w:bCs/>
          <w:sz w:val="24"/>
          <w:szCs w:val="24"/>
        </w:rPr>
        <w:t>,</w:t>
      </w:r>
      <w:r w:rsidRPr="003A0F7C">
        <w:rPr>
          <w:rFonts w:eastAsia="Calibri"/>
          <w:bCs/>
          <w:sz w:val="24"/>
          <w:szCs w:val="24"/>
        </w:rPr>
        <w:t xml:space="preserve"> sí otorgó término a los terceros para que comparecieran, y por otro lado, </w:t>
      </w:r>
      <w:r w:rsidR="00764563" w:rsidRPr="003A0F7C">
        <w:rPr>
          <w:rFonts w:eastAsia="Calibri"/>
          <w:bCs/>
          <w:sz w:val="24"/>
          <w:szCs w:val="24"/>
        </w:rPr>
        <w:t xml:space="preserve">es claro que el asunto a dilucidar por el </w:t>
      </w:r>
      <w:r w:rsidR="00764563" w:rsidRPr="003A0F7C">
        <w:rPr>
          <w:rFonts w:eastAsia="Calibri"/>
          <w:bCs/>
          <w:i/>
          <w:iCs/>
          <w:sz w:val="24"/>
          <w:szCs w:val="24"/>
        </w:rPr>
        <w:t>Tribunal Local</w:t>
      </w:r>
      <w:r w:rsidR="00764563" w:rsidRPr="003A0F7C">
        <w:rPr>
          <w:rFonts w:eastAsia="Calibri"/>
          <w:bCs/>
          <w:sz w:val="24"/>
          <w:szCs w:val="24"/>
        </w:rPr>
        <w:t xml:space="preserve"> correspondía a uno de urgente resolución.</w:t>
      </w:r>
    </w:p>
    <w:p w14:paraId="38F4D75C" w14:textId="34846F1F" w:rsidR="00BD2856" w:rsidRPr="003A0F7C" w:rsidRDefault="00BD2856" w:rsidP="00836638">
      <w:pPr>
        <w:spacing w:before="280" w:after="280" w:line="360" w:lineRule="auto"/>
        <w:ind w:right="51"/>
        <w:jc w:val="both"/>
        <w:rPr>
          <w:rFonts w:eastAsia="Calibri"/>
          <w:bCs/>
          <w:sz w:val="24"/>
          <w:szCs w:val="24"/>
        </w:rPr>
      </w:pPr>
      <w:r w:rsidRPr="003A0F7C">
        <w:rPr>
          <w:rFonts w:eastAsia="Calibri"/>
          <w:bCs/>
          <w:sz w:val="24"/>
          <w:szCs w:val="24"/>
        </w:rPr>
        <w:t xml:space="preserve">Por otro lado, </w:t>
      </w:r>
      <w:r w:rsidR="00E07ACE" w:rsidRPr="003A0F7C">
        <w:rPr>
          <w:rFonts w:eastAsia="Calibri"/>
          <w:bCs/>
          <w:sz w:val="24"/>
          <w:szCs w:val="24"/>
        </w:rPr>
        <w:t xml:space="preserve">en cuanto a que únicamente se notificó por estrados el acuerdo donde se otorgó término a los terceros interesados para apersonarse a juicio, mismo </w:t>
      </w:r>
      <w:r w:rsidR="00836638" w:rsidRPr="003A0F7C">
        <w:rPr>
          <w:rFonts w:eastAsia="Calibri"/>
          <w:bCs/>
          <w:sz w:val="24"/>
          <w:szCs w:val="24"/>
        </w:rPr>
        <w:t xml:space="preserve">que debió notificársele </w:t>
      </w:r>
      <w:r w:rsidRPr="003A0F7C">
        <w:rPr>
          <w:rFonts w:eastAsia="Calibri"/>
          <w:bCs/>
          <w:sz w:val="24"/>
          <w:szCs w:val="24"/>
        </w:rPr>
        <w:t>personalmente.</w:t>
      </w:r>
    </w:p>
    <w:p w14:paraId="3474AEC1" w14:textId="041D72C9" w:rsidR="00BD2856" w:rsidRPr="003A0F7C" w:rsidRDefault="00E07ACE" w:rsidP="00173081">
      <w:pPr>
        <w:spacing w:before="280" w:after="280" w:line="360" w:lineRule="auto"/>
        <w:ind w:right="51"/>
        <w:jc w:val="both"/>
        <w:rPr>
          <w:rFonts w:eastAsia="Calibri"/>
          <w:bCs/>
          <w:sz w:val="24"/>
          <w:szCs w:val="24"/>
        </w:rPr>
      </w:pPr>
      <w:r w:rsidRPr="003A0F7C">
        <w:rPr>
          <w:rFonts w:eastAsia="Calibri"/>
          <w:bCs/>
          <w:sz w:val="24"/>
          <w:szCs w:val="24"/>
        </w:rPr>
        <w:t xml:space="preserve">Al respecto, </w:t>
      </w:r>
      <w:r w:rsidRPr="003A0F7C">
        <w:rPr>
          <w:rFonts w:eastAsia="Calibri"/>
          <w:b/>
          <w:sz w:val="24"/>
          <w:szCs w:val="24"/>
        </w:rPr>
        <w:t>no le asiste</w:t>
      </w:r>
      <w:r w:rsidRPr="003A0F7C">
        <w:rPr>
          <w:rFonts w:eastAsia="Calibri"/>
          <w:bCs/>
          <w:sz w:val="24"/>
          <w:szCs w:val="24"/>
        </w:rPr>
        <w:t xml:space="preserve"> la razón al actor, </w:t>
      </w:r>
      <w:r w:rsidR="00836638" w:rsidRPr="003A0F7C">
        <w:rPr>
          <w:rFonts w:eastAsia="Calibri"/>
          <w:bCs/>
          <w:sz w:val="24"/>
          <w:szCs w:val="24"/>
        </w:rPr>
        <w:t xml:space="preserve">pues por regla general a los terceros interesados se </w:t>
      </w:r>
      <w:r w:rsidR="00034FBA" w:rsidRPr="003A0F7C">
        <w:rPr>
          <w:rFonts w:eastAsia="Calibri"/>
          <w:bCs/>
          <w:sz w:val="24"/>
          <w:szCs w:val="24"/>
        </w:rPr>
        <w:t xml:space="preserve">les </w:t>
      </w:r>
      <w:r w:rsidR="00836638" w:rsidRPr="003A0F7C">
        <w:rPr>
          <w:rFonts w:eastAsia="Calibri"/>
          <w:bCs/>
          <w:sz w:val="24"/>
          <w:szCs w:val="24"/>
        </w:rPr>
        <w:t>notifica por estrados.</w:t>
      </w:r>
    </w:p>
    <w:p w14:paraId="4F4F4313" w14:textId="627965A2" w:rsidR="00836638" w:rsidRPr="003A0F7C" w:rsidRDefault="00836638" w:rsidP="00173081">
      <w:pPr>
        <w:spacing w:before="280" w:after="280" w:line="360" w:lineRule="auto"/>
        <w:ind w:right="51"/>
        <w:jc w:val="both"/>
        <w:rPr>
          <w:rFonts w:eastAsia="Calibri"/>
          <w:bCs/>
          <w:sz w:val="24"/>
          <w:szCs w:val="24"/>
        </w:rPr>
      </w:pPr>
      <w:r w:rsidRPr="003A0F7C">
        <w:rPr>
          <w:rFonts w:eastAsia="Calibri"/>
          <w:bCs/>
          <w:sz w:val="24"/>
          <w:szCs w:val="24"/>
        </w:rPr>
        <w:t>Atendiendo a las particularidades del caso, tal y como lo es la urgencia de resolver el asunto que se planteó en la instancia local</w:t>
      </w:r>
      <w:r w:rsidR="00C426D5" w:rsidRPr="003A0F7C">
        <w:rPr>
          <w:rFonts w:eastAsia="Calibri"/>
          <w:bCs/>
          <w:sz w:val="24"/>
          <w:szCs w:val="24"/>
        </w:rPr>
        <w:t xml:space="preserve"> derivado de lo ordenado por esta Sala Regional</w:t>
      </w:r>
      <w:r w:rsidRPr="003A0F7C">
        <w:rPr>
          <w:rFonts w:eastAsia="Calibri"/>
          <w:bCs/>
          <w:sz w:val="24"/>
          <w:szCs w:val="24"/>
        </w:rPr>
        <w:t xml:space="preserve">, </w:t>
      </w:r>
      <w:r w:rsidR="00354BB3" w:rsidRPr="003A0F7C">
        <w:rPr>
          <w:rFonts w:eastAsia="Calibri"/>
          <w:bCs/>
          <w:sz w:val="24"/>
          <w:szCs w:val="24"/>
        </w:rPr>
        <w:t>fue correcto que se notificara por estrados la admisión y el llamado a terceros interesado, pues como se ha dicho por regla general se notifican por estrados las determinaciones en que se convocan a los mismos a que se apersonen en juicio</w:t>
      </w:r>
      <w:r w:rsidR="00C426D5" w:rsidRPr="003A0F7C">
        <w:rPr>
          <w:rFonts w:eastAsia="Calibri"/>
          <w:bCs/>
          <w:sz w:val="24"/>
          <w:szCs w:val="24"/>
        </w:rPr>
        <w:t xml:space="preserve">. </w:t>
      </w:r>
    </w:p>
    <w:p w14:paraId="793B82A2" w14:textId="04D5195B" w:rsidR="00354BB3" w:rsidRPr="003A0F7C" w:rsidRDefault="00D86F30" w:rsidP="00BC0A04">
      <w:pPr>
        <w:spacing w:before="280" w:after="280" w:line="360" w:lineRule="auto"/>
        <w:ind w:right="51"/>
        <w:jc w:val="both"/>
        <w:rPr>
          <w:rFonts w:eastAsia="Calibri"/>
          <w:bCs/>
          <w:sz w:val="24"/>
          <w:szCs w:val="24"/>
        </w:rPr>
      </w:pPr>
      <w:r w:rsidRPr="003A0F7C">
        <w:rPr>
          <w:rFonts w:eastAsia="Calibri"/>
          <w:bCs/>
          <w:sz w:val="24"/>
          <w:szCs w:val="24"/>
        </w:rPr>
        <w:t>Destacándose que</w:t>
      </w:r>
      <w:r w:rsidR="00BC0A04" w:rsidRPr="003A0F7C">
        <w:rPr>
          <w:rFonts w:eastAsia="Calibri"/>
          <w:bCs/>
          <w:sz w:val="24"/>
          <w:szCs w:val="24"/>
        </w:rPr>
        <w:t xml:space="preserve"> es criterio de esta Sala Regional que los Tribunales deben llamar a notificar personalmente a los terceros ante la inminente posibilidad de que la resolución que se dictara afectaría sus derechos previamente adquiridos</w:t>
      </w:r>
      <w:r w:rsidR="00BC0A04" w:rsidRPr="003A0F7C">
        <w:rPr>
          <w:rStyle w:val="Refdenotaalpie"/>
          <w:rFonts w:eastAsia="Calibri"/>
          <w:bCs/>
          <w:sz w:val="24"/>
          <w:szCs w:val="24"/>
        </w:rPr>
        <w:footnoteReference w:id="4"/>
      </w:r>
      <w:r w:rsidR="00BC0A04" w:rsidRPr="003A0F7C">
        <w:rPr>
          <w:rFonts w:eastAsia="Calibri"/>
          <w:bCs/>
          <w:sz w:val="24"/>
          <w:szCs w:val="24"/>
        </w:rPr>
        <w:t xml:space="preserve">; </w:t>
      </w:r>
      <w:r w:rsidR="00BC0A04" w:rsidRPr="003A0F7C">
        <w:rPr>
          <w:rFonts w:eastAsia="Calibri"/>
          <w:b/>
          <w:sz w:val="24"/>
          <w:szCs w:val="24"/>
        </w:rPr>
        <w:t>situación en la cual no se encontraba el hoy actor.</w:t>
      </w:r>
      <w:r w:rsidR="00124786" w:rsidRPr="003A0F7C">
        <w:rPr>
          <w:rFonts w:eastAsia="Calibri"/>
          <w:bCs/>
          <w:sz w:val="24"/>
          <w:szCs w:val="24"/>
        </w:rPr>
        <w:t xml:space="preserve"> </w:t>
      </w:r>
    </w:p>
    <w:p w14:paraId="7E3A74AC" w14:textId="1745B879" w:rsidR="00BC0A04" w:rsidRPr="003A0F7C" w:rsidRDefault="00E263B3" w:rsidP="00BC0A04">
      <w:pPr>
        <w:spacing w:before="280" w:after="280" w:line="360" w:lineRule="auto"/>
        <w:ind w:right="51"/>
        <w:jc w:val="both"/>
        <w:rPr>
          <w:rFonts w:eastAsia="Calibri"/>
          <w:bCs/>
          <w:sz w:val="24"/>
          <w:szCs w:val="24"/>
        </w:rPr>
      </w:pPr>
      <w:r w:rsidRPr="003A0F7C">
        <w:rPr>
          <w:rFonts w:eastAsia="Calibri"/>
          <w:bCs/>
          <w:sz w:val="24"/>
          <w:szCs w:val="24"/>
        </w:rPr>
        <w:t xml:space="preserve">Respetándose la garantía de audiencia de los terceros interesados, pues se les otorgó término para apersonarse, realizándose la notificación respectiva por parte del </w:t>
      </w:r>
      <w:r w:rsidRPr="003A0F7C">
        <w:rPr>
          <w:rFonts w:eastAsia="Calibri"/>
          <w:bCs/>
          <w:i/>
          <w:iCs/>
          <w:sz w:val="24"/>
          <w:szCs w:val="24"/>
        </w:rPr>
        <w:t>Tribunal Local</w:t>
      </w:r>
      <w:r w:rsidR="00D32003" w:rsidRPr="003A0F7C">
        <w:rPr>
          <w:rFonts w:eastAsia="Calibri"/>
          <w:bCs/>
          <w:sz w:val="24"/>
          <w:szCs w:val="24"/>
        </w:rPr>
        <w:t>.</w:t>
      </w:r>
    </w:p>
    <w:p w14:paraId="23A6C161" w14:textId="19230A5C" w:rsidR="005D7DE1" w:rsidRPr="003A0F7C" w:rsidRDefault="005D7DE1" w:rsidP="005D7DE1">
      <w:pPr>
        <w:spacing w:before="280" w:after="280" w:line="360" w:lineRule="auto"/>
        <w:ind w:right="51"/>
        <w:jc w:val="both"/>
        <w:rPr>
          <w:rFonts w:eastAsia="Calibri"/>
          <w:bCs/>
          <w:sz w:val="24"/>
          <w:szCs w:val="24"/>
        </w:rPr>
      </w:pPr>
      <w:r w:rsidRPr="003A0F7C">
        <w:rPr>
          <w:rFonts w:eastAsia="Calibri"/>
          <w:bCs/>
          <w:sz w:val="24"/>
          <w:szCs w:val="24"/>
        </w:rPr>
        <w:lastRenderedPageBreak/>
        <w:t xml:space="preserve">Por otra parte, deviene </w:t>
      </w:r>
      <w:r w:rsidRPr="003A0F7C">
        <w:rPr>
          <w:rFonts w:eastAsia="Calibri"/>
          <w:b/>
          <w:sz w:val="24"/>
          <w:szCs w:val="24"/>
        </w:rPr>
        <w:t>ineficaz</w:t>
      </w:r>
      <w:r w:rsidRPr="003A0F7C">
        <w:rPr>
          <w:rFonts w:eastAsia="Calibri"/>
          <w:bCs/>
          <w:sz w:val="24"/>
          <w:szCs w:val="24"/>
        </w:rPr>
        <w:t xml:space="preserve"> lo argumentado por el </w:t>
      </w:r>
      <w:r w:rsidRPr="003A0F7C">
        <w:rPr>
          <w:rFonts w:eastAsia="Calibri"/>
          <w:bCs/>
          <w:i/>
          <w:iCs/>
          <w:sz w:val="24"/>
          <w:szCs w:val="24"/>
        </w:rPr>
        <w:t>PAN</w:t>
      </w:r>
      <w:r w:rsidRPr="003A0F7C">
        <w:rPr>
          <w:rFonts w:eastAsia="Calibri"/>
          <w:bCs/>
          <w:sz w:val="24"/>
          <w:szCs w:val="24"/>
        </w:rPr>
        <w:t xml:space="preserve"> en cuanto a que el </w:t>
      </w:r>
      <w:r w:rsidRPr="003A0F7C">
        <w:rPr>
          <w:rFonts w:eastAsia="Calibri"/>
          <w:bCs/>
          <w:i/>
          <w:iCs/>
          <w:sz w:val="24"/>
          <w:szCs w:val="24"/>
        </w:rPr>
        <w:t>Tribunal Local</w:t>
      </w:r>
      <w:r w:rsidRPr="003A0F7C">
        <w:rPr>
          <w:rFonts w:eastAsia="Calibri"/>
          <w:bCs/>
          <w:sz w:val="24"/>
          <w:szCs w:val="24"/>
        </w:rPr>
        <w:t xml:space="preserve"> fue omiso en publicar el acuerdo respectivo en los estrados electrónicos de dicho órgano jurisdiccional, lo anterior, toda vez que el partido accionante no cumple con la carga probatoria de acreditar su dicho con algún medio de prueba, de ahí que se considera genérica y sin sustento jurídico su manifestación.</w:t>
      </w:r>
    </w:p>
    <w:p w14:paraId="063A07BE" w14:textId="6B5B15EB" w:rsidR="005D7DE1" w:rsidRPr="003A0F7C" w:rsidRDefault="005D7DE1" w:rsidP="005D7DE1">
      <w:pPr>
        <w:spacing w:before="280" w:after="280" w:line="360" w:lineRule="auto"/>
        <w:ind w:right="51"/>
        <w:jc w:val="both"/>
        <w:rPr>
          <w:rFonts w:eastAsia="Calibri"/>
          <w:bCs/>
          <w:sz w:val="24"/>
          <w:szCs w:val="24"/>
        </w:rPr>
      </w:pPr>
      <w:r w:rsidRPr="003A0F7C">
        <w:rPr>
          <w:rFonts w:eastAsia="Calibri"/>
          <w:bCs/>
          <w:sz w:val="24"/>
          <w:szCs w:val="24"/>
        </w:rPr>
        <w:t xml:space="preserve">Además, que, del análisis y consulta efectuado por esta Sala Regional a los estrados electrónicos del </w:t>
      </w:r>
      <w:r w:rsidRPr="003A0F7C">
        <w:rPr>
          <w:rFonts w:eastAsia="Calibri"/>
          <w:bCs/>
          <w:i/>
          <w:iCs/>
          <w:sz w:val="24"/>
          <w:szCs w:val="24"/>
        </w:rPr>
        <w:t>Tribunal local</w:t>
      </w:r>
      <w:r w:rsidRPr="003A0F7C">
        <w:rPr>
          <w:rFonts w:eastAsia="Calibri"/>
          <w:bCs/>
          <w:sz w:val="24"/>
          <w:szCs w:val="24"/>
        </w:rPr>
        <w:t>, se desprende que se encuentra publicado el acuerdo de admisión en el que, entre otras cuestiones, otorga término a los terceros interesados para comparecer a juicio</w:t>
      </w:r>
      <w:r w:rsidRPr="003A0F7C">
        <w:rPr>
          <w:rStyle w:val="Refdenotaalpie"/>
          <w:rFonts w:eastAsia="Calibri"/>
          <w:bCs/>
          <w:sz w:val="24"/>
          <w:szCs w:val="24"/>
        </w:rPr>
        <w:footnoteReference w:id="5"/>
      </w:r>
      <w:r w:rsidRPr="003A0F7C">
        <w:rPr>
          <w:rFonts w:eastAsia="Calibri"/>
          <w:bCs/>
          <w:sz w:val="24"/>
          <w:szCs w:val="24"/>
        </w:rPr>
        <w:t xml:space="preserve">, circunstancia que se valora como hecho notorio y que sirve para desvirtuar lo manifestado por el </w:t>
      </w:r>
      <w:r w:rsidRPr="003A0F7C">
        <w:rPr>
          <w:rFonts w:eastAsia="Calibri"/>
          <w:bCs/>
          <w:i/>
          <w:iCs/>
          <w:sz w:val="24"/>
          <w:szCs w:val="24"/>
        </w:rPr>
        <w:t>PAN</w:t>
      </w:r>
      <w:r w:rsidRPr="003A0F7C">
        <w:rPr>
          <w:rFonts w:eastAsia="Calibri"/>
          <w:bCs/>
          <w:sz w:val="24"/>
          <w:szCs w:val="24"/>
        </w:rPr>
        <w:t>.</w:t>
      </w:r>
    </w:p>
    <w:p w14:paraId="4C508130" w14:textId="28AEE33E" w:rsidR="00B503D7" w:rsidRPr="003A0F7C" w:rsidRDefault="00D32003" w:rsidP="00BC0A04">
      <w:pPr>
        <w:spacing w:before="280" w:after="280" w:line="360" w:lineRule="auto"/>
        <w:ind w:right="51"/>
        <w:jc w:val="both"/>
        <w:rPr>
          <w:rFonts w:eastAsia="Calibri"/>
          <w:bCs/>
          <w:sz w:val="24"/>
          <w:szCs w:val="24"/>
        </w:rPr>
      </w:pPr>
      <w:r w:rsidRPr="003A0F7C">
        <w:rPr>
          <w:rFonts w:eastAsia="Calibri"/>
          <w:bCs/>
          <w:sz w:val="24"/>
          <w:szCs w:val="24"/>
        </w:rPr>
        <w:t xml:space="preserve">Por otro lado, es </w:t>
      </w:r>
      <w:r w:rsidR="00B503D7" w:rsidRPr="003A0F7C">
        <w:rPr>
          <w:rFonts w:eastAsia="Calibri"/>
          <w:b/>
          <w:sz w:val="24"/>
          <w:szCs w:val="24"/>
        </w:rPr>
        <w:t xml:space="preserve">parcialmente fundado </w:t>
      </w:r>
      <w:r w:rsidR="00B503D7" w:rsidRPr="003A0F7C">
        <w:rPr>
          <w:rFonts w:eastAsia="Calibri"/>
          <w:bCs/>
          <w:sz w:val="24"/>
          <w:szCs w:val="24"/>
        </w:rPr>
        <w:t xml:space="preserve">el argumento del actor, relativo a que los medios de impugnación locales no se radicaron en el plazo previsto por la </w:t>
      </w:r>
      <w:r w:rsidR="00B503D7" w:rsidRPr="003A0F7C">
        <w:rPr>
          <w:rFonts w:eastAsia="Calibri"/>
          <w:bCs/>
          <w:i/>
          <w:iCs/>
          <w:sz w:val="24"/>
          <w:szCs w:val="24"/>
        </w:rPr>
        <w:t>Ley Electoral Local</w:t>
      </w:r>
      <w:r w:rsidR="00B503D7" w:rsidRPr="003A0F7C">
        <w:rPr>
          <w:rFonts w:eastAsia="Calibri"/>
          <w:bCs/>
          <w:sz w:val="24"/>
          <w:szCs w:val="24"/>
        </w:rPr>
        <w:t xml:space="preserve">, no obstante, </w:t>
      </w:r>
      <w:r w:rsidR="00B503D7" w:rsidRPr="003A0F7C">
        <w:rPr>
          <w:rFonts w:eastAsia="Calibri"/>
          <w:b/>
          <w:sz w:val="24"/>
          <w:szCs w:val="24"/>
        </w:rPr>
        <w:t>resulta insuficiente</w:t>
      </w:r>
      <w:r w:rsidR="00B503D7" w:rsidRPr="003A0F7C">
        <w:rPr>
          <w:rFonts w:eastAsia="Calibri"/>
          <w:bCs/>
          <w:sz w:val="24"/>
          <w:szCs w:val="24"/>
        </w:rPr>
        <w:t xml:space="preserve"> para revocar la resolución impugnada.</w:t>
      </w:r>
    </w:p>
    <w:p w14:paraId="3B716A62" w14:textId="77777777" w:rsidR="00221707" w:rsidRPr="003A0F7C" w:rsidRDefault="00B503D7" w:rsidP="00173081">
      <w:pPr>
        <w:spacing w:before="280" w:after="280" w:line="360" w:lineRule="auto"/>
        <w:ind w:right="51"/>
        <w:jc w:val="both"/>
        <w:rPr>
          <w:rFonts w:eastAsia="Calibri"/>
          <w:bCs/>
          <w:sz w:val="24"/>
          <w:szCs w:val="24"/>
        </w:rPr>
      </w:pPr>
      <w:r w:rsidRPr="003A0F7C">
        <w:rPr>
          <w:rFonts w:eastAsia="Calibri"/>
          <w:bCs/>
          <w:sz w:val="24"/>
          <w:szCs w:val="24"/>
        </w:rPr>
        <w:t xml:space="preserve">La </w:t>
      </w:r>
      <w:r w:rsidRPr="003A0F7C">
        <w:rPr>
          <w:rFonts w:eastAsia="Calibri"/>
          <w:bCs/>
          <w:i/>
          <w:iCs/>
          <w:sz w:val="24"/>
          <w:szCs w:val="24"/>
        </w:rPr>
        <w:t>Ley Electoral Local</w:t>
      </w:r>
      <w:r w:rsidRPr="003A0F7C">
        <w:rPr>
          <w:rFonts w:eastAsia="Calibri"/>
          <w:bCs/>
          <w:sz w:val="24"/>
          <w:szCs w:val="24"/>
        </w:rPr>
        <w:t xml:space="preserve"> </w:t>
      </w:r>
      <w:r w:rsidR="00221707" w:rsidRPr="003A0F7C">
        <w:rPr>
          <w:rFonts w:eastAsia="Calibri"/>
          <w:bCs/>
          <w:sz w:val="24"/>
          <w:szCs w:val="24"/>
        </w:rPr>
        <w:t>en su artículo 391, cuarto párrafo, así como el diverso numeral 397, párrafo primero, en la parte que interesa prevén que una vez que se reciba una demanda (ya sea de un juicio para la protección de los derechos político-electorales o de recurso de revisión), debe radicarse en un plazo máximo de cuatro días.</w:t>
      </w:r>
    </w:p>
    <w:p w14:paraId="51CCCA63" w14:textId="7B53BF5C" w:rsidR="00B503D7" w:rsidRPr="003A0F7C" w:rsidRDefault="00221707" w:rsidP="00173081">
      <w:pPr>
        <w:spacing w:before="280" w:after="280" w:line="360" w:lineRule="auto"/>
        <w:ind w:right="51"/>
        <w:jc w:val="both"/>
        <w:rPr>
          <w:rFonts w:eastAsia="Calibri"/>
          <w:bCs/>
          <w:sz w:val="24"/>
          <w:szCs w:val="24"/>
        </w:rPr>
      </w:pPr>
      <w:r w:rsidRPr="003A0F7C">
        <w:rPr>
          <w:rFonts w:eastAsia="Calibri"/>
          <w:bCs/>
          <w:sz w:val="24"/>
          <w:szCs w:val="24"/>
        </w:rPr>
        <w:t xml:space="preserve">En el caso en concreto, se tiene que los medios de impugnación que se presentaron ante el </w:t>
      </w:r>
      <w:r w:rsidRPr="003A0F7C">
        <w:rPr>
          <w:rFonts w:eastAsia="Calibri"/>
          <w:bCs/>
          <w:i/>
          <w:iCs/>
          <w:sz w:val="24"/>
          <w:szCs w:val="24"/>
        </w:rPr>
        <w:t>Tribunal Local</w:t>
      </w:r>
      <w:r w:rsidRPr="003A0F7C">
        <w:rPr>
          <w:rFonts w:eastAsia="Calibri"/>
          <w:bCs/>
          <w:sz w:val="24"/>
          <w:szCs w:val="24"/>
        </w:rPr>
        <w:t xml:space="preserve"> </w:t>
      </w:r>
      <w:r w:rsidR="0044503C" w:rsidRPr="003A0F7C">
        <w:rPr>
          <w:rFonts w:eastAsia="Calibri"/>
          <w:bCs/>
          <w:sz w:val="24"/>
          <w:szCs w:val="24"/>
        </w:rPr>
        <w:t>(</w:t>
      </w:r>
      <w:r w:rsidRPr="003A0F7C">
        <w:rPr>
          <w:rFonts w:eastAsia="Calibri"/>
          <w:bCs/>
          <w:sz w:val="24"/>
          <w:szCs w:val="24"/>
        </w:rPr>
        <w:t>a fin de que él los conociera</w:t>
      </w:r>
      <w:r w:rsidR="0044503C" w:rsidRPr="003A0F7C">
        <w:rPr>
          <w:rFonts w:eastAsia="Calibri"/>
          <w:bCs/>
          <w:sz w:val="24"/>
          <w:szCs w:val="24"/>
        </w:rPr>
        <w:t xml:space="preserve">) </w:t>
      </w:r>
      <w:r w:rsidRPr="003A0F7C">
        <w:rPr>
          <w:rFonts w:eastAsia="Calibri"/>
          <w:bCs/>
          <w:sz w:val="24"/>
          <w:szCs w:val="24"/>
        </w:rPr>
        <w:t>fueron recibidos y radicados en las siguientes fechas:</w:t>
      </w:r>
    </w:p>
    <w:tbl>
      <w:tblPr>
        <w:tblStyle w:val="Tablaconcuadrcula"/>
        <w:tblW w:w="0" w:type="auto"/>
        <w:tblLook w:val="04A0" w:firstRow="1" w:lastRow="0" w:firstColumn="1" w:lastColumn="0" w:noHBand="0" w:noVBand="1"/>
      </w:tblPr>
      <w:tblGrid>
        <w:gridCol w:w="2065"/>
        <w:gridCol w:w="2066"/>
        <w:gridCol w:w="2066"/>
        <w:gridCol w:w="2066"/>
      </w:tblGrid>
      <w:tr w:rsidR="00221707" w:rsidRPr="003A0F7C" w14:paraId="387D05B0" w14:textId="77777777" w:rsidTr="00576456">
        <w:trPr>
          <w:tblHeader/>
        </w:trPr>
        <w:tc>
          <w:tcPr>
            <w:tcW w:w="2065" w:type="dxa"/>
            <w:shd w:val="clear" w:color="auto" w:fill="E7E6E6" w:themeFill="background2"/>
            <w:vAlign w:val="center"/>
          </w:tcPr>
          <w:p w14:paraId="783533A7" w14:textId="5AB750F6" w:rsidR="00221707" w:rsidRPr="003A0F7C" w:rsidRDefault="00221707" w:rsidP="0044503C">
            <w:pPr>
              <w:pStyle w:val="Sinespaciado"/>
              <w:jc w:val="center"/>
            </w:pPr>
            <w:r w:rsidRPr="003A0F7C">
              <w:t>Medio de impugnación</w:t>
            </w:r>
          </w:p>
        </w:tc>
        <w:tc>
          <w:tcPr>
            <w:tcW w:w="2066" w:type="dxa"/>
            <w:shd w:val="clear" w:color="auto" w:fill="E7E6E6" w:themeFill="background2"/>
            <w:vAlign w:val="center"/>
          </w:tcPr>
          <w:p w14:paraId="2C0B8EEC" w14:textId="5ECEADAF" w:rsidR="00221707" w:rsidRPr="003A0F7C" w:rsidRDefault="00221707" w:rsidP="0044503C">
            <w:pPr>
              <w:pStyle w:val="Sinespaciado"/>
              <w:jc w:val="center"/>
            </w:pPr>
            <w:r w:rsidRPr="003A0F7C">
              <w:t>Fecha de recepción</w:t>
            </w:r>
          </w:p>
        </w:tc>
        <w:tc>
          <w:tcPr>
            <w:tcW w:w="2066" w:type="dxa"/>
            <w:shd w:val="clear" w:color="auto" w:fill="E7E6E6" w:themeFill="background2"/>
            <w:vAlign w:val="center"/>
          </w:tcPr>
          <w:p w14:paraId="5276B3F2" w14:textId="70C9BCA2" w:rsidR="00221707" w:rsidRPr="003A0F7C" w:rsidRDefault="00221707" w:rsidP="0044503C">
            <w:pPr>
              <w:pStyle w:val="Sinespaciado"/>
              <w:jc w:val="center"/>
            </w:pPr>
            <w:r w:rsidRPr="003A0F7C">
              <w:t>Fecha de radicación</w:t>
            </w:r>
          </w:p>
        </w:tc>
        <w:tc>
          <w:tcPr>
            <w:tcW w:w="2066" w:type="dxa"/>
            <w:shd w:val="clear" w:color="auto" w:fill="E7E6E6" w:themeFill="background2"/>
            <w:vAlign w:val="center"/>
          </w:tcPr>
          <w:p w14:paraId="2EE23E4E" w14:textId="25F70D24" w:rsidR="00221707" w:rsidRPr="003A0F7C" w:rsidRDefault="00221707" w:rsidP="0044503C">
            <w:pPr>
              <w:pStyle w:val="Sinespaciado"/>
              <w:jc w:val="center"/>
            </w:pPr>
            <w:r w:rsidRPr="003A0F7C">
              <w:t>¿Radicado en tiempo de conformidad con lo establecido en la Ley?</w:t>
            </w:r>
          </w:p>
        </w:tc>
      </w:tr>
      <w:tr w:rsidR="00221707" w:rsidRPr="003A0F7C" w14:paraId="54AE63C3" w14:textId="77777777" w:rsidTr="0044503C">
        <w:tc>
          <w:tcPr>
            <w:tcW w:w="2065" w:type="dxa"/>
            <w:vAlign w:val="center"/>
          </w:tcPr>
          <w:p w14:paraId="2F4FF220" w14:textId="11B18280" w:rsidR="00221707" w:rsidRPr="003A0F7C" w:rsidRDefault="00221707" w:rsidP="0044503C">
            <w:pPr>
              <w:pStyle w:val="Sinespaciado"/>
              <w:jc w:val="center"/>
            </w:pPr>
            <w:r w:rsidRPr="003A0F7C">
              <w:rPr>
                <w:rFonts w:eastAsia="Cambria"/>
              </w:rPr>
              <w:t>TEEG-REV-18/2021</w:t>
            </w:r>
          </w:p>
        </w:tc>
        <w:tc>
          <w:tcPr>
            <w:tcW w:w="2066" w:type="dxa"/>
            <w:vAlign w:val="center"/>
          </w:tcPr>
          <w:p w14:paraId="29089084" w14:textId="62DC3452" w:rsidR="00221707" w:rsidRPr="003A0F7C" w:rsidRDefault="0044503C" w:rsidP="0044503C">
            <w:pPr>
              <w:pStyle w:val="Sinespaciado"/>
              <w:jc w:val="center"/>
            </w:pPr>
            <w:r w:rsidRPr="003A0F7C">
              <w:t>9 de abril</w:t>
            </w:r>
          </w:p>
        </w:tc>
        <w:tc>
          <w:tcPr>
            <w:tcW w:w="2066" w:type="dxa"/>
            <w:vAlign w:val="center"/>
          </w:tcPr>
          <w:p w14:paraId="489CD817" w14:textId="1DFE95F8" w:rsidR="00221707" w:rsidRPr="003A0F7C" w:rsidRDefault="0044503C" w:rsidP="0044503C">
            <w:pPr>
              <w:pStyle w:val="Sinespaciado"/>
              <w:jc w:val="center"/>
            </w:pPr>
            <w:r w:rsidRPr="003A0F7C">
              <w:t>16 de abril</w:t>
            </w:r>
          </w:p>
        </w:tc>
        <w:tc>
          <w:tcPr>
            <w:tcW w:w="2066" w:type="dxa"/>
            <w:vAlign w:val="center"/>
          </w:tcPr>
          <w:p w14:paraId="441AD6C7" w14:textId="3063AD51" w:rsidR="00221707" w:rsidRPr="003A0F7C" w:rsidRDefault="0044503C" w:rsidP="0044503C">
            <w:pPr>
              <w:pStyle w:val="Sinespaciado"/>
              <w:jc w:val="center"/>
            </w:pPr>
            <w:r w:rsidRPr="003A0F7C">
              <w:t>NO</w:t>
            </w:r>
          </w:p>
        </w:tc>
      </w:tr>
      <w:tr w:rsidR="00221707" w:rsidRPr="003A0F7C" w14:paraId="13ECF770" w14:textId="77777777" w:rsidTr="0044503C">
        <w:tc>
          <w:tcPr>
            <w:tcW w:w="2065" w:type="dxa"/>
            <w:vAlign w:val="center"/>
          </w:tcPr>
          <w:p w14:paraId="41361704" w14:textId="42A8B8EE" w:rsidR="00221707" w:rsidRPr="003A0F7C" w:rsidRDefault="00221707" w:rsidP="0044503C">
            <w:pPr>
              <w:pStyle w:val="Sinespaciado"/>
              <w:jc w:val="center"/>
            </w:pPr>
            <w:r w:rsidRPr="003A0F7C">
              <w:rPr>
                <w:rFonts w:eastAsia="Cambria"/>
              </w:rPr>
              <w:t>TEEG-JPDC-46/2021</w:t>
            </w:r>
          </w:p>
        </w:tc>
        <w:tc>
          <w:tcPr>
            <w:tcW w:w="2066" w:type="dxa"/>
            <w:vAlign w:val="center"/>
          </w:tcPr>
          <w:p w14:paraId="531DD2DD" w14:textId="71F51C92" w:rsidR="00221707" w:rsidRPr="003A0F7C" w:rsidRDefault="0044503C" w:rsidP="0044503C">
            <w:pPr>
              <w:pStyle w:val="Sinespaciado"/>
              <w:jc w:val="center"/>
            </w:pPr>
            <w:r w:rsidRPr="003A0F7C">
              <w:t>7 de abril</w:t>
            </w:r>
          </w:p>
        </w:tc>
        <w:tc>
          <w:tcPr>
            <w:tcW w:w="2066" w:type="dxa"/>
            <w:vAlign w:val="center"/>
          </w:tcPr>
          <w:p w14:paraId="3A2F3D08" w14:textId="33A455AD" w:rsidR="00221707" w:rsidRPr="003A0F7C" w:rsidRDefault="0044503C" w:rsidP="0044503C">
            <w:pPr>
              <w:pStyle w:val="Sinespaciado"/>
              <w:jc w:val="center"/>
            </w:pPr>
            <w:r w:rsidRPr="003A0F7C">
              <w:t>12 de abril</w:t>
            </w:r>
          </w:p>
        </w:tc>
        <w:tc>
          <w:tcPr>
            <w:tcW w:w="2066" w:type="dxa"/>
            <w:vAlign w:val="center"/>
          </w:tcPr>
          <w:p w14:paraId="41452017" w14:textId="4776B752" w:rsidR="00221707" w:rsidRPr="003A0F7C" w:rsidRDefault="0044503C" w:rsidP="0044503C">
            <w:pPr>
              <w:pStyle w:val="Sinespaciado"/>
              <w:jc w:val="center"/>
            </w:pPr>
            <w:r w:rsidRPr="003A0F7C">
              <w:t>NO</w:t>
            </w:r>
          </w:p>
        </w:tc>
      </w:tr>
      <w:tr w:rsidR="00221707" w:rsidRPr="003A0F7C" w14:paraId="750E8B42" w14:textId="77777777" w:rsidTr="0044503C">
        <w:tc>
          <w:tcPr>
            <w:tcW w:w="2065" w:type="dxa"/>
            <w:vAlign w:val="center"/>
          </w:tcPr>
          <w:p w14:paraId="04DD3871" w14:textId="207F84BA" w:rsidR="00221707" w:rsidRPr="003A0F7C" w:rsidRDefault="00221707" w:rsidP="0044503C">
            <w:pPr>
              <w:pStyle w:val="Sinespaciado"/>
              <w:jc w:val="center"/>
            </w:pPr>
            <w:r w:rsidRPr="003A0F7C">
              <w:rPr>
                <w:rFonts w:eastAsia="Cambria"/>
              </w:rPr>
              <w:t>TEEG-JPDC-52/2021</w:t>
            </w:r>
          </w:p>
        </w:tc>
        <w:tc>
          <w:tcPr>
            <w:tcW w:w="2066" w:type="dxa"/>
            <w:vAlign w:val="center"/>
          </w:tcPr>
          <w:p w14:paraId="35CAF5BB" w14:textId="5E3277F5" w:rsidR="00221707" w:rsidRPr="003A0F7C" w:rsidRDefault="0044503C" w:rsidP="0044503C">
            <w:pPr>
              <w:pStyle w:val="Sinespaciado"/>
              <w:jc w:val="center"/>
            </w:pPr>
            <w:r w:rsidRPr="003A0F7C">
              <w:t>8 de abril</w:t>
            </w:r>
          </w:p>
        </w:tc>
        <w:tc>
          <w:tcPr>
            <w:tcW w:w="2066" w:type="dxa"/>
            <w:vAlign w:val="center"/>
          </w:tcPr>
          <w:p w14:paraId="4641E6FE" w14:textId="7BB40FA9" w:rsidR="00221707" w:rsidRPr="003A0F7C" w:rsidRDefault="0044503C" w:rsidP="0044503C">
            <w:pPr>
              <w:pStyle w:val="Sinespaciado"/>
              <w:jc w:val="center"/>
            </w:pPr>
            <w:r w:rsidRPr="003A0F7C">
              <w:t>16 de abril</w:t>
            </w:r>
          </w:p>
        </w:tc>
        <w:tc>
          <w:tcPr>
            <w:tcW w:w="2066" w:type="dxa"/>
            <w:vAlign w:val="center"/>
          </w:tcPr>
          <w:p w14:paraId="694772DE" w14:textId="16605D23" w:rsidR="00221707" w:rsidRPr="003A0F7C" w:rsidRDefault="0044503C" w:rsidP="0044503C">
            <w:pPr>
              <w:pStyle w:val="Sinespaciado"/>
              <w:jc w:val="center"/>
            </w:pPr>
            <w:r w:rsidRPr="003A0F7C">
              <w:t>NO</w:t>
            </w:r>
          </w:p>
        </w:tc>
      </w:tr>
      <w:tr w:rsidR="00221707" w:rsidRPr="003A0F7C" w14:paraId="64161877" w14:textId="77777777" w:rsidTr="0044503C">
        <w:tc>
          <w:tcPr>
            <w:tcW w:w="2065" w:type="dxa"/>
            <w:vAlign w:val="center"/>
          </w:tcPr>
          <w:p w14:paraId="4A01504C" w14:textId="1F1C8F0F" w:rsidR="00221707" w:rsidRPr="003A0F7C" w:rsidRDefault="00221707" w:rsidP="0044503C">
            <w:pPr>
              <w:pStyle w:val="Sinespaciado"/>
              <w:jc w:val="center"/>
            </w:pPr>
            <w:r w:rsidRPr="003A0F7C">
              <w:rPr>
                <w:rFonts w:eastAsia="Cambria"/>
              </w:rPr>
              <w:t>TEEG-JPDC- 53/2021</w:t>
            </w:r>
          </w:p>
        </w:tc>
        <w:tc>
          <w:tcPr>
            <w:tcW w:w="2066" w:type="dxa"/>
            <w:vAlign w:val="center"/>
          </w:tcPr>
          <w:p w14:paraId="2F724E0D" w14:textId="201A45FD" w:rsidR="00221707" w:rsidRPr="003A0F7C" w:rsidRDefault="0044503C" w:rsidP="0044503C">
            <w:pPr>
              <w:pStyle w:val="Sinespaciado"/>
              <w:jc w:val="center"/>
            </w:pPr>
            <w:r w:rsidRPr="003A0F7C">
              <w:t>8 de abril</w:t>
            </w:r>
          </w:p>
        </w:tc>
        <w:tc>
          <w:tcPr>
            <w:tcW w:w="2066" w:type="dxa"/>
            <w:vAlign w:val="center"/>
          </w:tcPr>
          <w:p w14:paraId="4F29056A" w14:textId="02212B5B" w:rsidR="00221707" w:rsidRPr="003A0F7C" w:rsidRDefault="0044503C" w:rsidP="0044503C">
            <w:pPr>
              <w:pStyle w:val="Sinespaciado"/>
              <w:jc w:val="center"/>
            </w:pPr>
            <w:r w:rsidRPr="003A0F7C">
              <w:t>16 de abril</w:t>
            </w:r>
          </w:p>
        </w:tc>
        <w:tc>
          <w:tcPr>
            <w:tcW w:w="2066" w:type="dxa"/>
            <w:vAlign w:val="center"/>
          </w:tcPr>
          <w:p w14:paraId="73C1924A" w14:textId="1E21EBD0" w:rsidR="00221707" w:rsidRPr="003A0F7C" w:rsidRDefault="0044503C" w:rsidP="0044503C">
            <w:pPr>
              <w:pStyle w:val="Sinespaciado"/>
              <w:jc w:val="center"/>
            </w:pPr>
            <w:r w:rsidRPr="003A0F7C">
              <w:t>NO</w:t>
            </w:r>
          </w:p>
        </w:tc>
      </w:tr>
      <w:tr w:rsidR="00221707" w:rsidRPr="003A0F7C" w14:paraId="4BC07706" w14:textId="77777777" w:rsidTr="0044503C">
        <w:tc>
          <w:tcPr>
            <w:tcW w:w="2065" w:type="dxa"/>
            <w:vAlign w:val="center"/>
          </w:tcPr>
          <w:p w14:paraId="40BBF6FD" w14:textId="00C7BFAB" w:rsidR="00221707" w:rsidRPr="003A0F7C" w:rsidRDefault="00221707" w:rsidP="0044503C">
            <w:pPr>
              <w:pStyle w:val="Sinespaciado"/>
              <w:jc w:val="center"/>
              <w:rPr>
                <w:rFonts w:eastAsia="Cambria"/>
              </w:rPr>
            </w:pPr>
            <w:r w:rsidRPr="003A0F7C">
              <w:rPr>
                <w:rFonts w:eastAsia="Cambria"/>
              </w:rPr>
              <w:t>TEEG-JPDC-54/2021</w:t>
            </w:r>
          </w:p>
        </w:tc>
        <w:tc>
          <w:tcPr>
            <w:tcW w:w="2066" w:type="dxa"/>
            <w:vAlign w:val="center"/>
          </w:tcPr>
          <w:p w14:paraId="05FF2E91" w14:textId="2C2634F8" w:rsidR="00221707" w:rsidRPr="003A0F7C" w:rsidRDefault="0044503C" w:rsidP="0044503C">
            <w:pPr>
              <w:pStyle w:val="Sinespaciado"/>
              <w:jc w:val="center"/>
            </w:pPr>
            <w:r w:rsidRPr="003A0F7C">
              <w:t>8 de abril</w:t>
            </w:r>
          </w:p>
        </w:tc>
        <w:tc>
          <w:tcPr>
            <w:tcW w:w="2066" w:type="dxa"/>
            <w:vAlign w:val="center"/>
          </w:tcPr>
          <w:p w14:paraId="29AA1E4F" w14:textId="45EEBFF6" w:rsidR="00221707" w:rsidRPr="003A0F7C" w:rsidRDefault="0044503C" w:rsidP="0044503C">
            <w:pPr>
              <w:pStyle w:val="Sinespaciado"/>
              <w:jc w:val="center"/>
            </w:pPr>
            <w:r w:rsidRPr="003A0F7C">
              <w:t>16 de abril</w:t>
            </w:r>
          </w:p>
        </w:tc>
        <w:tc>
          <w:tcPr>
            <w:tcW w:w="2066" w:type="dxa"/>
            <w:vAlign w:val="center"/>
          </w:tcPr>
          <w:p w14:paraId="7E5987EC" w14:textId="507E7381" w:rsidR="00221707" w:rsidRPr="003A0F7C" w:rsidRDefault="0044503C" w:rsidP="0044503C">
            <w:pPr>
              <w:pStyle w:val="Sinespaciado"/>
              <w:jc w:val="center"/>
            </w:pPr>
            <w:r w:rsidRPr="003A0F7C">
              <w:t>NO</w:t>
            </w:r>
          </w:p>
        </w:tc>
      </w:tr>
      <w:tr w:rsidR="00221707" w:rsidRPr="003A0F7C" w14:paraId="33E72E10" w14:textId="77777777" w:rsidTr="0044503C">
        <w:tc>
          <w:tcPr>
            <w:tcW w:w="2065" w:type="dxa"/>
            <w:vAlign w:val="center"/>
          </w:tcPr>
          <w:p w14:paraId="7A31D18E" w14:textId="0FED47AB" w:rsidR="00221707" w:rsidRPr="003A0F7C" w:rsidRDefault="00221707" w:rsidP="0044503C">
            <w:pPr>
              <w:pStyle w:val="Sinespaciado"/>
              <w:jc w:val="center"/>
              <w:rPr>
                <w:rFonts w:eastAsia="Cambria"/>
              </w:rPr>
            </w:pPr>
            <w:r w:rsidRPr="003A0F7C">
              <w:rPr>
                <w:rFonts w:eastAsia="Cambria"/>
              </w:rPr>
              <w:t>TEEG-JPDC-55/2021</w:t>
            </w:r>
          </w:p>
        </w:tc>
        <w:tc>
          <w:tcPr>
            <w:tcW w:w="2066" w:type="dxa"/>
            <w:vAlign w:val="center"/>
          </w:tcPr>
          <w:p w14:paraId="64413AEE" w14:textId="62302C45" w:rsidR="00221707" w:rsidRPr="003A0F7C" w:rsidRDefault="0044503C" w:rsidP="0044503C">
            <w:pPr>
              <w:pStyle w:val="Sinespaciado"/>
              <w:jc w:val="center"/>
            </w:pPr>
            <w:r w:rsidRPr="003A0F7C">
              <w:t>8 de abril</w:t>
            </w:r>
          </w:p>
        </w:tc>
        <w:tc>
          <w:tcPr>
            <w:tcW w:w="2066" w:type="dxa"/>
            <w:vAlign w:val="center"/>
          </w:tcPr>
          <w:p w14:paraId="357EB087" w14:textId="73470B5E" w:rsidR="00221707" w:rsidRPr="003A0F7C" w:rsidRDefault="0044503C" w:rsidP="0044503C">
            <w:pPr>
              <w:pStyle w:val="Sinespaciado"/>
              <w:jc w:val="center"/>
            </w:pPr>
            <w:r w:rsidRPr="003A0F7C">
              <w:t>16 de abril</w:t>
            </w:r>
          </w:p>
        </w:tc>
        <w:tc>
          <w:tcPr>
            <w:tcW w:w="2066" w:type="dxa"/>
            <w:vAlign w:val="center"/>
          </w:tcPr>
          <w:p w14:paraId="5846EC61" w14:textId="74B14A5B" w:rsidR="00221707" w:rsidRPr="003A0F7C" w:rsidRDefault="0044503C" w:rsidP="0044503C">
            <w:pPr>
              <w:pStyle w:val="Sinespaciado"/>
              <w:jc w:val="center"/>
            </w:pPr>
            <w:r w:rsidRPr="003A0F7C">
              <w:t>NO</w:t>
            </w:r>
          </w:p>
        </w:tc>
      </w:tr>
      <w:tr w:rsidR="00221707" w:rsidRPr="003A0F7C" w14:paraId="20265B27" w14:textId="77777777" w:rsidTr="0044503C">
        <w:tc>
          <w:tcPr>
            <w:tcW w:w="2065" w:type="dxa"/>
            <w:vAlign w:val="center"/>
          </w:tcPr>
          <w:p w14:paraId="3DF75312" w14:textId="0F30D04E" w:rsidR="00221707" w:rsidRPr="003A0F7C" w:rsidRDefault="00221707" w:rsidP="0044503C">
            <w:pPr>
              <w:pStyle w:val="Sinespaciado"/>
              <w:jc w:val="center"/>
              <w:rPr>
                <w:rFonts w:eastAsia="Cambria"/>
              </w:rPr>
            </w:pPr>
            <w:r w:rsidRPr="003A0F7C">
              <w:rPr>
                <w:rFonts w:eastAsia="Cambria"/>
              </w:rPr>
              <w:t>TEEG-JPDC- 56/2021</w:t>
            </w:r>
          </w:p>
        </w:tc>
        <w:tc>
          <w:tcPr>
            <w:tcW w:w="2066" w:type="dxa"/>
            <w:vAlign w:val="center"/>
          </w:tcPr>
          <w:p w14:paraId="543AAA03" w14:textId="43BABE32" w:rsidR="00221707" w:rsidRPr="003A0F7C" w:rsidRDefault="0044503C" w:rsidP="0044503C">
            <w:pPr>
              <w:pStyle w:val="Sinespaciado"/>
              <w:jc w:val="center"/>
            </w:pPr>
            <w:r w:rsidRPr="003A0F7C">
              <w:t>8 de abril</w:t>
            </w:r>
          </w:p>
        </w:tc>
        <w:tc>
          <w:tcPr>
            <w:tcW w:w="2066" w:type="dxa"/>
            <w:vAlign w:val="center"/>
          </w:tcPr>
          <w:p w14:paraId="69991213" w14:textId="078C0E89" w:rsidR="00221707" w:rsidRPr="003A0F7C" w:rsidRDefault="0044503C" w:rsidP="0044503C">
            <w:pPr>
              <w:pStyle w:val="Sinespaciado"/>
              <w:jc w:val="center"/>
            </w:pPr>
            <w:r w:rsidRPr="003A0F7C">
              <w:t>16 de abril</w:t>
            </w:r>
          </w:p>
        </w:tc>
        <w:tc>
          <w:tcPr>
            <w:tcW w:w="2066" w:type="dxa"/>
            <w:vAlign w:val="center"/>
          </w:tcPr>
          <w:p w14:paraId="30574CB4" w14:textId="2E6F08CC" w:rsidR="00221707" w:rsidRPr="003A0F7C" w:rsidRDefault="0044503C" w:rsidP="0044503C">
            <w:pPr>
              <w:pStyle w:val="Sinespaciado"/>
              <w:jc w:val="center"/>
            </w:pPr>
            <w:r w:rsidRPr="003A0F7C">
              <w:t>NO</w:t>
            </w:r>
          </w:p>
        </w:tc>
      </w:tr>
      <w:tr w:rsidR="00221707" w:rsidRPr="003A0F7C" w14:paraId="4F1709E7" w14:textId="77777777" w:rsidTr="0044503C">
        <w:tc>
          <w:tcPr>
            <w:tcW w:w="2065" w:type="dxa"/>
            <w:vAlign w:val="center"/>
          </w:tcPr>
          <w:p w14:paraId="2F4C052A" w14:textId="45FA3427" w:rsidR="00221707" w:rsidRPr="003A0F7C" w:rsidRDefault="00221707" w:rsidP="0044503C">
            <w:pPr>
              <w:pStyle w:val="Sinespaciado"/>
              <w:jc w:val="center"/>
              <w:rPr>
                <w:rFonts w:eastAsia="Cambria"/>
              </w:rPr>
            </w:pPr>
            <w:r w:rsidRPr="003A0F7C">
              <w:rPr>
                <w:rFonts w:eastAsia="Cambria"/>
              </w:rPr>
              <w:t>TEEG-JPDC-90/2021</w:t>
            </w:r>
          </w:p>
        </w:tc>
        <w:tc>
          <w:tcPr>
            <w:tcW w:w="2066" w:type="dxa"/>
            <w:vAlign w:val="center"/>
          </w:tcPr>
          <w:p w14:paraId="126EDB6D" w14:textId="373E7F97" w:rsidR="00221707" w:rsidRPr="003A0F7C" w:rsidRDefault="0044503C" w:rsidP="0044503C">
            <w:pPr>
              <w:pStyle w:val="Sinespaciado"/>
              <w:jc w:val="center"/>
            </w:pPr>
            <w:r w:rsidRPr="003A0F7C">
              <w:t>9 de abril</w:t>
            </w:r>
          </w:p>
        </w:tc>
        <w:tc>
          <w:tcPr>
            <w:tcW w:w="2066" w:type="dxa"/>
            <w:vAlign w:val="center"/>
          </w:tcPr>
          <w:p w14:paraId="41E49CCB" w14:textId="23165B23" w:rsidR="00221707" w:rsidRPr="003A0F7C" w:rsidRDefault="0044503C" w:rsidP="0044503C">
            <w:pPr>
              <w:pStyle w:val="Sinespaciado"/>
              <w:jc w:val="center"/>
            </w:pPr>
            <w:r w:rsidRPr="003A0F7C">
              <w:t>16 de abril</w:t>
            </w:r>
          </w:p>
        </w:tc>
        <w:tc>
          <w:tcPr>
            <w:tcW w:w="2066" w:type="dxa"/>
            <w:vAlign w:val="center"/>
          </w:tcPr>
          <w:p w14:paraId="7A5FFA6C" w14:textId="67B88FBC" w:rsidR="00221707" w:rsidRPr="003A0F7C" w:rsidRDefault="0044503C" w:rsidP="0044503C">
            <w:pPr>
              <w:pStyle w:val="Sinespaciado"/>
              <w:jc w:val="center"/>
            </w:pPr>
            <w:r w:rsidRPr="003A0F7C">
              <w:t>NO</w:t>
            </w:r>
          </w:p>
        </w:tc>
      </w:tr>
      <w:tr w:rsidR="00221707" w:rsidRPr="003A0F7C" w14:paraId="01B34ACA" w14:textId="77777777" w:rsidTr="0044503C">
        <w:tc>
          <w:tcPr>
            <w:tcW w:w="2065" w:type="dxa"/>
            <w:vAlign w:val="center"/>
          </w:tcPr>
          <w:p w14:paraId="33ED9891" w14:textId="5D265C6F" w:rsidR="00221707" w:rsidRPr="003A0F7C" w:rsidRDefault="00221707" w:rsidP="0044503C">
            <w:pPr>
              <w:pStyle w:val="Sinespaciado"/>
              <w:jc w:val="center"/>
              <w:rPr>
                <w:rFonts w:eastAsia="Cambria"/>
              </w:rPr>
            </w:pPr>
            <w:r w:rsidRPr="003A0F7C">
              <w:rPr>
                <w:rFonts w:eastAsia="Cambria"/>
              </w:rPr>
              <w:t>TEEG-JPDC-91/2021</w:t>
            </w:r>
          </w:p>
        </w:tc>
        <w:tc>
          <w:tcPr>
            <w:tcW w:w="2066" w:type="dxa"/>
            <w:vAlign w:val="center"/>
          </w:tcPr>
          <w:p w14:paraId="3D02CCBD" w14:textId="2A75A2F5" w:rsidR="00221707" w:rsidRPr="003A0F7C" w:rsidRDefault="0044503C" w:rsidP="0044503C">
            <w:pPr>
              <w:pStyle w:val="Sinespaciado"/>
              <w:jc w:val="center"/>
            </w:pPr>
            <w:r w:rsidRPr="003A0F7C">
              <w:t>9 de abril</w:t>
            </w:r>
          </w:p>
        </w:tc>
        <w:tc>
          <w:tcPr>
            <w:tcW w:w="2066" w:type="dxa"/>
            <w:vAlign w:val="center"/>
          </w:tcPr>
          <w:p w14:paraId="2F75553D" w14:textId="2BB31E7D" w:rsidR="00221707" w:rsidRPr="003A0F7C" w:rsidRDefault="0044503C" w:rsidP="0044503C">
            <w:pPr>
              <w:pStyle w:val="Sinespaciado"/>
              <w:jc w:val="center"/>
            </w:pPr>
            <w:r w:rsidRPr="003A0F7C">
              <w:t>16 de abril</w:t>
            </w:r>
          </w:p>
        </w:tc>
        <w:tc>
          <w:tcPr>
            <w:tcW w:w="2066" w:type="dxa"/>
            <w:vAlign w:val="center"/>
          </w:tcPr>
          <w:p w14:paraId="4353D230" w14:textId="67BA0E04" w:rsidR="00221707" w:rsidRPr="003A0F7C" w:rsidRDefault="0044503C" w:rsidP="0044503C">
            <w:pPr>
              <w:pStyle w:val="Sinespaciado"/>
              <w:jc w:val="center"/>
            </w:pPr>
            <w:r w:rsidRPr="003A0F7C">
              <w:t>NO</w:t>
            </w:r>
          </w:p>
        </w:tc>
      </w:tr>
      <w:tr w:rsidR="00221707" w:rsidRPr="003A0F7C" w14:paraId="2DAFB360" w14:textId="77777777" w:rsidTr="0044503C">
        <w:tc>
          <w:tcPr>
            <w:tcW w:w="2065" w:type="dxa"/>
            <w:vAlign w:val="center"/>
          </w:tcPr>
          <w:p w14:paraId="355BD13A" w14:textId="332F964D" w:rsidR="00221707" w:rsidRPr="003A0F7C" w:rsidRDefault="00221707" w:rsidP="0044503C">
            <w:pPr>
              <w:pStyle w:val="Sinespaciado"/>
              <w:jc w:val="center"/>
              <w:rPr>
                <w:rFonts w:eastAsia="Cambria"/>
              </w:rPr>
            </w:pPr>
            <w:r w:rsidRPr="003A0F7C">
              <w:rPr>
                <w:rFonts w:eastAsia="Cambria"/>
              </w:rPr>
              <w:t>TEEG-JPDC- 92/2021</w:t>
            </w:r>
          </w:p>
        </w:tc>
        <w:tc>
          <w:tcPr>
            <w:tcW w:w="2066" w:type="dxa"/>
            <w:vAlign w:val="center"/>
          </w:tcPr>
          <w:p w14:paraId="1E765D63" w14:textId="21F6D74D" w:rsidR="00221707" w:rsidRPr="003A0F7C" w:rsidRDefault="0044503C" w:rsidP="0044503C">
            <w:pPr>
              <w:pStyle w:val="Sinespaciado"/>
              <w:jc w:val="center"/>
            </w:pPr>
            <w:r w:rsidRPr="003A0F7C">
              <w:t>10 de abril</w:t>
            </w:r>
          </w:p>
        </w:tc>
        <w:tc>
          <w:tcPr>
            <w:tcW w:w="2066" w:type="dxa"/>
            <w:vAlign w:val="center"/>
          </w:tcPr>
          <w:p w14:paraId="3DE96519" w14:textId="11A573E9" w:rsidR="00221707" w:rsidRPr="003A0F7C" w:rsidRDefault="0044503C" w:rsidP="0044503C">
            <w:pPr>
              <w:pStyle w:val="Sinespaciado"/>
              <w:jc w:val="center"/>
            </w:pPr>
            <w:r w:rsidRPr="003A0F7C">
              <w:t>16 de abril</w:t>
            </w:r>
          </w:p>
        </w:tc>
        <w:tc>
          <w:tcPr>
            <w:tcW w:w="2066" w:type="dxa"/>
            <w:vAlign w:val="center"/>
          </w:tcPr>
          <w:p w14:paraId="3DD84A85" w14:textId="234D4E1A" w:rsidR="00221707" w:rsidRPr="003A0F7C" w:rsidRDefault="0044503C" w:rsidP="0044503C">
            <w:pPr>
              <w:pStyle w:val="Sinespaciado"/>
              <w:jc w:val="center"/>
            </w:pPr>
            <w:r w:rsidRPr="003A0F7C">
              <w:t>NO</w:t>
            </w:r>
          </w:p>
        </w:tc>
      </w:tr>
      <w:tr w:rsidR="00221707" w:rsidRPr="003A0F7C" w14:paraId="768DE091" w14:textId="77777777" w:rsidTr="0044503C">
        <w:tc>
          <w:tcPr>
            <w:tcW w:w="2065" w:type="dxa"/>
            <w:vAlign w:val="center"/>
          </w:tcPr>
          <w:p w14:paraId="7A3FFEC9" w14:textId="5E99367C" w:rsidR="00221707" w:rsidRPr="003A0F7C" w:rsidRDefault="00221707" w:rsidP="0044503C">
            <w:pPr>
              <w:pStyle w:val="Sinespaciado"/>
              <w:jc w:val="center"/>
              <w:rPr>
                <w:rFonts w:eastAsia="Cambria"/>
              </w:rPr>
            </w:pPr>
            <w:r w:rsidRPr="003A0F7C">
              <w:rPr>
                <w:rFonts w:eastAsia="Cambria"/>
              </w:rPr>
              <w:t>TEEG-JPDC-93/2021</w:t>
            </w:r>
          </w:p>
        </w:tc>
        <w:tc>
          <w:tcPr>
            <w:tcW w:w="2066" w:type="dxa"/>
            <w:vAlign w:val="center"/>
          </w:tcPr>
          <w:p w14:paraId="041E6C32" w14:textId="3CAAE7F2" w:rsidR="00221707" w:rsidRPr="003A0F7C" w:rsidRDefault="0044503C" w:rsidP="0044503C">
            <w:pPr>
              <w:pStyle w:val="Sinespaciado"/>
              <w:jc w:val="center"/>
            </w:pPr>
            <w:r w:rsidRPr="003A0F7C">
              <w:t>10 de abril</w:t>
            </w:r>
          </w:p>
        </w:tc>
        <w:tc>
          <w:tcPr>
            <w:tcW w:w="2066" w:type="dxa"/>
            <w:vAlign w:val="center"/>
          </w:tcPr>
          <w:p w14:paraId="1E29615B" w14:textId="135C6499" w:rsidR="00221707" w:rsidRPr="003A0F7C" w:rsidRDefault="0044503C" w:rsidP="0044503C">
            <w:pPr>
              <w:pStyle w:val="Sinespaciado"/>
              <w:jc w:val="center"/>
            </w:pPr>
            <w:r w:rsidRPr="003A0F7C">
              <w:t>16 de abril</w:t>
            </w:r>
          </w:p>
        </w:tc>
        <w:tc>
          <w:tcPr>
            <w:tcW w:w="2066" w:type="dxa"/>
            <w:vAlign w:val="center"/>
          </w:tcPr>
          <w:p w14:paraId="34889376" w14:textId="17E76653" w:rsidR="00221707" w:rsidRPr="003A0F7C" w:rsidRDefault="0044503C" w:rsidP="0044503C">
            <w:pPr>
              <w:pStyle w:val="Sinespaciado"/>
              <w:jc w:val="center"/>
            </w:pPr>
            <w:r w:rsidRPr="003A0F7C">
              <w:t>NO</w:t>
            </w:r>
          </w:p>
        </w:tc>
      </w:tr>
      <w:tr w:rsidR="00221707" w:rsidRPr="003A0F7C" w14:paraId="14C8FF2E" w14:textId="77777777" w:rsidTr="0044503C">
        <w:tc>
          <w:tcPr>
            <w:tcW w:w="2065" w:type="dxa"/>
            <w:vAlign w:val="center"/>
          </w:tcPr>
          <w:p w14:paraId="7A133638" w14:textId="5154EEE3" w:rsidR="00221707" w:rsidRPr="003A0F7C" w:rsidRDefault="00221707" w:rsidP="0044503C">
            <w:pPr>
              <w:pStyle w:val="Sinespaciado"/>
              <w:jc w:val="center"/>
              <w:rPr>
                <w:rFonts w:eastAsia="Cambria"/>
              </w:rPr>
            </w:pPr>
            <w:r w:rsidRPr="003A0F7C">
              <w:rPr>
                <w:rFonts w:eastAsia="Cambria"/>
              </w:rPr>
              <w:t>TEEG-JPDC-96/2021</w:t>
            </w:r>
          </w:p>
        </w:tc>
        <w:tc>
          <w:tcPr>
            <w:tcW w:w="2066" w:type="dxa"/>
            <w:vAlign w:val="center"/>
          </w:tcPr>
          <w:p w14:paraId="4E140505" w14:textId="23FA877A" w:rsidR="00221707" w:rsidRPr="003A0F7C" w:rsidRDefault="0044503C" w:rsidP="0044503C">
            <w:pPr>
              <w:pStyle w:val="Sinespaciado"/>
              <w:jc w:val="center"/>
            </w:pPr>
            <w:r w:rsidRPr="003A0F7C">
              <w:t>10 de abril</w:t>
            </w:r>
          </w:p>
        </w:tc>
        <w:tc>
          <w:tcPr>
            <w:tcW w:w="2066" w:type="dxa"/>
            <w:vAlign w:val="center"/>
          </w:tcPr>
          <w:p w14:paraId="71116243" w14:textId="5A8C08D6" w:rsidR="00221707" w:rsidRPr="003A0F7C" w:rsidRDefault="0044503C" w:rsidP="0044503C">
            <w:pPr>
              <w:pStyle w:val="Sinespaciado"/>
              <w:jc w:val="center"/>
            </w:pPr>
            <w:r w:rsidRPr="003A0F7C">
              <w:t>16 de abril</w:t>
            </w:r>
          </w:p>
        </w:tc>
        <w:tc>
          <w:tcPr>
            <w:tcW w:w="2066" w:type="dxa"/>
            <w:vAlign w:val="center"/>
          </w:tcPr>
          <w:p w14:paraId="42F38F30" w14:textId="0BDA0BAC" w:rsidR="00221707" w:rsidRPr="003A0F7C" w:rsidRDefault="0044503C" w:rsidP="0044503C">
            <w:pPr>
              <w:pStyle w:val="Sinespaciado"/>
              <w:jc w:val="center"/>
            </w:pPr>
            <w:r w:rsidRPr="003A0F7C">
              <w:t>NO</w:t>
            </w:r>
          </w:p>
        </w:tc>
      </w:tr>
      <w:tr w:rsidR="00221707" w:rsidRPr="003A0F7C" w14:paraId="19AEA258" w14:textId="77777777" w:rsidTr="0044503C">
        <w:tc>
          <w:tcPr>
            <w:tcW w:w="2065" w:type="dxa"/>
            <w:vAlign w:val="center"/>
          </w:tcPr>
          <w:p w14:paraId="2FFF99CE" w14:textId="7BBD3FAF" w:rsidR="00221707" w:rsidRPr="003A0F7C" w:rsidRDefault="00221707" w:rsidP="0044503C">
            <w:pPr>
              <w:pStyle w:val="Sinespaciado"/>
              <w:jc w:val="center"/>
              <w:rPr>
                <w:rFonts w:eastAsia="Cambria"/>
              </w:rPr>
            </w:pPr>
            <w:r w:rsidRPr="003A0F7C">
              <w:rPr>
                <w:rFonts w:eastAsia="Cambria"/>
              </w:rPr>
              <w:t>TEEG-JPDC-97/2021</w:t>
            </w:r>
          </w:p>
        </w:tc>
        <w:tc>
          <w:tcPr>
            <w:tcW w:w="2066" w:type="dxa"/>
            <w:vAlign w:val="center"/>
          </w:tcPr>
          <w:p w14:paraId="7BBC3FBC" w14:textId="4AFFF947" w:rsidR="00221707" w:rsidRPr="003A0F7C" w:rsidRDefault="0044503C" w:rsidP="0044503C">
            <w:pPr>
              <w:pStyle w:val="Sinespaciado"/>
              <w:jc w:val="center"/>
            </w:pPr>
            <w:r w:rsidRPr="003A0F7C">
              <w:t>10 de abril</w:t>
            </w:r>
          </w:p>
        </w:tc>
        <w:tc>
          <w:tcPr>
            <w:tcW w:w="2066" w:type="dxa"/>
            <w:vAlign w:val="center"/>
          </w:tcPr>
          <w:p w14:paraId="7FE60F92" w14:textId="493BEFFB" w:rsidR="00221707" w:rsidRPr="003A0F7C" w:rsidRDefault="0044503C" w:rsidP="0044503C">
            <w:pPr>
              <w:pStyle w:val="Sinespaciado"/>
              <w:jc w:val="center"/>
            </w:pPr>
            <w:r w:rsidRPr="003A0F7C">
              <w:t>16 de abril</w:t>
            </w:r>
          </w:p>
        </w:tc>
        <w:tc>
          <w:tcPr>
            <w:tcW w:w="2066" w:type="dxa"/>
            <w:vAlign w:val="center"/>
          </w:tcPr>
          <w:p w14:paraId="37F0530B" w14:textId="3CFCD8F5" w:rsidR="00221707" w:rsidRPr="003A0F7C" w:rsidRDefault="0044503C" w:rsidP="0044503C">
            <w:pPr>
              <w:pStyle w:val="Sinespaciado"/>
              <w:jc w:val="center"/>
            </w:pPr>
            <w:r w:rsidRPr="003A0F7C">
              <w:t>NO</w:t>
            </w:r>
          </w:p>
        </w:tc>
      </w:tr>
      <w:tr w:rsidR="0044503C" w:rsidRPr="003A0F7C" w14:paraId="2B52D9DC" w14:textId="77777777" w:rsidTr="0044503C">
        <w:tc>
          <w:tcPr>
            <w:tcW w:w="2065" w:type="dxa"/>
            <w:vAlign w:val="center"/>
          </w:tcPr>
          <w:p w14:paraId="5FE094EC" w14:textId="401F62D1" w:rsidR="0044503C" w:rsidRPr="003A0F7C" w:rsidRDefault="0044503C" w:rsidP="0044503C">
            <w:pPr>
              <w:pStyle w:val="Sinespaciado"/>
              <w:jc w:val="center"/>
              <w:rPr>
                <w:rFonts w:eastAsia="Cambria"/>
              </w:rPr>
            </w:pPr>
            <w:r w:rsidRPr="003A0F7C">
              <w:rPr>
                <w:rFonts w:eastAsia="Cambria"/>
              </w:rPr>
              <w:lastRenderedPageBreak/>
              <w:t>TEEG-JPDC-112/2021</w:t>
            </w:r>
          </w:p>
        </w:tc>
        <w:tc>
          <w:tcPr>
            <w:tcW w:w="2066" w:type="dxa"/>
            <w:vAlign w:val="center"/>
          </w:tcPr>
          <w:p w14:paraId="45BE0610" w14:textId="4A2132AA" w:rsidR="0044503C" w:rsidRPr="003A0F7C" w:rsidRDefault="0044503C" w:rsidP="0044503C">
            <w:pPr>
              <w:pStyle w:val="Sinespaciado"/>
              <w:jc w:val="center"/>
            </w:pPr>
            <w:r w:rsidRPr="003A0F7C">
              <w:t>14 de abril</w:t>
            </w:r>
          </w:p>
        </w:tc>
        <w:tc>
          <w:tcPr>
            <w:tcW w:w="2066" w:type="dxa"/>
            <w:vAlign w:val="center"/>
          </w:tcPr>
          <w:p w14:paraId="25FB75F8" w14:textId="1B723BCA" w:rsidR="0044503C" w:rsidRPr="003A0F7C" w:rsidRDefault="0044503C" w:rsidP="0044503C">
            <w:pPr>
              <w:pStyle w:val="Sinespaciado"/>
              <w:jc w:val="center"/>
            </w:pPr>
            <w:r w:rsidRPr="003A0F7C">
              <w:t>16 de abril</w:t>
            </w:r>
          </w:p>
        </w:tc>
        <w:tc>
          <w:tcPr>
            <w:tcW w:w="2066" w:type="dxa"/>
            <w:vAlign w:val="center"/>
          </w:tcPr>
          <w:p w14:paraId="3AE982FC" w14:textId="6CCB4F7C" w:rsidR="0044503C" w:rsidRPr="003A0F7C" w:rsidRDefault="0044503C" w:rsidP="0044503C">
            <w:pPr>
              <w:pStyle w:val="Sinespaciado"/>
              <w:jc w:val="center"/>
            </w:pPr>
            <w:r w:rsidRPr="003A0F7C">
              <w:t>SI</w:t>
            </w:r>
          </w:p>
        </w:tc>
      </w:tr>
      <w:tr w:rsidR="0044503C" w:rsidRPr="003A0F7C" w14:paraId="0F9B72C0" w14:textId="77777777" w:rsidTr="0044503C">
        <w:tc>
          <w:tcPr>
            <w:tcW w:w="2065" w:type="dxa"/>
            <w:vAlign w:val="center"/>
          </w:tcPr>
          <w:p w14:paraId="1D6EE0C6" w14:textId="1AE7645D" w:rsidR="0044503C" w:rsidRPr="003A0F7C" w:rsidRDefault="0044503C" w:rsidP="0044503C">
            <w:pPr>
              <w:pStyle w:val="Sinespaciado"/>
              <w:jc w:val="center"/>
              <w:rPr>
                <w:rFonts w:eastAsia="Cambria"/>
              </w:rPr>
            </w:pPr>
            <w:r w:rsidRPr="003A0F7C">
              <w:rPr>
                <w:rFonts w:eastAsia="Cambria"/>
              </w:rPr>
              <w:t>TEEG-JPDC-113/2021</w:t>
            </w:r>
          </w:p>
        </w:tc>
        <w:tc>
          <w:tcPr>
            <w:tcW w:w="2066" w:type="dxa"/>
            <w:vAlign w:val="center"/>
          </w:tcPr>
          <w:p w14:paraId="41B1DB6E" w14:textId="474A5ACC" w:rsidR="0044503C" w:rsidRPr="003A0F7C" w:rsidRDefault="0044503C" w:rsidP="0044503C">
            <w:pPr>
              <w:pStyle w:val="Sinespaciado"/>
              <w:jc w:val="center"/>
            </w:pPr>
            <w:r w:rsidRPr="003A0F7C">
              <w:t>14 de abril</w:t>
            </w:r>
          </w:p>
        </w:tc>
        <w:tc>
          <w:tcPr>
            <w:tcW w:w="2066" w:type="dxa"/>
            <w:vAlign w:val="center"/>
          </w:tcPr>
          <w:p w14:paraId="5F3BE596" w14:textId="086C726D" w:rsidR="0044503C" w:rsidRPr="003A0F7C" w:rsidRDefault="0044503C" w:rsidP="0044503C">
            <w:pPr>
              <w:pStyle w:val="Sinespaciado"/>
              <w:jc w:val="center"/>
            </w:pPr>
            <w:r w:rsidRPr="003A0F7C">
              <w:t>16 de abril</w:t>
            </w:r>
          </w:p>
        </w:tc>
        <w:tc>
          <w:tcPr>
            <w:tcW w:w="2066" w:type="dxa"/>
            <w:vAlign w:val="center"/>
          </w:tcPr>
          <w:p w14:paraId="17E38CC0" w14:textId="19D89107" w:rsidR="0044503C" w:rsidRPr="003A0F7C" w:rsidRDefault="0044503C" w:rsidP="0044503C">
            <w:pPr>
              <w:pStyle w:val="Sinespaciado"/>
              <w:jc w:val="center"/>
            </w:pPr>
            <w:r w:rsidRPr="003A0F7C">
              <w:t>SI</w:t>
            </w:r>
          </w:p>
        </w:tc>
      </w:tr>
      <w:tr w:rsidR="0044503C" w:rsidRPr="003A0F7C" w14:paraId="11D5DEAB" w14:textId="77777777" w:rsidTr="0044503C">
        <w:tc>
          <w:tcPr>
            <w:tcW w:w="2065" w:type="dxa"/>
            <w:vAlign w:val="center"/>
          </w:tcPr>
          <w:p w14:paraId="7DF178AE" w14:textId="5A08F71D" w:rsidR="0044503C" w:rsidRPr="003A0F7C" w:rsidRDefault="0044503C" w:rsidP="0044503C">
            <w:pPr>
              <w:pStyle w:val="Sinespaciado"/>
              <w:jc w:val="center"/>
              <w:rPr>
                <w:rFonts w:eastAsia="Cambria"/>
              </w:rPr>
            </w:pPr>
            <w:r w:rsidRPr="003A0F7C">
              <w:rPr>
                <w:rFonts w:eastAsia="Cambria"/>
              </w:rPr>
              <w:t>TEEG-JPDC-114/2021</w:t>
            </w:r>
          </w:p>
        </w:tc>
        <w:tc>
          <w:tcPr>
            <w:tcW w:w="2066" w:type="dxa"/>
            <w:vAlign w:val="center"/>
          </w:tcPr>
          <w:p w14:paraId="33AFA7BE" w14:textId="2172D66D" w:rsidR="0044503C" w:rsidRPr="003A0F7C" w:rsidRDefault="0044503C" w:rsidP="0044503C">
            <w:pPr>
              <w:pStyle w:val="Sinespaciado"/>
              <w:jc w:val="center"/>
            </w:pPr>
            <w:r w:rsidRPr="003A0F7C">
              <w:t>14 de abril</w:t>
            </w:r>
          </w:p>
        </w:tc>
        <w:tc>
          <w:tcPr>
            <w:tcW w:w="2066" w:type="dxa"/>
            <w:vAlign w:val="center"/>
          </w:tcPr>
          <w:p w14:paraId="74C2F9AA" w14:textId="436E825C" w:rsidR="0044503C" w:rsidRPr="003A0F7C" w:rsidRDefault="0044503C" w:rsidP="0044503C">
            <w:pPr>
              <w:pStyle w:val="Sinespaciado"/>
              <w:jc w:val="center"/>
            </w:pPr>
            <w:r w:rsidRPr="003A0F7C">
              <w:t>16 de abril</w:t>
            </w:r>
          </w:p>
        </w:tc>
        <w:tc>
          <w:tcPr>
            <w:tcW w:w="2066" w:type="dxa"/>
            <w:vAlign w:val="center"/>
          </w:tcPr>
          <w:p w14:paraId="76F0E032" w14:textId="56DF87C5" w:rsidR="0044503C" w:rsidRPr="003A0F7C" w:rsidRDefault="0044503C" w:rsidP="0044503C">
            <w:pPr>
              <w:pStyle w:val="Sinespaciado"/>
              <w:jc w:val="center"/>
            </w:pPr>
            <w:r w:rsidRPr="003A0F7C">
              <w:t>SI</w:t>
            </w:r>
          </w:p>
        </w:tc>
      </w:tr>
    </w:tbl>
    <w:p w14:paraId="2FBC3BCC" w14:textId="0ABE9335" w:rsidR="00221707" w:rsidRPr="003A0F7C" w:rsidRDefault="0044503C" w:rsidP="00173081">
      <w:pPr>
        <w:spacing w:before="280" w:after="280" w:line="360" w:lineRule="auto"/>
        <w:ind w:right="51"/>
        <w:jc w:val="both"/>
        <w:rPr>
          <w:rFonts w:eastAsia="Calibri"/>
          <w:bCs/>
          <w:sz w:val="24"/>
          <w:szCs w:val="24"/>
        </w:rPr>
      </w:pPr>
      <w:r w:rsidRPr="003A0F7C">
        <w:rPr>
          <w:rFonts w:eastAsia="Calibri"/>
          <w:bCs/>
          <w:sz w:val="24"/>
          <w:szCs w:val="24"/>
        </w:rPr>
        <w:t>De lo anteriormente expuesto, se tiene que los medios de impugnación identificados como TEEG-REV-18/2021, TEEG-JPDC-46/2021, TEEG-JPDC-52/2021, TEEG-JPDC- 53/2021, TEEG-JPDC-54/2021, TEEG-JPDC-55/2021, TEEG-JPDC- 56/2021, TEEG-JPDC-90/2021, TEEG-JPDC-91/2021, TEEG-JPDC- 92/2021, TEEG-JPDC-93/2021, TEEG-JPDC-96/2021</w:t>
      </w:r>
      <w:r w:rsidR="009B6E05" w:rsidRPr="003A0F7C">
        <w:rPr>
          <w:rFonts w:eastAsia="Calibri"/>
          <w:bCs/>
          <w:sz w:val="24"/>
          <w:szCs w:val="24"/>
        </w:rPr>
        <w:t xml:space="preserve"> y</w:t>
      </w:r>
      <w:r w:rsidRPr="003A0F7C">
        <w:rPr>
          <w:rFonts w:eastAsia="Calibri"/>
          <w:bCs/>
          <w:sz w:val="24"/>
          <w:szCs w:val="24"/>
        </w:rPr>
        <w:t xml:space="preserve"> TEEG-JPDC-97/2021, no fueron radicados en el plazo establecido en la normatividad electoral local.</w:t>
      </w:r>
    </w:p>
    <w:p w14:paraId="1DE8F683" w14:textId="0583F7D6" w:rsidR="00003FF3" w:rsidRPr="003A0F7C" w:rsidRDefault="00003FF3" w:rsidP="00173081">
      <w:pPr>
        <w:spacing w:before="280" w:after="280" w:line="360" w:lineRule="auto"/>
        <w:ind w:right="51"/>
        <w:jc w:val="both"/>
        <w:rPr>
          <w:rFonts w:eastAsia="Calibri"/>
          <w:bCs/>
          <w:sz w:val="24"/>
          <w:szCs w:val="24"/>
        </w:rPr>
      </w:pPr>
      <w:r w:rsidRPr="003A0F7C">
        <w:rPr>
          <w:rFonts w:eastAsia="Calibri"/>
          <w:bCs/>
          <w:sz w:val="24"/>
          <w:szCs w:val="24"/>
        </w:rPr>
        <w:t>Por lo que respecta a los juicios TEEG-JPDC-112/2021, TEEG-JPDC-113/2021 y TEEG-JPDC-114/2021, los mismos s</w:t>
      </w:r>
      <w:r w:rsidR="00384F1D" w:rsidRPr="003A0F7C">
        <w:rPr>
          <w:rFonts w:eastAsia="Calibri"/>
          <w:bCs/>
          <w:sz w:val="24"/>
          <w:szCs w:val="24"/>
        </w:rPr>
        <w:t>í</w:t>
      </w:r>
      <w:r w:rsidRPr="003A0F7C">
        <w:rPr>
          <w:rFonts w:eastAsia="Calibri"/>
          <w:bCs/>
          <w:sz w:val="24"/>
          <w:szCs w:val="24"/>
        </w:rPr>
        <w:t xml:space="preserve"> fueron radicados en el plazo de ley.</w:t>
      </w:r>
    </w:p>
    <w:p w14:paraId="192CC100" w14:textId="72A52E81" w:rsidR="00221707" w:rsidRPr="003A0F7C" w:rsidRDefault="00003FF3" w:rsidP="00173081">
      <w:pPr>
        <w:spacing w:before="280" w:after="280" w:line="360" w:lineRule="auto"/>
        <w:ind w:right="51"/>
        <w:jc w:val="both"/>
        <w:rPr>
          <w:rFonts w:eastAsia="Calibri"/>
          <w:bCs/>
          <w:sz w:val="24"/>
          <w:szCs w:val="24"/>
        </w:rPr>
      </w:pPr>
      <w:r w:rsidRPr="003A0F7C">
        <w:rPr>
          <w:rFonts w:eastAsia="Calibri"/>
          <w:bCs/>
          <w:sz w:val="24"/>
          <w:szCs w:val="24"/>
        </w:rPr>
        <w:t xml:space="preserve">Por otro lado, los juicios TEEG-JPDC-118/2021 y TEEG-JPDC-119/2021 se consideran fueron radicados en tiempo, lo anterior, pues fueron presentados ante el </w:t>
      </w:r>
      <w:r w:rsidRPr="003A0F7C">
        <w:rPr>
          <w:rFonts w:eastAsia="Calibri"/>
          <w:bCs/>
          <w:i/>
          <w:iCs/>
          <w:sz w:val="24"/>
          <w:szCs w:val="24"/>
        </w:rPr>
        <w:t>Instituto Electoral Local</w:t>
      </w:r>
      <w:r w:rsidRPr="003A0F7C">
        <w:rPr>
          <w:rFonts w:eastAsia="Calibri"/>
          <w:bCs/>
          <w:sz w:val="24"/>
          <w:szCs w:val="24"/>
        </w:rPr>
        <w:t xml:space="preserve"> y el </w:t>
      </w:r>
      <w:r w:rsidRPr="003A0F7C">
        <w:rPr>
          <w:rFonts w:eastAsia="Calibri"/>
          <w:bCs/>
          <w:i/>
          <w:iCs/>
          <w:sz w:val="24"/>
          <w:szCs w:val="24"/>
        </w:rPr>
        <w:t>Tribunal Local</w:t>
      </w:r>
      <w:r w:rsidRPr="003A0F7C">
        <w:rPr>
          <w:rFonts w:eastAsia="Calibri"/>
          <w:bCs/>
          <w:sz w:val="24"/>
          <w:szCs w:val="24"/>
        </w:rPr>
        <w:t xml:space="preserve">, a fin de que esta Sala Regional los conociera en la vía </w:t>
      </w:r>
      <w:r w:rsidRPr="003A0F7C">
        <w:rPr>
          <w:rFonts w:eastAsia="Calibri"/>
          <w:bCs/>
          <w:i/>
          <w:iCs/>
          <w:sz w:val="24"/>
          <w:szCs w:val="24"/>
        </w:rPr>
        <w:t xml:space="preserve">per </w:t>
      </w:r>
      <w:proofErr w:type="spellStart"/>
      <w:r w:rsidRPr="003A0F7C">
        <w:rPr>
          <w:rFonts w:eastAsia="Calibri"/>
          <w:bCs/>
          <w:i/>
          <w:iCs/>
          <w:sz w:val="24"/>
          <w:szCs w:val="24"/>
        </w:rPr>
        <w:t>saltum</w:t>
      </w:r>
      <w:proofErr w:type="spellEnd"/>
      <w:r w:rsidRPr="003A0F7C">
        <w:rPr>
          <w:rFonts w:eastAsia="Calibri"/>
          <w:bCs/>
          <w:sz w:val="24"/>
          <w:szCs w:val="24"/>
        </w:rPr>
        <w:t>, lo cual no procedió</w:t>
      </w:r>
      <w:r w:rsidR="00833D29" w:rsidRPr="003A0F7C">
        <w:rPr>
          <w:rFonts w:eastAsia="Calibri"/>
          <w:bCs/>
          <w:sz w:val="24"/>
          <w:szCs w:val="24"/>
        </w:rPr>
        <w:t xml:space="preserve">, reencauzándolos al </w:t>
      </w:r>
      <w:r w:rsidR="00833D29" w:rsidRPr="003A0F7C">
        <w:rPr>
          <w:rFonts w:eastAsia="Calibri"/>
          <w:bCs/>
          <w:i/>
          <w:iCs/>
          <w:sz w:val="24"/>
          <w:szCs w:val="24"/>
        </w:rPr>
        <w:t xml:space="preserve">Tribunal Local </w:t>
      </w:r>
      <w:r w:rsidR="00833D29" w:rsidRPr="003A0F7C">
        <w:rPr>
          <w:rFonts w:eastAsia="Calibri"/>
          <w:bCs/>
          <w:sz w:val="24"/>
          <w:szCs w:val="24"/>
        </w:rPr>
        <w:t xml:space="preserve">para su conocimiento, </w:t>
      </w:r>
      <w:r w:rsidRPr="003A0F7C">
        <w:rPr>
          <w:rFonts w:eastAsia="Calibri"/>
          <w:bCs/>
          <w:sz w:val="24"/>
          <w:szCs w:val="24"/>
        </w:rPr>
        <w:t xml:space="preserve">recibiendo las constancias </w:t>
      </w:r>
      <w:r w:rsidR="009B6E05" w:rsidRPr="003A0F7C">
        <w:rPr>
          <w:rFonts w:eastAsia="Calibri"/>
          <w:bCs/>
          <w:sz w:val="24"/>
          <w:szCs w:val="24"/>
        </w:rPr>
        <w:t>referentes</w:t>
      </w:r>
      <w:r w:rsidRPr="003A0F7C">
        <w:rPr>
          <w:rFonts w:eastAsia="Calibri"/>
          <w:bCs/>
          <w:sz w:val="24"/>
          <w:szCs w:val="24"/>
        </w:rPr>
        <w:t xml:space="preserve"> el dieciséis de abril, radicando e</w:t>
      </w:r>
      <w:r w:rsidR="009B6E05" w:rsidRPr="003A0F7C">
        <w:rPr>
          <w:rFonts w:eastAsia="Calibri"/>
          <w:bCs/>
          <w:sz w:val="24"/>
          <w:szCs w:val="24"/>
        </w:rPr>
        <w:t xml:space="preserve">l dieciséis y diecisiete, respectivamente. </w:t>
      </w:r>
    </w:p>
    <w:p w14:paraId="45BE5071" w14:textId="38535665" w:rsidR="00A809B4" w:rsidRPr="003A0F7C" w:rsidRDefault="00A809B4" w:rsidP="00173081">
      <w:pPr>
        <w:spacing w:before="280" w:after="280" w:line="360" w:lineRule="auto"/>
        <w:ind w:right="51"/>
        <w:jc w:val="both"/>
        <w:rPr>
          <w:rFonts w:eastAsia="Calibri"/>
          <w:bCs/>
          <w:sz w:val="24"/>
          <w:szCs w:val="24"/>
        </w:rPr>
      </w:pPr>
      <w:r w:rsidRPr="003A0F7C">
        <w:rPr>
          <w:rFonts w:eastAsia="Calibri"/>
          <w:bCs/>
          <w:sz w:val="24"/>
          <w:szCs w:val="24"/>
        </w:rPr>
        <w:t xml:space="preserve">Ahora bien, le asiste la razón al argumento del actor relativo a que el </w:t>
      </w:r>
      <w:r w:rsidRPr="003A0F7C">
        <w:rPr>
          <w:rFonts w:eastAsia="Calibri"/>
          <w:bCs/>
          <w:i/>
          <w:iCs/>
          <w:sz w:val="24"/>
          <w:szCs w:val="24"/>
        </w:rPr>
        <w:t>Tribunal Local</w:t>
      </w:r>
      <w:r w:rsidRPr="003A0F7C">
        <w:rPr>
          <w:rFonts w:eastAsia="Calibri"/>
          <w:bCs/>
          <w:sz w:val="24"/>
          <w:szCs w:val="24"/>
        </w:rPr>
        <w:t xml:space="preserve"> excedió del plazo para radicar los medios de impugnación TEEG-REV-18/2021, TEEG-JPDC-46/2021, TEEG-JPDC-52/2021, TEEG-JPDC- 53/2021, TEEG-JPDC-54/2021, TEEG-JPDC-55/2021, TEEG-JPDC- 56/2021, TEEG-JPDC-90/2021, TEEG-JPDC-91/2021, TEEG-JPDC- 92/2021, TEEG-JPDC-93/2021, TEEG-JPDC-96/2021</w:t>
      </w:r>
      <w:r w:rsidR="009B6E05" w:rsidRPr="003A0F7C">
        <w:rPr>
          <w:rFonts w:eastAsia="Calibri"/>
          <w:bCs/>
          <w:sz w:val="24"/>
          <w:szCs w:val="24"/>
        </w:rPr>
        <w:t xml:space="preserve"> y </w:t>
      </w:r>
      <w:r w:rsidRPr="003A0F7C">
        <w:rPr>
          <w:rFonts w:eastAsia="Calibri"/>
          <w:bCs/>
          <w:sz w:val="24"/>
          <w:szCs w:val="24"/>
        </w:rPr>
        <w:t>TEEG-JPDC-97/2021, pues tal y como se señaló previamente no lo realizó en el término de cuatro días, lo que se estima contrario a los principios de inmediatez, prontitud y exhaustividad.</w:t>
      </w:r>
    </w:p>
    <w:p w14:paraId="504BF5C9" w14:textId="7305DB71" w:rsidR="00A809B4" w:rsidRPr="003A0F7C" w:rsidRDefault="00A809B4" w:rsidP="00173081">
      <w:pPr>
        <w:spacing w:before="280" w:after="280" w:line="360" w:lineRule="auto"/>
        <w:ind w:right="51"/>
        <w:jc w:val="both"/>
        <w:rPr>
          <w:rFonts w:eastAsia="Calibri"/>
          <w:bCs/>
          <w:sz w:val="24"/>
          <w:szCs w:val="24"/>
        </w:rPr>
      </w:pPr>
      <w:r w:rsidRPr="003A0F7C">
        <w:rPr>
          <w:rFonts w:eastAsia="Calibri"/>
          <w:bCs/>
          <w:sz w:val="24"/>
          <w:szCs w:val="24"/>
        </w:rPr>
        <w:t xml:space="preserve">Destacándose que si bien el argumento del actor resulta fundado el mismo resulta insuficiente para revocar la sentencia impugnada, pues la irregularidad antes señalada no tiene un impacto fundamental sobre lo decidido por el </w:t>
      </w:r>
      <w:r w:rsidRPr="003A0F7C">
        <w:rPr>
          <w:rFonts w:eastAsia="Calibri"/>
          <w:bCs/>
          <w:i/>
          <w:iCs/>
          <w:sz w:val="24"/>
          <w:szCs w:val="24"/>
        </w:rPr>
        <w:t>Tribunal Local</w:t>
      </w:r>
      <w:r w:rsidRPr="003A0F7C">
        <w:rPr>
          <w:rFonts w:eastAsia="Calibri"/>
          <w:bCs/>
          <w:sz w:val="24"/>
          <w:szCs w:val="24"/>
        </w:rPr>
        <w:t xml:space="preserve"> en la sentencia impugnada.</w:t>
      </w:r>
    </w:p>
    <w:p w14:paraId="30209ED0" w14:textId="3FFDE8D1" w:rsidR="00221707" w:rsidRPr="003A0F7C" w:rsidRDefault="006837D8" w:rsidP="00173081">
      <w:pPr>
        <w:spacing w:before="280" w:after="280" w:line="360" w:lineRule="auto"/>
        <w:ind w:right="51"/>
        <w:jc w:val="both"/>
        <w:rPr>
          <w:rFonts w:eastAsia="Calibri"/>
          <w:bCs/>
          <w:sz w:val="24"/>
          <w:szCs w:val="24"/>
        </w:rPr>
      </w:pPr>
      <w:r w:rsidRPr="003A0F7C">
        <w:rPr>
          <w:rFonts w:eastAsia="Calibri"/>
          <w:bCs/>
          <w:sz w:val="24"/>
          <w:szCs w:val="24"/>
        </w:rPr>
        <w:lastRenderedPageBreak/>
        <w:t>En virtud de la irregularidad antes precisada</w:t>
      </w:r>
      <w:r w:rsidR="00A809B4" w:rsidRPr="003A0F7C">
        <w:rPr>
          <w:rFonts w:eastAsia="Calibri"/>
          <w:bCs/>
          <w:sz w:val="24"/>
          <w:szCs w:val="24"/>
        </w:rPr>
        <w:t xml:space="preserve">, se conmina al </w:t>
      </w:r>
      <w:r w:rsidR="00A809B4" w:rsidRPr="003A0F7C">
        <w:rPr>
          <w:rFonts w:eastAsia="Calibri"/>
          <w:bCs/>
          <w:i/>
          <w:iCs/>
          <w:sz w:val="24"/>
          <w:szCs w:val="24"/>
        </w:rPr>
        <w:t>Tribunal Local</w:t>
      </w:r>
      <w:r w:rsidR="00A809B4" w:rsidRPr="003A0F7C">
        <w:rPr>
          <w:rFonts w:eastAsia="Calibri"/>
          <w:bCs/>
          <w:sz w:val="24"/>
          <w:szCs w:val="24"/>
        </w:rPr>
        <w:t xml:space="preserve"> para que, en lo sucesivo, se ajuste a los plazos establecidos legalmente para la tramitación de los medios de impugnación como los que dieron origen al presente asunto.</w:t>
      </w:r>
    </w:p>
    <w:p w14:paraId="51043FAE" w14:textId="4F8838C0" w:rsidR="00833D29" w:rsidRPr="003A0F7C" w:rsidRDefault="00833D29" w:rsidP="00173081">
      <w:pPr>
        <w:spacing w:before="280" w:after="280" w:line="360" w:lineRule="auto"/>
        <w:ind w:right="51"/>
        <w:jc w:val="both"/>
        <w:rPr>
          <w:rFonts w:eastAsia="Calibri"/>
          <w:bCs/>
          <w:sz w:val="24"/>
          <w:szCs w:val="24"/>
        </w:rPr>
      </w:pPr>
      <w:r w:rsidRPr="003A0F7C">
        <w:rPr>
          <w:rFonts w:eastAsia="Calibri"/>
          <w:bCs/>
          <w:sz w:val="24"/>
          <w:szCs w:val="24"/>
        </w:rPr>
        <w:t xml:space="preserve">Sirve de apoyo a lo anterior, lo resuelto por la Sala Superior de este Tribunal en la ejecutoria </w:t>
      </w:r>
      <w:r w:rsidR="00B337CB" w:rsidRPr="003A0F7C">
        <w:rPr>
          <w:rFonts w:eastAsia="Calibri"/>
          <w:bCs/>
          <w:sz w:val="24"/>
          <w:szCs w:val="24"/>
        </w:rPr>
        <w:t xml:space="preserve">de trece de mayo de dos mil quince, </w:t>
      </w:r>
      <w:r w:rsidRPr="003A0F7C">
        <w:rPr>
          <w:rFonts w:eastAsia="Calibri"/>
          <w:bCs/>
          <w:sz w:val="24"/>
          <w:szCs w:val="24"/>
        </w:rPr>
        <w:t>emitida en el expediente SUP-REP-229/2015.</w:t>
      </w:r>
    </w:p>
    <w:p w14:paraId="3D59E671" w14:textId="366A7AA3" w:rsidR="00764563" w:rsidRPr="003A0F7C" w:rsidRDefault="00392AD7" w:rsidP="00392AD7">
      <w:pPr>
        <w:pStyle w:val="Prrafodelista"/>
        <w:numPr>
          <w:ilvl w:val="0"/>
          <w:numId w:val="49"/>
        </w:numPr>
        <w:spacing w:before="280" w:after="280" w:line="360" w:lineRule="auto"/>
        <w:ind w:right="51"/>
        <w:jc w:val="both"/>
        <w:rPr>
          <w:rFonts w:eastAsia="Calibri"/>
          <w:bCs/>
          <w:i/>
          <w:iCs/>
          <w:sz w:val="24"/>
          <w:szCs w:val="24"/>
        </w:rPr>
      </w:pPr>
      <w:r w:rsidRPr="003A0F7C">
        <w:rPr>
          <w:rFonts w:eastAsia="Calibri"/>
          <w:bCs/>
          <w:i/>
          <w:iCs/>
          <w:sz w:val="24"/>
          <w:szCs w:val="24"/>
        </w:rPr>
        <w:t>La parte actora señala que presentó un recurso de revisión en contra del acuerdo CGIEEG-124/2021 y su antecedente CGIEG-104/2021, en fecha diez de abril, por lo que el Tribunal Local debió resolver de forma acumulada con el recurso de revisión TEEG-REV-18/2021.</w:t>
      </w:r>
    </w:p>
    <w:p w14:paraId="5F01FC10" w14:textId="162E0D5B" w:rsidR="00392AD7" w:rsidRPr="003A0F7C" w:rsidRDefault="00015C77" w:rsidP="00173081">
      <w:pPr>
        <w:spacing w:before="280" w:after="280" w:line="360" w:lineRule="auto"/>
        <w:ind w:right="51"/>
        <w:jc w:val="both"/>
        <w:rPr>
          <w:rFonts w:eastAsia="Calibri"/>
          <w:bCs/>
          <w:sz w:val="24"/>
          <w:szCs w:val="24"/>
        </w:rPr>
      </w:pPr>
      <w:r w:rsidRPr="003A0F7C">
        <w:rPr>
          <w:rFonts w:eastAsia="Calibri"/>
          <w:b/>
          <w:sz w:val="24"/>
          <w:szCs w:val="24"/>
        </w:rPr>
        <w:t>No le asiste la razón</w:t>
      </w:r>
      <w:r w:rsidRPr="003A0F7C">
        <w:rPr>
          <w:rFonts w:eastAsia="Calibri"/>
          <w:bCs/>
          <w:sz w:val="24"/>
          <w:szCs w:val="24"/>
        </w:rPr>
        <w:t xml:space="preserve"> al </w:t>
      </w:r>
      <w:r w:rsidRPr="003A0F7C">
        <w:rPr>
          <w:rFonts w:eastAsia="Calibri"/>
          <w:bCs/>
          <w:i/>
          <w:iCs/>
          <w:sz w:val="24"/>
          <w:szCs w:val="24"/>
        </w:rPr>
        <w:t>PAN</w:t>
      </w:r>
      <w:r w:rsidRPr="003A0F7C">
        <w:rPr>
          <w:rFonts w:eastAsia="Calibri"/>
          <w:bCs/>
          <w:sz w:val="24"/>
          <w:szCs w:val="24"/>
        </w:rPr>
        <w:t>, pues parte de la premisa equivocada de que la acumulación de medios de impugnación que se encuentren estrechamente relacionados es un deber procesal; sin embargo, no es así.</w:t>
      </w:r>
    </w:p>
    <w:p w14:paraId="7FC30E2F" w14:textId="6B62B2CF" w:rsidR="00683F49" w:rsidRPr="003A0F7C" w:rsidRDefault="00683F49" w:rsidP="00173081">
      <w:pPr>
        <w:spacing w:before="280" w:after="280" w:line="360" w:lineRule="auto"/>
        <w:ind w:right="51"/>
        <w:jc w:val="both"/>
        <w:rPr>
          <w:rFonts w:eastAsia="Calibri"/>
          <w:bCs/>
          <w:sz w:val="24"/>
          <w:szCs w:val="24"/>
        </w:rPr>
      </w:pPr>
      <w:r w:rsidRPr="003A0F7C">
        <w:rPr>
          <w:rFonts w:eastAsia="Calibri"/>
          <w:bCs/>
          <w:sz w:val="24"/>
          <w:szCs w:val="24"/>
        </w:rPr>
        <w:t>De conformidad con la jurisprudencia 2/2004 de rubro “</w:t>
      </w:r>
      <w:r w:rsidRPr="003A0F7C">
        <w:rPr>
          <w:rFonts w:eastAsia="Calibri"/>
          <w:bCs/>
          <w:i/>
          <w:iCs/>
          <w:sz w:val="24"/>
          <w:szCs w:val="24"/>
        </w:rPr>
        <w:t>ACUMULACIÓN. NO CONFIGURA LA ADQUISICIÓN PROCESAL DE LAS PRETENSIONES</w:t>
      </w:r>
      <w:r w:rsidRPr="003A0F7C">
        <w:rPr>
          <w:rFonts w:eastAsia="Calibri"/>
          <w:bCs/>
          <w:sz w:val="24"/>
          <w:szCs w:val="24"/>
        </w:rPr>
        <w:t>”</w:t>
      </w:r>
      <w:r w:rsidRPr="003A0F7C">
        <w:rPr>
          <w:rStyle w:val="Refdenotaalpie"/>
          <w:rFonts w:eastAsia="Calibri"/>
          <w:bCs/>
          <w:sz w:val="24"/>
          <w:szCs w:val="24"/>
        </w:rPr>
        <w:footnoteReference w:id="6"/>
      </w:r>
      <w:r w:rsidRPr="003A0F7C">
        <w:rPr>
          <w:rFonts w:eastAsia="Calibri"/>
          <w:bCs/>
          <w:sz w:val="24"/>
          <w:szCs w:val="24"/>
        </w:rPr>
        <w:t xml:space="preserve">, los efectos de la acumulación son meramente procesales, y las finalidades que se persiguen con ella son -única y exclusivamente- la economía procesal y evitar sentencias contradictorias o incongruentes; pues cada juicio es independiente y debe resolverse de acuerdo con la controversia derivada de los planteamientos de </w:t>
      </w:r>
      <w:r w:rsidR="00CF5429" w:rsidRPr="003A0F7C">
        <w:rPr>
          <w:rFonts w:eastAsia="Calibri"/>
          <w:bCs/>
          <w:sz w:val="24"/>
          <w:szCs w:val="24"/>
        </w:rPr>
        <w:t>sus</w:t>
      </w:r>
      <w:r w:rsidRPr="003A0F7C">
        <w:rPr>
          <w:rFonts w:eastAsia="Calibri"/>
          <w:bCs/>
          <w:sz w:val="24"/>
          <w:szCs w:val="24"/>
        </w:rPr>
        <w:t xml:space="preserve"> partes.</w:t>
      </w:r>
    </w:p>
    <w:p w14:paraId="79DCE105" w14:textId="1FD6CD3E" w:rsidR="00683F49" w:rsidRPr="003A0F7C" w:rsidRDefault="003E54C3" w:rsidP="00173081">
      <w:pPr>
        <w:spacing w:before="280" w:after="280" w:line="360" w:lineRule="auto"/>
        <w:ind w:right="51"/>
        <w:jc w:val="both"/>
        <w:rPr>
          <w:rFonts w:eastAsia="Calibri"/>
          <w:bCs/>
          <w:sz w:val="24"/>
          <w:szCs w:val="24"/>
        </w:rPr>
      </w:pPr>
      <w:r w:rsidRPr="003A0F7C">
        <w:rPr>
          <w:rFonts w:eastAsia="Calibri"/>
          <w:bCs/>
          <w:sz w:val="24"/>
          <w:szCs w:val="24"/>
        </w:rPr>
        <w:t xml:space="preserve">El anterior criterio se sustenta en lo dispuesto en el artículo 31 de la Ley General del Sistema de Medios de Impugnación en Materia Electoral, respecto de las facultades de las Salas del Tribunal Electoral en los asuntos que son de su competencia; ahora bien, el artículo 399 de la </w:t>
      </w:r>
      <w:r w:rsidRPr="003A0F7C">
        <w:rPr>
          <w:rFonts w:eastAsia="Calibri"/>
          <w:bCs/>
          <w:i/>
          <w:iCs/>
          <w:sz w:val="24"/>
          <w:szCs w:val="24"/>
        </w:rPr>
        <w:t>Ley Electoral Local</w:t>
      </w:r>
      <w:r w:rsidRPr="003A0F7C">
        <w:rPr>
          <w:rFonts w:eastAsia="Calibri"/>
          <w:bCs/>
          <w:sz w:val="24"/>
          <w:szCs w:val="24"/>
        </w:rPr>
        <w:t>, que establece la posibilidad de decretar la acumulación de medios de impugnación competencia del Tribunal Local, coincide en esencia con la del artículo 31 de la referida ley.</w:t>
      </w:r>
    </w:p>
    <w:p w14:paraId="06C479F1" w14:textId="563A9DA2" w:rsidR="0099034F" w:rsidRPr="003A0F7C" w:rsidRDefault="003E54C3" w:rsidP="003E54C3">
      <w:pPr>
        <w:spacing w:before="280" w:after="280" w:line="360" w:lineRule="auto"/>
        <w:ind w:right="51"/>
        <w:jc w:val="both"/>
        <w:rPr>
          <w:rFonts w:eastAsia="Calibri"/>
          <w:bCs/>
          <w:sz w:val="24"/>
          <w:szCs w:val="24"/>
        </w:rPr>
      </w:pPr>
      <w:r w:rsidRPr="003A0F7C">
        <w:rPr>
          <w:rFonts w:eastAsia="Calibri"/>
          <w:bCs/>
          <w:sz w:val="24"/>
          <w:szCs w:val="24"/>
        </w:rPr>
        <w:t>Lo anterior, pues establece que “podrá” determinarse la acumulación de los medios de impugnación.</w:t>
      </w:r>
    </w:p>
    <w:p w14:paraId="4D186C03" w14:textId="03EB57CA" w:rsidR="0099034F" w:rsidRPr="003A0F7C" w:rsidRDefault="003E54C3" w:rsidP="00173081">
      <w:pPr>
        <w:spacing w:before="280" w:after="280" w:line="360" w:lineRule="auto"/>
        <w:ind w:right="51"/>
        <w:jc w:val="both"/>
        <w:rPr>
          <w:rFonts w:eastAsia="Calibri"/>
          <w:bCs/>
          <w:sz w:val="24"/>
          <w:szCs w:val="24"/>
        </w:rPr>
      </w:pPr>
      <w:r w:rsidRPr="003A0F7C">
        <w:rPr>
          <w:rFonts w:eastAsia="Calibri"/>
          <w:bCs/>
          <w:sz w:val="24"/>
          <w:szCs w:val="24"/>
        </w:rPr>
        <w:lastRenderedPageBreak/>
        <w:t xml:space="preserve">En este sentido, se considera que el término “podrá” en la norma implica que ésta otorga a los órganos jurisdiccionales la facultad de decretar la acumulación de los medios de impugnación; esto es, que la misma es una facultad potestativa </w:t>
      </w:r>
      <w:r w:rsidRPr="003A0F7C">
        <w:rPr>
          <w:rFonts w:eastAsia="Calibri"/>
          <w:b/>
          <w:sz w:val="24"/>
          <w:szCs w:val="24"/>
          <w:u w:val="single"/>
        </w:rPr>
        <w:t>y no una obligación procesal</w:t>
      </w:r>
      <w:r w:rsidRPr="003A0F7C">
        <w:rPr>
          <w:rFonts w:eastAsia="Calibri"/>
          <w:bCs/>
          <w:sz w:val="24"/>
          <w:szCs w:val="24"/>
        </w:rPr>
        <w:t>.</w:t>
      </w:r>
    </w:p>
    <w:p w14:paraId="77860296" w14:textId="229D5831" w:rsidR="00417A53" w:rsidRPr="003A0F7C" w:rsidRDefault="00A47396" w:rsidP="00173081">
      <w:pPr>
        <w:spacing w:before="280" w:after="280" w:line="360" w:lineRule="auto"/>
        <w:ind w:right="51"/>
        <w:jc w:val="both"/>
        <w:rPr>
          <w:rFonts w:eastAsia="Calibri"/>
          <w:bCs/>
          <w:sz w:val="24"/>
          <w:szCs w:val="24"/>
        </w:rPr>
      </w:pPr>
      <w:r w:rsidRPr="003A0F7C">
        <w:rPr>
          <w:rFonts w:eastAsia="Calibri"/>
          <w:bCs/>
          <w:sz w:val="24"/>
          <w:szCs w:val="24"/>
        </w:rPr>
        <w:t xml:space="preserve">Por tanto, se considera que el </w:t>
      </w:r>
      <w:r w:rsidRPr="003A0F7C">
        <w:rPr>
          <w:rFonts w:eastAsia="Calibri"/>
          <w:bCs/>
          <w:i/>
          <w:iCs/>
          <w:sz w:val="24"/>
          <w:szCs w:val="24"/>
        </w:rPr>
        <w:t>Tribunal Local</w:t>
      </w:r>
      <w:r w:rsidRPr="003A0F7C">
        <w:rPr>
          <w:rFonts w:eastAsia="Calibri"/>
          <w:bCs/>
          <w:sz w:val="24"/>
          <w:szCs w:val="24"/>
        </w:rPr>
        <w:t xml:space="preserve"> no estaba obligado a acumular el recurso de revisión que presentó el </w:t>
      </w:r>
      <w:r w:rsidRPr="003A0F7C">
        <w:rPr>
          <w:rFonts w:eastAsia="Calibri"/>
          <w:bCs/>
          <w:i/>
          <w:iCs/>
          <w:sz w:val="24"/>
          <w:szCs w:val="24"/>
        </w:rPr>
        <w:t>PAN</w:t>
      </w:r>
      <w:r w:rsidRPr="003A0F7C">
        <w:rPr>
          <w:rFonts w:eastAsia="Calibri"/>
          <w:bCs/>
          <w:sz w:val="24"/>
          <w:szCs w:val="24"/>
        </w:rPr>
        <w:t xml:space="preserve">, con el diverso presentado por MORENA y los juicios ciudadanos locales presentados por diversos candidatos de </w:t>
      </w:r>
      <w:r w:rsidR="00CF15C1" w:rsidRPr="003A0F7C">
        <w:rPr>
          <w:rFonts w:eastAsia="Calibri"/>
          <w:bCs/>
          <w:sz w:val="24"/>
          <w:szCs w:val="24"/>
        </w:rPr>
        <w:t>este</w:t>
      </w:r>
      <w:r w:rsidRPr="003A0F7C">
        <w:rPr>
          <w:rFonts w:eastAsia="Calibri"/>
          <w:bCs/>
          <w:sz w:val="24"/>
          <w:szCs w:val="24"/>
        </w:rPr>
        <w:t xml:space="preserve"> último partido.</w:t>
      </w:r>
    </w:p>
    <w:p w14:paraId="15573524" w14:textId="63C257CF" w:rsidR="001B40C9" w:rsidRPr="003A0F7C" w:rsidRDefault="00CF15C1" w:rsidP="00173081">
      <w:pPr>
        <w:spacing w:before="280" w:after="280" w:line="360" w:lineRule="auto"/>
        <w:ind w:right="51"/>
        <w:jc w:val="both"/>
        <w:rPr>
          <w:rFonts w:eastAsia="Calibri"/>
          <w:bCs/>
          <w:sz w:val="24"/>
          <w:szCs w:val="24"/>
        </w:rPr>
      </w:pPr>
      <w:r w:rsidRPr="003A0F7C">
        <w:rPr>
          <w:rFonts w:eastAsia="Calibri"/>
          <w:bCs/>
          <w:sz w:val="24"/>
          <w:szCs w:val="24"/>
        </w:rPr>
        <w:t>Lo anterior, pues -como ya se dijo- la acumulación es una facultad potestativa de la autoridad responsable y no una obligación procesal; por lo que no haberla decretado no implicó violación a alguna disposición jurídica o principio por sí misma.</w:t>
      </w:r>
    </w:p>
    <w:p w14:paraId="31AF7A44" w14:textId="3C1E3CF0" w:rsidR="001B40C9" w:rsidRPr="003A0F7C" w:rsidRDefault="001B40C9" w:rsidP="00173081">
      <w:pPr>
        <w:spacing w:before="280" w:after="280" w:line="360" w:lineRule="auto"/>
        <w:ind w:right="51"/>
        <w:jc w:val="both"/>
        <w:rPr>
          <w:rFonts w:eastAsia="Calibri"/>
          <w:bCs/>
          <w:sz w:val="24"/>
          <w:szCs w:val="24"/>
        </w:rPr>
      </w:pPr>
      <w:r w:rsidRPr="003A0F7C">
        <w:rPr>
          <w:rFonts w:eastAsia="Calibri"/>
          <w:bCs/>
          <w:sz w:val="24"/>
          <w:szCs w:val="24"/>
        </w:rPr>
        <w:t>Similar criterio fue sostenido por esta Sala Regional en la ejecutoria dictada en el expediente SM-JDC-43/2016</w:t>
      </w:r>
      <w:r w:rsidR="00B337CB" w:rsidRPr="003A0F7C">
        <w:rPr>
          <w:rFonts w:eastAsia="Calibri"/>
          <w:bCs/>
          <w:sz w:val="24"/>
          <w:szCs w:val="24"/>
        </w:rPr>
        <w:t>, de fecha quince de abril de dos mil dieciséis.</w:t>
      </w:r>
    </w:p>
    <w:p w14:paraId="106DF844" w14:textId="4A115720" w:rsidR="00FF1C5C" w:rsidRPr="003A0F7C" w:rsidRDefault="005238E0" w:rsidP="00173081">
      <w:pPr>
        <w:spacing w:before="280" w:after="280" w:line="360" w:lineRule="auto"/>
        <w:ind w:right="51"/>
        <w:jc w:val="both"/>
        <w:rPr>
          <w:rFonts w:eastAsia="Calibri"/>
          <w:b/>
          <w:sz w:val="24"/>
          <w:szCs w:val="24"/>
        </w:rPr>
      </w:pPr>
      <w:r w:rsidRPr="003A0F7C">
        <w:rPr>
          <w:rFonts w:eastAsia="Calibri"/>
          <w:b/>
          <w:sz w:val="24"/>
          <w:szCs w:val="24"/>
        </w:rPr>
        <w:t>4.3.2.</w:t>
      </w:r>
      <w:r w:rsidRPr="003A0F7C">
        <w:rPr>
          <w:b/>
        </w:rPr>
        <w:t xml:space="preserve"> </w:t>
      </w:r>
      <w:r w:rsidR="00001242" w:rsidRPr="003A0F7C">
        <w:rPr>
          <w:rFonts w:eastAsia="Calibri"/>
          <w:b/>
          <w:sz w:val="24"/>
          <w:szCs w:val="24"/>
        </w:rPr>
        <w:t xml:space="preserve">El acuerdo de admisión de fecha diecisiete de abril, en el que se admitió el recurso de revisión de MORENA, así como los juicios TEEG-JPDC-112/2021, TEEG-JPDC-113/2021, TEEG-JPDC-114/2021, TEEG-JPDC-118/2021 y TEEG-JPDC-119/2021, está debidamente fundado y motivado, aunado a que </w:t>
      </w:r>
      <w:r w:rsidR="00DC02FE" w:rsidRPr="003A0F7C">
        <w:rPr>
          <w:rFonts w:eastAsia="Calibri"/>
          <w:b/>
          <w:sz w:val="24"/>
          <w:szCs w:val="24"/>
        </w:rPr>
        <w:t>dichos medios de impugnación</w:t>
      </w:r>
      <w:r w:rsidR="00001242" w:rsidRPr="003A0F7C">
        <w:rPr>
          <w:rFonts w:eastAsia="Calibri"/>
          <w:b/>
          <w:sz w:val="24"/>
          <w:szCs w:val="24"/>
        </w:rPr>
        <w:t xml:space="preserve"> fueron presentados en el término previsto en la normatividad electoral local</w:t>
      </w:r>
    </w:p>
    <w:p w14:paraId="7502D585" w14:textId="63293ABE" w:rsidR="00FF1C5C" w:rsidRPr="003A0F7C" w:rsidRDefault="00001242" w:rsidP="00F5628B">
      <w:pPr>
        <w:pStyle w:val="Prrafodelista"/>
        <w:numPr>
          <w:ilvl w:val="0"/>
          <w:numId w:val="49"/>
        </w:numPr>
        <w:spacing w:before="280" w:after="280" w:line="360" w:lineRule="auto"/>
        <w:ind w:right="51"/>
        <w:jc w:val="both"/>
        <w:rPr>
          <w:rFonts w:eastAsia="Calibri"/>
          <w:bCs/>
          <w:i/>
          <w:iCs/>
          <w:sz w:val="24"/>
          <w:szCs w:val="24"/>
        </w:rPr>
      </w:pPr>
      <w:r w:rsidRPr="003A0F7C">
        <w:rPr>
          <w:rFonts w:eastAsia="Calibri"/>
          <w:bCs/>
          <w:i/>
          <w:iCs/>
          <w:sz w:val="24"/>
          <w:szCs w:val="24"/>
        </w:rPr>
        <w:t xml:space="preserve">La parte actora señala </w:t>
      </w:r>
      <w:r w:rsidR="00F5628B" w:rsidRPr="003A0F7C">
        <w:rPr>
          <w:rFonts w:eastAsia="Calibri"/>
          <w:bCs/>
          <w:i/>
          <w:iCs/>
          <w:sz w:val="24"/>
          <w:szCs w:val="24"/>
        </w:rPr>
        <w:t>que el acuerdo de fecha diecisiete de abril, en el que se admitió el recurso de revisión de MORENA, así como los juicios TEEG-JPDC-112/2021, TEEG-JPDC-113/2021, TEEG-JPDC-114/2021, TEEG-JPDC-118/2021 y TEEG-JPDC-119/2021, no está debidamente fundado y motivado, pues los mismos no se presentaron dentro del plazo de cinco días previsto en la Ley Electoral Local.</w:t>
      </w:r>
    </w:p>
    <w:p w14:paraId="0F2DBDDD" w14:textId="7925B4BE" w:rsidR="00E10B45" w:rsidRPr="003A0F7C" w:rsidRDefault="00E10B45" w:rsidP="00173081">
      <w:pPr>
        <w:spacing w:before="280" w:after="280" w:line="360" w:lineRule="auto"/>
        <w:ind w:right="51"/>
        <w:jc w:val="both"/>
        <w:rPr>
          <w:rFonts w:eastAsia="Calibri"/>
          <w:bCs/>
          <w:sz w:val="24"/>
          <w:szCs w:val="24"/>
        </w:rPr>
      </w:pPr>
      <w:r w:rsidRPr="003A0F7C">
        <w:rPr>
          <w:rFonts w:eastAsia="Calibri"/>
          <w:bCs/>
          <w:sz w:val="24"/>
          <w:szCs w:val="24"/>
        </w:rPr>
        <w:t xml:space="preserve">En principio debe </w:t>
      </w:r>
      <w:r w:rsidR="00034FBA" w:rsidRPr="003A0F7C">
        <w:rPr>
          <w:rFonts w:eastAsia="Calibri"/>
          <w:bCs/>
          <w:sz w:val="24"/>
          <w:szCs w:val="24"/>
        </w:rPr>
        <w:t>establecerse</w:t>
      </w:r>
      <w:r w:rsidRPr="003A0F7C">
        <w:rPr>
          <w:rFonts w:eastAsia="Calibri"/>
          <w:bCs/>
          <w:sz w:val="24"/>
          <w:szCs w:val="24"/>
        </w:rPr>
        <w:t xml:space="preserve"> que lo que propiamente impugna el partido actor del acuerdo de fecha diecisiete de abril, es la falta de fundamentación y motivación por lo que toca a las admisiones del recurso presentado por MORENA, así como específicamente las demandas </w:t>
      </w:r>
      <w:bookmarkStart w:id="22" w:name="_Hlk71133793"/>
      <w:r w:rsidRPr="003A0F7C">
        <w:rPr>
          <w:rFonts w:eastAsia="Calibri"/>
          <w:bCs/>
          <w:sz w:val="24"/>
          <w:szCs w:val="24"/>
        </w:rPr>
        <w:t>TEEG-JPDC-112/2021, TEEG-JPDC-113/2021, TEEG-JPDC-114/2021, TEEG-JPDC-118/2021 y TEEG-JPDC-119/2021,</w:t>
      </w:r>
      <w:bookmarkEnd w:id="22"/>
      <w:r w:rsidRPr="003A0F7C">
        <w:rPr>
          <w:rFonts w:eastAsia="Calibri"/>
          <w:bCs/>
          <w:sz w:val="24"/>
          <w:szCs w:val="24"/>
        </w:rPr>
        <w:t xml:space="preserve"> pues a su consideración se presentaron de forma extemporánea.</w:t>
      </w:r>
    </w:p>
    <w:p w14:paraId="3FBF86E1" w14:textId="6962D261" w:rsidR="00F5628B" w:rsidRPr="003A0F7C" w:rsidRDefault="00F5628B" w:rsidP="00173081">
      <w:pPr>
        <w:spacing w:before="280" w:after="280" w:line="360" w:lineRule="auto"/>
        <w:ind w:right="51"/>
        <w:jc w:val="both"/>
        <w:rPr>
          <w:rFonts w:eastAsia="Calibri"/>
          <w:bCs/>
          <w:sz w:val="24"/>
          <w:szCs w:val="24"/>
        </w:rPr>
      </w:pPr>
      <w:r w:rsidRPr="003A0F7C">
        <w:rPr>
          <w:rFonts w:eastAsia="Calibri"/>
          <w:b/>
          <w:sz w:val="24"/>
          <w:szCs w:val="24"/>
        </w:rPr>
        <w:lastRenderedPageBreak/>
        <w:t>No le asiste la razón</w:t>
      </w:r>
      <w:r w:rsidRPr="003A0F7C">
        <w:rPr>
          <w:rFonts w:eastAsia="Calibri"/>
          <w:bCs/>
          <w:sz w:val="24"/>
          <w:szCs w:val="24"/>
        </w:rPr>
        <w:t xml:space="preserve"> al </w:t>
      </w:r>
      <w:r w:rsidRPr="003A0F7C">
        <w:rPr>
          <w:rFonts w:eastAsia="Calibri"/>
          <w:bCs/>
          <w:i/>
          <w:iCs/>
          <w:sz w:val="24"/>
          <w:szCs w:val="24"/>
        </w:rPr>
        <w:t>PAN</w:t>
      </w:r>
      <w:r w:rsidRPr="003A0F7C">
        <w:rPr>
          <w:rFonts w:eastAsia="Calibri"/>
          <w:bCs/>
          <w:sz w:val="24"/>
          <w:szCs w:val="24"/>
        </w:rPr>
        <w:t>, en atención a las siguientes consideraciones.</w:t>
      </w:r>
    </w:p>
    <w:p w14:paraId="1F1CCC86" w14:textId="77777777" w:rsidR="00E10B45" w:rsidRPr="003A0F7C" w:rsidRDefault="00E10B45" w:rsidP="00E10B45">
      <w:pPr>
        <w:spacing w:before="100" w:beforeAutospacing="1" w:after="100" w:afterAutospacing="1" w:line="360" w:lineRule="auto"/>
        <w:jc w:val="both"/>
        <w:rPr>
          <w:rFonts w:eastAsia="Calibri"/>
          <w:sz w:val="24"/>
          <w:szCs w:val="24"/>
        </w:rPr>
      </w:pPr>
      <w:r w:rsidRPr="003A0F7C">
        <w:rPr>
          <w:rFonts w:eastAsia="Calibri"/>
          <w:sz w:val="24"/>
          <w:szCs w:val="24"/>
        </w:rPr>
        <w:t>En principio, es menester precisar que por mandato del artículo 14, párrafo segundo, de la Constitución Política de los Estados Unidos Mexicanos, en todo juicio que se siga ante las autoridades jurisdiccionales deben respetarse las formalidades esenciales del procedimiento; en esa misma línea, todo acto de autoridad que cause molestias a los ciudadanos, en sus derechos, debe estar fundado y motivado, acorde a lo dispuesto por el diverso numeral 16, párrafo primero, de la propia Ley Fundamental.</w:t>
      </w:r>
    </w:p>
    <w:p w14:paraId="2EDEFFF5" w14:textId="77777777" w:rsidR="00E10B45" w:rsidRPr="003A0F7C" w:rsidRDefault="00E10B45" w:rsidP="00E10B45">
      <w:pPr>
        <w:spacing w:before="100" w:beforeAutospacing="1" w:after="100" w:afterAutospacing="1" w:line="360" w:lineRule="auto"/>
        <w:jc w:val="both"/>
        <w:rPr>
          <w:rFonts w:eastAsia="Calibri"/>
          <w:sz w:val="24"/>
          <w:szCs w:val="24"/>
        </w:rPr>
      </w:pPr>
      <w:r w:rsidRPr="003A0F7C">
        <w:rPr>
          <w:rFonts w:eastAsia="Calibri"/>
          <w:sz w:val="24"/>
          <w:szCs w:val="24"/>
        </w:rPr>
        <w:t>Ahora bien, de la interpretación del precepto últimamente referido, se deduce que tales actos deben expresar el o los preceptos legales aplicables al caso, así como las circunstancias especiales, razones particulares o causas inmediatas que se hayan tenido en consideración para la emisión de estos.</w:t>
      </w:r>
    </w:p>
    <w:p w14:paraId="3C0E1439" w14:textId="77777777" w:rsidR="00E10B45" w:rsidRPr="003A0F7C" w:rsidRDefault="00E10B45" w:rsidP="00E10B45">
      <w:pPr>
        <w:spacing w:before="100" w:beforeAutospacing="1" w:after="100" w:afterAutospacing="1" w:line="360" w:lineRule="auto"/>
        <w:jc w:val="both"/>
        <w:rPr>
          <w:rFonts w:eastAsia="Calibri"/>
          <w:sz w:val="24"/>
          <w:szCs w:val="24"/>
        </w:rPr>
      </w:pPr>
      <w:r w:rsidRPr="003A0F7C">
        <w:rPr>
          <w:rFonts w:eastAsia="Calibri"/>
          <w:sz w:val="24"/>
          <w:szCs w:val="24"/>
        </w:rPr>
        <w:t>Para una debida fundamentación y motivación es necesario, además, que exista adecuación entre los motivos aducidos y las normas aplicables, de manera que se evidencie que las circunstancias invocadas como motivo para la emisión del acto encuadran lógica y naturalmente en la norma citada como base o sustento del modo de proceder de la autoridad.</w:t>
      </w:r>
    </w:p>
    <w:p w14:paraId="032AADB8" w14:textId="77777777" w:rsidR="00E10B45" w:rsidRPr="003A0F7C" w:rsidRDefault="00E10B45" w:rsidP="00E10B45">
      <w:pPr>
        <w:spacing w:before="100" w:beforeAutospacing="1" w:after="100" w:afterAutospacing="1" w:line="360" w:lineRule="auto"/>
        <w:jc w:val="both"/>
        <w:rPr>
          <w:rFonts w:eastAsia="Calibri"/>
          <w:sz w:val="24"/>
          <w:szCs w:val="24"/>
        </w:rPr>
      </w:pPr>
      <w:r w:rsidRPr="003A0F7C">
        <w:rPr>
          <w:rFonts w:eastAsia="Calibri"/>
          <w:sz w:val="24"/>
          <w:szCs w:val="24"/>
        </w:rPr>
        <w:t>El respeto de la garantía de fundamentación y motivación tal como ha sido descrito, se justifica en virtud de la importancia que revisten los derechos de los ciudadanos, respecto de los cuales es obligatorio que cualquier afectación por parte de una autoridad (incluyendo a los partidos políticos), debe estar apoyada clara y fehacientemente en la ley, situación de la cual debe tener pleno conocimiento el sujeto afectado, de modo tal que, de convenir a sus intereses, esté en condiciones de realizar la impugnación que considere adecuada para librarse de ese acto de molestia.</w:t>
      </w:r>
    </w:p>
    <w:p w14:paraId="17572B9C" w14:textId="77777777" w:rsidR="00E10B45" w:rsidRPr="003A0F7C" w:rsidRDefault="00E10B45" w:rsidP="00E10B45">
      <w:pPr>
        <w:spacing w:before="100" w:beforeAutospacing="1" w:after="100" w:afterAutospacing="1" w:line="360" w:lineRule="auto"/>
        <w:jc w:val="both"/>
        <w:rPr>
          <w:rFonts w:eastAsia="Calibri"/>
          <w:sz w:val="24"/>
          <w:szCs w:val="24"/>
        </w:rPr>
      </w:pPr>
      <w:r w:rsidRPr="003A0F7C">
        <w:rPr>
          <w:rFonts w:eastAsia="Calibri"/>
          <w:sz w:val="24"/>
          <w:szCs w:val="24"/>
        </w:rPr>
        <w:t xml:space="preserve">Así, todo acto de autoridad se considera que cumple con tales cualidades si contiene los preceptos legales aplicables al caso </w:t>
      </w:r>
      <w:bookmarkStart w:id="23" w:name="_Hlk510019734"/>
      <w:r w:rsidRPr="003A0F7C">
        <w:rPr>
          <w:rFonts w:eastAsia="Calibri"/>
          <w:sz w:val="24"/>
          <w:szCs w:val="24"/>
        </w:rPr>
        <w:t>y los razonamientos lógico-jurídicos que sirven de base para su emisión</w:t>
      </w:r>
      <w:bookmarkEnd w:id="23"/>
      <w:r w:rsidRPr="003A0F7C">
        <w:rPr>
          <w:rFonts w:eastAsia="Calibri"/>
          <w:sz w:val="24"/>
          <w:szCs w:val="24"/>
        </w:rPr>
        <w:t>.</w:t>
      </w:r>
    </w:p>
    <w:p w14:paraId="0630C942" w14:textId="77777777" w:rsidR="00E10B45" w:rsidRPr="003A0F7C" w:rsidRDefault="00E10B45" w:rsidP="00E10B45">
      <w:pPr>
        <w:spacing w:before="100" w:beforeAutospacing="1" w:after="100" w:afterAutospacing="1" w:line="360" w:lineRule="auto"/>
        <w:jc w:val="both"/>
        <w:rPr>
          <w:rFonts w:eastAsia="Calibri"/>
          <w:sz w:val="24"/>
          <w:szCs w:val="24"/>
        </w:rPr>
      </w:pPr>
      <w:r w:rsidRPr="003A0F7C">
        <w:rPr>
          <w:rFonts w:eastAsia="Calibri"/>
          <w:sz w:val="24"/>
          <w:szCs w:val="24"/>
        </w:rPr>
        <w:t xml:space="preserve">Lo antes aducido encuentra sustento en la jurisprudencia J 5/2002 del Tribunal Electoral del Poder Judicial de la Federación, consultable en su página oficial de Internet, de rubro: </w:t>
      </w:r>
      <w:r w:rsidRPr="003A0F7C">
        <w:rPr>
          <w:rFonts w:eastAsia="Calibri"/>
          <w:i/>
          <w:iCs/>
          <w:sz w:val="24"/>
          <w:szCs w:val="24"/>
        </w:rPr>
        <w:t>"FUNDAMENTACIÓN Y MOTIVACIÓN. SE CUMPLE SI EN CUALQUIER PARTE DE LA RESOLUCIÓN SE EXPRESAN LAS RAZONES Y FUNDAMENTOS QUE LA SUSTENTAN (LEGISLACIÓN DEL ESTADO DE AGUASCALIENTES Y SIMILARES).</w:t>
      </w:r>
    </w:p>
    <w:p w14:paraId="09FB7799" w14:textId="138A0FE7" w:rsidR="00E10B45" w:rsidRPr="003A0F7C" w:rsidRDefault="00E10B45" w:rsidP="00E10B45">
      <w:pPr>
        <w:spacing w:before="100" w:beforeAutospacing="1" w:after="100" w:afterAutospacing="1" w:line="360" w:lineRule="auto"/>
        <w:jc w:val="both"/>
        <w:rPr>
          <w:rFonts w:eastAsia="Calibri"/>
          <w:sz w:val="24"/>
          <w:szCs w:val="24"/>
        </w:rPr>
      </w:pPr>
      <w:r w:rsidRPr="003A0F7C">
        <w:rPr>
          <w:rFonts w:eastAsia="Calibri"/>
          <w:sz w:val="24"/>
          <w:szCs w:val="24"/>
        </w:rPr>
        <w:lastRenderedPageBreak/>
        <w:t xml:space="preserve">Ahora bien, del auto admisorio de fecha diecisiete de abril se advierte que el </w:t>
      </w:r>
      <w:r w:rsidRPr="003A0F7C">
        <w:rPr>
          <w:rFonts w:eastAsia="Calibri"/>
          <w:i/>
          <w:iCs/>
          <w:sz w:val="24"/>
          <w:szCs w:val="24"/>
        </w:rPr>
        <w:t>Tribunal Local</w:t>
      </w:r>
      <w:r w:rsidRPr="003A0F7C">
        <w:rPr>
          <w:rFonts w:eastAsia="Calibri"/>
          <w:sz w:val="24"/>
          <w:szCs w:val="24"/>
        </w:rPr>
        <w:t xml:space="preserve"> admitió el recurso de revisión de MORENA, así como diversos juicios </w:t>
      </w:r>
      <w:r w:rsidR="00E0523D" w:rsidRPr="003A0F7C">
        <w:rPr>
          <w:rFonts w:eastAsia="Calibri"/>
          <w:sz w:val="24"/>
          <w:szCs w:val="24"/>
        </w:rPr>
        <w:t>ciudadano</w:t>
      </w:r>
      <w:r w:rsidR="006132E4" w:rsidRPr="003A0F7C">
        <w:rPr>
          <w:rFonts w:eastAsia="Calibri"/>
          <w:sz w:val="24"/>
          <w:szCs w:val="24"/>
        </w:rPr>
        <w:t>s</w:t>
      </w:r>
      <w:r w:rsidR="00E0523D" w:rsidRPr="003A0F7C">
        <w:rPr>
          <w:rFonts w:eastAsia="Calibri"/>
          <w:sz w:val="24"/>
          <w:szCs w:val="24"/>
        </w:rPr>
        <w:t xml:space="preserve"> locales, pues del examen que realizó cumplían con los requisitos generales de procedencia previstos en los artículos 382, 396, 397 y 398 de la </w:t>
      </w:r>
      <w:r w:rsidR="00E0523D" w:rsidRPr="003A0F7C">
        <w:rPr>
          <w:rFonts w:eastAsia="Calibri"/>
          <w:i/>
          <w:iCs/>
          <w:sz w:val="24"/>
          <w:szCs w:val="24"/>
        </w:rPr>
        <w:t>Ley Electoral Local</w:t>
      </w:r>
      <w:r w:rsidR="00E0523D" w:rsidRPr="003A0F7C">
        <w:rPr>
          <w:rFonts w:eastAsia="Calibri"/>
          <w:sz w:val="24"/>
          <w:szCs w:val="24"/>
        </w:rPr>
        <w:t>, sin que se actualizara alguna causal de improcedencia prevista en el numeral 420 de la referida ley.</w:t>
      </w:r>
    </w:p>
    <w:p w14:paraId="609AE304" w14:textId="3693CD7E" w:rsidR="00E0523D" w:rsidRPr="003A0F7C" w:rsidRDefault="00E10B45" w:rsidP="00E10B45">
      <w:pPr>
        <w:spacing w:before="100" w:beforeAutospacing="1" w:after="100" w:afterAutospacing="1" w:line="360" w:lineRule="auto"/>
        <w:jc w:val="both"/>
        <w:rPr>
          <w:rFonts w:eastAsia="Calibri"/>
          <w:sz w:val="24"/>
          <w:szCs w:val="24"/>
        </w:rPr>
      </w:pPr>
      <w:r w:rsidRPr="003A0F7C">
        <w:rPr>
          <w:rFonts w:eastAsia="Calibri"/>
          <w:sz w:val="24"/>
          <w:szCs w:val="24"/>
        </w:rPr>
        <w:t xml:space="preserve">De lo expuesto, a juicio de esta Sala Regional </w:t>
      </w:r>
      <w:r w:rsidR="00E0523D" w:rsidRPr="003A0F7C">
        <w:rPr>
          <w:rFonts w:eastAsia="Calibri"/>
          <w:sz w:val="24"/>
          <w:szCs w:val="24"/>
        </w:rPr>
        <w:t>el auto admisorio</w:t>
      </w:r>
      <w:r w:rsidRPr="003A0F7C">
        <w:rPr>
          <w:rFonts w:eastAsia="Calibri"/>
          <w:sz w:val="24"/>
          <w:szCs w:val="24"/>
        </w:rPr>
        <w:t xml:space="preserve"> se encuentra debidamente fundad</w:t>
      </w:r>
      <w:r w:rsidR="00E0523D" w:rsidRPr="003A0F7C">
        <w:rPr>
          <w:rFonts w:eastAsia="Calibri"/>
          <w:sz w:val="24"/>
          <w:szCs w:val="24"/>
        </w:rPr>
        <w:t>o</w:t>
      </w:r>
      <w:r w:rsidRPr="003A0F7C">
        <w:rPr>
          <w:rFonts w:eastAsia="Calibri"/>
          <w:sz w:val="24"/>
          <w:szCs w:val="24"/>
        </w:rPr>
        <w:t xml:space="preserve"> y motivad</w:t>
      </w:r>
      <w:r w:rsidR="00E0523D" w:rsidRPr="003A0F7C">
        <w:rPr>
          <w:rFonts w:eastAsia="Calibri"/>
          <w:sz w:val="24"/>
          <w:szCs w:val="24"/>
        </w:rPr>
        <w:t>o</w:t>
      </w:r>
      <w:r w:rsidRPr="003A0F7C">
        <w:rPr>
          <w:rFonts w:eastAsia="Calibri"/>
          <w:sz w:val="24"/>
          <w:szCs w:val="24"/>
        </w:rPr>
        <w:t xml:space="preserve">, pues el </w:t>
      </w:r>
      <w:r w:rsidRPr="003A0F7C">
        <w:rPr>
          <w:rFonts w:eastAsia="Calibri"/>
          <w:i/>
          <w:iCs/>
          <w:sz w:val="24"/>
          <w:szCs w:val="24"/>
        </w:rPr>
        <w:t>Tribunal Local</w:t>
      </w:r>
      <w:r w:rsidRPr="003A0F7C">
        <w:rPr>
          <w:rFonts w:eastAsia="Calibri"/>
          <w:sz w:val="24"/>
          <w:szCs w:val="24"/>
        </w:rPr>
        <w:t xml:space="preserve"> mencionó los artículos aplicables al caso en concreto y los razonamientos lógico-jurídicos que sirvieron de base para su emisión, </w:t>
      </w:r>
      <w:r w:rsidR="00E0523D" w:rsidRPr="003A0F7C">
        <w:rPr>
          <w:rFonts w:eastAsia="Calibri"/>
          <w:sz w:val="24"/>
          <w:szCs w:val="24"/>
        </w:rPr>
        <w:t>pues precisó que el recurso de revisión, así como los juicios ciudadanos locales cumplían con los requisitos generales de procedencia de los medios de impugnación previstos en la normatividad electoral local</w:t>
      </w:r>
      <w:r w:rsidR="008C0B84" w:rsidRPr="003A0F7C">
        <w:rPr>
          <w:rFonts w:eastAsia="Calibri"/>
          <w:sz w:val="24"/>
          <w:szCs w:val="24"/>
        </w:rPr>
        <w:t>, sin que se surtiera una causal de improcedencia a fin de desecharse los mismos.</w:t>
      </w:r>
      <w:r w:rsidR="00E0523D" w:rsidRPr="003A0F7C">
        <w:rPr>
          <w:rFonts w:eastAsia="Calibri"/>
          <w:sz w:val="24"/>
          <w:szCs w:val="24"/>
        </w:rPr>
        <w:t xml:space="preserve"> </w:t>
      </w:r>
    </w:p>
    <w:p w14:paraId="33D59900" w14:textId="14F685CE" w:rsidR="00F5628B" w:rsidRPr="003A0F7C" w:rsidRDefault="00913791" w:rsidP="00173081">
      <w:pPr>
        <w:spacing w:before="280" w:after="280" w:line="360" w:lineRule="auto"/>
        <w:ind w:right="51"/>
        <w:jc w:val="both"/>
        <w:rPr>
          <w:rFonts w:eastAsia="Calibri"/>
          <w:bCs/>
          <w:sz w:val="24"/>
          <w:szCs w:val="24"/>
        </w:rPr>
      </w:pPr>
      <w:r w:rsidRPr="003A0F7C">
        <w:rPr>
          <w:rFonts w:eastAsia="Calibri"/>
          <w:bCs/>
          <w:sz w:val="24"/>
          <w:szCs w:val="24"/>
        </w:rPr>
        <w:t>Ahora bien, como se precisó</w:t>
      </w:r>
      <w:r w:rsidR="001B40C9" w:rsidRPr="003A0F7C">
        <w:rPr>
          <w:rFonts w:eastAsia="Calibri"/>
          <w:bCs/>
          <w:sz w:val="24"/>
          <w:szCs w:val="24"/>
        </w:rPr>
        <w:t>,</w:t>
      </w:r>
      <w:r w:rsidRPr="003A0F7C">
        <w:rPr>
          <w:rFonts w:eastAsia="Calibri"/>
          <w:bCs/>
          <w:sz w:val="24"/>
          <w:szCs w:val="24"/>
        </w:rPr>
        <w:t xml:space="preserve"> el argumento del </w:t>
      </w:r>
      <w:r w:rsidRPr="003A0F7C">
        <w:rPr>
          <w:rFonts w:eastAsia="Calibri"/>
          <w:bCs/>
          <w:i/>
          <w:iCs/>
          <w:sz w:val="24"/>
          <w:szCs w:val="24"/>
        </w:rPr>
        <w:t>PAN</w:t>
      </w:r>
      <w:r w:rsidRPr="003A0F7C">
        <w:rPr>
          <w:rFonts w:eastAsia="Calibri"/>
          <w:bCs/>
          <w:sz w:val="24"/>
          <w:szCs w:val="24"/>
        </w:rPr>
        <w:t xml:space="preserve"> se encuentra encaminado a señalar que el recurso de revisión TEEG-REV-18/2021, así como los juicios TEEG-JPDC-112/2021, TEEG-JPDC-113/2021, TEEG-JPDC-114/2021, TEEG-JPDC-118/2021 y TEEG-JPDC-119/2021, no debieron ser admitidos pues se presentaron de forma extemporánea.</w:t>
      </w:r>
    </w:p>
    <w:p w14:paraId="3D18A0D4" w14:textId="59B2D709" w:rsidR="0081644A" w:rsidRPr="003A0F7C" w:rsidRDefault="0081644A" w:rsidP="00173081">
      <w:pPr>
        <w:spacing w:before="280" w:after="280" w:line="360" w:lineRule="auto"/>
        <w:ind w:right="51"/>
        <w:jc w:val="both"/>
        <w:rPr>
          <w:rFonts w:eastAsia="Calibri"/>
          <w:bCs/>
          <w:sz w:val="24"/>
          <w:szCs w:val="24"/>
        </w:rPr>
      </w:pPr>
      <w:r w:rsidRPr="003A0F7C">
        <w:rPr>
          <w:rFonts w:eastAsia="Calibri"/>
          <w:b/>
          <w:sz w:val="24"/>
          <w:szCs w:val="24"/>
        </w:rPr>
        <w:t>No le asiste la razón</w:t>
      </w:r>
      <w:r w:rsidRPr="003A0F7C">
        <w:rPr>
          <w:rFonts w:eastAsia="Calibri"/>
          <w:bCs/>
          <w:sz w:val="24"/>
          <w:szCs w:val="24"/>
        </w:rPr>
        <w:t xml:space="preserve"> al actor, pues contrario a su dicho los referidos medios de impugnación fueron presentados en el plazo previsto en la </w:t>
      </w:r>
      <w:r w:rsidRPr="003A0F7C">
        <w:rPr>
          <w:rFonts w:eastAsia="Calibri"/>
          <w:bCs/>
          <w:i/>
          <w:iCs/>
          <w:sz w:val="24"/>
          <w:szCs w:val="24"/>
        </w:rPr>
        <w:t>Ley Electoral Local</w:t>
      </w:r>
      <w:r w:rsidRPr="003A0F7C">
        <w:rPr>
          <w:rFonts w:eastAsia="Calibri"/>
          <w:bCs/>
          <w:sz w:val="24"/>
          <w:szCs w:val="24"/>
        </w:rPr>
        <w:t>.</w:t>
      </w:r>
    </w:p>
    <w:p w14:paraId="65C7EF53" w14:textId="081335C3" w:rsidR="00FF1C5C" w:rsidRPr="003A0F7C" w:rsidRDefault="00B467D4" w:rsidP="00173081">
      <w:pPr>
        <w:spacing w:before="280" w:after="280" w:line="360" w:lineRule="auto"/>
        <w:ind w:right="51"/>
        <w:jc w:val="both"/>
        <w:rPr>
          <w:rFonts w:eastAsia="Calibri"/>
          <w:bCs/>
          <w:sz w:val="24"/>
          <w:szCs w:val="24"/>
        </w:rPr>
      </w:pPr>
      <w:r w:rsidRPr="003A0F7C">
        <w:rPr>
          <w:rFonts w:eastAsia="Calibri"/>
          <w:bCs/>
          <w:sz w:val="24"/>
          <w:szCs w:val="24"/>
        </w:rPr>
        <w:t xml:space="preserve">La referida normatividad electoral local prevé en sus artículos </w:t>
      </w:r>
      <w:r w:rsidR="00A00119" w:rsidRPr="003A0F7C">
        <w:rPr>
          <w:rFonts w:eastAsia="Calibri"/>
          <w:bCs/>
          <w:sz w:val="24"/>
          <w:szCs w:val="24"/>
        </w:rPr>
        <w:t>391, segundo párrafo y 397, primer párrafo, que los juicios</w:t>
      </w:r>
      <w:r w:rsidR="00A00119" w:rsidRPr="003A0F7C">
        <w:t xml:space="preserve"> </w:t>
      </w:r>
      <w:r w:rsidR="00A00119" w:rsidRPr="003A0F7C">
        <w:rPr>
          <w:rFonts w:eastAsia="Calibri"/>
          <w:bCs/>
          <w:sz w:val="24"/>
          <w:szCs w:val="24"/>
        </w:rPr>
        <w:t>para la protección de los derechos político-electorales, así como los recursos de revisión, deberán presentarse dentro de los cinco días siguientes a la fecha de la notificación del acto o resolución impugnados o del momento en que por cualquier medio el promovente haya tenido conocimiento de ellos.</w:t>
      </w:r>
    </w:p>
    <w:p w14:paraId="53254B9D" w14:textId="269BED4B" w:rsidR="00FB5647" w:rsidRPr="003A0F7C" w:rsidRDefault="00A00119" w:rsidP="00173081">
      <w:pPr>
        <w:spacing w:before="280" w:after="280" w:line="360" w:lineRule="auto"/>
        <w:ind w:right="51"/>
        <w:jc w:val="both"/>
        <w:rPr>
          <w:rFonts w:eastAsia="Calibri"/>
          <w:bCs/>
          <w:sz w:val="24"/>
          <w:szCs w:val="24"/>
        </w:rPr>
      </w:pPr>
      <w:r w:rsidRPr="003A0F7C">
        <w:rPr>
          <w:rFonts w:eastAsia="Calibri"/>
          <w:bCs/>
          <w:sz w:val="24"/>
          <w:szCs w:val="24"/>
        </w:rPr>
        <w:t>Establecido lo anterior, se tiene</w:t>
      </w:r>
      <w:r w:rsidR="00FB5647" w:rsidRPr="003A0F7C">
        <w:rPr>
          <w:rFonts w:eastAsia="Calibri"/>
          <w:bCs/>
          <w:sz w:val="24"/>
          <w:szCs w:val="24"/>
        </w:rPr>
        <w:t xml:space="preserve"> que el acuerdo recurrido en la instancia local fue aprobado el cinco de abril, y </w:t>
      </w:r>
      <w:r w:rsidRPr="003A0F7C">
        <w:rPr>
          <w:rFonts w:eastAsia="Calibri"/>
          <w:bCs/>
          <w:sz w:val="24"/>
          <w:szCs w:val="24"/>
        </w:rPr>
        <w:t>el recurso de revisión TEEG-REV-18/2021, así como los juicios TEEG-JPDC-118/2021 y TEEG-JPDC-119/2021,</w:t>
      </w:r>
      <w:r w:rsidR="00FB5647" w:rsidRPr="003A0F7C">
        <w:rPr>
          <w:rFonts w:eastAsia="Calibri"/>
          <w:bCs/>
          <w:sz w:val="24"/>
          <w:szCs w:val="24"/>
        </w:rPr>
        <w:t xml:space="preserve"> fueron presentados los días seis, ocho y nueve de abril,</w:t>
      </w:r>
      <w:r w:rsidR="00034FBA" w:rsidRPr="003A0F7C">
        <w:rPr>
          <w:rFonts w:eastAsia="Calibri"/>
          <w:bCs/>
          <w:sz w:val="24"/>
          <w:szCs w:val="24"/>
        </w:rPr>
        <w:t xml:space="preserve"> respectivamente,</w:t>
      </w:r>
      <w:r w:rsidR="00FB5647" w:rsidRPr="003A0F7C">
        <w:rPr>
          <w:rFonts w:eastAsia="Calibri"/>
          <w:bCs/>
          <w:sz w:val="24"/>
          <w:szCs w:val="24"/>
        </w:rPr>
        <w:t xml:space="preserve"> por tanto, no existe duda alguna de los que mismos fueron presentados en el plazo legal establecido por la normativa electoral aplicable.</w:t>
      </w:r>
    </w:p>
    <w:p w14:paraId="64022140" w14:textId="10D029C5" w:rsidR="00A00119" w:rsidRPr="003A0F7C" w:rsidRDefault="00FB5647" w:rsidP="00173081">
      <w:pPr>
        <w:spacing w:before="280" w:after="280" w:line="360" w:lineRule="auto"/>
        <w:ind w:right="51"/>
        <w:jc w:val="both"/>
        <w:rPr>
          <w:rFonts w:eastAsia="Calibri"/>
          <w:bCs/>
          <w:sz w:val="24"/>
          <w:szCs w:val="24"/>
        </w:rPr>
      </w:pPr>
      <w:r w:rsidRPr="003A0F7C">
        <w:rPr>
          <w:rFonts w:eastAsia="Calibri"/>
          <w:bCs/>
          <w:sz w:val="24"/>
          <w:szCs w:val="24"/>
        </w:rPr>
        <w:lastRenderedPageBreak/>
        <w:t xml:space="preserve">Por otro lado, se tiene que los diversos juicios TEEG-JPDC-112/2021, TEEG-JPDC-113/2021 y TEEG-JPDC-114/2021, fueron </w:t>
      </w:r>
      <w:r w:rsidR="001B40C9" w:rsidRPr="003A0F7C">
        <w:rPr>
          <w:rFonts w:eastAsia="Calibri"/>
          <w:bCs/>
          <w:sz w:val="24"/>
          <w:szCs w:val="24"/>
        </w:rPr>
        <w:t>presentados</w:t>
      </w:r>
      <w:r w:rsidRPr="003A0F7C">
        <w:rPr>
          <w:rFonts w:eastAsia="Calibri"/>
          <w:bCs/>
          <w:sz w:val="24"/>
          <w:szCs w:val="24"/>
        </w:rPr>
        <w:t xml:space="preserve"> por los actores en fecha catorce de abril, sosteniendo que el acuerdo impugnado aprobado en fecha cinco de abril, había sido publicado por el </w:t>
      </w:r>
      <w:r w:rsidRPr="003A0F7C">
        <w:rPr>
          <w:rFonts w:eastAsia="Calibri"/>
          <w:bCs/>
          <w:i/>
          <w:iCs/>
          <w:sz w:val="24"/>
          <w:szCs w:val="24"/>
        </w:rPr>
        <w:t>Instituto Electoral Local</w:t>
      </w:r>
      <w:r w:rsidRPr="003A0F7C">
        <w:rPr>
          <w:rFonts w:eastAsia="Calibri"/>
          <w:bCs/>
          <w:sz w:val="24"/>
          <w:szCs w:val="24"/>
        </w:rPr>
        <w:t xml:space="preserve"> hasta el nueve siguiente.</w:t>
      </w:r>
    </w:p>
    <w:p w14:paraId="4CD3480E" w14:textId="3C272DE5" w:rsidR="00FB5647" w:rsidRPr="003A0F7C" w:rsidRDefault="00FB5647" w:rsidP="00173081">
      <w:pPr>
        <w:spacing w:before="280" w:after="280" w:line="360" w:lineRule="auto"/>
        <w:ind w:right="51"/>
        <w:jc w:val="both"/>
        <w:rPr>
          <w:rFonts w:eastAsia="Calibri"/>
          <w:bCs/>
          <w:sz w:val="24"/>
          <w:szCs w:val="24"/>
        </w:rPr>
      </w:pPr>
      <w:r w:rsidRPr="003A0F7C">
        <w:rPr>
          <w:rFonts w:eastAsia="Calibri"/>
          <w:bCs/>
          <w:sz w:val="24"/>
          <w:szCs w:val="24"/>
        </w:rPr>
        <w:t xml:space="preserve">En la instancia local la autoridad responsable no desvirtuó lo aseverado por los </w:t>
      </w:r>
      <w:r w:rsidR="009A60B4" w:rsidRPr="003A0F7C">
        <w:rPr>
          <w:rFonts w:eastAsia="Calibri"/>
          <w:bCs/>
          <w:sz w:val="24"/>
          <w:szCs w:val="24"/>
        </w:rPr>
        <w:t xml:space="preserve">actores, por tanto, se tiene por cierto que en fecha nueve de abril fue publicado por parte del </w:t>
      </w:r>
      <w:r w:rsidR="009A60B4" w:rsidRPr="003A0F7C">
        <w:rPr>
          <w:rFonts w:eastAsia="Calibri"/>
          <w:bCs/>
          <w:i/>
          <w:iCs/>
          <w:sz w:val="24"/>
          <w:szCs w:val="24"/>
        </w:rPr>
        <w:t>Instituto Electoral Local</w:t>
      </w:r>
      <w:r w:rsidR="009A60B4" w:rsidRPr="003A0F7C">
        <w:rPr>
          <w:rFonts w:eastAsia="Calibri"/>
          <w:bCs/>
          <w:sz w:val="24"/>
          <w:szCs w:val="24"/>
        </w:rPr>
        <w:t xml:space="preserve"> el acuerdo CGIEEG/104/2021, </w:t>
      </w:r>
      <w:r w:rsidR="00275635" w:rsidRPr="003A0F7C">
        <w:rPr>
          <w:rFonts w:eastAsia="Calibri"/>
          <w:bCs/>
          <w:sz w:val="24"/>
          <w:szCs w:val="24"/>
        </w:rPr>
        <w:t>en consecuencia</w:t>
      </w:r>
      <w:r w:rsidR="009A60B4" w:rsidRPr="003A0F7C">
        <w:rPr>
          <w:rFonts w:eastAsia="Calibri"/>
          <w:bCs/>
          <w:sz w:val="24"/>
          <w:szCs w:val="24"/>
        </w:rPr>
        <w:t xml:space="preserve">, si conocieron el nueve de abril y comparecieron a impugnar el </w:t>
      </w:r>
      <w:r w:rsidR="00034FBA" w:rsidRPr="003A0F7C">
        <w:rPr>
          <w:rFonts w:eastAsia="Calibri"/>
          <w:bCs/>
          <w:sz w:val="24"/>
          <w:szCs w:val="24"/>
        </w:rPr>
        <w:t>catorce</w:t>
      </w:r>
      <w:r w:rsidR="009A60B4" w:rsidRPr="003A0F7C">
        <w:rPr>
          <w:rFonts w:eastAsia="Calibri"/>
          <w:bCs/>
          <w:sz w:val="24"/>
          <w:szCs w:val="24"/>
        </w:rPr>
        <w:t xml:space="preserve"> siguiente, las demandas fueron presentadas en tiempo.</w:t>
      </w:r>
    </w:p>
    <w:p w14:paraId="05D61B2F" w14:textId="5DDAA170" w:rsidR="009A60B4" w:rsidRPr="003A0F7C" w:rsidRDefault="004D4187" w:rsidP="00173081">
      <w:pPr>
        <w:spacing w:before="280" w:after="280" w:line="360" w:lineRule="auto"/>
        <w:ind w:right="51"/>
        <w:jc w:val="both"/>
        <w:rPr>
          <w:rFonts w:eastAsia="Calibri"/>
          <w:bCs/>
          <w:sz w:val="24"/>
          <w:szCs w:val="24"/>
        </w:rPr>
      </w:pPr>
      <w:r w:rsidRPr="003A0F7C">
        <w:rPr>
          <w:rFonts w:eastAsia="Calibri"/>
          <w:bCs/>
          <w:sz w:val="24"/>
          <w:szCs w:val="24"/>
        </w:rPr>
        <w:t xml:space="preserve">No se pierde de vista que el </w:t>
      </w:r>
      <w:r w:rsidRPr="003A0F7C">
        <w:rPr>
          <w:rFonts w:eastAsia="Calibri"/>
          <w:bCs/>
          <w:i/>
          <w:iCs/>
          <w:sz w:val="24"/>
          <w:szCs w:val="24"/>
        </w:rPr>
        <w:t>PAN</w:t>
      </w:r>
      <w:r w:rsidRPr="003A0F7C">
        <w:rPr>
          <w:rFonts w:eastAsia="Calibri"/>
          <w:bCs/>
          <w:sz w:val="24"/>
          <w:szCs w:val="24"/>
        </w:rPr>
        <w:t xml:space="preserve">, señala que debió tenérseles como conocedores a los quejosos en la misma fecha que al representante de MORENA, aunado a que fue un hecho notorio </w:t>
      </w:r>
      <w:r w:rsidR="00CB3B06" w:rsidRPr="003A0F7C">
        <w:rPr>
          <w:rFonts w:eastAsia="Calibri"/>
          <w:bCs/>
          <w:sz w:val="24"/>
          <w:szCs w:val="24"/>
        </w:rPr>
        <w:t>la negativa de registro pues fue difundida por medios informativos.</w:t>
      </w:r>
    </w:p>
    <w:p w14:paraId="1EE501D3" w14:textId="6763CCB4" w:rsidR="00DD4039" w:rsidRPr="003A0F7C" w:rsidRDefault="00CB3B06" w:rsidP="00173081">
      <w:pPr>
        <w:spacing w:before="280" w:after="280" w:line="360" w:lineRule="auto"/>
        <w:ind w:right="51"/>
        <w:jc w:val="both"/>
        <w:rPr>
          <w:rFonts w:eastAsia="Calibri"/>
          <w:bCs/>
          <w:sz w:val="24"/>
          <w:szCs w:val="24"/>
        </w:rPr>
      </w:pPr>
      <w:r w:rsidRPr="003A0F7C">
        <w:rPr>
          <w:rFonts w:eastAsia="Calibri"/>
          <w:bCs/>
          <w:sz w:val="24"/>
          <w:szCs w:val="24"/>
        </w:rPr>
        <w:t xml:space="preserve">Es </w:t>
      </w:r>
      <w:r w:rsidRPr="003A0F7C">
        <w:rPr>
          <w:rFonts w:eastAsia="Calibri"/>
          <w:b/>
          <w:sz w:val="24"/>
          <w:szCs w:val="24"/>
        </w:rPr>
        <w:t>ineficaz</w:t>
      </w:r>
      <w:r w:rsidRPr="003A0F7C">
        <w:rPr>
          <w:rFonts w:eastAsia="Calibri"/>
          <w:bCs/>
          <w:sz w:val="24"/>
          <w:szCs w:val="24"/>
        </w:rPr>
        <w:t xml:space="preserve"> su argumento, pues no existe normativa que prevea que al notificársele a un partido político una determinación, en </w:t>
      </w:r>
      <w:r w:rsidR="00DD4039" w:rsidRPr="003A0F7C">
        <w:rPr>
          <w:rFonts w:eastAsia="Calibri"/>
          <w:bCs/>
          <w:sz w:val="24"/>
          <w:szCs w:val="24"/>
        </w:rPr>
        <w:t>consecuencia,</w:t>
      </w:r>
      <w:r w:rsidRPr="003A0F7C">
        <w:rPr>
          <w:rFonts w:eastAsia="Calibri"/>
          <w:bCs/>
          <w:sz w:val="24"/>
          <w:szCs w:val="24"/>
        </w:rPr>
        <w:t xml:space="preserve"> también deba tenérsele como conocedores a las personas implicadas en la resolución; aunado a que tampoco puede tenérsele por conocedores </w:t>
      </w:r>
      <w:r w:rsidR="00034FBA" w:rsidRPr="003A0F7C">
        <w:rPr>
          <w:rFonts w:eastAsia="Calibri"/>
          <w:bCs/>
          <w:sz w:val="24"/>
          <w:szCs w:val="24"/>
        </w:rPr>
        <w:t>porque</w:t>
      </w:r>
      <w:r w:rsidRPr="003A0F7C">
        <w:rPr>
          <w:rFonts w:eastAsia="Calibri"/>
          <w:bCs/>
          <w:sz w:val="24"/>
          <w:szCs w:val="24"/>
        </w:rPr>
        <w:t xml:space="preserve"> diversos medios informativos </w:t>
      </w:r>
      <w:r w:rsidR="00DD4039" w:rsidRPr="003A0F7C">
        <w:rPr>
          <w:rFonts w:eastAsia="Calibri"/>
          <w:bCs/>
          <w:sz w:val="24"/>
          <w:szCs w:val="24"/>
        </w:rPr>
        <w:t>hubiesen difundido la noticia, pues con la mera difusión de que se negó el registro, no los hace conocedores de las razones y fundamentos que tomó en consideración para la negativa</w:t>
      </w:r>
      <w:r w:rsidR="00764B44" w:rsidRPr="003A0F7C">
        <w:rPr>
          <w:rFonts w:eastAsia="Calibri"/>
          <w:bCs/>
          <w:sz w:val="24"/>
          <w:szCs w:val="24"/>
        </w:rPr>
        <w:t>, sino hasta en tanto lo publique debidamente</w:t>
      </w:r>
      <w:r w:rsidR="007B5ED4" w:rsidRPr="003A0F7C">
        <w:rPr>
          <w:rFonts w:eastAsia="Calibri"/>
          <w:bCs/>
          <w:sz w:val="24"/>
          <w:szCs w:val="24"/>
        </w:rPr>
        <w:t>, resultando aplicable el criterio contenido en la jurisprudencia 20/2001, de rubro “</w:t>
      </w:r>
      <w:r w:rsidR="007B5ED4" w:rsidRPr="003A0F7C">
        <w:rPr>
          <w:rStyle w:val="Textoennegrita"/>
          <w:i/>
          <w:iCs/>
          <w:sz w:val="24"/>
          <w:szCs w:val="24"/>
          <w:shd w:val="clear" w:color="auto" w:fill="FFFFFF"/>
        </w:rPr>
        <w:t>NOTIFICACIÓN</w:t>
      </w:r>
      <w:r w:rsidR="007B5ED4" w:rsidRPr="003A0F7C">
        <w:rPr>
          <w:b/>
          <w:bCs/>
          <w:i/>
          <w:iCs/>
          <w:color w:val="000000"/>
          <w:sz w:val="24"/>
          <w:szCs w:val="24"/>
          <w:shd w:val="clear" w:color="auto" w:fill="FFFFFF"/>
        </w:rPr>
        <w:t>. LA EFECTUADA AL REPRESENTANTE DE UN PARTIDO POLÍTICO ANTE UN ÓRGANO ELECTORAL, NO SURTE EFECTOS RESPECTO DE LOS CANDIDATOS POSTULADOS POR EL PROPIO PARTIDO</w:t>
      </w:r>
      <w:r w:rsidR="007B5ED4" w:rsidRPr="003A0F7C">
        <w:rPr>
          <w:b/>
          <w:bCs/>
          <w:color w:val="000000"/>
          <w:sz w:val="24"/>
          <w:szCs w:val="24"/>
          <w:shd w:val="clear" w:color="auto" w:fill="FFFFFF"/>
        </w:rPr>
        <w:t>”</w:t>
      </w:r>
      <w:r w:rsidR="00945C85" w:rsidRPr="003A0F7C">
        <w:rPr>
          <w:rStyle w:val="Refdenotaalpie"/>
          <w:b/>
          <w:bCs/>
          <w:color w:val="000000"/>
          <w:sz w:val="24"/>
          <w:szCs w:val="24"/>
          <w:shd w:val="clear" w:color="auto" w:fill="FFFFFF"/>
        </w:rPr>
        <w:t xml:space="preserve"> </w:t>
      </w:r>
      <w:r w:rsidR="00945C85" w:rsidRPr="003A0F7C">
        <w:rPr>
          <w:rStyle w:val="Refdenotaalpie"/>
          <w:b/>
          <w:bCs/>
          <w:color w:val="000000"/>
          <w:sz w:val="24"/>
          <w:szCs w:val="24"/>
          <w:shd w:val="clear" w:color="auto" w:fill="FFFFFF"/>
        </w:rPr>
        <w:footnoteReference w:id="7"/>
      </w:r>
      <w:r w:rsidR="007B5ED4" w:rsidRPr="003A0F7C">
        <w:rPr>
          <w:b/>
          <w:bCs/>
          <w:color w:val="000000"/>
          <w:sz w:val="24"/>
          <w:szCs w:val="24"/>
          <w:shd w:val="clear" w:color="auto" w:fill="FFFFFF"/>
        </w:rPr>
        <w:t>.</w:t>
      </w:r>
    </w:p>
    <w:p w14:paraId="1034EDEF" w14:textId="56C5864D" w:rsidR="00FF1C5C" w:rsidRPr="003A0F7C" w:rsidRDefault="006132E4" w:rsidP="00173081">
      <w:pPr>
        <w:spacing w:before="280" w:after="280" w:line="360" w:lineRule="auto"/>
        <w:ind w:right="51"/>
        <w:jc w:val="both"/>
        <w:rPr>
          <w:rFonts w:eastAsia="Calibri"/>
          <w:b/>
          <w:sz w:val="24"/>
          <w:szCs w:val="24"/>
        </w:rPr>
      </w:pPr>
      <w:r w:rsidRPr="003A0F7C">
        <w:rPr>
          <w:rFonts w:eastAsia="Calibri"/>
          <w:b/>
          <w:sz w:val="24"/>
          <w:szCs w:val="24"/>
        </w:rPr>
        <w:t>4.3.3.</w:t>
      </w:r>
      <w:r w:rsidRPr="003A0F7C">
        <w:t xml:space="preserve"> </w:t>
      </w:r>
      <w:r w:rsidRPr="003A0F7C">
        <w:rPr>
          <w:rFonts w:eastAsia="Calibri"/>
          <w:b/>
          <w:sz w:val="24"/>
          <w:szCs w:val="24"/>
        </w:rPr>
        <w:t xml:space="preserve">Fue correcta </w:t>
      </w:r>
      <w:bookmarkStart w:id="24" w:name="_Hlk71139406"/>
      <w:r w:rsidRPr="003A0F7C">
        <w:rPr>
          <w:rFonts w:eastAsia="Calibri"/>
          <w:b/>
          <w:sz w:val="24"/>
          <w:szCs w:val="24"/>
        </w:rPr>
        <w:t xml:space="preserve">la determinación del </w:t>
      </w:r>
      <w:r w:rsidRPr="003A0F7C">
        <w:rPr>
          <w:rFonts w:eastAsia="Calibri"/>
          <w:b/>
          <w:i/>
          <w:iCs/>
          <w:sz w:val="24"/>
          <w:szCs w:val="24"/>
        </w:rPr>
        <w:t>Tribunal Local</w:t>
      </w:r>
      <w:r w:rsidRPr="003A0F7C">
        <w:rPr>
          <w:rFonts w:eastAsia="Calibri"/>
          <w:b/>
          <w:sz w:val="24"/>
          <w:szCs w:val="24"/>
        </w:rPr>
        <w:t xml:space="preserve"> relativa a que el </w:t>
      </w:r>
      <w:r w:rsidRPr="003A0F7C">
        <w:rPr>
          <w:rFonts w:eastAsia="Calibri"/>
          <w:b/>
          <w:i/>
          <w:iCs/>
          <w:sz w:val="24"/>
          <w:szCs w:val="24"/>
        </w:rPr>
        <w:t>Instituto Electoral Local</w:t>
      </w:r>
      <w:r w:rsidRPr="003A0F7C">
        <w:rPr>
          <w:rFonts w:eastAsia="Calibri"/>
          <w:b/>
          <w:sz w:val="24"/>
          <w:szCs w:val="24"/>
        </w:rPr>
        <w:t xml:space="preserve"> no debió negar el registro de planillas </w:t>
      </w:r>
      <w:r w:rsidR="00034FBA" w:rsidRPr="003A0F7C">
        <w:rPr>
          <w:rFonts w:eastAsia="Calibri"/>
          <w:b/>
          <w:sz w:val="24"/>
          <w:szCs w:val="24"/>
        </w:rPr>
        <w:t>con</w:t>
      </w:r>
      <w:r w:rsidRPr="003A0F7C">
        <w:rPr>
          <w:rFonts w:eastAsia="Calibri"/>
          <w:b/>
          <w:sz w:val="24"/>
          <w:szCs w:val="24"/>
        </w:rPr>
        <w:t xml:space="preserve"> base en inconsistencias que no se dieron a conocer al partido político</w:t>
      </w:r>
      <w:bookmarkEnd w:id="24"/>
    </w:p>
    <w:p w14:paraId="70DF7A49" w14:textId="0B841A72" w:rsidR="006132E4" w:rsidRPr="003A0F7C" w:rsidRDefault="006F1F52" w:rsidP="006F1F52">
      <w:pPr>
        <w:pStyle w:val="Prrafodelista"/>
        <w:numPr>
          <w:ilvl w:val="0"/>
          <w:numId w:val="49"/>
        </w:numPr>
        <w:spacing w:before="280" w:after="280" w:line="360" w:lineRule="auto"/>
        <w:ind w:right="51"/>
        <w:jc w:val="both"/>
        <w:rPr>
          <w:rFonts w:eastAsia="Calibri"/>
          <w:bCs/>
          <w:i/>
          <w:iCs/>
          <w:sz w:val="24"/>
          <w:szCs w:val="24"/>
        </w:rPr>
      </w:pPr>
      <w:r w:rsidRPr="003A0F7C">
        <w:rPr>
          <w:rFonts w:eastAsia="Calibri"/>
          <w:bCs/>
          <w:i/>
          <w:iCs/>
          <w:sz w:val="24"/>
          <w:szCs w:val="24"/>
        </w:rPr>
        <w:t xml:space="preserve">La </w:t>
      </w:r>
      <w:r w:rsidR="00034FBA" w:rsidRPr="003A0F7C">
        <w:rPr>
          <w:rFonts w:eastAsia="Calibri"/>
          <w:bCs/>
          <w:i/>
          <w:iCs/>
          <w:sz w:val="24"/>
          <w:szCs w:val="24"/>
        </w:rPr>
        <w:t xml:space="preserve">parte </w:t>
      </w:r>
      <w:r w:rsidRPr="003A0F7C">
        <w:rPr>
          <w:rFonts w:eastAsia="Calibri"/>
          <w:bCs/>
          <w:i/>
          <w:iCs/>
          <w:sz w:val="24"/>
          <w:szCs w:val="24"/>
        </w:rPr>
        <w:t>actora señala que lo resuelto por el Tribunal Local en el apartado 4.6. de la sentencia impugnada, no se encuentra debidamente fundad</w:t>
      </w:r>
      <w:r w:rsidR="001B40C9" w:rsidRPr="003A0F7C">
        <w:rPr>
          <w:rFonts w:eastAsia="Calibri"/>
          <w:bCs/>
          <w:i/>
          <w:iCs/>
          <w:sz w:val="24"/>
          <w:szCs w:val="24"/>
        </w:rPr>
        <w:t>a</w:t>
      </w:r>
      <w:r w:rsidRPr="003A0F7C">
        <w:rPr>
          <w:rFonts w:eastAsia="Calibri"/>
          <w:bCs/>
          <w:i/>
          <w:iCs/>
          <w:sz w:val="24"/>
          <w:szCs w:val="24"/>
        </w:rPr>
        <w:t xml:space="preserve"> y motivad</w:t>
      </w:r>
      <w:r w:rsidR="001B40C9" w:rsidRPr="003A0F7C">
        <w:rPr>
          <w:rFonts w:eastAsia="Calibri"/>
          <w:bCs/>
          <w:i/>
          <w:iCs/>
          <w:sz w:val="24"/>
          <w:szCs w:val="24"/>
        </w:rPr>
        <w:t>a</w:t>
      </w:r>
      <w:r w:rsidRPr="003A0F7C">
        <w:rPr>
          <w:rFonts w:eastAsia="Calibri"/>
          <w:bCs/>
          <w:i/>
          <w:iCs/>
          <w:sz w:val="24"/>
          <w:szCs w:val="24"/>
        </w:rPr>
        <w:t xml:space="preserve">, pues si bien el artículo 191 de la Ley </w:t>
      </w:r>
      <w:r w:rsidRPr="003A0F7C">
        <w:rPr>
          <w:rFonts w:eastAsia="Calibri"/>
          <w:bCs/>
          <w:i/>
          <w:iCs/>
          <w:sz w:val="24"/>
          <w:szCs w:val="24"/>
        </w:rPr>
        <w:lastRenderedPageBreak/>
        <w:t>Electoral Local contiene un deber de la autoridad electoral de verificar y, en su caso, requerir al partido para que subsane omisiones, no debe derivar una presunción en el cumplimiento de requisitos sobre lo no requeridos, pues la ley prevé que ante el incumplimiento de requisitos las candidaturas no deben ser registradas.</w:t>
      </w:r>
    </w:p>
    <w:p w14:paraId="4DC650EE" w14:textId="263DC0B7" w:rsidR="00FF1C5C" w:rsidRPr="003A0F7C" w:rsidRDefault="000E7509" w:rsidP="00173081">
      <w:pPr>
        <w:spacing w:before="280" w:after="280" w:line="360" w:lineRule="auto"/>
        <w:ind w:right="51"/>
        <w:jc w:val="both"/>
        <w:rPr>
          <w:rFonts w:eastAsia="Calibri"/>
          <w:bCs/>
          <w:sz w:val="24"/>
          <w:szCs w:val="24"/>
        </w:rPr>
      </w:pPr>
      <w:r w:rsidRPr="003A0F7C">
        <w:rPr>
          <w:rFonts w:eastAsia="Calibri"/>
          <w:bCs/>
          <w:sz w:val="24"/>
          <w:szCs w:val="24"/>
        </w:rPr>
        <w:t xml:space="preserve">A juicio de esta Sala Regional </w:t>
      </w:r>
      <w:r w:rsidRPr="003A0F7C">
        <w:rPr>
          <w:rFonts w:eastAsia="Calibri"/>
          <w:b/>
          <w:sz w:val="24"/>
          <w:szCs w:val="24"/>
        </w:rPr>
        <w:t>no le asiste</w:t>
      </w:r>
      <w:r w:rsidRPr="003A0F7C">
        <w:rPr>
          <w:rFonts w:eastAsia="Calibri"/>
          <w:bCs/>
          <w:sz w:val="24"/>
          <w:szCs w:val="24"/>
        </w:rPr>
        <w:t xml:space="preserve"> la razón al </w:t>
      </w:r>
      <w:r w:rsidRPr="003A0F7C">
        <w:rPr>
          <w:rFonts w:eastAsia="Calibri"/>
          <w:bCs/>
          <w:i/>
          <w:iCs/>
          <w:sz w:val="24"/>
          <w:szCs w:val="24"/>
        </w:rPr>
        <w:t>PAN</w:t>
      </w:r>
      <w:r w:rsidRPr="003A0F7C">
        <w:rPr>
          <w:rFonts w:eastAsia="Calibri"/>
          <w:bCs/>
          <w:sz w:val="24"/>
          <w:szCs w:val="24"/>
        </w:rPr>
        <w:t>, en atención a lo siguiente.</w:t>
      </w:r>
    </w:p>
    <w:p w14:paraId="052C11A9" w14:textId="496EAD81" w:rsidR="00472ED0" w:rsidRPr="003A0F7C" w:rsidRDefault="00472ED0" w:rsidP="00472ED0">
      <w:pPr>
        <w:spacing w:before="280" w:after="280" w:line="360" w:lineRule="auto"/>
        <w:ind w:right="51"/>
        <w:jc w:val="both"/>
        <w:rPr>
          <w:rFonts w:eastAsia="Calibri"/>
          <w:bCs/>
          <w:sz w:val="24"/>
          <w:szCs w:val="24"/>
        </w:rPr>
      </w:pPr>
      <w:r w:rsidRPr="003A0F7C">
        <w:rPr>
          <w:rFonts w:eastAsia="Calibri"/>
          <w:bCs/>
          <w:sz w:val="24"/>
          <w:szCs w:val="24"/>
        </w:rPr>
        <w:t xml:space="preserve">En el fallo impugnado, se tiene </w:t>
      </w:r>
      <w:r w:rsidR="004057CD" w:rsidRPr="003A0F7C">
        <w:rPr>
          <w:rFonts w:eastAsia="Calibri"/>
          <w:bCs/>
          <w:sz w:val="24"/>
          <w:szCs w:val="24"/>
        </w:rPr>
        <w:t xml:space="preserve">en esencia </w:t>
      </w:r>
      <w:r w:rsidRPr="003A0F7C">
        <w:rPr>
          <w:rFonts w:eastAsia="Calibri"/>
          <w:bCs/>
          <w:sz w:val="24"/>
          <w:szCs w:val="24"/>
        </w:rPr>
        <w:t xml:space="preserve">que el </w:t>
      </w:r>
      <w:r w:rsidRPr="003A0F7C">
        <w:rPr>
          <w:rFonts w:eastAsia="Calibri"/>
          <w:bCs/>
          <w:i/>
          <w:iCs/>
          <w:sz w:val="24"/>
          <w:szCs w:val="24"/>
        </w:rPr>
        <w:t xml:space="preserve">Tribunal Local </w:t>
      </w:r>
      <w:r w:rsidRPr="003A0F7C">
        <w:rPr>
          <w:rFonts w:eastAsia="Calibri"/>
          <w:bCs/>
          <w:sz w:val="24"/>
          <w:szCs w:val="24"/>
        </w:rPr>
        <w:t xml:space="preserve">precisó que fue indebido que el </w:t>
      </w:r>
      <w:r w:rsidRPr="003A0F7C">
        <w:rPr>
          <w:rFonts w:eastAsia="Calibri"/>
          <w:bCs/>
          <w:i/>
          <w:iCs/>
          <w:sz w:val="24"/>
          <w:szCs w:val="24"/>
        </w:rPr>
        <w:t>Instituto Electoral Local</w:t>
      </w:r>
      <w:r w:rsidRPr="003A0F7C">
        <w:rPr>
          <w:rFonts w:eastAsia="Calibri"/>
          <w:bCs/>
          <w:sz w:val="24"/>
          <w:szCs w:val="24"/>
        </w:rPr>
        <w:t xml:space="preserve"> negara el registro de las planillas con base en inconsistencias respecto de las que no formuló un requerimiento.</w:t>
      </w:r>
    </w:p>
    <w:p w14:paraId="3602FE56" w14:textId="11B2176C" w:rsidR="00BD0098" w:rsidRPr="003A0F7C" w:rsidRDefault="00BD0098" w:rsidP="00472ED0">
      <w:pPr>
        <w:spacing w:before="280" w:after="280" w:line="360" w:lineRule="auto"/>
        <w:ind w:right="51"/>
        <w:jc w:val="both"/>
        <w:rPr>
          <w:rFonts w:eastAsia="Calibri"/>
          <w:bCs/>
          <w:sz w:val="24"/>
          <w:szCs w:val="24"/>
        </w:rPr>
      </w:pPr>
      <w:r w:rsidRPr="003A0F7C">
        <w:rPr>
          <w:rFonts w:eastAsia="Calibri"/>
          <w:bCs/>
          <w:sz w:val="24"/>
          <w:szCs w:val="24"/>
        </w:rPr>
        <w:t xml:space="preserve">Destacando que, si bien el </w:t>
      </w:r>
      <w:r w:rsidRPr="003A0F7C">
        <w:rPr>
          <w:rFonts w:eastAsia="Calibri"/>
          <w:bCs/>
          <w:i/>
          <w:iCs/>
          <w:sz w:val="24"/>
          <w:szCs w:val="24"/>
        </w:rPr>
        <w:t>Instituto Electoral Local</w:t>
      </w:r>
      <w:r w:rsidRPr="003A0F7C">
        <w:rPr>
          <w:rFonts w:eastAsia="Calibri"/>
          <w:bCs/>
          <w:sz w:val="24"/>
          <w:szCs w:val="24"/>
        </w:rPr>
        <w:t xml:space="preserve"> emitió requerimientos de documentación a MORENA, relacionados con los municipios de Apaseo el Grande, Celaya, Cuerámaro, Dolores Hidalgo Cuna de la Independencia Nacional, Moroleón y Salamanca; las razones que precisó para negar el registro respectivo eran referentes a documentación que propiamente no fue requerida al partido</w:t>
      </w:r>
      <w:r w:rsidR="00193AEF" w:rsidRPr="003A0F7C">
        <w:rPr>
          <w:rFonts w:eastAsia="Calibri"/>
          <w:bCs/>
          <w:sz w:val="24"/>
          <w:szCs w:val="24"/>
        </w:rPr>
        <w:t>.</w:t>
      </w:r>
    </w:p>
    <w:p w14:paraId="26F05E65" w14:textId="271E58DB" w:rsidR="00472ED0" w:rsidRPr="003A0F7C" w:rsidRDefault="00472ED0" w:rsidP="00AE58BD">
      <w:pPr>
        <w:spacing w:before="280" w:after="280" w:line="360" w:lineRule="auto"/>
        <w:ind w:right="51"/>
        <w:jc w:val="both"/>
        <w:rPr>
          <w:rFonts w:eastAsia="Calibri"/>
          <w:bCs/>
          <w:sz w:val="24"/>
          <w:szCs w:val="24"/>
        </w:rPr>
      </w:pPr>
      <w:r w:rsidRPr="003A0F7C">
        <w:rPr>
          <w:rFonts w:eastAsia="Calibri"/>
          <w:bCs/>
          <w:sz w:val="24"/>
          <w:szCs w:val="24"/>
        </w:rPr>
        <w:t xml:space="preserve">Ahora bien, de conformidad con lo establecido en la </w:t>
      </w:r>
      <w:r w:rsidRPr="003A0F7C">
        <w:rPr>
          <w:rFonts w:eastAsia="Calibri"/>
          <w:bCs/>
          <w:i/>
          <w:iCs/>
          <w:sz w:val="24"/>
          <w:szCs w:val="24"/>
        </w:rPr>
        <w:t>Ley Electoral Local</w:t>
      </w:r>
      <w:r w:rsidRPr="003A0F7C">
        <w:rPr>
          <w:rFonts w:eastAsia="Calibri"/>
          <w:bCs/>
          <w:sz w:val="24"/>
          <w:szCs w:val="24"/>
        </w:rPr>
        <w:t xml:space="preserve">, </w:t>
      </w:r>
      <w:r w:rsidR="004057CD" w:rsidRPr="003A0F7C">
        <w:rPr>
          <w:rFonts w:eastAsia="Calibri"/>
          <w:bCs/>
          <w:sz w:val="24"/>
          <w:szCs w:val="24"/>
        </w:rPr>
        <w:t>en su numeral 191</w:t>
      </w:r>
      <w:r w:rsidR="005954C4" w:rsidRPr="003A0F7C">
        <w:rPr>
          <w:rFonts w:eastAsia="Calibri"/>
          <w:bCs/>
          <w:sz w:val="24"/>
          <w:szCs w:val="24"/>
        </w:rPr>
        <w:t>, se tiene que</w:t>
      </w:r>
      <w:r w:rsidR="00AE58BD" w:rsidRPr="003A0F7C">
        <w:rPr>
          <w:rFonts w:eastAsia="Calibri"/>
          <w:bCs/>
          <w:sz w:val="24"/>
          <w:szCs w:val="24"/>
        </w:rPr>
        <w:t>,</w:t>
      </w:r>
      <w:r w:rsidR="005954C4" w:rsidRPr="003A0F7C">
        <w:rPr>
          <w:rFonts w:eastAsia="Calibri"/>
          <w:bCs/>
          <w:sz w:val="24"/>
          <w:szCs w:val="24"/>
        </w:rPr>
        <w:t xml:space="preserve"> recibida una</w:t>
      </w:r>
      <w:r w:rsidR="00AE58BD" w:rsidRPr="003A0F7C">
        <w:rPr>
          <w:rFonts w:eastAsia="Calibri"/>
          <w:bCs/>
          <w:sz w:val="24"/>
          <w:szCs w:val="24"/>
        </w:rPr>
        <w:t xml:space="preserve"> </w:t>
      </w:r>
      <w:r w:rsidR="005954C4" w:rsidRPr="003A0F7C">
        <w:rPr>
          <w:rFonts w:eastAsia="Calibri"/>
          <w:bCs/>
          <w:sz w:val="24"/>
          <w:szCs w:val="24"/>
        </w:rPr>
        <w:t xml:space="preserve">solicitud de registro de candidaturas por </w:t>
      </w:r>
      <w:r w:rsidR="00AE58BD" w:rsidRPr="003A0F7C">
        <w:rPr>
          <w:rFonts w:eastAsia="Calibri"/>
          <w:bCs/>
          <w:sz w:val="24"/>
          <w:szCs w:val="24"/>
        </w:rPr>
        <w:t>el órgano electoral que corresponda</w:t>
      </w:r>
      <w:r w:rsidR="005954C4" w:rsidRPr="003A0F7C">
        <w:rPr>
          <w:rFonts w:eastAsia="Calibri"/>
          <w:bCs/>
          <w:sz w:val="24"/>
          <w:szCs w:val="24"/>
        </w:rPr>
        <w:t>, verificará dentro de los 3 días</w:t>
      </w:r>
      <w:r w:rsidR="00AE58BD" w:rsidRPr="003A0F7C">
        <w:rPr>
          <w:rFonts w:eastAsia="Calibri"/>
          <w:bCs/>
          <w:sz w:val="24"/>
          <w:szCs w:val="24"/>
        </w:rPr>
        <w:t xml:space="preserve"> </w:t>
      </w:r>
      <w:r w:rsidR="005954C4" w:rsidRPr="003A0F7C">
        <w:rPr>
          <w:rFonts w:eastAsia="Calibri"/>
          <w:bCs/>
          <w:sz w:val="24"/>
          <w:szCs w:val="24"/>
        </w:rPr>
        <w:t xml:space="preserve">siguientes </w:t>
      </w:r>
      <w:r w:rsidR="00AE58BD" w:rsidRPr="003A0F7C">
        <w:rPr>
          <w:rFonts w:eastAsia="Calibri"/>
          <w:bCs/>
          <w:sz w:val="24"/>
          <w:szCs w:val="24"/>
        </w:rPr>
        <w:t>si</w:t>
      </w:r>
      <w:r w:rsidR="005954C4" w:rsidRPr="003A0F7C">
        <w:rPr>
          <w:rFonts w:eastAsia="Calibri"/>
          <w:bCs/>
          <w:sz w:val="24"/>
          <w:szCs w:val="24"/>
        </w:rPr>
        <w:t xml:space="preserve"> se cumplieron con todos los requisitos señalados en el</w:t>
      </w:r>
      <w:r w:rsidR="00AE58BD" w:rsidRPr="003A0F7C">
        <w:rPr>
          <w:rFonts w:eastAsia="Calibri"/>
          <w:bCs/>
          <w:sz w:val="24"/>
          <w:szCs w:val="24"/>
        </w:rPr>
        <w:t xml:space="preserve"> </w:t>
      </w:r>
      <w:r w:rsidR="005954C4" w:rsidRPr="003A0F7C">
        <w:rPr>
          <w:rFonts w:eastAsia="Calibri"/>
          <w:bCs/>
          <w:sz w:val="24"/>
          <w:szCs w:val="24"/>
        </w:rPr>
        <w:t xml:space="preserve">artículo 190 </w:t>
      </w:r>
      <w:r w:rsidR="00AE58BD" w:rsidRPr="003A0F7C">
        <w:rPr>
          <w:rFonts w:eastAsia="Calibri"/>
          <w:bCs/>
          <w:sz w:val="24"/>
          <w:szCs w:val="24"/>
        </w:rPr>
        <w:t>de la referida ley,</w:t>
      </w:r>
      <w:r w:rsidR="005954C4" w:rsidRPr="003A0F7C">
        <w:rPr>
          <w:rFonts w:eastAsia="Calibri"/>
          <w:bCs/>
          <w:sz w:val="24"/>
          <w:szCs w:val="24"/>
        </w:rPr>
        <w:t xml:space="preserve"> </w:t>
      </w:r>
      <w:r w:rsidR="00AE58BD" w:rsidRPr="003A0F7C">
        <w:rPr>
          <w:rFonts w:eastAsia="Calibri"/>
          <w:bCs/>
          <w:sz w:val="24"/>
          <w:szCs w:val="24"/>
        </w:rPr>
        <w:t>y que los candidatos satisfagan</w:t>
      </w:r>
      <w:r w:rsidR="005954C4" w:rsidRPr="003A0F7C">
        <w:rPr>
          <w:rFonts w:eastAsia="Calibri"/>
          <w:bCs/>
          <w:sz w:val="24"/>
          <w:szCs w:val="24"/>
        </w:rPr>
        <w:t xml:space="preserve"> los requisitos de elegibilidad establecidos</w:t>
      </w:r>
      <w:r w:rsidR="00AE58BD" w:rsidRPr="003A0F7C">
        <w:rPr>
          <w:rFonts w:eastAsia="Calibri"/>
          <w:bCs/>
          <w:sz w:val="24"/>
          <w:szCs w:val="24"/>
        </w:rPr>
        <w:t xml:space="preserve"> </w:t>
      </w:r>
      <w:r w:rsidR="005954C4" w:rsidRPr="003A0F7C">
        <w:rPr>
          <w:rFonts w:eastAsia="Calibri"/>
          <w:bCs/>
          <w:sz w:val="24"/>
          <w:szCs w:val="24"/>
        </w:rPr>
        <w:t>en la Constitución Política para el Estado</w:t>
      </w:r>
      <w:r w:rsidR="00AE58BD" w:rsidRPr="003A0F7C">
        <w:rPr>
          <w:rFonts w:eastAsia="Calibri"/>
          <w:bCs/>
          <w:sz w:val="24"/>
          <w:szCs w:val="24"/>
        </w:rPr>
        <w:t xml:space="preserve"> de Guanajuato</w:t>
      </w:r>
      <w:r w:rsidR="005954C4" w:rsidRPr="003A0F7C">
        <w:rPr>
          <w:rFonts w:eastAsia="Calibri"/>
          <w:bCs/>
          <w:sz w:val="24"/>
          <w:szCs w:val="24"/>
        </w:rPr>
        <w:t xml:space="preserve"> y en el artículo 11 de la </w:t>
      </w:r>
      <w:r w:rsidR="00AE58BD" w:rsidRPr="003A0F7C">
        <w:rPr>
          <w:rFonts w:eastAsia="Calibri"/>
          <w:bCs/>
          <w:i/>
          <w:iCs/>
          <w:sz w:val="24"/>
          <w:szCs w:val="24"/>
        </w:rPr>
        <w:t>Ley Electoral Local</w:t>
      </w:r>
      <w:r w:rsidR="00AE58BD" w:rsidRPr="003A0F7C">
        <w:rPr>
          <w:rFonts w:eastAsia="Calibri"/>
          <w:bCs/>
          <w:sz w:val="24"/>
          <w:szCs w:val="24"/>
        </w:rPr>
        <w:t>.</w:t>
      </w:r>
    </w:p>
    <w:p w14:paraId="3E8C4988" w14:textId="4C2B063B" w:rsidR="00AE58BD" w:rsidRPr="003A0F7C" w:rsidRDefault="00AE58BD" w:rsidP="00AE58BD">
      <w:pPr>
        <w:spacing w:before="280" w:after="280" w:line="360" w:lineRule="auto"/>
        <w:ind w:right="51"/>
        <w:jc w:val="both"/>
        <w:rPr>
          <w:rFonts w:eastAsia="Calibri"/>
          <w:bCs/>
          <w:sz w:val="24"/>
          <w:szCs w:val="24"/>
        </w:rPr>
      </w:pPr>
      <w:r w:rsidRPr="003A0F7C">
        <w:rPr>
          <w:rFonts w:eastAsia="Calibri"/>
          <w:bCs/>
          <w:sz w:val="24"/>
          <w:szCs w:val="24"/>
        </w:rPr>
        <w:t>En caso de que en la verificación realizada se advierta que se omitió el cumplimiento de uno o varios requisitos o que alguno de los candidatos no es elegible, el presidente o secretario del consejo electoral respectivo notificará de inmediato al partido político correspondiente, para que dentro de las cuarenta y ocho horas siguientes subsanen el o los requisitos omitidos o se sustituya la candidatura, siempre y cuando esto se realice cuatro días antes de la sesión de registro de candidatos.</w:t>
      </w:r>
    </w:p>
    <w:p w14:paraId="299AF527" w14:textId="79C3D008" w:rsidR="00AE58BD" w:rsidRPr="003A0F7C" w:rsidRDefault="00C90334" w:rsidP="00AE58BD">
      <w:pPr>
        <w:spacing w:before="280" w:after="280" w:line="360" w:lineRule="auto"/>
        <w:ind w:right="51"/>
        <w:jc w:val="both"/>
        <w:rPr>
          <w:rFonts w:eastAsia="Calibri"/>
          <w:bCs/>
          <w:sz w:val="24"/>
          <w:szCs w:val="24"/>
        </w:rPr>
      </w:pPr>
      <w:r w:rsidRPr="003A0F7C">
        <w:rPr>
          <w:rFonts w:eastAsia="Calibri"/>
          <w:bCs/>
          <w:sz w:val="24"/>
          <w:szCs w:val="24"/>
        </w:rPr>
        <w:t xml:space="preserve">Precisado lo anterior, se tiene que la </w:t>
      </w:r>
      <w:r w:rsidRPr="003A0F7C">
        <w:rPr>
          <w:rFonts w:eastAsia="Calibri"/>
          <w:bCs/>
          <w:i/>
          <w:iCs/>
          <w:sz w:val="24"/>
          <w:szCs w:val="24"/>
        </w:rPr>
        <w:t>Ley Electoral Local</w:t>
      </w:r>
      <w:r w:rsidRPr="003A0F7C">
        <w:rPr>
          <w:rFonts w:eastAsia="Calibri"/>
          <w:bCs/>
          <w:sz w:val="24"/>
          <w:szCs w:val="24"/>
        </w:rPr>
        <w:t xml:space="preserve">, dispone de una obligación de la autoridad electoral de revisar las solicitudes de registro de candidaturas, a fin de </w:t>
      </w:r>
      <w:r w:rsidR="00A06CC4" w:rsidRPr="003A0F7C">
        <w:rPr>
          <w:rFonts w:eastAsia="Calibri"/>
          <w:bCs/>
          <w:sz w:val="24"/>
          <w:szCs w:val="24"/>
        </w:rPr>
        <w:t xml:space="preserve">detectar alguna inconsistencia o deficiencia en la </w:t>
      </w:r>
      <w:r w:rsidR="00A06CC4" w:rsidRPr="003A0F7C">
        <w:rPr>
          <w:rFonts w:eastAsia="Calibri"/>
          <w:bCs/>
          <w:sz w:val="24"/>
          <w:szCs w:val="24"/>
        </w:rPr>
        <w:lastRenderedPageBreak/>
        <w:t xml:space="preserve">presentación de </w:t>
      </w:r>
      <w:proofErr w:type="gramStart"/>
      <w:r w:rsidR="00A06CC4" w:rsidRPr="003A0F7C">
        <w:rPr>
          <w:rFonts w:eastAsia="Calibri"/>
          <w:bCs/>
          <w:sz w:val="24"/>
          <w:szCs w:val="24"/>
        </w:rPr>
        <w:t>la misma</w:t>
      </w:r>
      <w:proofErr w:type="gramEnd"/>
      <w:r w:rsidR="00A06CC4" w:rsidRPr="003A0F7C">
        <w:rPr>
          <w:rFonts w:eastAsia="Calibri"/>
          <w:bCs/>
          <w:sz w:val="24"/>
          <w:szCs w:val="24"/>
        </w:rPr>
        <w:t>, previo a que emita un pronunciamiento en definitiva de si procede o no el registro de las candidaturas presentadas.</w:t>
      </w:r>
    </w:p>
    <w:p w14:paraId="6810B04D" w14:textId="2F76ED6D" w:rsidR="00A06CC4" w:rsidRPr="003A0F7C" w:rsidRDefault="00AB1940" w:rsidP="00AE58BD">
      <w:pPr>
        <w:spacing w:before="280" w:after="280" w:line="360" w:lineRule="auto"/>
        <w:ind w:right="51"/>
        <w:jc w:val="both"/>
        <w:rPr>
          <w:rFonts w:eastAsia="Calibri"/>
          <w:bCs/>
          <w:sz w:val="24"/>
          <w:szCs w:val="24"/>
        </w:rPr>
      </w:pPr>
      <w:r w:rsidRPr="003A0F7C">
        <w:rPr>
          <w:rFonts w:eastAsia="Calibri"/>
          <w:bCs/>
          <w:sz w:val="24"/>
          <w:szCs w:val="24"/>
        </w:rPr>
        <w:t xml:space="preserve">La determinación del </w:t>
      </w:r>
      <w:r w:rsidRPr="003A0F7C">
        <w:rPr>
          <w:rFonts w:eastAsia="Calibri"/>
          <w:bCs/>
          <w:i/>
          <w:iCs/>
          <w:sz w:val="24"/>
          <w:szCs w:val="24"/>
        </w:rPr>
        <w:t>Tribunal Local</w:t>
      </w:r>
      <w:r w:rsidRPr="003A0F7C">
        <w:rPr>
          <w:rFonts w:eastAsia="Calibri"/>
          <w:bCs/>
          <w:sz w:val="24"/>
          <w:szCs w:val="24"/>
        </w:rPr>
        <w:t xml:space="preserve"> relativa a que el </w:t>
      </w:r>
      <w:r w:rsidRPr="003A0F7C">
        <w:rPr>
          <w:rFonts w:eastAsia="Calibri"/>
          <w:bCs/>
          <w:i/>
          <w:iCs/>
          <w:sz w:val="24"/>
          <w:szCs w:val="24"/>
        </w:rPr>
        <w:t>Instituto Electoral Local</w:t>
      </w:r>
      <w:r w:rsidRPr="003A0F7C">
        <w:rPr>
          <w:rFonts w:eastAsia="Calibri"/>
          <w:bCs/>
          <w:sz w:val="24"/>
          <w:szCs w:val="24"/>
        </w:rPr>
        <w:t xml:space="preserve"> no debió negar el registro de planillas en base en inconsistencias que no se dieron a conocer al partido político, fue correcta y se encuentra debidamente fundada y motivada.</w:t>
      </w:r>
    </w:p>
    <w:p w14:paraId="007F40F3" w14:textId="426DCA4F" w:rsidR="00AB1940" w:rsidRPr="003A0F7C" w:rsidRDefault="00AB1940" w:rsidP="00AE58BD">
      <w:pPr>
        <w:spacing w:before="280" w:after="280" w:line="360" w:lineRule="auto"/>
        <w:ind w:right="51"/>
        <w:jc w:val="both"/>
        <w:rPr>
          <w:rFonts w:eastAsia="Calibri"/>
          <w:bCs/>
          <w:sz w:val="24"/>
          <w:szCs w:val="24"/>
        </w:rPr>
      </w:pPr>
      <w:r w:rsidRPr="003A0F7C">
        <w:rPr>
          <w:rFonts w:eastAsia="Calibri"/>
          <w:bCs/>
          <w:sz w:val="24"/>
          <w:szCs w:val="24"/>
        </w:rPr>
        <w:t xml:space="preserve">Esto es así, pues se comparten los razonamientos en el sentido de que el </w:t>
      </w:r>
      <w:r w:rsidRPr="003A0F7C">
        <w:rPr>
          <w:rFonts w:eastAsia="Calibri"/>
          <w:bCs/>
          <w:i/>
          <w:iCs/>
          <w:sz w:val="24"/>
          <w:szCs w:val="24"/>
        </w:rPr>
        <w:t>Instituto Electoral Local</w:t>
      </w:r>
      <w:r w:rsidRPr="003A0F7C">
        <w:rPr>
          <w:rFonts w:eastAsia="Calibri"/>
          <w:bCs/>
          <w:sz w:val="24"/>
          <w:szCs w:val="24"/>
        </w:rPr>
        <w:t xml:space="preserve"> no debió negar el registro de las planillas en atención a que no se exhibieron documentales que propiamente nunca se requirieron al partido respectivo.</w:t>
      </w:r>
    </w:p>
    <w:p w14:paraId="7E739EEE" w14:textId="54DB9450" w:rsidR="00AB1940" w:rsidRPr="003A0F7C" w:rsidRDefault="00AB1940" w:rsidP="00AE58BD">
      <w:pPr>
        <w:spacing w:before="280" w:after="280" w:line="360" w:lineRule="auto"/>
        <w:ind w:right="51"/>
        <w:jc w:val="both"/>
        <w:rPr>
          <w:rFonts w:eastAsia="Calibri"/>
          <w:bCs/>
          <w:sz w:val="24"/>
          <w:szCs w:val="24"/>
        </w:rPr>
      </w:pPr>
      <w:r w:rsidRPr="003A0F7C">
        <w:rPr>
          <w:rFonts w:eastAsia="Calibri"/>
          <w:bCs/>
          <w:sz w:val="24"/>
          <w:szCs w:val="24"/>
        </w:rPr>
        <w:t xml:space="preserve">En efecto, tal y como se ha hecho </w:t>
      </w:r>
      <w:r w:rsidR="00093CA7" w:rsidRPr="003A0F7C">
        <w:rPr>
          <w:rFonts w:eastAsia="Calibri"/>
          <w:bCs/>
          <w:sz w:val="24"/>
          <w:szCs w:val="24"/>
        </w:rPr>
        <w:t>alusión, previo</w:t>
      </w:r>
      <w:r w:rsidR="00DE0BF4" w:rsidRPr="003A0F7C">
        <w:rPr>
          <w:rFonts w:eastAsia="Calibri"/>
          <w:bCs/>
          <w:sz w:val="24"/>
          <w:szCs w:val="24"/>
        </w:rPr>
        <w:t xml:space="preserve"> a la emisión en definitiva si procede el registro de una solicitud de registro de candidaturas, el </w:t>
      </w:r>
      <w:r w:rsidR="00DE0BF4" w:rsidRPr="003A0F7C">
        <w:rPr>
          <w:rFonts w:eastAsia="Calibri"/>
          <w:bCs/>
          <w:i/>
          <w:iCs/>
          <w:sz w:val="24"/>
          <w:szCs w:val="24"/>
        </w:rPr>
        <w:t>Instituto Electoral Local</w:t>
      </w:r>
      <w:r w:rsidR="00DE0BF4" w:rsidRPr="003A0F7C">
        <w:rPr>
          <w:rFonts w:eastAsia="Calibri"/>
          <w:bCs/>
          <w:sz w:val="24"/>
          <w:szCs w:val="24"/>
        </w:rPr>
        <w:t xml:space="preserve"> </w:t>
      </w:r>
      <w:r w:rsidR="00DE0BF4" w:rsidRPr="003A0F7C">
        <w:rPr>
          <w:rFonts w:eastAsia="Calibri"/>
          <w:b/>
          <w:sz w:val="24"/>
          <w:szCs w:val="24"/>
        </w:rPr>
        <w:t>debe hacer del conocimiento de todas las irregularidades</w:t>
      </w:r>
      <w:r w:rsidR="00DE0BF4" w:rsidRPr="003A0F7C">
        <w:rPr>
          <w:rFonts w:eastAsia="Calibri"/>
          <w:bCs/>
          <w:sz w:val="24"/>
          <w:szCs w:val="24"/>
        </w:rPr>
        <w:t xml:space="preserve"> que detecte en la presentación de la solicitud y requerir al partido a fin de que las subsane.</w:t>
      </w:r>
    </w:p>
    <w:p w14:paraId="08CC0A1A" w14:textId="0757BA82" w:rsidR="003747B3" w:rsidRPr="003A0F7C" w:rsidRDefault="003747B3" w:rsidP="00AE58BD">
      <w:pPr>
        <w:spacing w:before="280" w:after="280" w:line="360" w:lineRule="auto"/>
        <w:ind w:right="51"/>
        <w:jc w:val="both"/>
        <w:rPr>
          <w:rFonts w:eastAsia="Calibri"/>
          <w:bCs/>
          <w:sz w:val="24"/>
          <w:szCs w:val="24"/>
        </w:rPr>
      </w:pPr>
      <w:r w:rsidRPr="003A0F7C">
        <w:rPr>
          <w:rFonts w:eastAsia="Calibri"/>
          <w:bCs/>
          <w:sz w:val="24"/>
          <w:szCs w:val="24"/>
        </w:rPr>
        <w:t xml:space="preserve">En el caso, tal y como correctamente lo precisó el </w:t>
      </w:r>
      <w:r w:rsidRPr="003A0F7C">
        <w:rPr>
          <w:rFonts w:eastAsia="Calibri"/>
          <w:bCs/>
          <w:i/>
          <w:iCs/>
          <w:sz w:val="24"/>
          <w:szCs w:val="24"/>
        </w:rPr>
        <w:t>Tribunal Local</w:t>
      </w:r>
      <w:r w:rsidRPr="003A0F7C">
        <w:rPr>
          <w:rFonts w:eastAsia="Calibri"/>
          <w:bCs/>
          <w:sz w:val="24"/>
          <w:szCs w:val="24"/>
        </w:rPr>
        <w:t xml:space="preserve"> si bien el </w:t>
      </w:r>
      <w:r w:rsidRPr="003A0F7C">
        <w:rPr>
          <w:rFonts w:eastAsia="Calibri"/>
          <w:bCs/>
          <w:i/>
          <w:iCs/>
          <w:sz w:val="24"/>
          <w:szCs w:val="24"/>
        </w:rPr>
        <w:t>Instituto Electoral Local</w:t>
      </w:r>
      <w:r w:rsidRPr="003A0F7C">
        <w:rPr>
          <w:rFonts w:eastAsia="Calibri"/>
          <w:bCs/>
          <w:sz w:val="24"/>
          <w:szCs w:val="24"/>
        </w:rPr>
        <w:t xml:space="preserve"> emitió requerimientos a MORENA relacionados con los municipios de Apaseo el Grande, Celaya, Cuerámaro, Dolores Hidalgo Cuna de la Independencia Nacional, Moroleón y Salamanca</w:t>
      </w:r>
      <w:r w:rsidRPr="003A0F7C">
        <w:rPr>
          <w:rStyle w:val="Refdenotaalpie"/>
          <w:rFonts w:eastAsia="Calibri"/>
          <w:bCs/>
          <w:sz w:val="24"/>
          <w:szCs w:val="24"/>
        </w:rPr>
        <w:footnoteReference w:id="8"/>
      </w:r>
      <w:r w:rsidRPr="003A0F7C">
        <w:rPr>
          <w:rFonts w:eastAsia="Calibri"/>
          <w:bCs/>
          <w:sz w:val="24"/>
          <w:szCs w:val="24"/>
        </w:rPr>
        <w:t>;</w:t>
      </w:r>
      <w:r w:rsidR="00222DD6" w:rsidRPr="003A0F7C">
        <w:rPr>
          <w:rFonts w:eastAsia="Calibri"/>
          <w:bCs/>
          <w:sz w:val="24"/>
          <w:szCs w:val="24"/>
        </w:rPr>
        <w:t xml:space="preserve"> los razonamientos por los cuales negó el registro respectivo</w:t>
      </w:r>
      <w:r w:rsidR="00FA6F81" w:rsidRPr="003A0F7C">
        <w:rPr>
          <w:rFonts w:eastAsia="Calibri"/>
          <w:bCs/>
          <w:sz w:val="24"/>
          <w:szCs w:val="24"/>
        </w:rPr>
        <w:t xml:space="preserve"> en el acuerdo CGIEEG/104/2021</w:t>
      </w:r>
      <w:r w:rsidR="00222DD6" w:rsidRPr="003A0F7C">
        <w:rPr>
          <w:rFonts w:eastAsia="Calibri"/>
          <w:bCs/>
          <w:sz w:val="24"/>
          <w:szCs w:val="24"/>
        </w:rPr>
        <w:t xml:space="preserve"> fue </w:t>
      </w:r>
      <w:r w:rsidR="00034FBA" w:rsidRPr="003A0F7C">
        <w:rPr>
          <w:rFonts w:eastAsia="Calibri"/>
          <w:bCs/>
          <w:sz w:val="24"/>
          <w:szCs w:val="24"/>
        </w:rPr>
        <w:t>co</w:t>
      </w:r>
      <w:r w:rsidR="00222DD6" w:rsidRPr="003A0F7C">
        <w:rPr>
          <w:rFonts w:eastAsia="Calibri"/>
          <w:bCs/>
          <w:sz w:val="24"/>
          <w:szCs w:val="24"/>
        </w:rPr>
        <w:t>n base a documentales que propiamente no fueron requeridas.</w:t>
      </w:r>
    </w:p>
    <w:p w14:paraId="623C08D1" w14:textId="059DD24B" w:rsidR="00FA6F81" w:rsidRPr="003A0F7C" w:rsidRDefault="00815818" w:rsidP="00AE58BD">
      <w:pPr>
        <w:spacing w:before="280" w:after="280" w:line="360" w:lineRule="auto"/>
        <w:ind w:right="51"/>
        <w:jc w:val="both"/>
        <w:rPr>
          <w:rFonts w:eastAsia="Calibri"/>
          <w:bCs/>
          <w:sz w:val="24"/>
          <w:szCs w:val="24"/>
        </w:rPr>
      </w:pPr>
      <w:r w:rsidRPr="003A0F7C">
        <w:rPr>
          <w:rFonts w:eastAsia="Calibri"/>
          <w:bCs/>
          <w:sz w:val="24"/>
          <w:szCs w:val="24"/>
        </w:rPr>
        <w:t xml:space="preserve">La determinación del </w:t>
      </w:r>
      <w:r w:rsidRPr="003A0F7C">
        <w:rPr>
          <w:rFonts w:eastAsia="Calibri"/>
          <w:bCs/>
          <w:i/>
          <w:iCs/>
          <w:sz w:val="24"/>
          <w:szCs w:val="24"/>
        </w:rPr>
        <w:t>Instituto Electoral Local</w:t>
      </w:r>
      <w:r w:rsidRPr="003A0F7C">
        <w:rPr>
          <w:rFonts w:eastAsia="Calibri"/>
          <w:bCs/>
          <w:sz w:val="24"/>
          <w:szCs w:val="24"/>
        </w:rPr>
        <w:t xml:space="preserve"> no se ajustó a derecho</w:t>
      </w:r>
      <w:r w:rsidR="0025493E" w:rsidRPr="003A0F7C">
        <w:rPr>
          <w:rFonts w:eastAsia="Calibri"/>
          <w:bCs/>
          <w:sz w:val="24"/>
          <w:szCs w:val="24"/>
        </w:rPr>
        <w:t xml:space="preserve"> como fue resuelto</w:t>
      </w:r>
      <w:r w:rsidRPr="003A0F7C">
        <w:rPr>
          <w:rFonts w:eastAsia="Calibri"/>
          <w:bCs/>
          <w:sz w:val="24"/>
          <w:szCs w:val="24"/>
        </w:rPr>
        <w:t xml:space="preserve">, pues la </w:t>
      </w:r>
      <w:r w:rsidRPr="003A0F7C">
        <w:rPr>
          <w:rFonts w:eastAsia="Calibri"/>
          <w:bCs/>
          <w:i/>
          <w:iCs/>
          <w:sz w:val="24"/>
          <w:szCs w:val="24"/>
        </w:rPr>
        <w:t>Ley Electoral Local</w:t>
      </w:r>
      <w:r w:rsidRPr="003A0F7C">
        <w:rPr>
          <w:rFonts w:eastAsia="Calibri"/>
          <w:bCs/>
          <w:sz w:val="24"/>
          <w:szCs w:val="24"/>
        </w:rPr>
        <w:t xml:space="preserve"> en su numeral 191, prevé una garantía de audiencia previ</w:t>
      </w:r>
      <w:r w:rsidR="0025493E" w:rsidRPr="003A0F7C">
        <w:rPr>
          <w:rFonts w:eastAsia="Calibri"/>
          <w:bCs/>
          <w:sz w:val="24"/>
          <w:szCs w:val="24"/>
        </w:rPr>
        <w:t>a</w:t>
      </w:r>
      <w:r w:rsidRPr="003A0F7C">
        <w:rPr>
          <w:rFonts w:eastAsia="Calibri"/>
          <w:bCs/>
          <w:sz w:val="24"/>
          <w:szCs w:val="24"/>
        </w:rPr>
        <w:t xml:space="preserve"> a que la parte respectiva sufra una consecuencia legal, por lo que si bien en el caso en concreto requirió documentación al partido y al resolver sobre la solicitud correspondiente negó el registro por documentales que no fueron requeridas, es claro que se soslayó la garantía de audiencia a la cual se hace alusión. </w:t>
      </w:r>
    </w:p>
    <w:p w14:paraId="5E019DA8" w14:textId="1CF7FE79" w:rsidR="003C6EDC" w:rsidRPr="003A0F7C" w:rsidRDefault="000579EF" w:rsidP="00AE58BD">
      <w:pPr>
        <w:spacing w:before="280" w:after="280" w:line="360" w:lineRule="auto"/>
        <w:ind w:right="51"/>
        <w:jc w:val="both"/>
        <w:rPr>
          <w:rFonts w:eastAsia="Calibri"/>
          <w:bCs/>
          <w:sz w:val="24"/>
          <w:szCs w:val="24"/>
        </w:rPr>
      </w:pPr>
      <w:r w:rsidRPr="003A0F7C">
        <w:rPr>
          <w:rFonts w:eastAsia="Calibri"/>
          <w:bCs/>
          <w:sz w:val="24"/>
          <w:szCs w:val="24"/>
        </w:rPr>
        <w:t xml:space="preserve">Es de destacarse, que el error en que incurrió el </w:t>
      </w:r>
      <w:r w:rsidRPr="003A0F7C">
        <w:rPr>
          <w:rFonts w:eastAsia="Calibri"/>
          <w:bCs/>
          <w:i/>
          <w:iCs/>
          <w:sz w:val="24"/>
          <w:szCs w:val="24"/>
        </w:rPr>
        <w:t>Instituto Electoral Local</w:t>
      </w:r>
      <w:r w:rsidR="0025493E" w:rsidRPr="003A0F7C">
        <w:rPr>
          <w:rFonts w:eastAsia="Calibri"/>
          <w:bCs/>
          <w:sz w:val="24"/>
          <w:szCs w:val="24"/>
        </w:rPr>
        <w:t xml:space="preserve"> </w:t>
      </w:r>
      <w:r w:rsidRPr="003A0F7C">
        <w:rPr>
          <w:rFonts w:eastAsia="Calibri"/>
          <w:bCs/>
          <w:sz w:val="24"/>
          <w:szCs w:val="24"/>
        </w:rPr>
        <w:t xml:space="preserve">no puede </w:t>
      </w:r>
      <w:r w:rsidR="0025493E" w:rsidRPr="003A0F7C">
        <w:rPr>
          <w:rFonts w:eastAsia="Calibri"/>
          <w:bCs/>
          <w:sz w:val="24"/>
          <w:szCs w:val="24"/>
        </w:rPr>
        <w:t>traer</w:t>
      </w:r>
      <w:r w:rsidRPr="003A0F7C">
        <w:rPr>
          <w:rFonts w:eastAsia="Calibri"/>
          <w:bCs/>
          <w:sz w:val="24"/>
          <w:szCs w:val="24"/>
        </w:rPr>
        <w:t xml:space="preserve"> un perjuicio al partido postulante, pues en su caso de advertir que no requirió diversa documentación (misma que no se encontraba contemplada </w:t>
      </w:r>
      <w:r w:rsidRPr="003A0F7C">
        <w:rPr>
          <w:rFonts w:eastAsia="Calibri"/>
          <w:bCs/>
          <w:sz w:val="24"/>
          <w:szCs w:val="24"/>
        </w:rPr>
        <w:lastRenderedPageBreak/>
        <w:t>en el primer requerimiento) debió emitir un segundo, a fin de proteger la garantía de audiencia del partido político postulante.</w:t>
      </w:r>
    </w:p>
    <w:p w14:paraId="70EA3C8C" w14:textId="121B5673" w:rsidR="0025493E" w:rsidRPr="003A0F7C" w:rsidRDefault="0025493E" w:rsidP="0025493E">
      <w:pPr>
        <w:pStyle w:val="Prrafodelista"/>
        <w:numPr>
          <w:ilvl w:val="0"/>
          <w:numId w:val="49"/>
        </w:numPr>
        <w:spacing w:before="280" w:after="280" w:line="360" w:lineRule="auto"/>
        <w:ind w:right="51"/>
        <w:jc w:val="both"/>
        <w:rPr>
          <w:rFonts w:eastAsia="Calibri"/>
          <w:bCs/>
          <w:i/>
          <w:iCs/>
          <w:sz w:val="24"/>
          <w:szCs w:val="24"/>
        </w:rPr>
      </w:pPr>
      <w:r w:rsidRPr="003A0F7C">
        <w:rPr>
          <w:rFonts w:eastAsia="Calibri"/>
          <w:bCs/>
          <w:i/>
          <w:iCs/>
          <w:sz w:val="24"/>
          <w:szCs w:val="24"/>
        </w:rPr>
        <w:t>La parte actora señala que es incongruente lo precisado por el Tribunal Local pues en un principio establece la presunción de dar por satisfechos de documentales que no fueron requeridas, y al concluir precisa que el Instituto Electoral Local debe emitir un nuevo acuerdo sobre la solicitud de MORENA, previo a que se les otorgue el derecho de subsanar las irregularidades que no fueron objeto de un requerimiento previo.</w:t>
      </w:r>
    </w:p>
    <w:p w14:paraId="5C48DDB3" w14:textId="339644E9" w:rsidR="0025493E" w:rsidRPr="003A0F7C" w:rsidRDefault="00A625FC" w:rsidP="00AE58BD">
      <w:pPr>
        <w:spacing w:before="280" w:after="280" w:line="360" w:lineRule="auto"/>
        <w:ind w:right="51"/>
        <w:jc w:val="both"/>
        <w:rPr>
          <w:rFonts w:eastAsia="Calibri"/>
          <w:bCs/>
          <w:sz w:val="24"/>
          <w:szCs w:val="24"/>
        </w:rPr>
      </w:pPr>
      <w:r w:rsidRPr="003A0F7C">
        <w:rPr>
          <w:rFonts w:eastAsia="Calibri"/>
          <w:b/>
          <w:sz w:val="24"/>
          <w:szCs w:val="24"/>
        </w:rPr>
        <w:t>No le asiste la razón</w:t>
      </w:r>
      <w:r w:rsidRPr="003A0F7C">
        <w:rPr>
          <w:rFonts w:eastAsia="Calibri"/>
          <w:bCs/>
          <w:sz w:val="24"/>
          <w:szCs w:val="24"/>
        </w:rPr>
        <w:t xml:space="preserve"> al </w:t>
      </w:r>
      <w:r w:rsidRPr="003A0F7C">
        <w:rPr>
          <w:rFonts w:eastAsia="Calibri"/>
          <w:bCs/>
          <w:i/>
          <w:iCs/>
          <w:sz w:val="24"/>
          <w:szCs w:val="24"/>
        </w:rPr>
        <w:t>PAN</w:t>
      </w:r>
      <w:r w:rsidRPr="003A0F7C">
        <w:rPr>
          <w:rFonts w:eastAsia="Calibri"/>
          <w:bCs/>
          <w:sz w:val="24"/>
          <w:szCs w:val="24"/>
        </w:rPr>
        <w:t xml:space="preserve">, pues el </w:t>
      </w:r>
      <w:r w:rsidRPr="003A0F7C">
        <w:rPr>
          <w:rFonts w:eastAsia="Calibri"/>
          <w:bCs/>
          <w:i/>
          <w:iCs/>
          <w:sz w:val="24"/>
          <w:szCs w:val="24"/>
        </w:rPr>
        <w:t>Tribunal Local</w:t>
      </w:r>
      <w:r w:rsidRPr="003A0F7C">
        <w:rPr>
          <w:rFonts w:eastAsia="Calibri"/>
          <w:bCs/>
          <w:sz w:val="24"/>
          <w:szCs w:val="24"/>
        </w:rPr>
        <w:t xml:space="preserve"> no es incongruente con las precisiones que realizó en el apartado 4.6. de la sentencia impugnada.</w:t>
      </w:r>
    </w:p>
    <w:p w14:paraId="0F78BEF0" w14:textId="3FDAC177" w:rsidR="00A625FC" w:rsidRPr="003A0F7C" w:rsidRDefault="00A625FC" w:rsidP="00A625FC">
      <w:pPr>
        <w:spacing w:before="280" w:after="280" w:line="360" w:lineRule="auto"/>
        <w:ind w:right="51"/>
        <w:jc w:val="both"/>
        <w:rPr>
          <w:rFonts w:eastAsia="Calibri"/>
          <w:bCs/>
          <w:sz w:val="24"/>
          <w:szCs w:val="24"/>
        </w:rPr>
      </w:pPr>
      <w:r w:rsidRPr="003A0F7C">
        <w:rPr>
          <w:rFonts w:eastAsia="Calibri"/>
          <w:bCs/>
          <w:sz w:val="24"/>
          <w:szCs w:val="24"/>
        </w:rPr>
        <w:t xml:space="preserve">El </w:t>
      </w:r>
      <w:r w:rsidRPr="003A0F7C">
        <w:rPr>
          <w:rFonts w:eastAsia="Calibri"/>
          <w:bCs/>
          <w:i/>
          <w:iCs/>
          <w:sz w:val="24"/>
          <w:szCs w:val="24"/>
        </w:rPr>
        <w:t>Tribunal Local</w:t>
      </w:r>
      <w:r w:rsidRPr="003A0F7C">
        <w:rPr>
          <w:rFonts w:eastAsia="Calibri"/>
          <w:bCs/>
          <w:sz w:val="24"/>
          <w:szCs w:val="24"/>
        </w:rPr>
        <w:t xml:space="preserve"> señaló que los requerimientos que en su caso emita la autoridad electoral deben incluir todas las inconsistencias que adviertan</w:t>
      </w:r>
      <w:r w:rsidR="00571AEE" w:rsidRPr="003A0F7C">
        <w:rPr>
          <w:rFonts w:eastAsia="Calibri"/>
          <w:bCs/>
          <w:sz w:val="24"/>
          <w:szCs w:val="24"/>
        </w:rPr>
        <w:t xml:space="preserve">, </w:t>
      </w:r>
      <w:r w:rsidRPr="003A0F7C">
        <w:rPr>
          <w:rFonts w:eastAsia="Calibri"/>
          <w:bCs/>
          <w:sz w:val="24"/>
          <w:szCs w:val="24"/>
        </w:rPr>
        <w:t>pues respecto de lo que no se requiera, se genera la presunción legal de que no hubo necesidad de hacerlo dado que se cumplió a cabalidad con el requisito exigido.</w:t>
      </w:r>
    </w:p>
    <w:p w14:paraId="4BCA36D6" w14:textId="77EF3116" w:rsidR="00A625FC" w:rsidRPr="003A0F7C" w:rsidRDefault="00A625FC" w:rsidP="00A625FC">
      <w:pPr>
        <w:spacing w:before="280" w:after="280" w:line="360" w:lineRule="auto"/>
        <w:ind w:right="51"/>
        <w:jc w:val="both"/>
        <w:rPr>
          <w:rFonts w:eastAsia="Calibri"/>
          <w:bCs/>
          <w:sz w:val="24"/>
          <w:szCs w:val="24"/>
        </w:rPr>
      </w:pPr>
      <w:r w:rsidRPr="003A0F7C">
        <w:rPr>
          <w:rFonts w:eastAsia="Calibri"/>
          <w:bCs/>
          <w:sz w:val="24"/>
          <w:szCs w:val="24"/>
        </w:rPr>
        <w:t xml:space="preserve">En su caso, como se ha precisado concluyó que la actuación del </w:t>
      </w:r>
      <w:r w:rsidRPr="003A0F7C">
        <w:rPr>
          <w:rFonts w:eastAsia="Calibri"/>
          <w:bCs/>
          <w:i/>
          <w:iCs/>
          <w:sz w:val="24"/>
          <w:szCs w:val="24"/>
        </w:rPr>
        <w:t>Instituto Electoral Local</w:t>
      </w:r>
      <w:r w:rsidRPr="003A0F7C">
        <w:rPr>
          <w:rFonts w:eastAsia="Calibri"/>
          <w:bCs/>
          <w:sz w:val="24"/>
          <w:szCs w:val="24"/>
        </w:rPr>
        <w:t xml:space="preserve">, no se encontraba ajustada a derecho pues negó el registro de diversas planillas en base a documentación que propiamente no requirió, ante esta situación </w:t>
      </w:r>
      <w:r w:rsidR="005048C8" w:rsidRPr="003A0F7C">
        <w:rPr>
          <w:rFonts w:eastAsia="Calibri"/>
          <w:bCs/>
          <w:sz w:val="24"/>
          <w:szCs w:val="24"/>
        </w:rPr>
        <w:t>ordenó que debía emitirse un nuevo acuerdo, pero previo a ello debe darse oportunidad de subsanar las irregularidades que evidenció en el acuerdo impugnado y que no fueron objeto de requerimiento.</w:t>
      </w:r>
    </w:p>
    <w:p w14:paraId="6B387CEF" w14:textId="54694350" w:rsidR="005048C8" w:rsidRPr="003A0F7C" w:rsidRDefault="005048C8" w:rsidP="00A625FC">
      <w:pPr>
        <w:spacing w:before="280" w:after="280" w:line="360" w:lineRule="auto"/>
        <w:ind w:right="51"/>
        <w:jc w:val="both"/>
        <w:rPr>
          <w:rFonts w:eastAsia="Calibri"/>
          <w:bCs/>
          <w:sz w:val="24"/>
          <w:szCs w:val="24"/>
        </w:rPr>
      </w:pPr>
      <w:r w:rsidRPr="003A0F7C">
        <w:rPr>
          <w:rFonts w:eastAsia="Calibri"/>
          <w:bCs/>
          <w:sz w:val="24"/>
          <w:szCs w:val="24"/>
        </w:rPr>
        <w:t xml:space="preserve">Lo erróneo de lo sustentado por el actor, radica en que pretende acreditar una incongruencia por parte del </w:t>
      </w:r>
      <w:r w:rsidRPr="003A0F7C">
        <w:rPr>
          <w:rFonts w:eastAsia="Calibri"/>
          <w:bCs/>
          <w:i/>
          <w:iCs/>
          <w:sz w:val="24"/>
          <w:szCs w:val="24"/>
        </w:rPr>
        <w:t>Tribunal Local</w:t>
      </w:r>
      <w:r w:rsidRPr="003A0F7C">
        <w:rPr>
          <w:rFonts w:eastAsia="Calibri"/>
          <w:bCs/>
          <w:sz w:val="24"/>
          <w:szCs w:val="24"/>
        </w:rPr>
        <w:t xml:space="preserve"> al aseverar que las documentales que no fueron requeridas obraban en autos.</w:t>
      </w:r>
    </w:p>
    <w:p w14:paraId="654829A1" w14:textId="6E6A98A4" w:rsidR="005048C8" w:rsidRPr="003A0F7C" w:rsidRDefault="005048C8" w:rsidP="00A625FC">
      <w:pPr>
        <w:spacing w:before="280" w:after="280" w:line="360" w:lineRule="auto"/>
        <w:ind w:right="51"/>
        <w:jc w:val="both"/>
        <w:rPr>
          <w:rFonts w:eastAsia="Calibri"/>
          <w:bCs/>
          <w:sz w:val="24"/>
          <w:szCs w:val="24"/>
        </w:rPr>
      </w:pPr>
      <w:r w:rsidRPr="003A0F7C">
        <w:rPr>
          <w:rFonts w:eastAsia="Calibri"/>
          <w:bCs/>
          <w:sz w:val="24"/>
          <w:szCs w:val="24"/>
        </w:rPr>
        <w:t xml:space="preserve">No obstante, el </w:t>
      </w:r>
      <w:r w:rsidRPr="003A0F7C">
        <w:rPr>
          <w:rFonts w:eastAsia="Calibri"/>
          <w:bCs/>
          <w:i/>
          <w:iCs/>
          <w:sz w:val="24"/>
          <w:szCs w:val="24"/>
        </w:rPr>
        <w:t>Tribunal Local</w:t>
      </w:r>
      <w:r w:rsidRPr="003A0F7C">
        <w:rPr>
          <w:rFonts w:eastAsia="Calibri"/>
          <w:bCs/>
          <w:sz w:val="24"/>
          <w:szCs w:val="24"/>
        </w:rPr>
        <w:t xml:space="preserve"> en el fallo no determinó tal situación, sino lo que precisó es que la autoridad electoral debe requerir se subsanen todas las inconsistencias que se percate, pues de no hacerlo así se entiende no hubo omisión de subsanar la irregularidad, por tanto, no podía negar el registro en base a algo en que propiamente no otorgó una garantía de audiencia.</w:t>
      </w:r>
    </w:p>
    <w:p w14:paraId="6A299146" w14:textId="38023951" w:rsidR="00DE0BF4" w:rsidRPr="003A0F7C" w:rsidRDefault="006A0C7C" w:rsidP="00AE58BD">
      <w:pPr>
        <w:spacing w:before="280" w:after="280" w:line="360" w:lineRule="auto"/>
        <w:ind w:right="51"/>
        <w:jc w:val="both"/>
        <w:rPr>
          <w:rFonts w:eastAsia="Calibri"/>
          <w:bCs/>
          <w:sz w:val="24"/>
          <w:szCs w:val="24"/>
        </w:rPr>
      </w:pPr>
      <w:r w:rsidRPr="003A0F7C">
        <w:rPr>
          <w:rFonts w:eastAsia="Calibri"/>
          <w:bCs/>
          <w:sz w:val="24"/>
          <w:szCs w:val="24"/>
        </w:rPr>
        <w:t xml:space="preserve">Por tanto, si en el caso no fueron requeridas se </w:t>
      </w:r>
      <w:proofErr w:type="gramStart"/>
      <w:r w:rsidR="0042135A" w:rsidRPr="003A0F7C">
        <w:rPr>
          <w:rFonts w:eastAsia="Calibri"/>
          <w:bCs/>
          <w:sz w:val="24"/>
          <w:szCs w:val="24"/>
        </w:rPr>
        <w:t>subsanar</w:t>
      </w:r>
      <w:r w:rsidR="005669F9" w:rsidRPr="003A0F7C">
        <w:rPr>
          <w:rFonts w:eastAsia="Calibri"/>
          <w:bCs/>
          <w:sz w:val="24"/>
          <w:szCs w:val="24"/>
        </w:rPr>
        <w:t>a</w:t>
      </w:r>
      <w:r w:rsidR="0042135A" w:rsidRPr="003A0F7C">
        <w:rPr>
          <w:rFonts w:eastAsia="Calibri"/>
          <w:bCs/>
          <w:sz w:val="24"/>
          <w:szCs w:val="24"/>
        </w:rPr>
        <w:t>n</w:t>
      </w:r>
      <w:proofErr w:type="gramEnd"/>
      <w:r w:rsidRPr="003A0F7C">
        <w:rPr>
          <w:rFonts w:eastAsia="Calibri"/>
          <w:bCs/>
          <w:sz w:val="24"/>
          <w:szCs w:val="24"/>
        </w:rPr>
        <w:t xml:space="preserve"> diversas irregularidades que no fueron dadas a conocer en un primer momento al </w:t>
      </w:r>
      <w:r w:rsidRPr="003A0F7C">
        <w:rPr>
          <w:rFonts w:eastAsia="Calibri"/>
          <w:bCs/>
          <w:sz w:val="24"/>
          <w:szCs w:val="24"/>
        </w:rPr>
        <w:lastRenderedPageBreak/>
        <w:t xml:space="preserve">partido político, era claro que lo procedente es que se le requieran, tal y como precisó en el fallo.  </w:t>
      </w:r>
    </w:p>
    <w:p w14:paraId="4338AB15" w14:textId="5CF7A020" w:rsidR="00472ED0" w:rsidRPr="003A0F7C" w:rsidRDefault="0042135A" w:rsidP="00472ED0">
      <w:pPr>
        <w:spacing w:before="280" w:after="280" w:line="360" w:lineRule="auto"/>
        <w:ind w:right="51"/>
        <w:jc w:val="both"/>
        <w:rPr>
          <w:rFonts w:eastAsia="Calibri"/>
          <w:b/>
          <w:sz w:val="24"/>
          <w:szCs w:val="24"/>
        </w:rPr>
      </w:pPr>
      <w:r w:rsidRPr="003A0F7C">
        <w:rPr>
          <w:rFonts w:eastAsia="Calibri"/>
          <w:b/>
          <w:sz w:val="24"/>
          <w:szCs w:val="24"/>
        </w:rPr>
        <w:t>4.3.4.</w:t>
      </w:r>
      <w:r w:rsidR="00A241EC" w:rsidRPr="003A0F7C">
        <w:rPr>
          <w:b/>
        </w:rPr>
        <w:t xml:space="preserve"> </w:t>
      </w:r>
      <w:r w:rsidR="00A241EC" w:rsidRPr="003A0F7C">
        <w:rPr>
          <w:rFonts w:eastAsia="Calibri"/>
          <w:b/>
          <w:sz w:val="24"/>
          <w:szCs w:val="24"/>
        </w:rPr>
        <w:t xml:space="preserve">Fue apropiada la determinación en cuanto a que no se respetó la garantía de audiencia de los candidatos, pues no se le hizo de su conocimiento de las inconsistencias detectadas por el </w:t>
      </w:r>
      <w:r w:rsidR="00A241EC" w:rsidRPr="003A0F7C">
        <w:rPr>
          <w:rFonts w:eastAsia="Calibri"/>
          <w:b/>
          <w:i/>
          <w:iCs/>
          <w:sz w:val="24"/>
          <w:szCs w:val="24"/>
        </w:rPr>
        <w:t>Instituto Electoral Local</w:t>
      </w:r>
    </w:p>
    <w:p w14:paraId="020738F6" w14:textId="15689BE6" w:rsidR="00472ED0" w:rsidRPr="003A0F7C" w:rsidRDefault="00A241EC" w:rsidP="00A241EC">
      <w:pPr>
        <w:pStyle w:val="Prrafodelista"/>
        <w:numPr>
          <w:ilvl w:val="0"/>
          <w:numId w:val="49"/>
        </w:numPr>
        <w:spacing w:before="280" w:after="280" w:line="360" w:lineRule="auto"/>
        <w:ind w:right="51"/>
        <w:jc w:val="both"/>
        <w:rPr>
          <w:rFonts w:eastAsia="Calibri"/>
          <w:bCs/>
          <w:i/>
          <w:iCs/>
          <w:sz w:val="24"/>
          <w:szCs w:val="24"/>
        </w:rPr>
      </w:pPr>
      <w:r w:rsidRPr="003A0F7C">
        <w:rPr>
          <w:rFonts w:eastAsia="Calibri"/>
          <w:bCs/>
          <w:i/>
          <w:iCs/>
          <w:sz w:val="24"/>
          <w:szCs w:val="24"/>
        </w:rPr>
        <w:t>La parte actora señala que lo resuelto en el apartado 4.7 del fallo, le causa agravio al considerarse que no se respetó la garantía de audiencia de los candidatos, pues la Ley Electoral Local no prevé que imponga a los partidos políticos o al Instituto Electoral Local la obligación de notificar los requerimientos que fueron formulados a los partidos a las personas que integran la planilla de candidaturas.</w:t>
      </w:r>
    </w:p>
    <w:p w14:paraId="09F38AC5" w14:textId="42139E63" w:rsidR="00472ED0" w:rsidRPr="003A0F7C" w:rsidRDefault="00351A18" w:rsidP="00472ED0">
      <w:pPr>
        <w:spacing w:before="280" w:after="280" w:line="360" w:lineRule="auto"/>
        <w:ind w:right="51"/>
        <w:jc w:val="both"/>
        <w:rPr>
          <w:rFonts w:eastAsia="Calibri"/>
          <w:bCs/>
          <w:sz w:val="24"/>
          <w:szCs w:val="24"/>
        </w:rPr>
      </w:pPr>
      <w:r w:rsidRPr="003A0F7C">
        <w:rPr>
          <w:rFonts w:eastAsia="Calibri"/>
          <w:b/>
          <w:sz w:val="24"/>
          <w:szCs w:val="24"/>
        </w:rPr>
        <w:t>No le asiste la razón</w:t>
      </w:r>
      <w:r w:rsidRPr="003A0F7C">
        <w:rPr>
          <w:rFonts w:eastAsia="Calibri"/>
          <w:bCs/>
          <w:sz w:val="24"/>
          <w:szCs w:val="24"/>
        </w:rPr>
        <w:t xml:space="preserve"> al </w:t>
      </w:r>
      <w:r w:rsidRPr="003A0F7C">
        <w:rPr>
          <w:rFonts w:eastAsia="Calibri"/>
          <w:bCs/>
          <w:i/>
          <w:iCs/>
          <w:sz w:val="24"/>
          <w:szCs w:val="24"/>
        </w:rPr>
        <w:t>PAN</w:t>
      </w:r>
      <w:r w:rsidRPr="003A0F7C">
        <w:rPr>
          <w:rFonts w:eastAsia="Calibri"/>
          <w:bCs/>
          <w:sz w:val="24"/>
          <w:szCs w:val="24"/>
        </w:rPr>
        <w:t>, en atención a las siguientes consideraciones.</w:t>
      </w:r>
    </w:p>
    <w:p w14:paraId="46172CC2" w14:textId="4CBC1EDF" w:rsidR="00351A18" w:rsidRPr="003A0F7C" w:rsidRDefault="00351A18" w:rsidP="00351A18">
      <w:pPr>
        <w:spacing w:before="100" w:beforeAutospacing="1" w:after="100" w:afterAutospacing="1" w:line="360" w:lineRule="auto"/>
        <w:jc w:val="both"/>
        <w:rPr>
          <w:sz w:val="24"/>
          <w:szCs w:val="24"/>
        </w:rPr>
      </w:pPr>
      <w:r w:rsidRPr="003A0F7C">
        <w:rPr>
          <w:sz w:val="24"/>
          <w:szCs w:val="24"/>
        </w:rPr>
        <w:t xml:space="preserve">El </w:t>
      </w:r>
      <w:r w:rsidRPr="003A0F7C">
        <w:rPr>
          <w:i/>
          <w:iCs/>
          <w:sz w:val="24"/>
          <w:szCs w:val="24"/>
        </w:rPr>
        <w:t>Tribunal Local</w:t>
      </w:r>
      <w:r w:rsidRPr="003A0F7C">
        <w:rPr>
          <w:sz w:val="24"/>
          <w:szCs w:val="24"/>
        </w:rPr>
        <w:t xml:space="preserve"> en el apartado 4.7., determinó que no se respetó la garantía de audiencia de quienes fueron materia de requerimiento por el </w:t>
      </w:r>
      <w:r w:rsidRPr="003A0F7C">
        <w:rPr>
          <w:i/>
          <w:iCs/>
          <w:sz w:val="24"/>
          <w:szCs w:val="24"/>
        </w:rPr>
        <w:t>Instituto Electoral Local</w:t>
      </w:r>
      <w:r w:rsidRPr="003A0F7C">
        <w:rPr>
          <w:sz w:val="24"/>
          <w:szCs w:val="24"/>
        </w:rPr>
        <w:t>, pues no se les notificó</w:t>
      </w:r>
      <w:r w:rsidRPr="003A0F7C">
        <w:t xml:space="preserve"> </w:t>
      </w:r>
      <w:r w:rsidRPr="003A0F7C">
        <w:rPr>
          <w:sz w:val="24"/>
          <w:szCs w:val="24"/>
        </w:rPr>
        <w:t>éste</w:t>
      </w:r>
      <w:r w:rsidR="008B63D5" w:rsidRPr="003A0F7C">
        <w:rPr>
          <w:sz w:val="24"/>
          <w:szCs w:val="24"/>
        </w:rPr>
        <w:t xml:space="preserve"> (ni el partido los hizo de su conocimiento)</w:t>
      </w:r>
      <w:r w:rsidRPr="003A0F7C">
        <w:rPr>
          <w:sz w:val="24"/>
          <w:szCs w:val="24"/>
        </w:rPr>
        <w:t xml:space="preserve"> y con ello se les impidió manifestarse al respecto, lo que configuraba una vulneración a su garantía de audiencia y su derecho político electoral al voto pasivo, contenidos en los artículos 14, párrafo segundo y 35, fracción II, de la Constitución Política de los Estados Unidos Mexicanos.</w:t>
      </w:r>
    </w:p>
    <w:p w14:paraId="23587ED8" w14:textId="77777777" w:rsidR="00A759FA" w:rsidRPr="003A0F7C" w:rsidRDefault="00351A18" w:rsidP="00A759FA">
      <w:pPr>
        <w:spacing w:before="280" w:after="280" w:line="360" w:lineRule="auto"/>
        <w:ind w:right="51"/>
        <w:jc w:val="both"/>
        <w:rPr>
          <w:rFonts w:eastAsia="Calibri" w:cs="Times New Roman"/>
          <w:sz w:val="24"/>
          <w:szCs w:val="22"/>
        </w:rPr>
      </w:pPr>
      <w:r w:rsidRPr="003A0F7C">
        <w:rPr>
          <w:rFonts w:eastAsia="Calibri"/>
          <w:bCs/>
          <w:sz w:val="24"/>
          <w:szCs w:val="24"/>
        </w:rPr>
        <w:t xml:space="preserve">Es acertado lo resuelto por el </w:t>
      </w:r>
      <w:r w:rsidRPr="003A0F7C">
        <w:rPr>
          <w:rFonts w:eastAsia="Calibri"/>
          <w:bCs/>
          <w:i/>
          <w:iCs/>
          <w:sz w:val="24"/>
          <w:szCs w:val="24"/>
        </w:rPr>
        <w:t>Tribunal Local</w:t>
      </w:r>
      <w:r w:rsidR="002A1FAB" w:rsidRPr="003A0F7C">
        <w:rPr>
          <w:rFonts w:eastAsia="Calibri"/>
          <w:bCs/>
          <w:sz w:val="24"/>
          <w:szCs w:val="24"/>
        </w:rPr>
        <w:t>, pues</w:t>
      </w:r>
      <w:r w:rsidR="009C127B" w:rsidRPr="003A0F7C">
        <w:rPr>
          <w:rFonts w:eastAsia="Calibri" w:cs="Times New Roman"/>
          <w:sz w:val="24"/>
          <w:szCs w:val="22"/>
        </w:rPr>
        <w:t xml:space="preserve"> los actos irregulares cometidos en perjuicio de un partido político o incluso los desplegados por los propios entes políticos, cuando se encuentren relacionados con el proceso de registro de candidaturas, puede tornarse en una conducta transgresora de los derechos humanos de las personas que pretendan alcanzar una postulación, pues dicha actuación tendrá como última consecuencia el impedimento a ejercer un derecho constitucional, en este caso el de ser votado</w:t>
      </w:r>
      <w:r w:rsidR="009C127B" w:rsidRPr="003A0F7C">
        <w:rPr>
          <w:rFonts w:eastAsia="Calibri" w:cs="Times New Roman"/>
          <w:sz w:val="24"/>
          <w:szCs w:val="22"/>
          <w:vertAlign w:val="superscript"/>
        </w:rPr>
        <w:footnoteReference w:id="9"/>
      </w:r>
      <w:r w:rsidR="009C127B" w:rsidRPr="003A0F7C">
        <w:rPr>
          <w:rFonts w:eastAsia="Calibri" w:cs="Times New Roman"/>
          <w:sz w:val="24"/>
          <w:szCs w:val="22"/>
        </w:rPr>
        <w:t>.</w:t>
      </w:r>
    </w:p>
    <w:p w14:paraId="3F0D8505" w14:textId="77777777" w:rsidR="00A759FA" w:rsidRPr="003A0F7C" w:rsidRDefault="00A759FA" w:rsidP="00A759FA">
      <w:pPr>
        <w:spacing w:before="280" w:after="280" w:line="360" w:lineRule="auto"/>
        <w:ind w:right="51"/>
        <w:jc w:val="both"/>
        <w:rPr>
          <w:rFonts w:eastAsia="Calibri" w:cs="Times New Roman"/>
          <w:sz w:val="24"/>
          <w:szCs w:val="22"/>
        </w:rPr>
      </w:pPr>
      <w:r w:rsidRPr="003A0F7C">
        <w:rPr>
          <w:rFonts w:eastAsia="Times New Roman"/>
          <w:sz w:val="24"/>
          <w:szCs w:val="24"/>
          <w:lang w:eastAsia="es-MX"/>
        </w:rPr>
        <w:lastRenderedPageBreak/>
        <w:t xml:space="preserve">Ahora bien, de conformidad con el artículo 14, párrafo segundo, de la </w:t>
      </w:r>
      <w:r w:rsidRPr="003A0F7C">
        <w:rPr>
          <w:rFonts w:eastAsia="Times New Roman"/>
          <w:iCs/>
          <w:sz w:val="24"/>
          <w:szCs w:val="24"/>
          <w:lang w:eastAsia="es-MX"/>
        </w:rPr>
        <w:t>Constitución Política de los Estados Unidos Mexicanos</w:t>
      </w:r>
      <w:r w:rsidRPr="003A0F7C">
        <w:rPr>
          <w:rFonts w:eastAsia="Times New Roman"/>
          <w:sz w:val="24"/>
          <w:szCs w:val="24"/>
          <w:lang w:eastAsia="es-MX"/>
        </w:rPr>
        <w:t>, el derecho de audiencia se traduce en la oportunidad que tienen los sujetos vinculados a un proceso jurisdiccional o a un procedimiento administrativo seguido en forma de juicio, de formular las consideraciones que consideren pertinentes, previo al dictado de la resolución o sentencia, sin que ese derecho se agote con la mera oportunidad para formular esos planteamientos, pues impone a la autoridad resolutora la obligación de analizarlos y tomarlos en consideración al momento de dictar resolución</w:t>
      </w:r>
      <w:r w:rsidRPr="003A0F7C">
        <w:rPr>
          <w:rFonts w:eastAsia="Times New Roman"/>
          <w:color w:val="555555"/>
          <w:sz w:val="24"/>
          <w:szCs w:val="24"/>
          <w:lang w:eastAsia="es-MX"/>
        </w:rPr>
        <w:t>.</w:t>
      </w:r>
    </w:p>
    <w:p w14:paraId="0369FE3B" w14:textId="77777777" w:rsidR="008B63D5" w:rsidRPr="003A0F7C" w:rsidRDefault="00A759FA" w:rsidP="008B63D5">
      <w:pPr>
        <w:spacing w:before="280" w:after="280" w:line="360" w:lineRule="auto"/>
        <w:ind w:right="51"/>
        <w:jc w:val="both"/>
        <w:rPr>
          <w:rFonts w:eastAsia="Calibri" w:cs="Times New Roman"/>
          <w:sz w:val="24"/>
          <w:szCs w:val="22"/>
        </w:rPr>
      </w:pPr>
      <w:r w:rsidRPr="003A0F7C">
        <w:rPr>
          <w:rFonts w:eastAsia="Times New Roman"/>
          <w:sz w:val="24"/>
          <w:szCs w:val="24"/>
          <w:lang w:eastAsia="es-MX"/>
        </w:rPr>
        <w:t>A consideración de esta de esta Sala Regional</w:t>
      </w:r>
      <w:r w:rsidRPr="003A0F7C">
        <w:rPr>
          <w:rFonts w:eastAsia="Times New Roman"/>
          <w:sz w:val="24"/>
          <w:szCs w:val="24"/>
          <w:vertAlign w:val="superscript"/>
          <w:lang w:eastAsia="es-MX"/>
        </w:rPr>
        <w:footnoteReference w:id="10"/>
      </w:r>
      <w:r w:rsidRPr="003A0F7C">
        <w:rPr>
          <w:rFonts w:eastAsia="Times New Roman"/>
          <w:sz w:val="24"/>
          <w:szCs w:val="24"/>
          <w:lang w:eastAsia="es-MX"/>
        </w:rPr>
        <w:t>, el</w:t>
      </w:r>
      <w:bookmarkStart w:id="25" w:name="_Hlk514871268"/>
      <w:r w:rsidRPr="003A0F7C">
        <w:rPr>
          <w:rFonts w:eastAsia="Times New Roman"/>
          <w:sz w:val="24"/>
          <w:szCs w:val="24"/>
          <w:lang w:eastAsia="es-MX"/>
        </w:rPr>
        <w:t xml:space="preserve"> artículo 191, párrafo segundo</w:t>
      </w:r>
      <w:bookmarkEnd w:id="25"/>
      <w:r w:rsidRPr="003A0F7C">
        <w:rPr>
          <w:rFonts w:eastAsia="Times New Roman"/>
          <w:sz w:val="24"/>
          <w:szCs w:val="24"/>
          <w:lang w:eastAsia="es-MX"/>
        </w:rPr>
        <w:t xml:space="preserve">, de la </w:t>
      </w:r>
      <w:r w:rsidRPr="003A0F7C">
        <w:rPr>
          <w:rFonts w:eastAsia="Times New Roman"/>
          <w:i/>
          <w:iCs/>
          <w:sz w:val="24"/>
          <w:szCs w:val="24"/>
          <w:lang w:eastAsia="es-MX"/>
        </w:rPr>
        <w:t xml:space="preserve">Ley Electoral Local </w:t>
      </w:r>
      <w:r w:rsidRPr="003A0F7C">
        <w:rPr>
          <w:rFonts w:eastAsia="Times New Roman"/>
          <w:sz w:val="24"/>
          <w:szCs w:val="24"/>
          <w:lang w:eastAsia="es-MX"/>
        </w:rPr>
        <w:t xml:space="preserve">prevé los mecanismos necesarios para respetar el derecho de audiencia de los partidos políticos, en el proceso de solicitudes de registro de candidaturas que presenten ante el </w:t>
      </w:r>
      <w:r w:rsidR="000B7F4B" w:rsidRPr="003A0F7C">
        <w:rPr>
          <w:rFonts w:eastAsia="Times New Roman"/>
          <w:i/>
          <w:sz w:val="24"/>
          <w:szCs w:val="24"/>
          <w:lang w:eastAsia="es-MX"/>
        </w:rPr>
        <w:t>Instituto Electoral Local</w:t>
      </w:r>
      <w:r w:rsidRPr="003A0F7C">
        <w:rPr>
          <w:rFonts w:eastAsia="Times New Roman"/>
          <w:sz w:val="24"/>
          <w:szCs w:val="24"/>
          <w:lang w:eastAsia="es-MX"/>
        </w:rPr>
        <w:t>.</w:t>
      </w:r>
    </w:p>
    <w:p w14:paraId="2233CCAF" w14:textId="156C238A" w:rsidR="008B63D5" w:rsidRPr="003A0F7C" w:rsidRDefault="008B63D5" w:rsidP="008B63D5">
      <w:pPr>
        <w:spacing w:before="280" w:after="280" w:line="360" w:lineRule="auto"/>
        <w:ind w:right="51"/>
        <w:jc w:val="both"/>
        <w:rPr>
          <w:rFonts w:eastAsia="Calibri" w:cs="Times New Roman"/>
          <w:sz w:val="24"/>
          <w:szCs w:val="22"/>
        </w:rPr>
      </w:pPr>
      <w:r w:rsidRPr="003A0F7C">
        <w:rPr>
          <w:rFonts w:eastAsia="Times New Roman"/>
          <w:sz w:val="24"/>
          <w:szCs w:val="24"/>
          <w:lang w:eastAsia="es-MX"/>
        </w:rPr>
        <w:t xml:space="preserve">Situación que, en concepto de este órgano colegiado, no debe estimarse limitativo a los partidos políticos, </w:t>
      </w:r>
      <w:r w:rsidRPr="003A0F7C">
        <w:rPr>
          <w:rFonts w:eastAsia="Times New Roman"/>
          <w:b/>
          <w:bCs/>
          <w:sz w:val="24"/>
          <w:szCs w:val="24"/>
          <w:lang w:eastAsia="es-MX"/>
        </w:rPr>
        <w:t>sino que resulta aplicable a las candidaturas</w:t>
      </w:r>
      <w:r w:rsidRPr="003A0F7C">
        <w:rPr>
          <w:rFonts w:eastAsia="Times New Roman"/>
          <w:sz w:val="24"/>
          <w:szCs w:val="24"/>
          <w:vertAlign w:val="superscript"/>
          <w:lang w:eastAsia="es-MX"/>
        </w:rPr>
        <w:footnoteReference w:id="11"/>
      </w:r>
      <w:r w:rsidRPr="003A0F7C">
        <w:rPr>
          <w:rFonts w:eastAsia="Times New Roman"/>
          <w:sz w:val="24"/>
          <w:szCs w:val="24"/>
          <w:lang w:eastAsia="es-MX"/>
        </w:rPr>
        <w:t>.</w:t>
      </w:r>
    </w:p>
    <w:p w14:paraId="2DC1A0DA" w14:textId="77777777" w:rsidR="008B63D5" w:rsidRPr="003A0F7C" w:rsidRDefault="008B63D5" w:rsidP="008B63D5">
      <w:pPr>
        <w:spacing w:before="280" w:after="280" w:line="360" w:lineRule="auto"/>
        <w:ind w:right="51"/>
        <w:jc w:val="both"/>
        <w:rPr>
          <w:rFonts w:eastAsia="Calibri"/>
          <w:bCs/>
          <w:sz w:val="24"/>
          <w:szCs w:val="24"/>
        </w:rPr>
      </w:pPr>
      <w:r w:rsidRPr="003A0F7C">
        <w:rPr>
          <w:rFonts w:eastAsia="Calibri"/>
          <w:bCs/>
          <w:sz w:val="24"/>
          <w:szCs w:val="24"/>
        </w:rPr>
        <w:t xml:space="preserve">Sobre el tema, se ha sostenido que el derecho de audiencia de los partidos políticos y de las candidaturas, se garantiza con la notificación de los requerimientos para que subsanen las irregularidades o inconsistencias advertidos por la autoridad electoral al momento de presentar las solicitudes de registro. </w:t>
      </w:r>
    </w:p>
    <w:p w14:paraId="007F173F" w14:textId="77777777" w:rsidR="008B63D5" w:rsidRPr="003A0F7C" w:rsidRDefault="008B63D5" w:rsidP="008B63D5">
      <w:pPr>
        <w:spacing w:before="280" w:after="280" w:line="360" w:lineRule="auto"/>
        <w:ind w:right="51"/>
        <w:jc w:val="both"/>
        <w:rPr>
          <w:rFonts w:eastAsia="Calibri"/>
          <w:bCs/>
          <w:sz w:val="24"/>
          <w:szCs w:val="24"/>
        </w:rPr>
      </w:pPr>
      <w:r w:rsidRPr="003A0F7C">
        <w:rPr>
          <w:rFonts w:eastAsia="Calibri"/>
          <w:bCs/>
          <w:sz w:val="24"/>
          <w:szCs w:val="24"/>
        </w:rPr>
        <w:t xml:space="preserve">Con ello se brinda la oportunidad de aportar la documentación comprobatoria o manifestar lo que a su derecho convenga; de manera que si durante la verificación realizada a la solicitud de registro se identifica que se omitió el </w:t>
      </w:r>
      <w:r w:rsidRPr="003A0F7C">
        <w:rPr>
          <w:rFonts w:eastAsia="Calibri"/>
          <w:bCs/>
          <w:sz w:val="24"/>
          <w:szCs w:val="24"/>
        </w:rPr>
        <w:lastRenderedPageBreak/>
        <w:t>cumplimiento de uno o varios requisitos o que alguna de las personas que integran las candidaturas no es elegible, la autoridad administrativa electoral tiene el deber de hacer del conocimiento inmediato al partido político y, a la candidatura respectiva, en su caso, esa circunstancia, para que en un breve plazo, subsane los requisitos omitidos, debiendo presentar la documentación solicitada o las aclaraciones que estimen pertinentes y, en el último de los casos o ante una inconsistencia irreparable, realizar la o las sustituciones que procedan.</w:t>
      </w:r>
    </w:p>
    <w:p w14:paraId="3CD370A8" w14:textId="0A856FBC" w:rsidR="008B63D5" w:rsidRPr="003A0F7C" w:rsidRDefault="008B63D5" w:rsidP="008B63D5">
      <w:pPr>
        <w:spacing w:before="280" w:after="280" w:line="360" w:lineRule="auto"/>
        <w:ind w:right="51"/>
        <w:jc w:val="both"/>
        <w:rPr>
          <w:rFonts w:eastAsia="Calibri"/>
          <w:bCs/>
          <w:sz w:val="24"/>
          <w:szCs w:val="24"/>
        </w:rPr>
      </w:pPr>
      <w:r w:rsidRPr="003A0F7C">
        <w:rPr>
          <w:rFonts w:eastAsia="Times New Roman"/>
          <w:sz w:val="24"/>
          <w:szCs w:val="24"/>
          <w:lang w:eastAsia="es-MX"/>
        </w:rPr>
        <w:t xml:space="preserve">Como se advierte, la </w:t>
      </w:r>
      <w:r w:rsidRPr="003A0F7C">
        <w:rPr>
          <w:rFonts w:eastAsia="Times New Roman"/>
          <w:i/>
          <w:iCs/>
          <w:sz w:val="24"/>
          <w:szCs w:val="24"/>
          <w:lang w:eastAsia="es-MX"/>
        </w:rPr>
        <w:t xml:space="preserve">Ley Electoral Local </w:t>
      </w:r>
      <w:r w:rsidRPr="003A0F7C">
        <w:rPr>
          <w:rFonts w:eastAsia="Times New Roman"/>
          <w:sz w:val="24"/>
          <w:szCs w:val="24"/>
          <w:lang w:eastAsia="es-MX"/>
        </w:rPr>
        <w:t xml:space="preserve">establece el derecho de los partidos políticos, </w:t>
      </w:r>
      <w:r w:rsidRPr="003A0F7C">
        <w:rPr>
          <w:rFonts w:eastAsia="Times New Roman"/>
          <w:b/>
          <w:bCs/>
          <w:sz w:val="24"/>
          <w:szCs w:val="24"/>
          <w:lang w:eastAsia="es-MX"/>
        </w:rPr>
        <w:t>el cual resulta extensivo para las candidaturas</w:t>
      </w:r>
      <w:r w:rsidRPr="003A0F7C">
        <w:rPr>
          <w:rFonts w:eastAsia="Times New Roman"/>
          <w:sz w:val="24"/>
          <w:szCs w:val="24"/>
          <w:lang w:eastAsia="es-MX"/>
        </w:rPr>
        <w:t>, para que, durante el proceso de registro ante la autoridad comicial, se les den a conocer las inconsistencias u omisiones que se identifiquen, con la finalidad de que puedan ser subsanadas y aclaradas, a fin de estar en posibilidad de participar en la contienda.</w:t>
      </w:r>
    </w:p>
    <w:p w14:paraId="1695AD6F" w14:textId="16DB4475" w:rsidR="008B63D5" w:rsidRPr="003A0F7C" w:rsidRDefault="008B63D5" w:rsidP="008B63D5">
      <w:pPr>
        <w:shd w:val="clear" w:color="auto" w:fill="FFFFFF"/>
        <w:spacing w:before="100" w:beforeAutospacing="1" w:after="100" w:afterAutospacing="1" w:line="360" w:lineRule="auto"/>
        <w:jc w:val="both"/>
        <w:rPr>
          <w:rFonts w:eastAsia="Times New Roman"/>
          <w:sz w:val="24"/>
          <w:szCs w:val="24"/>
          <w:lang w:eastAsia="es-MX"/>
        </w:rPr>
      </w:pPr>
      <w:r w:rsidRPr="003A0F7C">
        <w:rPr>
          <w:rFonts w:eastAsia="Times New Roman"/>
          <w:sz w:val="24"/>
          <w:szCs w:val="24"/>
          <w:lang w:eastAsia="es-MX"/>
        </w:rPr>
        <w:t>En este orden de ideas, las autoridades electorales están obligadas a velar por el respeto del derecho de audiencia de los interesados para aportar la documentación comprobatoria adecuada o manifestar lo que a su derecho convenga en respuesta a una irregularidad detectada en la solicitud de registro.</w:t>
      </w:r>
    </w:p>
    <w:p w14:paraId="6CAEAC2D" w14:textId="2BFFCADB" w:rsidR="00FF1C5C" w:rsidRPr="003A0F7C" w:rsidRDefault="008B63D5" w:rsidP="00173081">
      <w:pPr>
        <w:spacing w:before="280" w:after="280" w:line="360" w:lineRule="auto"/>
        <w:ind w:right="51"/>
        <w:jc w:val="both"/>
        <w:rPr>
          <w:rFonts w:eastAsia="Calibri"/>
          <w:bCs/>
          <w:sz w:val="24"/>
          <w:szCs w:val="24"/>
        </w:rPr>
      </w:pPr>
      <w:r w:rsidRPr="003A0F7C">
        <w:rPr>
          <w:rFonts w:eastAsia="Calibri"/>
          <w:bCs/>
          <w:sz w:val="24"/>
          <w:szCs w:val="24"/>
        </w:rPr>
        <w:t xml:space="preserve">En el caso en concreto, no se encuentra acreditado como lo precisó el </w:t>
      </w:r>
      <w:r w:rsidRPr="003A0F7C">
        <w:rPr>
          <w:rFonts w:eastAsia="Calibri"/>
          <w:bCs/>
          <w:i/>
          <w:iCs/>
          <w:sz w:val="24"/>
          <w:szCs w:val="24"/>
        </w:rPr>
        <w:t>Tribunal Local</w:t>
      </w:r>
      <w:r w:rsidRPr="003A0F7C">
        <w:rPr>
          <w:rFonts w:eastAsia="Calibri"/>
          <w:bCs/>
          <w:sz w:val="24"/>
          <w:szCs w:val="24"/>
        </w:rPr>
        <w:t xml:space="preserve"> que se hiciera del conocimiento de los candidatos de las irregularidades que en su caso detectó la autoridad electoral, ni tampoco que el partido político postulante hubiera hecho del conocimiento de sus candidatos del requerimiento que se había efectuado, por tanto, es claro que se vulneró su garantía de audiencia prevista en la Constitución Política de los Estados Unidos Mexicanos, así como en la normatividad electoral local</w:t>
      </w:r>
      <w:r w:rsidR="00285BD3" w:rsidRPr="003A0F7C">
        <w:rPr>
          <w:rFonts w:eastAsia="Calibri"/>
          <w:bCs/>
          <w:sz w:val="24"/>
          <w:szCs w:val="24"/>
        </w:rPr>
        <w:t>.</w:t>
      </w:r>
    </w:p>
    <w:p w14:paraId="0F160768" w14:textId="6E2E0BF9" w:rsidR="00D86BAA" w:rsidRPr="003A0F7C" w:rsidRDefault="00D86BAA" w:rsidP="00173081">
      <w:pPr>
        <w:spacing w:before="280" w:after="280" w:line="360" w:lineRule="auto"/>
        <w:ind w:right="51"/>
        <w:jc w:val="both"/>
        <w:rPr>
          <w:rFonts w:eastAsia="Calibri"/>
          <w:bCs/>
          <w:sz w:val="24"/>
          <w:szCs w:val="24"/>
        </w:rPr>
      </w:pPr>
      <w:r w:rsidRPr="003A0F7C">
        <w:rPr>
          <w:rFonts w:eastAsia="Calibri"/>
          <w:bCs/>
          <w:sz w:val="24"/>
          <w:szCs w:val="24"/>
        </w:rPr>
        <w:t xml:space="preserve">Cabe señalar que no se pierde de vista que el actor señala que el criterio que utilizó el </w:t>
      </w:r>
      <w:r w:rsidRPr="003A0F7C">
        <w:rPr>
          <w:rFonts w:eastAsia="Calibri"/>
          <w:bCs/>
          <w:i/>
          <w:iCs/>
          <w:sz w:val="24"/>
          <w:szCs w:val="24"/>
        </w:rPr>
        <w:t>Tribunal Local</w:t>
      </w:r>
      <w:r w:rsidRPr="003A0F7C">
        <w:rPr>
          <w:rFonts w:eastAsia="Calibri"/>
          <w:bCs/>
          <w:sz w:val="24"/>
          <w:szCs w:val="24"/>
        </w:rPr>
        <w:t xml:space="preserve"> para basar su determinación no es aplicable al caso en concreto.</w:t>
      </w:r>
    </w:p>
    <w:p w14:paraId="778E49A9" w14:textId="4DD4DAB4" w:rsidR="00D86BAA" w:rsidRPr="003A0F7C" w:rsidRDefault="00D86BAA" w:rsidP="00173081">
      <w:pPr>
        <w:spacing w:before="280" w:after="280" w:line="360" w:lineRule="auto"/>
        <w:ind w:right="51"/>
        <w:jc w:val="both"/>
        <w:rPr>
          <w:rFonts w:eastAsia="Calibri"/>
          <w:bCs/>
          <w:sz w:val="24"/>
          <w:szCs w:val="24"/>
        </w:rPr>
      </w:pPr>
      <w:r w:rsidRPr="003A0F7C">
        <w:rPr>
          <w:rFonts w:eastAsia="Calibri"/>
          <w:bCs/>
          <w:sz w:val="24"/>
          <w:szCs w:val="24"/>
        </w:rPr>
        <w:t xml:space="preserve">No obstante, con independencia de la idoneidad del </w:t>
      </w:r>
      <w:r w:rsidR="004D4E1B" w:rsidRPr="003A0F7C">
        <w:rPr>
          <w:rFonts w:eastAsia="Calibri"/>
          <w:bCs/>
          <w:sz w:val="24"/>
          <w:szCs w:val="24"/>
        </w:rPr>
        <w:t>criterio si</w:t>
      </w:r>
      <w:r w:rsidRPr="003A0F7C">
        <w:rPr>
          <w:rFonts w:eastAsia="Calibri"/>
          <w:bCs/>
          <w:sz w:val="24"/>
          <w:szCs w:val="24"/>
        </w:rPr>
        <w:t xml:space="preserve"> resultaba aplicable, se estima correcta la determinación del </w:t>
      </w:r>
      <w:r w:rsidRPr="003A0F7C">
        <w:rPr>
          <w:rFonts w:eastAsia="Calibri"/>
          <w:bCs/>
          <w:i/>
          <w:iCs/>
          <w:sz w:val="24"/>
          <w:szCs w:val="24"/>
        </w:rPr>
        <w:t>Tribunal Local</w:t>
      </w:r>
      <w:r w:rsidRPr="003A0F7C">
        <w:rPr>
          <w:rFonts w:eastAsia="Calibri"/>
          <w:bCs/>
          <w:sz w:val="24"/>
          <w:szCs w:val="24"/>
        </w:rPr>
        <w:t xml:space="preserve">, pues se comparte que </w:t>
      </w:r>
      <w:r w:rsidRPr="003A0F7C">
        <w:rPr>
          <w:rFonts w:eastAsia="Calibri"/>
          <w:b/>
          <w:sz w:val="24"/>
          <w:szCs w:val="24"/>
        </w:rPr>
        <w:t>se violó la garantía de audiencia de los candidatos</w:t>
      </w:r>
      <w:r w:rsidRPr="003A0F7C">
        <w:rPr>
          <w:rFonts w:eastAsia="Calibri"/>
          <w:bCs/>
          <w:sz w:val="24"/>
          <w:szCs w:val="24"/>
        </w:rPr>
        <w:t>, por lo que previo a que se les negara su derecho a ser votados, debió otorgársele oportunidad de subsanar las irregularidades que se detectaron y poder subsanarlas a fin de no transgredir el referido derecho.</w:t>
      </w:r>
    </w:p>
    <w:p w14:paraId="545548F5" w14:textId="4D7A7066" w:rsidR="008B63D5" w:rsidRPr="003A0F7C" w:rsidRDefault="00F77C15" w:rsidP="00173081">
      <w:pPr>
        <w:spacing w:before="280" w:after="280" w:line="360" w:lineRule="auto"/>
        <w:ind w:right="51"/>
        <w:jc w:val="both"/>
        <w:rPr>
          <w:rFonts w:eastAsia="Calibri"/>
          <w:b/>
          <w:sz w:val="24"/>
          <w:szCs w:val="24"/>
        </w:rPr>
      </w:pPr>
      <w:r w:rsidRPr="003A0F7C">
        <w:rPr>
          <w:rFonts w:eastAsia="Calibri"/>
          <w:b/>
          <w:sz w:val="24"/>
          <w:szCs w:val="24"/>
        </w:rPr>
        <w:lastRenderedPageBreak/>
        <w:t>4.3.5.</w:t>
      </w:r>
      <w:r w:rsidR="00ED4E89" w:rsidRPr="003A0F7C">
        <w:t xml:space="preserve"> </w:t>
      </w:r>
      <w:r w:rsidR="00ED4E89" w:rsidRPr="003A0F7C">
        <w:rPr>
          <w:rFonts w:eastAsia="Calibri"/>
          <w:b/>
          <w:sz w:val="24"/>
          <w:szCs w:val="24"/>
        </w:rPr>
        <w:t>La determinación en cuanto a que incorrectamente se negó el registro de la planilla al Ayuntamiento de Apaseo el Grande, se encuentra ajustada a derecho</w:t>
      </w:r>
    </w:p>
    <w:p w14:paraId="6D36DC7B" w14:textId="3C97680C" w:rsidR="00ED4E89" w:rsidRPr="003A0F7C" w:rsidRDefault="009D0468" w:rsidP="009D0468">
      <w:pPr>
        <w:pStyle w:val="Prrafodelista"/>
        <w:numPr>
          <w:ilvl w:val="0"/>
          <w:numId w:val="49"/>
        </w:numPr>
        <w:spacing w:before="280" w:after="280" w:line="360" w:lineRule="auto"/>
        <w:ind w:right="51"/>
        <w:jc w:val="both"/>
        <w:rPr>
          <w:rFonts w:eastAsia="Calibri"/>
          <w:bCs/>
          <w:i/>
          <w:iCs/>
          <w:sz w:val="24"/>
          <w:szCs w:val="24"/>
        </w:rPr>
      </w:pPr>
      <w:r w:rsidRPr="003A0F7C">
        <w:rPr>
          <w:rFonts w:eastAsia="Calibri"/>
          <w:bCs/>
          <w:i/>
          <w:iCs/>
          <w:sz w:val="24"/>
          <w:szCs w:val="24"/>
        </w:rPr>
        <w:t xml:space="preserve">Señala </w:t>
      </w:r>
      <w:r w:rsidR="004D4E1B" w:rsidRPr="003A0F7C">
        <w:rPr>
          <w:rFonts w:eastAsia="Calibri"/>
          <w:bCs/>
          <w:i/>
          <w:iCs/>
          <w:sz w:val="24"/>
          <w:szCs w:val="24"/>
        </w:rPr>
        <w:t>e</w:t>
      </w:r>
      <w:r w:rsidRPr="003A0F7C">
        <w:rPr>
          <w:rFonts w:eastAsia="Calibri"/>
          <w:bCs/>
          <w:i/>
          <w:iCs/>
          <w:sz w:val="24"/>
          <w:szCs w:val="24"/>
        </w:rPr>
        <w:t>l actor que lo resuelto en el apartado 4.8.1. fue incorrecto, pues la razón por la cual el Instituto Electoral Local negó el registro de la planilla al Ayuntamiento de Apaseo el Grande fue en razón a que no se exhibió la solicitud de registro de candidaturas y no una “solicitud de registro de la candidatura a la presidencia municipal”, por lo que la autoridad electoral únicamente cometió un error en la redacción del acuerdo.</w:t>
      </w:r>
    </w:p>
    <w:p w14:paraId="67B07FCD" w14:textId="42D498EE" w:rsidR="009D0468" w:rsidRPr="003A0F7C" w:rsidRDefault="009D0468" w:rsidP="00173081">
      <w:pPr>
        <w:spacing w:before="280" w:after="280" w:line="360" w:lineRule="auto"/>
        <w:ind w:right="51"/>
        <w:jc w:val="both"/>
        <w:rPr>
          <w:rFonts w:eastAsia="Calibri"/>
          <w:bCs/>
          <w:sz w:val="24"/>
          <w:szCs w:val="24"/>
        </w:rPr>
      </w:pPr>
      <w:r w:rsidRPr="003A0F7C">
        <w:rPr>
          <w:rFonts w:eastAsia="Calibri"/>
          <w:b/>
          <w:sz w:val="24"/>
          <w:szCs w:val="24"/>
        </w:rPr>
        <w:t>No le asiste la razón</w:t>
      </w:r>
      <w:r w:rsidRPr="003A0F7C">
        <w:rPr>
          <w:rFonts w:eastAsia="Calibri"/>
          <w:bCs/>
          <w:sz w:val="24"/>
          <w:szCs w:val="24"/>
        </w:rPr>
        <w:t xml:space="preserve"> al partido actor, en base a lo siguiente.</w:t>
      </w:r>
    </w:p>
    <w:p w14:paraId="70FBC357" w14:textId="2C9EB991" w:rsidR="009D0468" w:rsidRPr="003A0F7C" w:rsidRDefault="00583778" w:rsidP="00173081">
      <w:pPr>
        <w:spacing w:before="280" w:after="280" w:line="360" w:lineRule="auto"/>
        <w:ind w:right="51"/>
        <w:jc w:val="both"/>
        <w:rPr>
          <w:rFonts w:eastAsia="Calibri"/>
          <w:bCs/>
          <w:sz w:val="24"/>
          <w:szCs w:val="24"/>
        </w:rPr>
      </w:pPr>
      <w:r w:rsidRPr="003A0F7C">
        <w:rPr>
          <w:rFonts w:eastAsia="Calibri"/>
          <w:bCs/>
          <w:sz w:val="24"/>
          <w:szCs w:val="24"/>
        </w:rPr>
        <w:t xml:space="preserve">En la sentencia impugnada, en el apartado 4.8.1. el </w:t>
      </w:r>
      <w:r w:rsidRPr="003A0F7C">
        <w:rPr>
          <w:rFonts w:eastAsia="Calibri"/>
          <w:bCs/>
          <w:i/>
          <w:iCs/>
          <w:sz w:val="24"/>
          <w:szCs w:val="24"/>
        </w:rPr>
        <w:t>Tribunal Local</w:t>
      </w:r>
      <w:r w:rsidRPr="003A0F7C">
        <w:rPr>
          <w:rFonts w:eastAsia="Calibri"/>
          <w:bCs/>
          <w:sz w:val="24"/>
          <w:szCs w:val="24"/>
        </w:rPr>
        <w:t xml:space="preserve"> determinó que la negativa de registro a la planilla al Ayuntamiento de Apaseo el Grande, no se encontraba fundada ni motivada, pues se sustentó </w:t>
      </w:r>
      <w:r w:rsidR="00594979" w:rsidRPr="003A0F7C">
        <w:rPr>
          <w:rFonts w:eastAsia="Calibri"/>
          <w:bCs/>
          <w:sz w:val="24"/>
          <w:szCs w:val="24"/>
        </w:rPr>
        <w:t>en</w:t>
      </w:r>
      <w:r w:rsidRPr="003A0F7C">
        <w:rPr>
          <w:rFonts w:eastAsia="Calibri"/>
          <w:bCs/>
          <w:sz w:val="24"/>
          <w:szCs w:val="24"/>
        </w:rPr>
        <w:t xml:space="preserve"> el incumplimiento de un requisito que no está contemplado en la normatividad electoral, tal y como lo era la </w:t>
      </w:r>
      <w:r w:rsidRPr="003A0F7C">
        <w:rPr>
          <w:rFonts w:eastAsia="Calibri"/>
          <w:bCs/>
          <w:i/>
          <w:iCs/>
          <w:sz w:val="24"/>
          <w:szCs w:val="24"/>
        </w:rPr>
        <w:t>“solicitud de registro de la candidatura a la presidencia municipal”</w:t>
      </w:r>
      <w:r w:rsidRPr="003A0F7C">
        <w:rPr>
          <w:rFonts w:eastAsia="Calibri"/>
          <w:bCs/>
          <w:sz w:val="24"/>
          <w:szCs w:val="24"/>
        </w:rPr>
        <w:t xml:space="preserve">, destacando que la </w:t>
      </w:r>
      <w:r w:rsidRPr="003A0F7C">
        <w:rPr>
          <w:rFonts w:eastAsia="Calibri"/>
          <w:bCs/>
          <w:i/>
          <w:iCs/>
          <w:sz w:val="24"/>
          <w:szCs w:val="24"/>
        </w:rPr>
        <w:t>Ley Electoral Local</w:t>
      </w:r>
      <w:r w:rsidRPr="003A0F7C">
        <w:rPr>
          <w:rFonts w:eastAsia="Calibri"/>
          <w:bCs/>
          <w:sz w:val="24"/>
          <w:szCs w:val="24"/>
        </w:rPr>
        <w:t xml:space="preserve"> únicamente establece que debe presentarse la solicitud de registro de candidaturas quien debe ser firmada por quien represente al partido político que postulaba, situación que aconteció en el caso en concreto, pues la propia autoridad electoral lo refirió así en su acuerdo.</w:t>
      </w:r>
    </w:p>
    <w:p w14:paraId="2258DF48" w14:textId="3E92AD4D" w:rsidR="00583778" w:rsidRPr="003A0F7C" w:rsidRDefault="008C05BF" w:rsidP="00436C54">
      <w:pPr>
        <w:spacing w:before="280" w:after="280" w:line="360" w:lineRule="auto"/>
        <w:ind w:right="51"/>
        <w:jc w:val="both"/>
        <w:rPr>
          <w:rFonts w:eastAsia="Calibri"/>
          <w:bCs/>
          <w:i/>
          <w:iCs/>
          <w:sz w:val="24"/>
          <w:szCs w:val="24"/>
        </w:rPr>
      </w:pPr>
      <w:r w:rsidRPr="003A0F7C">
        <w:rPr>
          <w:rFonts w:eastAsia="Calibri"/>
          <w:bCs/>
          <w:sz w:val="24"/>
          <w:szCs w:val="24"/>
        </w:rPr>
        <w:t xml:space="preserve">Del acuerdo recurrido en la instancia local se advierte que se negó el registro de la planilla al Ayuntamiento de Apaseo el Grande, </w:t>
      </w:r>
      <w:r w:rsidR="00436C54" w:rsidRPr="003A0F7C">
        <w:rPr>
          <w:rFonts w:eastAsia="Calibri"/>
          <w:bCs/>
          <w:sz w:val="24"/>
          <w:szCs w:val="24"/>
        </w:rPr>
        <w:t xml:space="preserve">en atención a lo siguiente </w:t>
      </w:r>
      <w:r w:rsidR="00436C54" w:rsidRPr="003A0F7C">
        <w:rPr>
          <w:rFonts w:eastAsia="Calibri"/>
          <w:bCs/>
          <w:i/>
          <w:iCs/>
          <w:sz w:val="24"/>
          <w:szCs w:val="24"/>
        </w:rPr>
        <w:t>“ya que en la misma se omitió la solicitud de registro de la candidatura a la presidencia municipal”</w:t>
      </w:r>
      <w:r w:rsidR="00A97430" w:rsidRPr="003A0F7C">
        <w:rPr>
          <w:rStyle w:val="Refdenotaalpie"/>
          <w:rFonts w:eastAsia="Calibri"/>
          <w:bCs/>
          <w:i/>
          <w:iCs/>
          <w:sz w:val="24"/>
          <w:szCs w:val="24"/>
        </w:rPr>
        <w:footnoteReference w:id="12"/>
      </w:r>
      <w:r w:rsidR="00436C54" w:rsidRPr="003A0F7C">
        <w:rPr>
          <w:rFonts w:eastAsia="Calibri"/>
          <w:bCs/>
          <w:i/>
          <w:iCs/>
          <w:sz w:val="24"/>
          <w:szCs w:val="24"/>
        </w:rPr>
        <w:t>.</w:t>
      </w:r>
    </w:p>
    <w:p w14:paraId="3BF75DD1" w14:textId="3C0C5915" w:rsidR="00583778" w:rsidRPr="003A0F7C" w:rsidRDefault="00E93C0A" w:rsidP="00E93C0A">
      <w:pPr>
        <w:spacing w:before="280" w:after="280" w:line="360" w:lineRule="auto"/>
        <w:ind w:right="51"/>
        <w:jc w:val="both"/>
        <w:rPr>
          <w:rFonts w:eastAsia="Calibri"/>
          <w:bCs/>
          <w:sz w:val="24"/>
          <w:szCs w:val="24"/>
        </w:rPr>
      </w:pPr>
      <w:r w:rsidRPr="003A0F7C">
        <w:rPr>
          <w:rFonts w:eastAsia="Calibri"/>
          <w:bCs/>
          <w:sz w:val="24"/>
          <w:szCs w:val="24"/>
        </w:rPr>
        <w:t xml:space="preserve">El artículo 190 de la </w:t>
      </w:r>
      <w:r w:rsidRPr="003A0F7C">
        <w:rPr>
          <w:rFonts w:eastAsia="Calibri"/>
          <w:bCs/>
          <w:i/>
          <w:iCs/>
          <w:sz w:val="24"/>
          <w:szCs w:val="24"/>
        </w:rPr>
        <w:t>Ley Electoral Local</w:t>
      </w:r>
      <w:r w:rsidRPr="003A0F7C">
        <w:rPr>
          <w:rFonts w:eastAsia="Calibri"/>
          <w:bCs/>
          <w:sz w:val="24"/>
          <w:szCs w:val="24"/>
        </w:rPr>
        <w:t xml:space="preserve">, señala que </w:t>
      </w:r>
      <w:r w:rsidRPr="003A0F7C">
        <w:rPr>
          <w:rFonts w:eastAsia="Calibri"/>
          <w:b/>
          <w:sz w:val="24"/>
          <w:szCs w:val="24"/>
        </w:rPr>
        <w:t>la solicitud de registro de candidaturas</w:t>
      </w:r>
      <w:r w:rsidRPr="003A0F7C">
        <w:rPr>
          <w:rFonts w:eastAsia="Calibri"/>
          <w:bCs/>
          <w:sz w:val="24"/>
          <w:szCs w:val="24"/>
        </w:rPr>
        <w:t xml:space="preserve"> deberá ser firmada de manera autógrafa por el representante del partido político con facultades para formular tal solicitud y contener los diversos datos de los candidatos, a la cual debe acompañarse diversa documentación.</w:t>
      </w:r>
    </w:p>
    <w:p w14:paraId="7A13CE0A" w14:textId="7AC7E47B" w:rsidR="00FF1C5C" w:rsidRPr="003A0F7C" w:rsidRDefault="00E93C0A" w:rsidP="00173081">
      <w:pPr>
        <w:spacing w:before="280" w:after="280" w:line="360" w:lineRule="auto"/>
        <w:ind w:right="51"/>
        <w:jc w:val="both"/>
        <w:rPr>
          <w:rFonts w:eastAsia="Calibri"/>
          <w:bCs/>
          <w:sz w:val="24"/>
          <w:szCs w:val="24"/>
        </w:rPr>
      </w:pPr>
      <w:r w:rsidRPr="003A0F7C">
        <w:rPr>
          <w:rFonts w:eastAsia="Calibri"/>
          <w:bCs/>
          <w:sz w:val="24"/>
          <w:szCs w:val="24"/>
        </w:rPr>
        <w:t xml:space="preserve">Ahora bien, la determinación del </w:t>
      </w:r>
      <w:r w:rsidRPr="003A0F7C">
        <w:rPr>
          <w:rFonts w:eastAsia="Calibri"/>
          <w:bCs/>
          <w:i/>
          <w:iCs/>
          <w:sz w:val="24"/>
          <w:szCs w:val="24"/>
        </w:rPr>
        <w:t>Tribunal Local</w:t>
      </w:r>
      <w:r w:rsidRPr="003A0F7C">
        <w:rPr>
          <w:rFonts w:eastAsia="Calibri"/>
          <w:bCs/>
          <w:sz w:val="24"/>
          <w:szCs w:val="24"/>
        </w:rPr>
        <w:t xml:space="preserve"> se encuentra ajustada a derecho, pues la razón por la cual el </w:t>
      </w:r>
      <w:r w:rsidRPr="003A0F7C">
        <w:rPr>
          <w:rFonts w:eastAsia="Calibri"/>
          <w:bCs/>
          <w:i/>
          <w:iCs/>
          <w:sz w:val="24"/>
          <w:szCs w:val="24"/>
        </w:rPr>
        <w:t>Instituto Electoral Local</w:t>
      </w:r>
      <w:r w:rsidRPr="003A0F7C">
        <w:rPr>
          <w:rFonts w:eastAsia="Calibri"/>
          <w:bCs/>
          <w:sz w:val="24"/>
          <w:szCs w:val="24"/>
        </w:rPr>
        <w:t xml:space="preserve"> negó el registro de la planilla</w:t>
      </w:r>
      <w:r w:rsidRPr="003A0F7C">
        <w:rPr>
          <w:rFonts w:eastAsia="Calibri"/>
          <w:bCs/>
          <w:i/>
          <w:iCs/>
          <w:sz w:val="24"/>
          <w:szCs w:val="24"/>
        </w:rPr>
        <w:t xml:space="preserve"> -que no se presentó solicitud de registro de la candidatura a la </w:t>
      </w:r>
      <w:r w:rsidRPr="003A0F7C">
        <w:rPr>
          <w:rFonts w:eastAsia="Calibri"/>
          <w:bCs/>
          <w:i/>
          <w:iCs/>
          <w:sz w:val="24"/>
          <w:szCs w:val="24"/>
        </w:rPr>
        <w:lastRenderedPageBreak/>
        <w:t>presidencia municipal-</w:t>
      </w:r>
      <w:r w:rsidRPr="003A0F7C">
        <w:rPr>
          <w:rFonts w:eastAsia="Calibri"/>
          <w:bCs/>
          <w:sz w:val="24"/>
          <w:szCs w:val="24"/>
        </w:rPr>
        <w:t xml:space="preserve"> </w:t>
      </w:r>
      <w:r w:rsidRPr="003A0F7C">
        <w:rPr>
          <w:rFonts w:eastAsia="Calibri"/>
          <w:b/>
          <w:sz w:val="24"/>
          <w:szCs w:val="24"/>
        </w:rPr>
        <w:t>no se encuentra prevista en la normatividad electoral</w:t>
      </w:r>
      <w:r w:rsidRPr="003A0F7C">
        <w:rPr>
          <w:rFonts w:eastAsia="Calibri"/>
          <w:bCs/>
          <w:sz w:val="24"/>
          <w:szCs w:val="24"/>
        </w:rPr>
        <w:t>, de ahí que fuera correcto que señalara que la negativa de registro en cuanto a dicho Ayuntamiento no se encontrara fundada y motivada.</w:t>
      </w:r>
    </w:p>
    <w:p w14:paraId="53EF1B1C" w14:textId="4BB1C38E" w:rsidR="00A97430" w:rsidRPr="003A0F7C" w:rsidRDefault="00C67B0D" w:rsidP="00173081">
      <w:pPr>
        <w:spacing w:before="280" w:after="280" w:line="360" w:lineRule="auto"/>
        <w:ind w:right="51"/>
        <w:jc w:val="both"/>
        <w:rPr>
          <w:rFonts w:eastAsia="Calibri"/>
          <w:bCs/>
          <w:sz w:val="24"/>
          <w:szCs w:val="24"/>
        </w:rPr>
      </w:pPr>
      <w:r w:rsidRPr="003A0F7C">
        <w:rPr>
          <w:rFonts w:eastAsia="Calibri"/>
          <w:bCs/>
          <w:sz w:val="24"/>
          <w:szCs w:val="24"/>
        </w:rPr>
        <w:t>No se pierde de vista que el actor señala</w:t>
      </w:r>
      <w:r w:rsidR="00A97430" w:rsidRPr="003A0F7C">
        <w:rPr>
          <w:rFonts w:eastAsia="Calibri"/>
          <w:bCs/>
          <w:sz w:val="24"/>
          <w:szCs w:val="24"/>
        </w:rPr>
        <w:t xml:space="preserve"> que el </w:t>
      </w:r>
      <w:r w:rsidR="00A97430" w:rsidRPr="003A0F7C">
        <w:rPr>
          <w:rFonts w:eastAsia="Calibri"/>
          <w:bCs/>
          <w:i/>
          <w:iCs/>
          <w:sz w:val="24"/>
          <w:szCs w:val="24"/>
        </w:rPr>
        <w:t>Instituto Electoral Local</w:t>
      </w:r>
      <w:r w:rsidR="00A97430" w:rsidRPr="003A0F7C">
        <w:rPr>
          <w:rFonts w:eastAsia="Calibri"/>
          <w:bCs/>
          <w:sz w:val="24"/>
          <w:szCs w:val="24"/>
        </w:rPr>
        <w:t xml:space="preserve">, propiamente negó el registro al no presentarse la solicitud de registro de candidaturas y no una </w:t>
      </w:r>
      <w:r w:rsidR="00A97430" w:rsidRPr="003A0F7C">
        <w:rPr>
          <w:rFonts w:eastAsia="Calibri"/>
          <w:bCs/>
          <w:i/>
          <w:iCs/>
          <w:sz w:val="24"/>
          <w:szCs w:val="24"/>
        </w:rPr>
        <w:t>“solicitud de registro de la candidatura a la presidencia municipal”</w:t>
      </w:r>
      <w:r w:rsidR="00A97430" w:rsidRPr="003A0F7C">
        <w:rPr>
          <w:rFonts w:eastAsia="Calibri"/>
          <w:bCs/>
          <w:sz w:val="24"/>
          <w:szCs w:val="24"/>
        </w:rPr>
        <w:t>, por lo que era solamente un error de redacción.</w:t>
      </w:r>
    </w:p>
    <w:p w14:paraId="7DA805C2" w14:textId="177F6270" w:rsidR="00A97430" w:rsidRPr="003A0F7C" w:rsidRDefault="00A97430" w:rsidP="00173081">
      <w:pPr>
        <w:spacing w:before="280" w:after="280" w:line="360" w:lineRule="auto"/>
        <w:ind w:right="51"/>
        <w:jc w:val="both"/>
        <w:rPr>
          <w:rFonts w:eastAsia="Calibri"/>
          <w:bCs/>
          <w:sz w:val="24"/>
          <w:szCs w:val="24"/>
        </w:rPr>
      </w:pPr>
      <w:r w:rsidRPr="003A0F7C">
        <w:rPr>
          <w:rFonts w:eastAsia="Calibri"/>
          <w:b/>
          <w:sz w:val="24"/>
          <w:szCs w:val="24"/>
        </w:rPr>
        <w:t>No le asiste la razón</w:t>
      </w:r>
      <w:r w:rsidRPr="003A0F7C">
        <w:rPr>
          <w:rFonts w:eastAsia="Calibri"/>
          <w:bCs/>
          <w:sz w:val="24"/>
          <w:szCs w:val="24"/>
        </w:rPr>
        <w:t xml:space="preserve">, pues tal y como se precisó en párrafos anteriores la razón por la cual el </w:t>
      </w:r>
      <w:r w:rsidRPr="003A0F7C">
        <w:rPr>
          <w:rFonts w:eastAsia="Calibri"/>
          <w:bCs/>
          <w:i/>
          <w:iCs/>
          <w:sz w:val="24"/>
          <w:szCs w:val="24"/>
        </w:rPr>
        <w:t>Instituto Electoral Local</w:t>
      </w:r>
      <w:r w:rsidRPr="003A0F7C">
        <w:rPr>
          <w:rFonts w:eastAsia="Calibri"/>
          <w:bCs/>
          <w:sz w:val="24"/>
          <w:szCs w:val="24"/>
        </w:rPr>
        <w:t xml:space="preserve"> negó el registro de la planilla fue porque </w:t>
      </w:r>
      <w:r w:rsidRPr="003A0F7C">
        <w:rPr>
          <w:rFonts w:eastAsia="Calibri"/>
          <w:bCs/>
          <w:i/>
          <w:iCs/>
          <w:sz w:val="24"/>
          <w:szCs w:val="24"/>
        </w:rPr>
        <w:t>“se omitió la solicitud de registro de la candidatura a la presidencia municipal”</w:t>
      </w:r>
      <w:r w:rsidRPr="003A0F7C">
        <w:rPr>
          <w:rFonts w:eastAsia="Calibri"/>
          <w:bCs/>
          <w:sz w:val="24"/>
          <w:szCs w:val="24"/>
        </w:rPr>
        <w:t>, destacándose inclusive que la propia autoridad electoral en el acuerdo recurrido en la instancia local</w:t>
      </w:r>
      <w:r w:rsidR="00644B3F" w:rsidRPr="003A0F7C">
        <w:rPr>
          <w:rFonts w:eastAsia="Calibri"/>
          <w:bCs/>
          <w:sz w:val="24"/>
          <w:szCs w:val="24"/>
        </w:rPr>
        <w:t xml:space="preserve"> hace referencia a que el veintiséis de marzo, Oscar Rafael Novella Macías, en representación de MORENA presentó la solicitud de registro de candidaturas a integrar los ayuntamientos del Estado de Guanajuato, entre ellos, el de Apaseo el Grande.</w:t>
      </w:r>
    </w:p>
    <w:p w14:paraId="3FB396E9" w14:textId="5CFF2186" w:rsidR="00B80FF8" w:rsidRPr="003A0F7C" w:rsidRDefault="00172FB6" w:rsidP="00173081">
      <w:pPr>
        <w:spacing w:before="280" w:after="280" w:line="360" w:lineRule="auto"/>
        <w:ind w:right="51"/>
        <w:jc w:val="both"/>
        <w:rPr>
          <w:rFonts w:eastAsia="Calibri"/>
          <w:bCs/>
          <w:sz w:val="24"/>
          <w:szCs w:val="24"/>
        </w:rPr>
      </w:pPr>
      <w:r w:rsidRPr="003A0F7C">
        <w:rPr>
          <w:rFonts w:eastAsia="Calibri"/>
          <w:bCs/>
          <w:sz w:val="24"/>
          <w:szCs w:val="24"/>
        </w:rPr>
        <w:t xml:space="preserve">Destacándose que en los autos que integran el recurso de revisión TEEG-REV-18/2021 y acumulados, obra la solicitud de registro de candidaturas presentada por el representante del partido de MORENA, por lo que es claro, que </w:t>
      </w:r>
      <w:r w:rsidR="005B11A1" w:rsidRPr="003A0F7C">
        <w:rPr>
          <w:rFonts w:eastAsia="Calibri"/>
          <w:b/>
          <w:sz w:val="24"/>
          <w:szCs w:val="24"/>
        </w:rPr>
        <w:t xml:space="preserve">no </w:t>
      </w:r>
      <w:r w:rsidRPr="003A0F7C">
        <w:rPr>
          <w:rFonts w:eastAsia="Calibri"/>
          <w:b/>
          <w:sz w:val="24"/>
          <w:szCs w:val="24"/>
        </w:rPr>
        <w:t xml:space="preserve">fue un </w:t>
      </w:r>
      <w:r w:rsidR="005B11A1" w:rsidRPr="003A0F7C">
        <w:rPr>
          <w:rFonts w:eastAsia="Calibri"/>
          <w:b/>
          <w:sz w:val="24"/>
          <w:szCs w:val="24"/>
        </w:rPr>
        <w:t xml:space="preserve">simple </w:t>
      </w:r>
      <w:r w:rsidRPr="003A0F7C">
        <w:rPr>
          <w:rFonts w:eastAsia="Calibri"/>
          <w:b/>
          <w:sz w:val="24"/>
          <w:szCs w:val="24"/>
        </w:rPr>
        <w:t>error de redacción</w:t>
      </w:r>
      <w:r w:rsidRPr="003A0F7C">
        <w:rPr>
          <w:rFonts w:eastAsia="Calibri"/>
          <w:bCs/>
          <w:sz w:val="24"/>
          <w:szCs w:val="24"/>
        </w:rPr>
        <w:t xml:space="preserve"> como lo precisa el actor.</w:t>
      </w:r>
    </w:p>
    <w:p w14:paraId="7AAB5FB5" w14:textId="3CE22C7B" w:rsidR="00C67B0D" w:rsidRPr="003A0F7C" w:rsidRDefault="009144C1" w:rsidP="00837539">
      <w:pPr>
        <w:spacing w:before="280" w:after="280" w:line="360" w:lineRule="auto"/>
        <w:ind w:right="51"/>
        <w:jc w:val="both"/>
        <w:rPr>
          <w:rFonts w:eastAsia="Calibri"/>
          <w:b/>
          <w:sz w:val="24"/>
          <w:szCs w:val="24"/>
        </w:rPr>
      </w:pPr>
      <w:r w:rsidRPr="003A0F7C">
        <w:rPr>
          <w:rFonts w:eastAsia="Calibri"/>
          <w:b/>
          <w:sz w:val="24"/>
          <w:szCs w:val="24"/>
        </w:rPr>
        <w:t>4.3.6.</w:t>
      </w:r>
      <w:r w:rsidR="00475242" w:rsidRPr="003A0F7C">
        <w:rPr>
          <w:b/>
        </w:rPr>
        <w:t xml:space="preserve"> </w:t>
      </w:r>
      <w:r w:rsidR="00837539" w:rsidRPr="003A0F7C">
        <w:rPr>
          <w:b/>
          <w:sz w:val="24"/>
          <w:szCs w:val="24"/>
        </w:rPr>
        <w:t xml:space="preserve">El </w:t>
      </w:r>
      <w:r w:rsidR="00837539" w:rsidRPr="003A0F7C">
        <w:rPr>
          <w:b/>
          <w:i/>
          <w:iCs/>
          <w:sz w:val="24"/>
          <w:szCs w:val="24"/>
        </w:rPr>
        <w:t>Tribunal Local</w:t>
      </w:r>
      <w:r w:rsidR="00837539" w:rsidRPr="003A0F7C">
        <w:rPr>
          <w:b/>
          <w:sz w:val="24"/>
          <w:szCs w:val="24"/>
        </w:rPr>
        <w:t xml:space="preserve"> correctamente precisó las razones y motivos del porque procedía el registro de planillas incompletas, sin que </w:t>
      </w:r>
      <w:r w:rsidR="00475242" w:rsidRPr="003A0F7C">
        <w:rPr>
          <w:rFonts w:eastAsia="Calibri"/>
          <w:b/>
          <w:sz w:val="24"/>
          <w:szCs w:val="24"/>
        </w:rPr>
        <w:t xml:space="preserve">el </w:t>
      </w:r>
      <w:r w:rsidR="00475242" w:rsidRPr="003A0F7C">
        <w:rPr>
          <w:rFonts w:eastAsia="Calibri"/>
          <w:b/>
          <w:i/>
          <w:iCs/>
          <w:sz w:val="24"/>
          <w:szCs w:val="24"/>
        </w:rPr>
        <w:t>PAN</w:t>
      </w:r>
      <w:r w:rsidR="00475242" w:rsidRPr="003A0F7C">
        <w:rPr>
          <w:rFonts w:eastAsia="Calibri"/>
          <w:b/>
          <w:sz w:val="24"/>
          <w:szCs w:val="24"/>
        </w:rPr>
        <w:t xml:space="preserve"> </w:t>
      </w:r>
      <w:r w:rsidR="00837539" w:rsidRPr="003A0F7C">
        <w:rPr>
          <w:rFonts w:eastAsia="Calibri"/>
          <w:b/>
          <w:sz w:val="24"/>
          <w:szCs w:val="24"/>
        </w:rPr>
        <w:t>las controvierta frontalmente</w:t>
      </w:r>
    </w:p>
    <w:p w14:paraId="3D810C02" w14:textId="7FA60F98" w:rsidR="00FF1C5C" w:rsidRPr="003A0F7C" w:rsidRDefault="001B1CF9" w:rsidP="001B1CF9">
      <w:pPr>
        <w:pStyle w:val="Prrafodelista"/>
        <w:numPr>
          <w:ilvl w:val="0"/>
          <w:numId w:val="49"/>
        </w:numPr>
        <w:spacing w:before="280" w:after="280" w:line="360" w:lineRule="auto"/>
        <w:ind w:right="51"/>
        <w:jc w:val="both"/>
        <w:rPr>
          <w:rFonts w:eastAsia="Calibri"/>
          <w:bCs/>
          <w:i/>
          <w:iCs/>
          <w:sz w:val="24"/>
          <w:szCs w:val="24"/>
        </w:rPr>
      </w:pPr>
      <w:r w:rsidRPr="003A0F7C">
        <w:rPr>
          <w:rFonts w:eastAsia="Calibri"/>
          <w:bCs/>
          <w:i/>
          <w:iCs/>
          <w:sz w:val="24"/>
          <w:szCs w:val="24"/>
        </w:rPr>
        <w:t xml:space="preserve">La parte actora señala que lo resuelto en el apartado 4.9, en el sentido de que pueden registrarse planillas incompletas no se encuentra ajustado a derecho, pues el </w:t>
      </w:r>
      <w:bookmarkStart w:id="26" w:name="_Hlk71153926"/>
      <w:r w:rsidRPr="003A0F7C">
        <w:rPr>
          <w:rFonts w:eastAsia="Calibri"/>
          <w:bCs/>
          <w:i/>
          <w:iCs/>
          <w:sz w:val="24"/>
          <w:szCs w:val="24"/>
        </w:rPr>
        <w:t>artículo 191, último párrafo, de la Ley Electoral Local, establece que, en el caso de las planillas de ayuntamiento, éstas se registraran cuando cada uno de los candidatos cumplan con todos los requisitos señalados en la Ley y cuando estén integradas de manera completa.</w:t>
      </w:r>
    </w:p>
    <w:bookmarkEnd w:id="26"/>
    <w:p w14:paraId="35671B0E" w14:textId="31F80F13" w:rsidR="00837539" w:rsidRPr="003A0F7C" w:rsidRDefault="00837539" w:rsidP="00173081">
      <w:pPr>
        <w:spacing w:before="280" w:after="280" w:line="360" w:lineRule="auto"/>
        <w:ind w:right="51"/>
        <w:jc w:val="both"/>
        <w:rPr>
          <w:rFonts w:eastAsia="Calibri"/>
          <w:bCs/>
          <w:sz w:val="24"/>
          <w:szCs w:val="24"/>
        </w:rPr>
      </w:pPr>
      <w:r w:rsidRPr="003A0F7C">
        <w:rPr>
          <w:rFonts w:eastAsia="Calibri"/>
          <w:b/>
          <w:sz w:val="24"/>
          <w:szCs w:val="24"/>
        </w:rPr>
        <w:t>No le asiste la razón</w:t>
      </w:r>
      <w:r w:rsidRPr="003A0F7C">
        <w:rPr>
          <w:rFonts w:eastAsia="Calibri"/>
          <w:bCs/>
          <w:sz w:val="24"/>
          <w:szCs w:val="24"/>
        </w:rPr>
        <w:t xml:space="preserve"> al </w:t>
      </w:r>
      <w:r w:rsidRPr="003A0F7C">
        <w:rPr>
          <w:rFonts w:eastAsia="Calibri"/>
          <w:bCs/>
          <w:i/>
          <w:iCs/>
          <w:sz w:val="24"/>
          <w:szCs w:val="24"/>
        </w:rPr>
        <w:t>PAN</w:t>
      </w:r>
      <w:r w:rsidRPr="003A0F7C">
        <w:rPr>
          <w:rFonts w:eastAsia="Calibri"/>
          <w:bCs/>
          <w:sz w:val="24"/>
          <w:szCs w:val="24"/>
        </w:rPr>
        <w:t xml:space="preserve">, pues el </w:t>
      </w:r>
      <w:r w:rsidRPr="003A0F7C">
        <w:rPr>
          <w:rFonts w:eastAsia="Calibri"/>
          <w:bCs/>
          <w:i/>
          <w:iCs/>
          <w:sz w:val="24"/>
          <w:szCs w:val="24"/>
        </w:rPr>
        <w:t>Tribunal Local</w:t>
      </w:r>
      <w:r w:rsidRPr="003A0F7C">
        <w:rPr>
          <w:rFonts w:eastAsia="Calibri"/>
          <w:bCs/>
          <w:sz w:val="24"/>
          <w:szCs w:val="24"/>
        </w:rPr>
        <w:t xml:space="preserve"> acertadamente resolvió que sí resultaba procedente el registro de planillas incompletas.</w:t>
      </w:r>
    </w:p>
    <w:p w14:paraId="1440D173" w14:textId="12FC0197" w:rsidR="003C7C56" w:rsidRPr="003A0F7C" w:rsidRDefault="00D46C5C" w:rsidP="00FE1412">
      <w:pPr>
        <w:spacing w:before="280" w:after="280" w:line="360" w:lineRule="auto"/>
        <w:ind w:right="51"/>
        <w:jc w:val="both"/>
        <w:rPr>
          <w:rFonts w:eastAsia="Calibri"/>
          <w:sz w:val="24"/>
          <w:szCs w:val="24"/>
          <w:lang w:eastAsia="es-MX"/>
        </w:rPr>
      </w:pPr>
      <w:r w:rsidRPr="003A0F7C">
        <w:rPr>
          <w:rFonts w:eastAsia="Calibri"/>
          <w:sz w:val="24"/>
          <w:szCs w:val="24"/>
          <w:lang w:eastAsia="es-MX"/>
        </w:rPr>
        <w:t xml:space="preserve">En la resolución impugnada el </w:t>
      </w:r>
      <w:r w:rsidRPr="003A0F7C">
        <w:rPr>
          <w:rFonts w:eastAsia="Calibri"/>
          <w:i/>
          <w:iCs/>
          <w:sz w:val="24"/>
          <w:szCs w:val="24"/>
          <w:lang w:eastAsia="es-MX"/>
        </w:rPr>
        <w:t>Tribunal Local</w:t>
      </w:r>
      <w:r w:rsidRPr="003A0F7C">
        <w:rPr>
          <w:rFonts w:eastAsia="Calibri"/>
          <w:sz w:val="24"/>
          <w:szCs w:val="24"/>
          <w:lang w:eastAsia="es-MX"/>
        </w:rPr>
        <w:t xml:space="preserve"> </w:t>
      </w:r>
      <w:r w:rsidR="003C7C56" w:rsidRPr="003A0F7C">
        <w:rPr>
          <w:rFonts w:eastAsia="Calibri"/>
          <w:sz w:val="24"/>
          <w:szCs w:val="24"/>
          <w:lang w:eastAsia="es-MX"/>
        </w:rPr>
        <w:t>en el apartado 4.9. precisó</w:t>
      </w:r>
      <w:r w:rsidR="00E830D4" w:rsidRPr="003A0F7C">
        <w:rPr>
          <w:rFonts w:eastAsia="Calibri"/>
          <w:sz w:val="24"/>
          <w:szCs w:val="24"/>
          <w:lang w:eastAsia="es-MX"/>
        </w:rPr>
        <w:t xml:space="preserve"> que</w:t>
      </w:r>
      <w:r w:rsidR="003C7C56" w:rsidRPr="003A0F7C">
        <w:rPr>
          <w:rFonts w:eastAsia="Calibri"/>
          <w:sz w:val="24"/>
          <w:szCs w:val="24"/>
          <w:lang w:eastAsia="es-MX"/>
        </w:rPr>
        <w:t xml:space="preserve"> </w:t>
      </w:r>
      <w:bookmarkStart w:id="27" w:name="_Hlk71571161"/>
      <w:r w:rsidR="00FE1412" w:rsidRPr="003A0F7C">
        <w:rPr>
          <w:rFonts w:eastAsia="Calibri"/>
          <w:sz w:val="24"/>
          <w:szCs w:val="24"/>
          <w:lang w:eastAsia="es-MX"/>
        </w:rPr>
        <w:t xml:space="preserve">sí es posible el registro de planillas incompletas para salvaguardar los </w:t>
      </w:r>
      <w:r w:rsidR="00FE1412" w:rsidRPr="003A0F7C">
        <w:rPr>
          <w:rFonts w:eastAsia="Calibri"/>
          <w:sz w:val="24"/>
          <w:szCs w:val="24"/>
          <w:lang w:eastAsia="es-MX"/>
        </w:rPr>
        <w:lastRenderedPageBreak/>
        <w:t xml:space="preserve">derechos de quienes cumplieron debidamente con la conformación de su expediente y los requisitos de elegibilidad, </w:t>
      </w:r>
      <w:bookmarkEnd w:id="27"/>
      <w:r w:rsidR="00FE1412" w:rsidRPr="003A0F7C">
        <w:rPr>
          <w:rFonts w:eastAsia="Calibri"/>
          <w:sz w:val="24"/>
          <w:szCs w:val="24"/>
          <w:lang w:eastAsia="es-MX"/>
        </w:rPr>
        <w:t>solo estableciendo ciertas medidas para que, en el caso de que tal planilla incompleta obtuviera el triunfo electoral, se asegure la debida y completa conformación del ayuntamiento para su correcto funcionamiento.</w:t>
      </w:r>
    </w:p>
    <w:p w14:paraId="47BEB773" w14:textId="265E2D3D" w:rsidR="00E830D4" w:rsidRPr="003A0F7C" w:rsidRDefault="00E830D4" w:rsidP="00E830D4">
      <w:pPr>
        <w:spacing w:before="280" w:after="280" w:line="360" w:lineRule="auto"/>
        <w:ind w:right="51"/>
        <w:jc w:val="both"/>
        <w:rPr>
          <w:rFonts w:eastAsia="Calibri"/>
          <w:sz w:val="24"/>
          <w:szCs w:val="24"/>
          <w:lang w:eastAsia="es-MX"/>
        </w:rPr>
      </w:pPr>
      <w:r w:rsidRPr="003A0F7C">
        <w:rPr>
          <w:rFonts w:eastAsia="Calibri"/>
          <w:sz w:val="24"/>
          <w:szCs w:val="24"/>
          <w:lang w:eastAsia="es-MX"/>
        </w:rPr>
        <w:t>Por tanto, atendiendo la particularidad en la conformación de cada una de las planillas estudiadas y de las que se combatió su negativa de registro, advirtió que las candidaturas que se dijo no cumplieron con los requisitos y documentación requeridos, no afectan de manera</w:t>
      </w:r>
      <w:r w:rsidRPr="003A0F7C">
        <w:t xml:space="preserve"> </w:t>
      </w:r>
      <w:r w:rsidRPr="003A0F7C">
        <w:rPr>
          <w:rFonts w:eastAsia="Calibri"/>
          <w:sz w:val="24"/>
          <w:szCs w:val="24"/>
          <w:lang w:eastAsia="es-MX"/>
        </w:rPr>
        <w:t>trascendental la estructura de la planilla y aun con tales faltantes deben ser registradas a fin de no afectar el derecho político-electoral del voto pasivo de quienes sí las integran debidamente</w:t>
      </w:r>
      <w:r w:rsidR="00837539" w:rsidRPr="003A0F7C">
        <w:rPr>
          <w:rFonts w:eastAsia="Calibri"/>
          <w:sz w:val="24"/>
          <w:szCs w:val="24"/>
          <w:lang w:eastAsia="es-MX"/>
        </w:rPr>
        <w:t>.</w:t>
      </w:r>
    </w:p>
    <w:p w14:paraId="6AB00826" w14:textId="71C0A183" w:rsidR="00E830D4" w:rsidRPr="003A0F7C" w:rsidRDefault="00E830D4" w:rsidP="00E830D4">
      <w:pPr>
        <w:spacing w:before="280" w:after="280" w:line="360" w:lineRule="auto"/>
        <w:ind w:right="51"/>
        <w:jc w:val="both"/>
        <w:rPr>
          <w:rFonts w:eastAsia="Calibri"/>
          <w:sz w:val="24"/>
          <w:szCs w:val="24"/>
          <w:lang w:eastAsia="es-MX"/>
        </w:rPr>
      </w:pPr>
      <w:r w:rsidRPr="003A0F7C">
        <w:rPr>
          <w:rFonts w:eastAsia="Calibri"/>
          <w:sz w:val="24"/>
          <w:szCs w:val="24"/>
          <w:lang w:eastAsia="es-MX"/>
        </w:rPr>
        <w:t xml:space="preserve">Su determinación fue en base a la jurisprudencia 17/2018 de rubro </w:t>
      </w:r>
      <w:r w:rsidRPr="003A0F7C">
        <w:rPr>
          <w:rFonts w:eastAsia="Calibri"/>
          <w:i/>
          <w:iCs/>
          <w:sz w:val="24"/>
          <w:szCs w:val="24"/>
          <w:lang w:eastAsia="es-MX"/>
        </w:rPr>
        <w:t>“CANDIDATURAS A CARGOS DE ELECCIÓN POPULAR. LOS PARTIDOS POLÍTICOS TIENEN LA OBLIGACIÓN DE PRESENTAR FÓRMULAS COMPLETAS, A FIN DE GARANTIZAR LA CORRECTA INTEGRACIÓN DE LOS AYUNTAMIENTOS”</w:t>
      </w:r>
      <w:r w:rsidRPr="003A0F7C">
        <w:rPr>
          <w:rFonts w:eastAsia="Calibri"/>
          <w:sz w:val="24"/>
          <w:szCs w:val="24"/>
          <w:lang w:eastAsia="es-MX"/>
        </w:rPr>
        <w:t>.</w:t>
      </w:r>
    </w:p>
    <w:p w14:paraId="060108EB" w14:textId="72E9D6C9" w:rsidR="00837539" w:rsidRPr="003A0F7C" w:rsidRDefault="00837539" w:rsidP="00E830D4">
      <w:pPr>
        <w:spacing w:before="280" w:after="280" w:line="360" w:lineRule="auto"/>
        <w:ind w:right="51"/>
        <w:jc w:val="both"/>
        <w:rPr>
          <w:rFonts w:eastAsia="Calibri"/>
          <w:sz w:val="24"/>
          <w:szCs w:val="24"/>
          <w:lang w:eastAsia="es-MX"/>
        </w:rPr>
      </w:pPr>
      <w:r w:rsidRPr="003A0F7C">
        <w:rPr>
          <w:rFonts w:eastAsia="Calibri"/>
          <w:sz w:val="24"/>
          <w:szCs w:val="24"/>
          <w:lang w:eastAsia="es-MX"/>
        </w:rPr>
        <w:t xml:space="preserve">Lo anterior, se considera correcto, pues tal y como lo precisó el </w:t>
      </w:r>
      <w:r w:rsidRPr="003A0F7C">
        <w:rPr>
          <w:rFonts w:eastAsia="Calibri"/>
          <w:i/>
          <w:iCs/>
          <w:sz w:val="24"/>
          <w:szCs w:val="24"/>
          <w:lang w:eastAsia="es-MX"/>
        </w:rPr>
        <w:t>Tribunal Local</w:t>
      </w:r>
      <w:r w:rsidRPr="003A0F7C">
        <w:rPr>
          <w:rFonts w:eastAsia="Calibri"/>
          <w:sz w:val="24"/>
          <w:szCs w:val="24"/>
          <w:lang w:eastAsia="es-MX"/>
        </w:rPr>
        <w:t xml:space="preserve"> </w:t>
      </w:r>
      <w:r w:rsidR="00833D29" w:rsidRPr="003A0F7C">
        <w:rPr>
          <w:rFonts w:eastAsia="Calibri"/>
          <w:sz w:val="24"/>
          <w:szCs w:val="24"/>
          <w:lang w:eastAsia="es-MX"/>
        </w:rPr>
        <w:t xml:space="preserve">atendiendo a las particularidades del caso en concreto </w:t>
      </w:r>
      <w:r w:rsidRPr="003A0F7C">
        <w:rPr>
          <w:rFonts w:eastAsia="Calibri"/>
          <w:sz w:val="24"/>
          <w:szCs w:val="24"/>
          <w:lang w:eastAsia="es-MX"/>
        </w:rPr>
        <w:t xml:space="preserve">sí es posible el registro de planillas incompletas </w:t>
      </w:r>
      <w:r w:rsidRPr="003A0F7C">
        <w:rPr>
          <w:rFonts w:eastAsia="Calibri"/>
          <w:b/>
          <w:bCs/>
          <w:sz w:val="24"/>
          <w:szCs w:val="24"/>
          <w:lang w:eastAsia="es-MX"/>
        </w:rPr>
        <w:t>para salvaguardar los derechos de quienes cumplieron debidamente con la conformación de su expediente y los requisitos de elegibilidad</w:t>
      </w:r>
      <w:r w:rsidRPr="003A0F7C">
        <w:rPr>
          <w:rFonts w:eastAsia="Calibri"/>
          <w:sz w:val="24"/>
          <w:szCs w:val="24"/>
          <w:lang w:eastAsia="es-MX"/>
        </w:rPr>
        <w:t>, sirviendo como sustento la jurisprudencia mencionada en el párrafo que antecede.</w:t>
      </w:r>
    </w:p>
    <w:p w14:paraId="6AF6AEEC" w14:textId="788379F1" w:rsidR="00663428" w:rsidRPr="003A0F7C" w:rsidRDefault="00837539" w:rsidP="00663428">
      <w:pPr>
        <w:spacing w:before="280" w:after="280" w:line="360" w:lineRule="auto"/>
        <w:ind w:right="51"/>
        <w:jc w:val="both"/>
        <w:rPr>
          <w:rFonts w:eastAsia="Calibri"/>
          <w:sz w:val="24"/>
          <w:szCs w:val="24"/>
          <w:lang w:eastAsia="es-MX"/>
        </w:rPr>
      </w:pPr>
      <w:r w:rsidRPr="003A0F7C">
        <w:rPr>
          <w:rFonts w:eastAsia="Calibri"/>
          <w:sz w:val="24"/>
          <w:szCs w:val="24"/>
          <w:lang w:eastAsia="es-MX"/>
        </w:rPr>
        <w:t>Cabe señalar que,</w:t>
      </w:r>
      <w:r w:rsidR="00D46C5C" w:rsidRPr="003A0F7C">
        <w:rPr>
          <w:rFonts w:eastAsia="Calibri"/>
          <w:sz w:val="24"/>
          <w:szCs w:val="24"/>
          <w:lang w:eastAsia="es-MX"/>
        </w:rPr>
        <w:t xml:space="preserve"> el </w:t>
      </w:r>
      <w:r w:rsidR="004A5D0B" w:rsidRPr="003A0F7C">
        <w:rPr>
          <w:rFonts w:eastAsia="Calibri"/>
          <w:i/>
          <w:iCs/>
          <w:sz w:val="24"/>
          <w:szCs w:val="24"/>
          <w:lang w:eastAsia="es-MX"/>
        </w:rPr>
        <w:t>PAN</w:t>
      </w:r>
      <w:r w:rsidR="00D46C5C" w:rsidRPr="003A0F7C">
        <w:rPr>
          <w:rFonts w:eastAsia="Calibri"/>
          <w:sz w:val="24"/>
          <w:szCs w:val="24"/>
          <w:lang w:eastAsia="es-MX"/>
        </w:rPr>
        <w:t xml:space="preserve"> </w:t>
      </w:r>
      <w:r w:rsidRPr="003A0F7C">
        <w:rPr>
          <w:rFonts w:eastAsia="Calibri"/>
          <w:sz w:val="24"/>
          <w:szCs w:val="24"/>
          <w:lang w:eastAsia="es-MX"/>
        </w:rPr>
        <w:t xml:space="preserve">no confronta frontalmente lo resuelto por el </w:t>
      </w:r>
      <w:r w:rsidRPr="003A0F7C">
        <w:rPr>
          <w:rFonts w:eastAsia="Calibri"/>
          <w:i/>
          <w:iCs/>
          <w:sz w:val="24"/>
          <w:szCs w:val="24"/>
          <w:lang w:eastAsia="es-MX"/>
        </w:rPr>
        <w:t>Tribunal Local,</w:t>
      </w:r>
      <w:r w:rsidRPr="003A0F7C">
        <w:rPr>
          <w:rFonts w:eastAsia="Calibri"/>
          <w:sz w:val="24"/>
          <w:szCs w:val="24"/>
          <w:lang w:eastAsia="es-MX"/>
        </w:rPr>
        <w:t xml:space="preserve"> pues se limita </w:t>
      </w:r>
      <w:r w:rsidR="00D46C5C" w:rsidRPr="003A0F7C">
        <w:rPr>
          <w:rFonts w:eastAsia="Calibri"/>
          <w:sz w:val="24"/>
          <w:szCs w:val="24"/>
          <w:lang w:eastAsia="es-MX"/>
        </w:rPr>
        <w:t xml:space="preserve">a establecer </w:t>
      </w:r>
      <w:r w:rsidR="005B3C31" w:rsidRPr="003A0F7C">
        <w:rPr>
          <w:rFonts w:eastAsia="Calibri"/>
          <w:sz w:val="24"/>
          <w:szCs w:val="24"/>
          <w:lang w:eastAsia="es-MX"/>
        </w:rPr>
        <w:t xml:space="preserve">que la </w:t>
      </w:r>
      <w:r w:rsidR="00901D00" w:rsidRPr="003A0F7C">
        <w:rPr>
          <w:i/>
          <w:iCs/>
          <w:sz w:val="24"/>
          <w:szCs w:val="24"/>
        </w:rPr>
        <w:t>Ley Electoral Local</w:t>
      </w:r>
      <w:r w:rsidR="005B3C31" w:rsidRPr="003A0F7C">
        <w:rPr>
          <w:rFonts w:eastAsia="Calibri"/>
          <w:sz w:val="24"/>
          <w:szCs w:val="24"/>
          <w:lang w:eastAsia="es-MX"/>
        </w:rPr>
        <w:t xml:space="preserve">, establece </w:t>
      </w:r>
      <w:r w:rsidR="00663428" w:rsidRPr="003A0F7C">
        <w:rPr>
          <w:rFonts w:eastAsia="Calibri"/>
          <w:sz w:val="24"/>
          <w:szCs w:val="24"/>
          <w:lang w:eastAsia="es-MX"/>
        </w:rPr>
        <w:t>en su artículo 191, último párrafo, únicamente procede el registro de las planillas cuando se cumplan con todos los requisitos señalados en la ley y cuando estén integradas de manera completa</w:t>
      </w:r>
      <w:r w:rsidR="00D80264" w:rsidRPr="003A0F7C">
        <w:rPr>
          <w:rFonts w:eastAsia="Calibri"/>
          <w:sz w:val="24"/>
          <w:szCs w:val="24"/>
          <w:lang w:eastAsia="es-MX"/>
        </w:rPr>
        <w:t>, por lo que debía razonar por qué no lo aplicaba.</w:t>
      </w:r>
    </w:p>
    <w:p w14:paraId="7994B35B" w14:textId="4AD22A24" w:rsidR="00D80264" w:rsidRPr="003A0F7C" w:rsidRDefault="00D80264" w:rsidP="00663428">
      <w:pPr>
        <w:spacing w:before="280" w:after="280" w:line="360" w:lineRule="auto"/>
        <w:ind w:right="51"/>
        <w:jc w:val="both"/>
        <w:rPr>
          <w:rFonts w:eastAsia="Calibri"/>
          <w:sz w:val="24"/>
          <w:szCs w:val="24"/>
          <w:lang w:eastAsia="es-MX"/>
        </w:rPr>
      </w:pPr>
      <w:r w:rsidRPr="003A0F7C">
        <w:rPr>
          <w:rFonts w:eastAsia="Calibri"/>
          <w:sz w:val="24"/>
          <w:szCs w:val="24"/>
          <w:lang w:eastAsia="es-MX"/>
        </w:rPr>
        <w:t xml:space="preserve">Destacándose que, como se ha expuesto </w:t>
      </w:r>
      <w:r w:rsidRPr="003A0F7C">
        <w:rPr>
          <w:rFonts w:eastAsia="Calibri"/>
          <w:b/>
          <w:bCs/>
          <w:sz w:val="24"/>
          <w:szCs w:val="24"/>
          <w:u w:val="single"/>
          <w:lang w:eastAsia="es-MX"/>
        </w:rPr>
        <w:t>ese órgano jurisdiccional razonó y determinó que sí era posible el registro de planillas incompletas por los fundamentos y motivos previamente señalados</w:t>
      </w:r>
      <w:r w:rsidRPr="003A0F7C">
        <w:rPr>
          <w:rFonts w:eastAsia="Calibri"/>
          <w:sz w:val="24"/>
          <w:szCs w:val="24"/>
          <w:lang w:eastAsia="es-MX"/>
        </w:rPr>
        <w:t xml:space="preserve"> (sin desconocer lo </w:t>
      </w:r>
      <w:r w:rsidRPr="003A0F7C">
        <w:rPr>
          <w:rFonts w:eastAsia="Calibri"/>
          <w:sz w:val="24"/>
          <w:szCs w:val="24"/>
          <w:lang w:eastAsia="es-MX"/>
        </w:rPr>
        <w:lastRenderedPageBreak/>
        <w:t xml:space="preserve">establecido en el artículo 191, último párrafo, de la </w:t>
      </w:r>
      <w:r w:rsidRPr="003A0F7C">
        <w:rPr>
          <w:rFonts w:eastAsia="Calibri"/>
          <w:i/>
          <w:iCs/>
          <w:sz w:val="24"/>
          <w:szCs w:val="24"/>
          <w:lang w:eastAsia="es-MX"/>
        </w:rPr>
        <w:t>Ley Electoral Loca</w:t>
      </w:r>
      <w:r w:rsidRPr="003A0F7C">
        <w:rPr>
          <w:rStyle w:val="Refdenotaalpie"/>
          <w:rFonts w:eastAsia="Calibri"/>
          <w:i/>
          <w:iCs/>
          <w:sz w:val="24"/>
          <w:szCs w:val="24"/>
          <w:lang w:eastAsia="es-MX"/>
        </w:rPr>
        <w:footnoteReference w:id="13"/>
      </w:r>
      <w:r w:rsidRPr="003A0F7C">
        <w:rPr>
          <w:rFonts w:eastAsia="Calibri"/>
          <w:i/>
          <w:iCs/>
          <w:sz w:val="24"/>
          <w:szCs w:val="24"/>
          <w:lang w:eastAsia="es-MX"/>
        </w:rPr>
        <w:t>l</w:t>
      </w:r>
      <w:r w:rsidRPr="003A0F7C">
        <w:rPr>
          <w:rFonts w:eastAsia="Calibri"/>
          <w:sz w:val="24"/>
          <w:szCs w:val="24"/>
          <w:lang w:eastAsia="es-MX"/>
        </w:rPr>
        <w:t xml:space="preserve">), sin que el </w:t>
      </w:r>
      <w:r w:rsidRPr="003A0F7C">
        <w:rPr>
          <w:rFonts w:eastAsia="Calibri"/>
          <w:i/>
          <w:iCs/>
          <w:sz w:val="24"/>
          <w:szCs w:val="24"/>
          <w:lang w:eastAsia="es-MX"/>
        </w:rPr>
        <w:t>PAN</w:t>
      </w:r>
      <w:r w:rsidRPr="003A0F7C">
        <w:rPr>
          <w:rFonts w:eastAsia="Calibri"/>
          <w:sz w:val="24"/>
          <w:szCs w:val="24"/>
          <w:lang w:eastAsia="es-MX"/>
        </w:rPr>
        <w:t xml:space="preserve"> combata frontalmente tal determinación.</w:t>
      </w:r>
    </w:p>
    <w:p w14:paraId="1F7B25F6" w14:textId="6FFA6D94" w:rsidR="00D952CF" w:rsidRPr="003A0F7C" w:rsidRDefault="00EB546E" w:rsidP="00D952CF">
      <w:pPr>
        <w:spacing w:before="280" w:after="280" w:line="360" w:lineRule="auto"/>
        <w:ind w:right="51"/>
        <w:jc w:val="both"/>
        <w:rPr>
          <w:rFonts w:eastAsia="Calibri"/>
          <w:sz w:val="24"/>
          <w:szCs w:val="24"/>
          <w:lang w:eastAsia="es-MX"/>
        </w:rPr>
      </w:pPr>
      <w:r w:rsidRPr="003A0F7C">
        <w:rPr>
          <w:rFonts w:eastAsia="Calibri"/>
          <w:sz w:val="24"/>
          <w:szCs w:val="24"/>
          <w:lang w:eastAsia="es-MX"/>
        </w:rPr>
        <w:t>E</w:t>
      </w:r>
      <w:r w:rsidR="00D952CF" w:rsidRPr="003A0F7C">
        <w:rPr>
          <w:rFonts w:eastAsia="Calibri"/>
          <w:sz w:val="24"/>
          <w:szCs w:val="24"/>
          <w:lang w:eastAsia="es-MX"/>
        </w:rPr>
        <w:t>s criterio de este Tribunal Electoral que existe la inaplicación implícita de una norma, cuando del contexto de la sentencia que se analiza se advierta que en ella se privó de efectos jurídicos a un precepto legal, esto es, cuando se determinara su no aplicación por considerarlo contrario a la Constitución, sea porque se oponga directamente a una disposición de la Ley Suprema o porque vulnere algún principio constitucional en materia electoral,</w:t>
      </w:r>
      <w:r w:rsidR="00D952CF" w:rsidRPr="003A0F7C">
        <w:rPr>
          <w:rFonts w:eastAsia="Calibri"/>
          <w:b/>
          <w:bCs/>
          <w:sz w:val="24"/>
          <w:szCs w:val="24"/>
          <w:lang w:eastAsia="es-MX"/>
        </w:rPr>
        <w:t xml:space="preserve"> </w:t>
      </w:r>
      <w:r w:rsidR="00D952CF" w:rsidRPr="003A0F7C">
        <w:rPr>
          <w:rFonts w:eastAsia="Calibri"/>
          <w:sz w:val="24"/>
          <w:szCs w:val="24"/>
          <w:lang w:eastAsia="es-MX"/>
        </w:rPr>
        <w:t xml:space="preserve">aun cuando no se hubiera precisado la determinación de </w:t>
      </w:r>
      <w:proofErr w:type="spellStart"/>
      <w:r w:rsidR="00D952CF" w:rsidRPr="003A0F7C">
        <w:rPr>
          <w:rFonts w:eastAsia="Calibri"/>
          <w:sz w:val="24"/>
          <w:szCs w:val="24"/>
          <w:lang w:eastAsia="es-MX"/>
        </w:rPr>
        <w:t>inapliclarlo</w:t>
      </w:r>
      <w:proofErr w:type="spellEnd"/>
      <w:r w:rsidR="00D952CF" w:rsidRPr="003A0F7C">
        <w:rPr>
          <w:rFonts w:eastAsia="Calibri"/>
          <w:sz w:val="24"/>
          <w:szCs w:val="24"/>
          <w:lang w:eastAsia="es-MX"/>
        </w:rPr>
        <w:t>.</w:t>
      </w:r>
    </w:p>
    <w:p w14:paraId="7CA19A73" w14:textId="208D0990" w:rsidR="004F3A5C" w:rsidRPr="003A0F7C" w:rsidRDefault="00EB546E" w:rsidP="004F3A5C">
      <w:pPr>
        <w:spacing w:before="280" w:after="280" w:line="360" w:lineRule="auto"/>
        <w:ind w:right="51"/>
        <w:jc w:val="both"/>
        <w:rPr>
          <w:rFonts w:eastAsia="Calibri"/>
          <w:sz w:val="24"/>
          <w:szCs w:val="24"/>
          <w:lang w:eastAsia="es-MX"/>
        </w:rPr>
      </w:pPr>
      <w:r w:rsidRPr="003A0F7C">
        <w:rPr>
          <w:rFonts w:eastAsia="Calibri"/>
          <w:sz w:val="24"/>
          <w:szCs w:val="24"/>
          <w:lang w:eastAsia="es-MX"/>
        </w:rPr>
        <w:t>Y e</w:t>
      </w:r>
      <w:r w:rsidR="00D952CF" w:rsidRPr="003A0F7C">
        <w:rPr>
          <w:rFonts w:eastAsia="Calibri"/>
          <w:sz w:val="24"/>
          <w:szCs w:val="24"/>
          <w:lang w:eastAsia="es-MX"/>
        </w:rPr>
        <w:t xml:space="preserve">n el caso concreto, se </w:t>
      </w:r>
      <w:r w:rsidRPr="003A0F7C">
        <w:rPr>
          <w:rFonts w:eastAsia="Calibri"/>
          <w:sz w:val="24"/>
          <w:szCs w:val="24"/>
          <w:lang w:eastAsia="es-MX"/>
        </w:rPr>
        <w:t>establece</w:t>
      </w:r>
      <w:r w:rsidR="00D952CF" w:rsidRPr="003A0F7C">
        <w:rPr>
          <w:rFonts w:eastAsia="Calibri"/>
          <w:sz w:val="24"/>
          <w:szCs w:val="24"/>
          <w:lang w:eastAsia="es-MX"/>
        </w:rPr>
        <w:t xml:space="preserve"> que a pesar de que el </w:t>
      </w:r>
      <w:r w:rsidR="00D952CF" w:rsidRPr="003A0F7C">
        <w:rPr>
          <w:rFonts w:eastAsia="Calibri"/>
          <w:i/>
          <w:iCs/>
          <w:sz w:val="24"/>
          <w:szCs w:val="24"/>
          <w:lang w:eastAsia="es-MX"/>
        </w:rPr>
        <w:t>Tribunal Local</w:t>
      </w:r>
      <w:r w:rsidR="00D952CF" w:rsidRPr="003A0F7C">
        <w:rPr>
          <w:rFonts w:eastAsia="Calibri"/>
          <w:sz w:val="24"/>
          <w:szCs w:val="24"/>
          <w:lang w:eastAsia="es-MX"/>
        </w:rPr>
        <w:t xml:space="preserve"> no señaló de forma abierta que inaplicaba el artículo 191, último párrafo, de la </w:t>
      </w:r>
      <w:r w:rsidR="00D952CF" w:rsidRPr="003A0F7C">
        <w:rPr>
          <w:rFonts w:eastAsia="Calibri"/>
          <w:i/>
          <w:iCs/>
          <w:sz w:val="24"/>
          <w:szCs w:val="24"/>
          <w:lang w:eastAsia="es-MX"/>
        </w:rPr>
        <w:t>Ley Electoral Local</w:t>
      </w:r>
      <w:r w:rsidR="00D952CF" w:rsidRPr="003A0F7C">
        <w:rPr>
          <w:rFonts w:eastAsia="Calibri"/>
          <w:sz w:val="24"/>
          <w:szCs w:val="24"/>
          <w:lang w:eastAsia="es-MX"/>
        </w:rPr>
        <w:t>, lo cierto es que, derivado de su argumentación expresa, sí dejó ver que tal disposici</w:t>
      </w:r>
      <w:r w:rsidR="004F3A5C" w:rsidRPr="003A0F7C">
        <w:rPr>
          <w:rFonts w:eastAsia="Calibri"/>
          <w:sz w:val="24"/>
          <w:szCs w:val="24"/>
          <w:lang w:eastAsia="es-MX"/>
        </w:rPr>
        <w:t>ó</w:t>
      </w:r>
      <w:r w:rsidR="00D952CF" w:rsidRPr="003A0F7C">
        <w:rPr>
          <w:rFonts w:eastAsia="Calibri"/>
          <w:sz w:val="24"/>
          <w:szCs w:val="24"/>
          <w:lang w:eastAsia="es-MX"/>
        </w:rPr>
        <w:t>n</w:t>
      </w:r>
      <w:r w:rsidR="004F3A5C" w:rsidRPr="003A0F7C">
        <w:rPr>
          <w:rFonts w:eastAsia="Calibri"/>
          <w:sz w:val="24"/>
          <w:szCs w:val="24"/>
          <w:lang w:eastAsia="es-MX"/>
        </w:rPr>
        <w:t xml:space="preserve"> en esencia vulneraba el derecho de ser votados de los candidatos que cumplieron debidamente con la conformación de su expediente y los requisitos de elegibilidad, por tanto, sí resultaba procedente el registro de planillas incompletas.</w:t>
      </w:r>
    </w:p>
    <w:p w14:paraId="53CD59BB" w14:textId="7575663F" w:rsidR="004F3A5C" w:rsidRPr="003A0F7C" w:rsidRDefault="004F3A5C" w:rsidP="004F3A5C">
      <w:pPr>
        <w:spacing w:before="280" w:after="280" w:line="360" w:lineRule="auto"/>
        <w:ind w:right="51"/>
        <w:jc w:val="both"/>
        <w:rPr>
          <w:rFonts w:eastAsia="Calibri"/>
          <w:sz w:val="24"/>
          <w:szCs w:val="24"/>
          <w:lang w:eastAsia="es-MX"/>
        </w:rPr>
      </w:pPr>
      <w:r w:rsidRPr="003A0F7C">
        <w:rPr>
          <w:rFonts w:eastAsia="Calibri"/>
          <w:sz w:val="24"/>
          <w:szCs w:val="24"/>
          <w:lang w:eastAsia="es-MX"/>
        </w:rPr>
        <w:t>Sirve de sustento a lo anterior, lo resuelto por la Sala Superior de este Tribunal en la ejecutoria dictada en el expediente SUP-REC-305/2018.</w:t>
      </w:r>
    </w:p>
    <w:p w14:paraId="279871AE" w14:textId="44E87D2C" w:rsidR="00D71317" w:rsidRPr="003A0F7C" w:rsidRDefault="00E45986" w:rsidP="004F3A5C">
      <w:pPr>
        <w:spacing w:before="280" w:after="280" w:line="360" w:lineRule="auto"/>
        <w:ind w:right="51"/>
        <w:jc w:val="both"/>
        <w:rPr>
          <w:rFonts w:eastAsia="Calibri"/>
          <w:sz w:val="24"/>
          <w:szCs w:val="24"/>
          <w:lang w:eastAsia="es-ES"/>
        </w:rPr>
      </w:pPr>
      <w:r w:rsidRPr="003A0F7C">
        <w:rPr>
          <w:rFonts w:eastAsia="Times New Roman" w:cs="Times New Roman"/>
          <w:sz w:val="24"/>
          <w:szCs w:val="24"/>
          <w:lang w:eastAsia="es-ES"/>
        </w:rPr>
        <w:t xml:space="preserve">En consecuencia, al no asistirle la razón a los argumentos planteados por </w:t>
      </w:r>
      <w:r w:rsidR="00D71317" w:rsidRPr="003A0F7C">
        <w:rPr>
          <w:rFonts w:eastAsia="Times New Roman" w:cs="Times New Roman"/>
          <w:sz w:val="24"/>
          <w:szCs w:val="24"/>
          <w:lang w:eastAsia="es-ES"/>
        </w:rPr>
        <w:t>el partido actor</w:t>
      </w:r>
      <w:r w:rsidRPr="003A0F7C">
        <w:rPr>
          <w:rFonts w:eastAsia="Times New Roman" w:cs="Times New Roman"/>
          <w:sz w:val="24"/>
          <w:szCs w:val="24"/>
          <w:lang w:eastAsia="es-ES"/>
        </w:rPr>
        <w:t xml:space="preserve">, lo procedente es confirmar </w:t>
      </w:r>
      <w:r w:rsidR="00D71317" w:rsidRPr="003A0F7C">
        <w:rPr>
          <w:rFonts w:eastAsia="Times New Roman" w:cs="Times New Roman"/>
          <w:sz w:val="24"/>
          <w:szCs w:val="24"/>
          <w:lang w:eastAsia="es-ES"/>
        </w:rPr>
        <w:t xml:space="preserve">en lo que fue materia de impugnación </w:t>
      </w:r>
      <w:r w:rsidRPr="003A0F7C">
        <w:rPr>
          <w:rFonts w:eastAsia="Times New Roman" w:cs="Times New Roman"/>
          <w:sz w:val="24"/>
          <w:szCs w:val="24"/>
          <w:lang w:eastAsia="es-ES"/>
        </w:rPr>
        <w:t>la resolución impugnada.</w:t>
      </w:r>
      <w:bookmarkStart w:id="28" w:name="_Toc27649911"/>
      <w:bookmarkStart w:id="29" w:name="_Hlk13643560"/>
      <w:bookmarkStart w:id="30" w:name="_Toc13845030"/>
    </w:p>
    <w:p w14:paraId="6DD51BD7" w14:textId="2BA1811A" w:rsidR="00D71317" w:rsidRPr="003A0F7C" w:rsidRDefault="00E45986" w:rsidP="00D71317">
      <w:pPr>
        <w:spacing w:before="280" w:beforeAutospacing="1" w:after="280" w:afterAutospacing="1" w:line="360" w:lineRule="auto"/>
        <w:jc w:val="both"/>
        <w:rPr>
          <w:rFonts w:eastAsia="Calibri"/>
          <w:sz w:val="24"/>
          <w:szCs w:val="24"/>
          <w:lang w:eastAsia="es-ES"/>
        </w:rPr>
      </w:pPr>
      <w:r w:rsidRPr="003A0F7C">
        <w:rPr>
          <w:rFonts w:eastAsiaTheme="minorEastAsia"/>
          <w:b/>
          <w:sz w:val="24"/>
          <w:szCs w:val="24"/>
          <w:lang w:eastAsia="es-MX"/>
        </w:rPr>
        <w:t>5. RESOLUTIVO</w:t>
      </w:r>
      <w:bookmarkEnd w:id="28"/>
      <w:bookmarkEnd w:id="29"/>
      <w:bookmarkEnd w:id="30"/>
      <w:r w:rsidR="00A1274F" w:rsidRPr="003A0F7C">
        <w:rPr>
          <w:rFonts w:eastAsiaTheme="minorEastAsia"/>
          <w:b/>
          <w:sz w:val="24"/>
          <w:szCs w:val="24"/>
          <w:lang w:eastAsia="es-MX"/>
        </w:rPr>
        <w:t>S</w:t>
      </w:r>
    </w:p>
    <w:p w14:paraId="1C717493" w14:textId="3DC201E9" w:rsidR="00E45986" w:rsidRPr="003A0F7C" w:rsidRDefault="00A1274F" w:rsidP="00D71317">
      <w:pPr>
        <w:spacing w:before="280" w:beforeAutospacing="1" w:after="280" w:afterAutospacing="1" w:line="360" w:lineRule="auto"/>
        <w:jc w:val="both"/>
        <w:rPr>
          <w:rFonts w:eastAsia="Times New Roman"/>
          <w:bCs/>
          <w:sz w:val="24"/>
          <w:szCs w:val="24"/>
          <w:lang w:eastAsia="es-ES"/>
        </w:rPr>
      </w:pPr>
      <w:r w:rsidRPr="003A0F7C">
        <w:rPr>
          <w:rFonts w:eastAsia="Times New Roman"/>
          <w:b/>
          <w:bCs/>
          <w:sz w:val="24"/>
          <w:szCs w:val="24"/>
          <w:lang w:eastAsia="es-ES"/>
        </w:rPr>
        <w:t>PRIMERO</w:t>
      </w:r>
      <w:r w:rsidR="00E45986" w:rsidRPr="003A0F7C">
        <w:rPr>
          <w:rFonts w:eastAsia="Times New Roman"/>
          <w:b/>
          <w:bCs/>
          <w:sz w:val="24"/>
          <w:szCs w:val="24"/>
          <w:lang w:eastAsia="es-ES"/>
        </w:rPr>
        <w:t xml:space="preserve">. </w:t>
      </w:r>
      <w:r w:rsidR="00E45986" w:rsidRPr="003A0F7C">
        <w:rPr>
          <w:rFonts w:eastAsia="Times New Roman"/>
          <w:bCs/>
          <w:sz w:val="24"/>
          <w:szCs w:val="24"/>
          <w:lang w:eastAsia="es-ES"/>
        </w:rPr>
        <w:t xml:space="preserve">Se </w:t>
      </w:r>
      <w:r w:rsidR="00E45986" w:rsidRPr="003A0F7C">
        <w:rPr>
          <w:rFonts w:eastAsia="Times New Roman"/>
          <w:b/>
          <w:bCs/>
          <w:sz w:val="24"/>
          <w:szCs w:val="24"/>
          <w:lang w:eastAsia="es-ES"/>
        </w:rPr>
        <w:t>confirma</w:t>
      </w:r>
      <w:r w:rsidR="00E45986" w:rsidRPr="003A0F7C">
        <w:rPr>
          <w:rFonts w:eastAsia="Times New Roman"/>
          <w:bCs/>
          <w:sz w:val="24"/>
          <w:szCs w:val="24"/>
          <w:lang w:eastAsia="es-ES"/>
        </w:rPr>
        <w:t xml:space="preserve"> </w:t>
      </w:r>
      <w:r w:rsidR="00D71317" w:rsidRPr="003A0F7C">
        <w:rPr>
          <w:rFonts w:eastAsia="Times New Roman"/>
          <w:bCs/>
          <w:sz w:val="24"/>
          <w:szCs w:val="24"/>
          <w:lang w:eastAsia="es-ES"/>
        </w:rPr>
        <w:t xml:space="preserve">en lo que fue materia de impugnación </w:t>
      </w:r>
      <w:r w:rsidR="00E45986" w:rsidRPr="003A0F7C">
        <w:rPr>
          <w:rFonts w:eastAsia="Times New Roman"/>
          <w:bCs/>
          <w:sz w:val="24"/>
          <w:szCs w:val="24"/>
          <w:lang w:eastAsia="es-ES"/>
        </w:rPr>
        <w:t>la resolución impugnada.</w:t>
      </w:r>
    </w:p>
    <w:p w14:paraId="56D02A2D" w14:textId="4D18BFDA" w:rsidR="00A1274F" w:rsidRPr="003A0F7C" w:rsidRDefault="00A1274F" w:rsidP="00D71317">
      <w:pPr>
        <w:spacing w:before="280" w:beforeAutospacing="1" w:after="280" w:afterAutospacing="1" w:line="360" w:lineRule="auto"/>
        <w:jc w:val="both"/>
        <w:rPr>
          <w:rFonts w:eastAsia="Calibri"/>
          <w:sz w:val="24"/>
          <w:szCs w:val="24"/>
          <w:lang w:eastAsia="es-ES"/>
        </w:rPr>
      </w:pPr>
      <w:r w:rsidRPr="003A0F7C">
        <w:rPr>
          <w:rFonts w:eastAsia="Times New Roman"/>
          <w:b/>
          <w:sz w:val="24"/>
          <w:szCs w:val="24"/>
          <w:lang w:eastAsia="es-ES"/>
        </w:rPr>
        <w:t>SEGUNDO.</w:t>
      </w:r>
      <w:r w:rsidR="008B7875" w:rsidRPr="003A0F7C">
        <w:rPr>
          <w:rFonts w:eastAsia="Times New Roman"/>
          <w:bCs/>
          <w:sz w:val="24"/>
          <w:szCs w:val="24"/>
          <w:lang w:eastAsia="es-ES"/>
        </w:rPr>
        <w:t xml:space="preserve"> </w:t>
      </w:r>
      <w:r w:rsidR="006837D8" w:rsidRPr="003A0F7C">
        <w:rPr>
          <w:rFonts w:eastAsia="Times New Roman"/>
          <w:bCs/>
          <w:sz w:val="24"/>
          <w:szCs w:val="24"/>
          <w:lang w:eastAsia="es-ES"/>
        </w:rPr>
        <w:t xml:space="preserve">Se </w:t>
      </w:r>
      <w:r w:rsidR="006837D8" w:rsidRPr="003A0F7C">
        <w:rPr>
          <w:rFonts w:eastAsia="Times New Roman"/>
          <w:b/>
          <w:sz w:val="24"/>
          <w:szCs w:val="24"/>
          <w:lang w:eastAsia="es-ES"/>
        </w:rPr>
        <w:t>conmina</w:t>
      </w:r>
      <w:r w:rsidR="006837D8" w:rsidRPr="003A0F7C">
        <w:rPr>
          <w:rFonts w:eastAsia="Times New Roman"/>
          <w:bCs/>
          <w:sz w:val="24"/>
          <w:szCs w:val="24"/>
          <w:lang w:eastAsia="es-ES"/>
        </w:rPr>
        <w:t xml:space="preserve"> al Tribunal Estatal Electoral de Guanajuato para que, en lo sucesivo, se ajuste a los plazos establecidos legalmente para la tramitación de los medios de impugnación como los que dieron origen al presente asunto.</w:t>
      </w:r>
    </w:p>
    <w:p w14:paraId="6BA444DF" w14:textId="2A030D92" w:rsidR="00A52AF8" w:rsidRPr="003A0F7C" w:rsidRDefault="00A52AF8" w:rsidP="00EB2DC3">
      <w:pPr>
        <w:tabs>
          <w:tab w:val="left" w:pos="2646"/>
        </w:tabs>
        <w:spacing w:before="100" w:beforeAutospacing="1" w:after="100" w:afterAutospacing="1" w:line="360" w:lineRule="auto"/>
        <w:jc w:val="both"/>
        <w:rPr>
          <w:rFonts w:eastAsia="Times New Roman"/>
          <w:sz w:val="24"/>
          <w:szCs w:val="24"/>
          <w:lang w:eastAsia="es-ES"/>
        </w:rPr>
      </w:pPr>
      <w:bookmarkStart w:id="31" w:name="_Hlk62673942"/>
      <w:r w:rsidRPr="003A0F7C">
        <w:rPr>
          <w:rFonts w:eastAsia="Times New Roman"/>
          <w:sz w:val="24"/>
          <w:szCs w:val="24"/>
          <w:lang w:eastAsia="es-ES"/>
        </w:rPr>
        <w:t xml:space="preserve">En su oportunidad, archívese </w:t>
      </w:r>
      <w:r w:rsidR="004528DF" w:rsidRPr="003A0F7C">
        <w:rPr>
          <w:rFonts w:eastAsia="Times New Roman"/>
          <w:sz w:val="24"/>
          <w:szCs w:val="24"/>
          <w:lang w:eastAsia="es-ES"/>
        </w:rPr>
        <w:t>el</w:t>
      </w:r>
      <w:r w:rsidRPr="003A0F7C">
        <w:rPr>
          <w:rFonts w:eastAsia="Times New Roman"/>
          <w:sz w:val="24"/>
          <w:szCs w:val="24"/>
          <w:lang w:eastAsia="es-ES"/>
        </w:rPr>
        <w:t xml:space="preserve"> presente expediente como asunto concluido; en su caso, devuélvase la documentación que en original haya</w:t>
      </w:r>
      <w:r w:rsidR="004528DF" w:rsidRPr="003A0F7C">
        <w:rPr>
          <w:rFonts w:eastAsia="Times New Roman"/>
          <w:sz w:val="24"/>
          <w:szCs w:val="24"/>
          <w:lang w:eastAsia="es-ES"/>
        </w:rPr>
        <w:t xml:space="preserve"> </w:t>
      </w:r>
      <w:r w:rsidRPr="003A0F7C">
        <w:rPr>
          <w:rFonts w:eastAsia="Times New Roman"/>
          <w:sz w:val="24"/>
          <w:szCs w:val="24"/>
          <w:lang w:eastAsia="es-ES"/>
        </w:rPr>
        <w:t>exhibido la responsable.</w:t>
      </w:r>
    </w:p>
    <w:p w14:paraId="43E324CB" w14:textId="6B606234" w:rsidR="00F9011A" w:rsidRPr="003A0F7C" w:rsidRDefault="00F9011A" w:rsidP="00EB2DC3">
      <w:pPr>
        <w:tabs>
          <w:tab w:val="left" w:pos="2646"/>
        </w:tabs>
        <w:spacing w:before="100" w:beforeAutospacing="1" w:after="100" w:afterAutospacing="1" w:line="360" w:lineRule="auto"/>
        <w:jc w:val="both"/>
        <w:rPr>
          <w:rFonts w:eastAsia="Times New Roman"/>
          <w:b/>
          <w:sz w:val="24"/>
          <w:szCs w:val="24"/>
          <w:lang w:eastAsia="es-ES"/>
        </w:rPr>
      </w:pPr>
      <w:r w:rsidRPr="003A0F7C">
        <w:rPr>
          <w:rFonts w:eastAsia="Times New Roman"/>
          <w:b/>
          <w:sz w:val="24"/>
          <w:szCs w:val="24"/>
          <w:lang w:eastAsia="es-ES"/>
        </w:rPr>
        <w:lastRenderedPageBreak/>
        <w:t>NOTIFÍQUESE.</w:t>
      </w:r>
    </w:p>
    <w:p w14:paraId="73C1DE69" w14:textId="74DCBD59" w:rsidR="004F3620" w:rsidRPr="003A0F7C" w:rsidRDefault="004F3620" w:rsidP="004F3620">
      <w:pPr>
        <w:tabs>
          <w:tab w:val="left" w:pos="5461"/>
        </w:tabs>
        <w:spacing w:before="100" w:beforeAutospacing="1" w:after="100" w:afterAutospacing="1" w:line="360" w:lineRule="auto"/>
        <w:jc w:val="both"/>
        <w:rPr>
          <w:rFonts w:eastAsia="Calibri"/>
          <w:sz w:val="24"/>
          <w:szCs w:val="24"/>
        </w:rPr>
      </w:pPr>
      <w:r w:rsidRPr="003A0F7C">
        <w:rPr>
          <w:rFonts w:eastAsia="Calibri"/>
          <w:sz w:val="24"/>
          <w:szCs w:val="24"/>
        </w:rPr>
        <w:t xml:space="preserve">Así lo resolvieron, por </w:t>
      </w:r>
      <w:r w:rsidR="004531B1" w:rsidRPr="003A0F7C">
        <w:rPr>
          <w:rFonts w:eastAsia="Calibri"/>
          <w:b/>
          <w:sz w:val="24"/>
          <w:szCs w:val="24"/>
        </w:rPr>
        <w:t>unanimidad</w:t>
      </w:r>
      <w:r w:rsidRPr="003A0F7C">
        <w:rPr>
          <w:rFonts w:eastAsia="Calibri"/>
          <w:b/>
          <w:sz w:val="24"/>
          <w:szCs w:val="24"/>
        </w:rPr>
        <w:t xml:space="preserve"> </w:t>
      </w:r>
      <w:r w:rsidRPr="003A0F7C">
        <w:rPr>
          <w:rFonts w:eastAsia="Calibri"/>
          <w:sz w:val="24"/>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7489AADB" w14:textId="77777777" w:rsidR="00B36168" w:rsidRPr="0099034F" w:rsidRDefault="00B36168" w:rsidP="00ED3BC0">
      <w:pPr>
        <w:spacing w:before="100" w:beforeAutospacing="1" w:after="100" w:afterAutospacing="1" w:line="240" w:lineRule="auto"/>
        <w:jc w:val="both"/>
        <w:rPr>
          <w:rFonts w:eastAsia="Times New Roman"/>
          <w:i/>
          <w:iCs/>
          <w:sz w:val="24"/>
          <w:szCs w:val="24"/>
          <w:lang w:eastAsia="es-ES"/>
        </w:rPr>
      </w:pPr>
      <w:r w:rsidRPr="003A0F7C">
        <w:rPr>
          <w:rFonts w:eastAsia="Times New Roman"/>
          <w:i/>
          <w:iCs/>
          <w:sz w:val="24"/>
          <w:szCs w:val="24"/>
          <w:lang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bookmarkEnd w:id="31"/>
    </w:p>
    <w:sectPr w:rsidR="00B36168" w:rsidRPr="0099034F" w:rsidSect="00E66619">
      <w:headerReference w:type="even" r:id="rId8"/>
      <w:headerReference w:type="default" r:id="rId9"/>
      <w:headerReference w:type="first" r:id="rId10"/>
      <w:pgSz w:w="12242" w:h="19295" w:code="200"/>
      <w:pgMar w:top="1418"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7CE3B" w14:textId="77777777" w:rsidR="00104A3C" w:rsidRDefault="00104A3C" w:rsidP="00F9011A">
      <w:pPr>
        <w:spacing w:after="0" w:line="240" w:lineRule="auto"/>
      </w:pPr>
      <w:r>
        <w:separator/>
      </w:r>
    </w:p>
  </w:endnote>
  <w:endnote w:type="continuationSeparator" w:id="0">
    <w:p w14:paraId="3AD6FAC0" w14:textId="77777777" w:rsidR="00104A3C" w:rsidRDefault="00104A3C"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89B94" w14:textId="77777777" w:rsidR="00104A3C" w:rsidRDefault="00104A3C" w:rsidP="00F9011A">
      <w:pPr>
        <w:spacing w:after="0" w:line="240" w:lineRule="auto"/>
      </w:pPr>
      <w:r>
        <w:separator/>
      </w:r>
    </w:p>
  </w:footnote>
  <w:footnote w:type="continuationSeparator" w:id="0">
    <w:p w14:paraId="677CAB4A" w14:textId="77777777" w:rsidR="00104A3C" w:rsidRDefault="00104A3C" w:rsidP="00F9011A">
      <w:pPr>
        <w:spacing w:after="0" w:line="240" w:lineRule="auto"/>
      </w:pPr>
      <w:r>
        <w:continuationSeparator/>
      </w:r>
    </w:p>
  </w:footnote>
  <w:footnote w:id="1">
    <w:p w14:paraId="1DF75B24" w14:textId="1A9963A0" w:rsidR="00285BD3" w:rsidRPr="00C336CB" w:rsidRDefault="00285BD3" w:rsidP="009D0468">
      <w:pPr>
        <w:pStyle w:val="Sinespaciado"/>
        <w:ind w:right="193"/>
        <w:rPr>
          <w:sz w:val="20"/>
          <w:szCs w:val="20"/>
        </w:rPr>
      </w:pPr>
      <w:r w:rsidRPr="00C336CB">
        <w:rPr>
          <w:rStyle w:val="Refdenotaalpie"/>
          <w:color w:val="000000" w:themeColor="text1"/>
          <w:sz w:val="20"/>
          <w:szCs w:val="20"/>
        </w:rPr>
        <w:footnoteRef/>
      </w:r>
      <w:r w:rsidRPr="00C336CB">
        <w:rPr>
          <w:sz w:val="20"/>
          <w:szCs w:val="20"/>
        </w:rPr>
        <w:t xml:space="preserve"> </w:t>
      </w:r>
      <w:bookmarkStart w:id="9" w:name="_Hlk57029232"/>
      <w:r w:rsidRPr="00C336CB">
        <w:rPr>
          <w:sz w:val="20"/>
          <w:szCs w:val="20"/>
        </w:rPr>
        <w:t xml:space="preserve">Acuerdo de admisión de fecha </w:t>
      </w:r>
      <w:r>
        <w:rPr>
          <w:sz w:val="20"/>
          <w:szCs w:val="20"/>
        </w:rPr>
        <w:t>tres</w:t>
      </w:r>
      <w:r w:rsidRPr="00C336CB">
        <w:rPr>
          <w:sz w:val="20"/>
          <w:szCs w:val="20"/>
        </w:rPr>
        <w:t xml:space="preserve"> de </w:t>
      </w:r>
      <w:r>
        <w:rPr>
          <w:sz w:val="20"/>
          <w:szCs w:val="20"/>
        </w:rPr>
        <w:t>mayo</w:t>
      </w:r>
      <w:r w:rsidRPr="00C336CB">
        <w:rPr>
          <w:sz w:val="20"/>
          <w:szCs w:val="20"/>
        </w:rPr>
        <w:t>, visible en el expediente principal.</w:t>
      </w:r>
      <w:bookmarkEnd w:id="9"/>
    </w:p>
  </w:footnote>
  <w:footnote w:id="2">
    <w:p w14:paraId="0281F81F" w14:textId="03D683B9" w:rsidR="00285BD3" w:rsidRDefault="00285BD3" w:rsidP="009D0468">
      <w:pPr>
        <w:pStyle w:val="Textonotapie"/>
        <w:jc w:val="both"/>
      </w:pPr>
      <w:r>
        <w:rPr>
          <w:rStyle w:val="Refdenotaalpie"/>
        </w:rPr>
        <w:footnoteRef/>
      </w:r>
      <w:r>
        <w:t xml:space="preserve"> </w:t>
      </w:r>
      <w:r w:rsidRPr="00764563">
        <w:t xml:space="preserve">La Sala Superior en sesión pública celebrada el dieciocho de marzo de dos mil veintiuno, aprobó por mayoría de cinco votos, con el voto en contra de la Magistrada Mónica </w:t>
      </w:r>
      <w:proofErr w:type="spellStart"/>
      <w:r w:rsidRPr="00764563">
        <w:t>Aralí</w:t>
      </w:r>
      <w:proofErr w:type="spellEnd"/>
      <w:r w:rsidRPr="00764563">
        <w:t xml:space="preserve"> Soto Fregoso y el Magistrado Presidente José Luis Vargas Valdez, la tesis</w:t>
      </w:r>
      <w:r>
        <w:t>; misma que se encuentra p</w:t>
      </w:r>
      <w:r w:rsidRPr="00764563">
        <w:t>endiente de publicación en la Gaceta de Jurisprudencia y Tesis en materia electoral del Tribunal Electoral del Poder Judicial de la Federación.</w:t>
      </w:r>
    </w:p>
  </w:footnote>
  <w:footnote w:id="3">
    <w:p w14:paraId="68B3F2C8" w14:textId="1C61666C" w:rsidR="00285BD3" w:rsidRDefault="00285BD3" w:rsidP="009D0468">
      <w:pPr>
        <w:pStyle w:val="Textonotapie"/>
        <w:jc w:val="both"/>
      </w:pPr>
      <w:r>
        <w:rPr>
          <w:rStyle w:val="Refdenotaalpie"/>
        </w:rPr>
        <w:footnoteRef/>
      </w:r>
      <w:r>
        <w:t xml:space="preserve"> Véase artículo 400, segundo párrafo, de la </w:t>
      </w:r>
      <w:r w:rsidRPr="0099034F">
        <w:rPr>
          <w:i/>
          <w:iCs/>
        </w:rPr>
        <w:t>Ley Electoral Local</w:t>
      </w:r>
      <w:r>
        <w:t>.</w:t>
      </w:r>
    </w:p>
  </w:footnote>
  <w:footnote w:id="4">
    <w:p w14:paraId="2C61D8EC" w14:textId="7E4A5613" w:rsidR="00285BD3" w:rsidRDefault="00285BD3" w:rsidP="009D0468">
      <w:pPr>
        <w:pStyle w:val="Textonotapie"/>
        <w:jc w:val="both"/>
      </w:pPr>
      <w:r>
        <w:rPr>
          <w:rStyle w:val="Refdenotaalpie"/>
        </w:rPr>
        <w:footnoteRef/>
      </w:r>
      <w:r>
        <w:t xml:space="preserve"> Véase resolución dictada en el expediente SM-JDC-293/2021.</w:t>
      </w:r>
    </w:p>
  </w:footnote>
  <w:footnote w:id="5">
    <w:p w14:paraId="2064D74D" w14:textId="77777777" w:rsidR="00285BD3" w:rsidRDefault="00285BD3" w:rsidP="009D0468">
      <w:pPr>
        <w:pStyle w:val="Textonotapie"/>
        <w:jc w:val="both"/>
      </w:pPr>
      <w:r>
        <w:rPr>
          <w:rStyle w:val="Refdenotaalpie"/>
        </w:rPr>
        <w:footnoteRef/>
      </w:r>
      <w:r>
        <w:t xml:space="preserve"> Tal y como se desprende de la siguiente dirección:</w:t>
      </w:r>
    </w:p>
    <w:p w14:paraId="57A4736C" w14:textId="77777777" w:rsidR="00285BD3" w:rsidRDefault="00104A3C" w:rsidP="009D0468">
      <w:pPr>
        <w:pStyle w:val="Textonotapie"/>
        <w:jc w:val="both"/>
      </w:pPr>
      <w:hyperlink r:id="rId1" w:history="1">
        <w:r w:rsidR="00285BD3" w:rsidRPr="00006A96">
          <w:rPr>
            <w:rStyle w:val="Hipervnculo"/>
          </w:rPr>
          <w:t>http://teeg.gob.mx/estrados/2021/tercera/revision/TEEG%20REV-18-2021/02-170421-2000.pdf</w:t>
        </w:r>
      </w:hyperlink>
      <w:r w:rsidR="00285BD3">
        <w:t xml:space="preserve"> </w:t>
      </w:r>
    </w:p>
  </w:footnote>
  <w:footnote w:id="6">
    <w:p w14:paraId="4E856968" w14:textId="1BAEC5AD" w:rsidR="00285BD3" w:rsidRDefault="00285BD3" w:rsidP="009D0468">
      <w:pPr>
        <w:pStyle w:val="Textonotapie"/>
        <w:jc w:val="both"/>
      </w:pPr>
      <w:r>
        <w:rPr>
          <w:rStyle w:val="Refdenotaalpie"/>
        </w:rPr>
        <w:footnoteRef/>
      </w:r>
      <w:r>
        <w:t xml:space="preserve"> </w:t>
      </w:r>
      <w:r w:rsidRPr="00683F49">
        <w:t>Consultable en Jurisprudencia y Tesis Relevantes 1997-2005. Compilación Oficial, Tribunal Electoral del Poder Judicial de la Federación, páginas 20 y 21.</w:t>
      </w:r>
    </w:p>
  </w:footnote>
  <w:footnote w:id="7">
    <w:p w14:paraId="0EAF8E86" w14:textId="46DB3EC4" w:rsidR="00945C85" w:rsidRPr="007B5ED4" w:rsidRDefault="00945C85" w:rsidP="00945C85">
      <w:pPr>
        <w:shd w:val="clear" w:color="auto" w:fill="FFFFFF"/>
        <w:spacing w:after="0" w:line="240" w:lineRule="auto"/>
        <w:jc w:val="both"/>
        <w:rPr>
          <w:rFonts w:eastAsia="Times New Roman"/>
          <w:color w:val="000000"/>
          <w:lang w:eastAsia="es-MX"/>
        </w:rPr>
      </w:pPr>
      <w:r>
        <w:rPr>
          <w:rStyle w:val="Refdenotaalpie"/>
        </w:rPr>
        <w:footnoteRef/>
      </w:r>
      <w:r>
        <w:t xml:space="preserve"> </w:t>
      </w:r>
      <w:r w:rsidRPr="007B5ED4">
        <w:rPr>
          <w:rFonts w:eastAsia="Times New Roman"/>
          <w:color w:val="000000"/>
          <w:lang w:eastAsia="es-MX"/>
        </w:rPr>
        <w:t>Justicia Electoral. Revista del Tribunal Electoral del Poder Judicial de la Federación, Suplemento 5, Año 2002, página 24.</w:t>
      </w:r>
    </w:p>
    <w:p w14:paraId="7FFB511D" w14:textId="77777777" w:rsidR="00945C85" w:rsidRDefault="00945C85" w:rsidP="00945C85">
      <w:pPr>
        <w:pStyle w:val="Textonotapie"/>
      </w:pPr>
    </w:p>
  </w:footnote>
  <w:footnote w:id="8">
    <w:p w14:paraId="4285A418" w14:textId="225B8FE8" w:rsidR="00285BD3" w:rsidRDefault="00285BD3" w:rsidP="009D0468">
      <w:pPr>
        <w:pStyle w:val="Textonotapie"/>
        <w:jc w:val="both"/>
      </w:pPr>
      <w:r>
        <w:rPr>
          <w:rStyle w:val="Refdenotaalpie"/>
        </w:rPr>
        <w:footnoteRef/>
      </w:r>
      <w:r>
        <w:t xml:space="preserve"> Visibles en el cuaderno accesorio 2, fojas 24-26, 44-45, 48-49, 51-58, 59-60 y 65-67.</w:t>
      </w:r>
    </w:p>
  </w:footnote>
  <w:footnote w:id="9">
    <w:p w14:paraId="2E99DC0C" w14:textId="77777777" w:rsidR="00285BD3" w:rsidRDefault="00285BD3" w:rsidP="009D0468">
      <w:pPr>
        <w:pStyle w:val="Textonotapie"/>
        <w:jc w:val="both"/>
      </w:pPr>
      <w:r>
        <w:rPr>
          <w:rStyle w:val="Refdenotaalpie"/>
        </w:rPr>
        <w:footnoteRef/>
      </w:r>
      <w:r>
        <w:t xml:space="preserve"> Al respecto, es ilustrativo lo sostenido por la corte Interamericana de Derechos Humanos en la opinión consultiva OC-22/16, en cuyos párrafos 119 y 120, señala lo siguiente:</w:t>
      </w:r>
    </w:p>
    <w:p w14:paraId="5F9B9784" w14:textId="77777777" w:rsidR="00285BD3" w:rsidRDefault="00285BD3" w:rsidP="009D0468">
      <w:pPr>
        <w:pStyle w:val="Textonotapie"/>
        <w:jc w:val="both"/>
      </w:pPr>
      <w:r>
        <w:t xml:space="preserve">119. Al respecto, cabe señalar que, independientemente de la especificidad de cada caso, este Tribunal considera que el ejercicio del derecho a través de una persona jurídica debe involucrar una relación esencial y directa entre la persona natural que requiere protección por parte del sistema interamericano y la persona jurídica a través de la cual se produjo la violación, por cuanto no es suficiente con un simple vínculo entre ambas personas para concluir que efectivamente se están protegiendo los derechos de personas físicas y no de las personas jurídicas. En efecto, se debe probar más allá de la simple participación de la persona natural en las actividades propias de la persona jurídica, de forma que dicha participación se relacione de manera sustancial con los derechos alegados como vulnerados. Además, la Corte, al amparo de lo previsto en el artículo 29.a de la Convención, considera que la mera existencia y acción de la persona jurídica en la que participa la persona natural, presunta víctima de la violación que se </w:t>
      </w:r>
      <w:proofErr w:type="gramStart"/>
      <w:r>
        <w:t>alegue,</w:t>
      </w:r>
      <w:proofErr w:type="gramEnd"/>
      <w:r>
        <w:t xml:space="preserve"> no puede constituir un obstáculo para que le sea sometido, conozca y resuelva el caso correspondiente. De otra manera, se estaría interpretando el artículo 1.2 del mismo texto convencional, como permitiendo “a alguno de los </w:t>
      </w:r>
      <w:proofErr w:type="gramStart"/>
      <w:r>
        <w:t>Estados Partes</w:t>
      </w:r>
      <w:proofErr w:type="gramEnd"/>
      <w:r>
        <w:t>, grupo o persona, suprimir el goce y ejercicio de los derechos y libertades reconocidos en la Convención o limitarlos en mayor medida que la prevista en ella”.</w:t>
      </w:r>
    </w:p>
    <w:p w14:paraId="6F109704" w14:textId="77777777" w:rsidR="00285BD3" w:rsidRDefault="00285BD3" w:rsidP="009D0468">
      <w:pPr>
        <w:pStyle w:val="Textonotapie"/>
        <w:jc w:val="both"/>
      </w:pPr>
      <w:r>
        <w:t>120. Teniendo en cuenta lo anterior, la Corte considera que debido a las múltiples formas que pueden surgir de la figura de personas jurídicas, tales como empresas o sociedades comerciales, partidos políticos, asociaciones religiosas u organizaciones no gubernamentales, no es viable establecer una fórmula única que sirva para reconocer la existencia del ejercicio de derechos de personas naturales a través de su participación en una persona jurídica, de manera como lo ha realizado con el derecho a la propiedad y a la libertad de expresión. Por ello, la Corte determinará la manera de probar el vínculo cuando analice la alegada violación de uno de los derechos presuntamente vulnerados en un caso contencioso concreto.</w:t>
      </w:r>
    </w:p>
  </w:footnote>
  <w:footnote w:id="10">
    <w:p w14:paraId="25898B51" w14:textId="77777777" w:rsidR="00285BD3" w:rsidRPr="009270BD" w:rsidRDefault="00285BD3" w:rsidP="009D0468">
      <w:pPr>
        <w:pStyle w:val="Textonotapie"/>
        <w:jc w:val="both"/>
        <w:rPr>
          <w:lang w:val="es-419"/>
        </w:rPr>
      </w:pPr>
      <w:r w:rsidRPr="009270BD">
        <w:rPr>
          <w:rStyle w:val="Refdenotaalpie"/>
        </w:rPr>
        <w:footnoteRef/>
      </w:r>
      <w:r w:rsidRPr="009270BD">
        <w:t xml:space="preserve"> </w:t>
      </w:r>
      <w:r w:rsidRPr="009270BD">
        <w:rPr>
          <w:lang w:val="es-419"/>
        </w:rPr>
        <w:t>Criterio sostenido en el juicio ciudadano SM-JDC-401/2018.</w:t>
      </w:r>
    </w:p>
  </w:footnote>
  <w:footnote w:id="11">
    <w:p w14:paraId="38400C93" w14:textId="53062E17" w:rsidR="00285BD3" w:rsidRPr="00915DFE" w:rsidRDefault="00285BD3" w:rsidP="009D0468">
      <w:pPr>
        <w:pStyle w:val="Textonotapie"/>
        <w:jc w:val="both"/>
      </w:pPr>
      <w:r w:rsidRPr="009270BD">
        <w:rPr>
          <w:rStyle w:val="Refdenotaalpie"/>
        </w:rPr>
        <w:footnoteRef/>
      </w:r>
      <w:r w:rsidRPr="009270BD">
        <w:t xml:space="preserve"> Véase lo resuelto por esta Sala Regional en el juicio de la ciudadanía SM-JDC-187/2021</w:t>
      </w:r>
      <w:r>
        <w:t>, así como en el diverso SM-JDC-264/2021 y acumulados</w:t>
      </w:r>
      <w:r w:rsidRPr="009270BD">
        <w:t>.</w:t>
      </w:r>
    </w:p>
  </w:footnote>
  <w:footnote w:id="12">
    <w:p w14:paraId="1C0F2CEE" w14:textId="00E31C9E" w:rsidR="00A97430" w:rsidRDefault="00A97430">
      <w:pPr>
        <w:pStyle w:val="Textonotapie"/>
      </w:pPr>
      <w:r>
        <w:rPr>
          <w:rStyle w:val="Refdenotaalpie"/>
        </w:rPr>
        <w:footnoteRef/>
      </w:r>
      <w:r>
        <w:t xml:space="preserve"> Véase cuaderno accesorio 2, reverso foja 7. </w:t>
      </w:r>
    </w:p>
  </w:footnote>
  <w:footnote w:id="13">
    <w:p w14:paraId="5C695025" w14:textId="7918EB94" w:rsidR="00D80264" w:rsidRDefault="00D80264">
      <w:pPr>
        <w:pStyle w:val="Textonotapie"/>
      </w:pPr>
      <w:r>
        <w:rPr>
          <w:rStyle w:val="Refdenotaalpie"/>
        </w:rPr>
        <w:footnoteRef/>
      </w:r>
      <w:r>
        <w:t xml:space="preserve"> Véase foja 47 de la sentencia impugnada.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555E" w14:textId="4FC72CB3" w:rsidR="00285BD3" w:rsidRPr="00A324D6" w:rsidRDefault="00285BD3"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4D2344D8" wp14:editId="5D14F0A7">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6A8C5F" w14:textId="77777777" w:rsidR="00285BD3" w:rsidRPr="009F45DC" w:rsidRDefault="00285BD3">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44D8" id="Rectángulo 558" o:spid="_x0000_s1026"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" o:allowincell="f" stroked="f">
              <o:lock v:ext="edit" aspectratio="t"/>
              <v:textbox>
                <w:txbxContent>
                  <w:p w14:paraId="586A8C5F" w14:textId="77777777" w:rsidR="00285BD3" w:rsidRPr="009F45DC" w:rsidRDefault="00285BD3">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JRC-54/2021</w:t>
    </w:r>
    <w:r>
      <w:rPr>
        <w:b/>
        <w:sz w:val="22"/>
      </w:rPr>
      <w:tab/>
    </w:r>
  </w:p>
  <w:p w14:paraId="3DB0D436" w14:textId="77777777" w:rsidR="00285BD3" w:rsidRPr="00046955" w:rsidRDefault="00285BD3" w:rsidP="003D439F">
    <w:pPr>
      <w:pStyle w:val="Encabezado"/>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35D1" w14:textId="3167ED3E" w:rsidR="00285BD3" w:rsidRDefault="00285BD3"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07611CE0" wp14:editId="339D6790">
          <wp:simplePos x="0" y="0"/>
          <wp:positionH relativeFrom="column">
            <wp:posOffset>-1609725</wp:posOffset>
          </wp:positionH>
          <wp:positionV relativeFrom="paragraph">
            <wp:posOffset>-193040</wp:posOffset>
          </wp:positionV>
          <wp:extent cx="1438275" cy="12426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389ABCE8" wp14:editId="234DCF9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2E14B" w14:textId="77777777" w:rsidR="00285BD3" w:rsidRPr="009F45DC" w:rsidRDefault="00285BD3">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E8"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" o:allowincell="f" stroked="f">
              <o:lock v:ext="edit" aspectratio="t"/>
              <v:textbox>
                <w:txbxContent>
                  <w:p w14:paraId="0172E14B" w14:textId="77777777" w:rsidR="00285BD3" w:rsidRPr="009F45DC" w:rsidRDefault="00285BD3">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JRC-54/2021</w:t>
    </w:r>
  </w:p>
  <w:p w14:paraId="583F7142" w14:textId="77777777" w:rsidR="00285BD3" w:rsidRPr="00811BAE" w:rsidRDefault="00285BD3"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7834" w14:textId="51DA91D0" w:rsidR="00285BD3" w:rsidRDefault="00285BD3">
    <w:pPr>
      <w:pStyle w:val="Encabezado"/>
    </w:pPr>
    <w:r>
      <w:rPr>
        <w:noProof/>
        <w:lang w:eastAsia="es-MX"/>
      </w:rPr>
      <w:drawing>
        <wp:anchor distT="0" distB="0" distL="114300" distR="114300" simplePos="0" relativeHeight="251660288" behindDoc="0" locked="0" layoutInCell="1" allowOverlap="1" wp14:anchorId="7B21E6B6" wp14:editId="5E9CD4EB">
          <wp:simplePos x="0" y="0"/>
          <wp:positionH relativeFrom="column">
            <wp:posOffset>-1544955</wp:posOffset>
          </wp:positionH>
          <wp:positionV relativeFrom="paragraph">
            <wp:posOffset>-233103</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311"/>
    <w:multiLevelType w:val="hybridMultilevel"/>
    <w:tmpl w:val="DF12664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B070C5"/>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03C51"/>
    <w:multiLevelType w:val="hybridMultilevel"/>
    <w:tmpl w:val="0332D9C2"/>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4002CA"/>
    <w:multiLevelType w:val="hybridMultilevel"/>
    <w:tmpl w:val="6336A1CC"/>
    <w:lvl w:ilvl="0" w:tplc="89ECBD3E">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A9470A3"/>
    <w:multiLevelType w:val="hybridMultilevel"/>
    <w:tmpl w:val="B6EE453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A0AD5"/>
    <w:multiLevelType w:val="hybridMultilevel"/>
    <w:tmpl w:val="B74A1F46"/>
    <w:lvl w:ilvl="0" w:tplc="080A0017">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A005F9"/>
    <w:multiLevelType w:val="hybridMultilevel"/>
    <w:tmpl w:val="9EF4A8AE"/>
    <w:lvl w:ilvl="0" w:tplc="080A0017">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BF33B7"/>
    <w:multiLevelType w:val="hybridMultilevel"/>
    <w:tmpl w:val="35A67D8A"/>
    <w:lvl w:ilvl="0" w:tplc="BA2CBC74">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F93707"/>
    <w:multiLevelType w:val="hybridMultilevel"/>
    <w:tmpl w:val="303E23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F8731E"/>
    <w:multiLevelType w:val="multilevel"/>
    <w:tmpl w:val="0E70357A"/>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b/>
      </w:rPr>
    </w:lvl>
  </w:abstractNum>
  <w:abstractNum w:abstractNumId="10" w15:restartNumberingAfterBreak="0">
    <w:nsid w:val="19D47E6C"/>
    <w:multiLevelType w:val="hybridMultilevel"/>
    <w:tmpl w:val="87BCC6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670C8C"/>
    <w:multiLevelType w:val="hybridMultilevel"/>
    <w:tmpl w:val="DDA6A27C"/>
    <w:lvl w:ilvl="0" w:tplc="FD6A9012">
      <w:start w:val="1"/>
      <w:numFmt w:val="lowerLetter"/>
      <w:lvlText w:val="%1)"/>
      <w:lvlJc w:val="left"/>
      <w:pPr>
        <w:ind w:left="720" w:hanging="360"/>
      </w:pPr>
      <w:rPr>
        <w:rFonts w:eastAsia="Times New Roman" w:cs="Times New Roman"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82023B"/>
    <w:multiLevelType w:val="hybridMultilevel"/>
    <w:tmpl w:val="B74A1F46"/>
    <w:lvl w:ilvl="0" w:tplc="080A0017">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926769"/>
    <w:multiLevelType w:val="hybridMultilevel"/>
    <w:tmpl w:val="F38E1F78"/>
    <w:lvl w:ilvl="0" w:tplc="AE8A7716">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494A53"/>
    <w:multiLevelType w:val="multilevel"/>
    <w:tmpl w:val="3CBA27B0"/>
    <w:lvl w:ilvl="0">
      <w:start w:val="1"/>
      <w:numFmt w:val="decimal"/>
      <w:lvlText w:val="%1."/>
      <w:lvlJc w:val="left"/>
      <w:pPr>
        <w:ind w:left="720" w:hanging="360"/>
      </w:pPr>
      <w:rPr>
        <w:rFonts w:hint="default"/>
        <w:b/>
        <w:bCs w:val="0"/>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D226421"/>
    <w:multiLevelType w:val="hybridMultilevel"/>
    <w:tmpl w:val="8F16E566"/>
    <w:lvl w:ilvl="0" w:tplc="080A001B">
      <w:start w:val="1"/>
      <w:numFmt w:val="low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16" w15:restartNumberingAfterBreak="0">
    <w:nsid w:val="1FEE13EA"/>
    <w:multiLevelType w:val="hybridMultilevel"/>
    <w:tmpl w:val="366C2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67285A"/>
    <w:multiLevelType w:val="multilevel"/>
    <w:tmpl w:val="6CA4728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506729"/>
    <w:multiLevelType w:val="hybridMultilevel"/>
    <w:tmpl w:val="95686492"/>
    <w:lvl w:ilvl="0" w:tplc="D3E22492">
      <w:start w:val="1"/>
      <w:numFmt w:val="decimal"/>
      <w:lvlText w:val="%1)"/>
      <w:lvlJc w:val="left"/>
      <w:pPr>
        <w:ind w:left="360" w:hanging="360"/>
      </w:pPr>
      <w:rPr>
        <w:rFonts w:ascii="Arial" w:hAnsi="Arial" w:cs="Arial" w:hint="default"/>
        <w:b/>
      </w:rPr>
    </w:lvl>
    <w:lvl w:ilvl="1" w:tplc="080A0019">
      <w:start w:val="1"/>
      <w:numFmt w:val="lowerLetter"/>
      <w:lvlText w:val="%2."/>
      <w:lvlJc w:val="left"/>
      <w:pPr>
        <w:ind w:left="1080" w:hanging="360"/>
      </w:pPr>
    </w:lvl>
    <w:lvl w:ilvl="2" w:tplc="5FE8D974">
      <w:start w:val="1"/>
      <w:numFmt w:val="decimal"/>
      <w:lvlText w:val="%3."/>
      <w:lvlJc w:val="left"/>
      <w:pPr>
        <w:ind w:left="1980" w:hanging="360"/>
      </w:pPr>
      <w:rPr>
        <w:rFonts w:hint="default"/>
      </w:rPr>
    </w:lvl>
    <w:lvl w:ilvl="3" w:tplc="A13852C0">
      <w:start w:val="1"/>
      <w:numFmt w:val="lowerLetter"/>
      <w:lvlText w:val="%4)"/>
      <w:lvlJc w:val="left"/>
      <w:pPr>
        <w:ind w:left="2520" w:hanging="360"/>
      </w:pPr>
      <w:rPr>
        <w:rFonts w:hint="default"/>
        <w:b/>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3A6576C"/>
    <w:multiLevelType w:val="hybridMultilevel"/>
    <w:tmpl w:val="FEF83C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2B6C104B"/>
    <w:multiLevelType w:val="hybridMultilevel"/>
    <w:tmpl w:val="BC3AA7CC"/>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D47F3C"/>
    <w:multiLevelType w:val="hybridMultilevel"/>
    <w:tmpl w:val="F440C1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D731BF"/>
    <w:multiLevelType w:val="hybridMultilevel"/>
    <w:tmpl w:val="8BB63A18"/>
    <w:lvl w:ilvl="0" w:tplc="B450F18E">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0655483"/>
    <w:multiLevelType w:val="hybridMultilevel"/>
    <w:tmpl w:val="FC0886EE"/>
    <w:lvl w:ilvl="0" w:tplc="080A000F">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032595"/>
    <w:multiLevelType w:val="multilevel"/>
    <w:tmpl w:val="0BEA820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9508E1"/>
    <w:multiLevelType w:val="hybridMultilevel"/>
    <w:tmpl w:val="F8B4C412"/>
    <w:lvl w:ilvl="0" w:tplc="5CE05F5E">
      <w:start w:val="1"/>
      <w:numFmt w:val="lowerLetter"/>
      <w:lvlText w:val="%1)"/>
      <w:lvlJc w:val="left"/>
      <w:pPr>
        <w:ind w:left="720" w:hanging="360"/>
      </w:pPr>
      <w:rPr>
        <w:rFonts w:hint="default"/>
        <w:b w:val="0"/>
        <w:bCs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FA2BBC"/>
    <w:multiLevelType w:val="hybridMultilevel"/>
    <w:tmpl w:val="F8F2FC1E"/>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4030205F"/>
    <w:multiLevelType w:val="hybridMultilevel"/>
    <w:tmpl w:val="E41A4266"/>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5002C3"/>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F36914"/>
    <w:multiLevelType w:val="hybridMultilevel"/>
    <w:tmpl w:val="5A6ECABE"/>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C55849"/>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7B5824"/>
    <w:multiLevelType w:val="hybridMultilevel"/>
    <w:tmpl w:val="5A6ECABE"/>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865E1F"/>
    <w:multiLevelType w:val="hybridMultilevel"/>
    <w:tmpl w:val="5912A4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9ED3A6B"/>
    <w:multiLevelType w:val="hybridMultilevel"/>
    <w:tmpl w:val="34367202"/>
    <w:lvl w:ilvl="0" w:tplc="1B18CC5A">
      <w:start w:val="1"/>
      <w:numFmt w:val="lowerRoman"/>
      <w:lvlText w:val="%1."/>
      <w:lvlJc w:val="left"/>
      <w:pPr>
        <w:ind w:left="1080" w:hanging="72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F3207A"/>
    <w:multiLevelType w:val="hybridMultilevel"/>
    <w:tmpl w:val="D48EF43E"/>
    <w:lvl w:ilvl="0" w:tplc="00FAC3C4">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E209BC"/>
    <w:multiLevelType w:val="hybridMultilevel"/>
    <w:tmpl w:val="697068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FD6236"/>
    <w:multiLevelType w:val="hybridMultilevel"/>
    <w:tmpl w:val="AC42CE18"/>
    <w:lvl w:ilvl="0" w:tplc="E3720FF0">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5B063F05"/>
    <w:multiLevelType w:val="hybridMultilevel"/>
    <w:tmpl w:val="416298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E133FC7"/>
    <w:multiLevelType w:val="hybridMultilevel"/>
    <w:tmpl w:val="01F0C546"/>
    <w:lvl w:ilvl="0" w:tplc="2E04AAAC">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15:restartNumberingAfterBreak="0">
    <w:nsid w:val="5F503CC7"/>
    <w:multiLevelType w:val="hybridMultilevel"/>
    <w:tmpl w:val="D3422C12"/>
    <w:lvl w:ilvl="0" w:tplc="2E84F2F6">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03D08DC"/>
    <w:multiLevelType w:val="singleLevel"/>
    <w:tmpl w:val="603D08DC"/>
    <w:lvl w:ilvl="0">
      <w:start w:val="1"/>
      <w:numFmt w:val="lowerLetter"/>
      <w:lvlText w:val="%1)"/>
      <w:lvlJc w:val="left"/>
      <w:pPr>
        <w:ind w:left="425" w:hanging="425"/>
      </w:pPr>
      <w:rPr>
        <w:rFonts w:hint="default"/>
      </w:rPr>
    </w:lvl>
  </w:abstractNum>
  <w:abstractNum w:abstractNumId="42" w15:restartNumberingAfterBreak="0">
    <w:nsid w:val="603D0D84"/>
    <w:multiLevelType w:val="singleLevel"/>
    <w:tmpl w:val="603D0D84"/>
    <w:lvl w:ilvl="0">
      <w:start w:val="1"/>
      <w:numFmt w:val="lowerLetter"/>
      <w:lvlText w:val="%1)"/>
      <w:lvlJc w:val="left"/>
      <w:pPr>
        <w:ind w:left="425" w:hanging="425"/>
      </w:pPr>
      <w:rPr>
        <w:rFonts w:hint="default"/>
      </w:rPr>
    </w:lvl>
  </w:abstractNum>
  <w:abstractNum w:abstractNumId="43" w15:restartNumberingAfterBreak="0">
    <w:nsid w:val="65F819CA"/>
    <w:multiLevelType w:val="hybridMultilevel"/>
    <w:tmpl w:val="D03044C8"/>
    <w:lvl w:ilvl="0" w:tplc="2E84F2F6">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617058"/>
    <w:multiLevelType w:val="hybridMultilevel"/>
    <w:tmpl w:val="BAB084D2"/>
    <w:lvl w:ilvl="0" w:tplc="40D47602">
      <w:start w:val="1"/>
      <w:numFmt w:val="upperRoman"/>
      <w:lvlText w:val="%1."/>
      <w:lvlJc w:val="left"/>
      <w:pPr>
        <w:ind w:left="720" w:hanging="360"/>
      </w:pPr>
      <w:rPr>
        <w:rFonts w:ascii="Arial" w:eastAsiaTheme="minorHAnsi" w:hAnsi="Arial" w:cs="Aria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AF46C8F"/>
    <w:multiLevelType w:val="hybridMultilevel"/>
    <w:tmpl w:val="E368A7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F3755FF"/>
    <w:multiLevelType w:val="hybridMultilevel"/>
    <w:tmpl w:val="F8B4C412"/>
    <w:lvl w:ilvl="0" w:tplc="5CE05F5E">
      <w:start w:val="1"/>
      <w:numFmt w:val="lowerLetter"/>
      <w:lvlText w:val="%1)"/>
      <w:lvlJc w:val="left"/>
      <w:pPr>
        <w:ind w:left="720" w:hanging="360"/>
      </w:pPr>
      <w:rPr>
        <w:rFonts w:hint="default"/>
        <w:b w:val="0"/>
        <w:bCs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2C36D7"/>
    <w:multiLevelType w:val="hybridMultilevel"/>
    <w:tmpl w:val="21EA56AE"/>
    <w:lvl w:ilvl="0" w:tplc="AE2AEE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22"/>
  </w:num>
  <w:num w:numId="3">
    <w:abstractNumId w:val="25"/>
  </w:num>
  <w:num w:numId="4">
    <w:abstractNumId w:val="46"/>
  </w:num>
  <w:num w:numId="5">
    <w:abstractNumId w:val="47"/>
  </w:num>
  <w:num w:numId="6">
    <w:abstractNumId w:val="0"/>
  </w:num>
  <w:num w:numId="7">
    <w:abstractNumId w:val="11"/>
  </w:num>
  <w:num w:numId="8">
    <w:abstractNumId w:val="44"/>
  </w:num>
  <w:num w:numId="9">
    <w:abstractNumId w:val="21"/>
  </w:num>
  <w:num w:numId="10">
    <w:abstractNumId w:val="43"/>
  </w:num>
  <w:num w:numId="11">
    <w:abstractNumId w:val="7"/>
  </w:num>
  <w:num w:numId="12">
    <w:abstractNumId w:val="36"/>
  </w:num>
  <w:num w:numId="13">
    <w:abstractNumId w:val="3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31"/>
  </w:num>
  <w:num w:numId="20">
    <w:abstractNumId w:val="34"/>
  </w:num>
  <w:num w:numId="21">
    <w:abstractNumId w:val="40"/>
  </w:num>
  <w:num w:numId="22">
    <w:abstractNumId w:val="28"/>
  </w:num>
  <w:num w:numId="23">
    <w:abstractNumId w:val="45"/>
  </w:num>
  <w:num w:numId="24">
    <w:abstractNumId w:val="10"/>
  </w:num>
  <w:num w:numId="25">
    <w:abstractNumId w:val="33"/>
  </w:num>
  <w:num w:numId="26">
    <w:abstractNumId w:val="15"/>
  </w:num>
  <w:num w:numId="27">
    <w:abstractNumId w:val="4"/>
  </w:num>
  <w:num w:numId="28">
    <w:abstractNumId w:val="27"/>
  </w:num>
  <w:num w:numId="29">
    <w:abstractNumId w:val="1"/>
  </w:num>
  <w:num w:numId="30">
    <w:abstractNumId w:val="8"/>
  </w:num>
  <w:num w:numId="31">
    <w:abstractNumId w:val="29"/>
  </w:num>
  <w:num w:numId="32">
    <w:abstractNumId w:val="12"/>
  </w:num>
  <w:num w:numId="33">
    <w:abstractNumId w:val="32"/>
  </w:num>
  <w:num w:numId="34">
    <w:abstractNumId w:val="6"/>
  </w:num>
  <w:num w:numId="35">
    <w:abstractNumId w:val="14"/>
  </w:num>
  <w:num w:numId="36">
    <w:abstractNumId w:val="2"/>
  </w:num>
  <w:num w:numId="37">
    <w:abstractNumId w:val="30"/>
  </w:num>
  <w:num w:numId="38">
    <w:abstractNumId w:val="9"/>
  </w:num>
  <w:num w:numId="39">
    <w:abstractNumId w:val="5"/>
  </w:num>
  <w:num w:numId="40">
    <w:abstractNumId w:val="23"/>
  </w:num>
  <w:num w:numId="41">
    <w:abstractNumId w:val="13"/>
  </w:num>
  <w:num w:numId="42">
    <w:abstractNumId w:val="17"/>
  </w:num>
  <w:num w:numId="43">
    <w:abstractNumId w:val="24"/>
  </w:num>
  <w:num w:numId="44">
    <w:abstractNumId w:val="19"/>
  </w:num>
  <w:num w:numId="45">
    <w:abstractNumId w:val="26"/>
  </w:num>
  <w:num w:numId="46">
    <w:abstractNumId w:val="41"/>
  </w:num>
  <w:num w:numId="47">
    <w:abstractNumId w:val="42"/>
  </w:num>
  <w:num w:numId="48">
    <w:abstractNumId w:val="20"/>
  </w:num>
  <w:num w:numId="49">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8B2"/>
    <w:rsid w:val="00000E8A"/>
    <w:rsid w:val="00001242"/>
    <w:rsid w:val="00001F59"/>
    <w:rsid w:val="00003FF3"/>
    <w:rsid w:val="00005C31"/>
    <w:rsid w:val="000065D7"/>
    <w:rsid w:val="00006E38"/>
    <w:rsid w:val="0000704F"/>
    <w:rsid w:val="00010B83"/>
    <w:rsid w:val="00010FC9"/>
    <w:rsid w:val="00011054"/>
    <w:rsid w:val="000111E9"/>
    <w:rsid w:val="0001123E"/>
    <w:rsid w:val="00012136"/>
    <w:rsid w:val="00012EE0"/>
    <w:rsid w:val="00013044"/>
    <w:rsid w:val="00015610"/>
    <w:rsid w:val="00015853"/>
    <w:rsid w:val="00015C77"/>
    <w:rsid w:val="00016E41"/>
    <w:rsid w:val="00022F4A"/>
    <w:rsid w:val="000231A2"/>
    <w:rsid w:val="0002324B"/>
    <w:rsid w:val="00025C28"/>
    <w:rsid w:val="00026555"/>
    <w:rsid w:val="00026632"/>
    <w:rsid w:val="00027761"/>
    <w:rsid w:val="0003062D"/>
    <w:rsid w:val="00031440"/>
    <w:rsid w:val="000319C1"/>
    <w:rsid w:val="00031F08"/>
    <w:rsid w:val="00032E0C"/>
    <w:rsid w:val="00032FA3"/>
    <w:rsid w:val="00034FBA"/>
    <w:rsid w:val="00035689"/>
    <w:rsid w:val="000363D3"/>
    <w:rsid w:val="00042983"/>
    <w:rsid w:val="00043506"/>
    <w:rsid w:val="000442AA"/>
    <w:rsid w:val="00044D7F"/>
    <w:rsid w:val="00046955"/>
    <w:rsid w:val="00046FF0"/>
    <w:rsid w:val="0004779F"/>
    <w:rsid w:val="00047A08"/>
    <w:rsid w:val="000506F9"/>
    <w:rsid w:val="00050F2A"/>
    <w:rsid w:val="00051DFB"/>
    <w:rsid w:val="00051F8F"/>
    <w:rsid w:val="000520BF"/>
    <w:rsid w:val="00053D68"/>
    <w:rsid w:val="00056215"/>
    <w:rsid w:val="000579EF"/>
    <w:rsid w:val="00057D68"/>
    <w:rsid w:val="0006170A"/>
    <w:rsid w:val="00062336"/>
    <w:rsid w:val="0006533F"/>
    <w:rsid w:val="0007029B"/>
    <w:rsid w:val="00071100"/>
    <w:rsid w:val="00072D48"/>
    <w:rsid w:val="00072DDD"/>
    <w:rsid w:val="00074F20"/>
    <w:rsid w:val="000750AC"/>
    <w:rsid w:val="00075B45"/>
    <w:rsid w:val="0008070C"/>
    <w:rsid w:val="0008393A"/>
    <w:rsid w:val="00084DEC"/>
    <w:rsid w:val="000856D4"/>
    <w:rsid w:val="00085B11"/>
    <w:rsid w:val="00087273"/>
    <w:rsid w:val="00092698"/>
    <w:rsid w:val="00092951"/>
    <w:rsid w:val="00092A9B"/>
    <w:rsid w:val="00093CA7"/>
    <w:rsid w:val="00094501"/>
    <w:rsid w:val="000946A1"/>
    <w:rsid w:val="00095607"/>
    <w:rsid w:val="00095907"/>
    <w:rsid w:val="000975DF"/>
    <w:rsid w:val="000A0690"/>
    <w:rsid w:val="000A2CF4"/>
    <w:rsid w:val="000A440C"/>
    <w:rsid w:val="000A4B15"/>
    <w:rsid w:val="000A4F7B"/>
    <w:rsid w:val="000A55A1"/>
    <w:rsid w:val="000A5C3F"/>
    <w:rsid w:val="000A70DF"/>
    <w:rsid w:val="000B0449"/>
    <w:rsid w:val="000B0F17"/>
    <w:rsid w:val="000B11AC"/>
    <w:rsid w:val="000B18B2"/>
    <w:rsid w:val="000B2178"/>
    <w:rsid w:val="000B366F"/>
    <w:rsid w:val="000B3AB3"/>
    <w:rsid w:val="000B3C92"/>
    <w:rsid w:val="000B58C6"/>
    <w:rsid w:val="000B5A1A"/>
    <w:rsid w:val="000B62D5"/>
    <w:rsid w:val="000B6C95"/>
    <w:rsid w:val="000B7817"/>
    <w:rsid w:val="000B7E16"/>
    <w:rsid w:val="000B7F4B"/>
    <w:rsid w:val="000C0981"/>
    <w:rsid w:val="000C13A8"/>
    <w:rsid w:val="000C1E9D"/>
    <w:rsid w:val="000C21B1"/>
    <w:rsid w:val="000C28EF"/>
    <w:rsid w:val="000C3745"/>
    <w:rsid w:val="000C3F37"/>
    <w:rsid w:val="000C59FD"/>
    <w:rsid w:val="000C5F2C"/>
    <w:rsid w:val="000C6BD6"/>
    <w:rsid w:val="000C7030"/>
    <w:rsid w:val="000C7891"/>
    <w:rsid w:val="000C7BEF"/>
    <w:rsid w:val="000D0488"/>
    <w:rsid w:val="000D0773"/>
    <w:rsid w:val="000D319D"/>
    <w:rsid w:val="000D3276"/>
    <w:rsid w:val="000D4910"/>
    <w:rsid w:val="000D4BD8"/>
    <w:rsid w:val="000D5792"/>
    <w:rsid w:val="000D760D"/>
    <w:rsid w:val="000E0A60"/>
    <w:rsid w:val="000E2AB3"/>
    <w:rsid w:val="000E2AD7"/>
    <w:rsid w:val="000E4712"/>
    <w:rsid w:val="000E509B"/>
    <w:rsid w:val="000E7509"/>
    <w:rsid w:val="000E7EA2"/>
    <w:rsid w:val="000E7F92"/>
    <w:rsid w:val="000F183A"/>
    <w:rsid w:val="000F1A33"/>
    <w:rsid w:val="000F2B29"/>
    <w:rsid w:val="000F348A"/>
    <w:rsid w:val="000F509E"/>
    <w:rsid w:val="000F5926"/>
    <w:rsid w:val="000F6E3B"/>
    <w:rsid w:val="000F7274"/>
    <w:rsid w:val="000F7878"/>
    <w:rsid w:val="001008A2"/>
    <w:rsid w:val="00101C82"/>
    <w:rsid w:val="00101D3D"/>
    <w:rsid w:val="00103085"/>
    <w:rsid w:val="00104A3C"/>
    <w:rsid w:val="001066C6"/>
    <w:rsid w:val="001076F8"/>
    <w:rsid w:val="00111FE3"/>
    <w:rsid w:val="00112208"/>
    <w:rsid w:val="0011693C"/>
    <w:rsid w:val="00120162"/>
    <w:rsid w:val="001205BD"/>
    <w:rsid w:val="001208E5"/>
    <w:rsid w:val="00121B17"/>
    <w:rsid w:val="00121D85"/>
    <w:rsid w:val="00121EA5"/>
    <w:rsid w:val="00124437"/>
    <w:rsid w:val="00124483"/>
    <w:rsid w:val="00124786"/>
    <w:rsid w:val="001247E3"/>
    <w:rsid w:val="00125083"/>
    <w:rsid w:val="001277AD"/>
    <w:rsid w:val="00130569"/>
    <w:rsid w:val="001318FD"/>
    <w:rsid w:val="001319E9"/>
    <w:rsid w:val="00132667"/>
    <w:rsid w:val="00132ED3"/>
    <w:rsid w:val="0013301D"/>
    <w:rsid w:val="00133C0E"/>
    <w:rsid w:val="00135354"/>
    <w:rsid w:val="00136769"/>
    <w:rsid w:val="0013702B"/>
    <w:rsid w:val="00140229"/>
    <w:rsid w:val="00140944"/>
    <w:rsid w:val="00141793"/>
    <w:rsid w:val="00142D56"/>
    <w:rsid w:val="00143218"/>
    <w:rsid w:val="00143E22"/>
    <w:rsid w:val="00144DED"/>
    <w:rsid w:val="0014505A"/>
    <w:rsid w:val="0014657F"/>
    <w:rsid w:val="00146AD7"/>
    <w:rsid w:val="0015071D"/>
    <w:rsid w:val="00150E6B"/>
    <w:rsid w:val="00153073"/>
    <w:rsid w:val="00154032"/>
    <w:rsid w:val="00155185"/>
    <w:rsid w:val="001552C9"/>
    <w:rsid w:val="00155987"/>
    <w:rsid w:val="00157D8E"/>
    <w:rsid w:val="00161EBB"/>
    <w:rsid w:val="00161FEB"/>
    <w:rsid w:val="00165225"/>
    <w:rsid w:val="001655E0"/>
    <w:rsid w:val="00167883"/>
    <w:rsid w:val="0016793C"/>
    <w:rsid w:val="001707AE"/>
    <w:rsid w:val="0017119D"/>
    <w:rsid w:val="00172FB6"/>
    <w:rsid w:val="00173081"/>
    <w:rsid w:val="001746E8"/>
    <w:rsid w:val="00176362"/>
    <w:rsid w:val="001776A9"/>
    <w:rsid w:val="001802FB"/>
    <w:rsid w:val="00180CEA"/>
    <w:rsid w:val="00181F23"/>
    <w:rsid w:val="0018283A"/>
    <w:rsid w:val="001846A2"/>
    <w:rsid w:val="00184B72"/>
    <w:rsid w:val="00185888"/>
    <w:rsid w:val="00190B80"/>
    <w:rsid w:val="00190CCB"/>
    <w:rsid w:val="0019114D"/>
    <w:rsid w:val="001919A6"/>
    <w:rsid w:val="00193AEF"/>
    <w:rsid w:val="001965C5"/>
    <w:rsid w:val="00196B5E"/>
    <w:rsid w:val="00196EAB"/>
    <w:rsid w:val="001A119E"/>
    <w:rsid w:val="001A14AE"/>
    <w:rsid w:val="001A232B"/>
    <w:rsid w:val="001A4BA5"/>
    <w:rsid w:val="001A7085"/>
    <w:rsid w:val="001B1CF9"/>
    <w:rsid w:val="001B2DA9"/>
    <w:rsid w:val="001B2E6D"/>
    <w:rsid w:val="001B40C9"/>
    <w:rsid w:val="001B4C0F"/>
    <w:rsid w:val="001B55E0"/>
    <w:rsid w:val="001B5623"/>
    <w:rsid w:val="001B5DE4"/>
    <w:rsid w:val="001B67EE"/>
    <w:rsid w:val="001B6BE5"/>
    <w:rsid w:val="001B7936"/>
    <w:rsid w:val="001B7EAF"/>
    <w:rsid w:val="001C04D8"/>
    <w:rsid w:val="001C0874"/>
    <w:rsid w:val="001C1056"/>
    <w:rsid w:val="001C10EA"/>
    <w:rsid w:val="001C1B05"/>
    <w:rsid w:val="001C203E"/>
    <w:rsid w:val="001C2C8D"/>
    <w:rsid w:val="001C2CF6"/>
    <w:rsid w:val="001C3453"/>
    <w:rsid w:val="001C3F82"/>
    <w:rsid w:val="001C6CB5"/>
    <w:rsid w:val="001C7433"/>
    <w:rsid w:val="001D0E60"/>
    <w:rsid w:val="001D463D"/>
    <w:rsid w:val="001D4940"/>
    <w:rsid w:val="001D6796"/>
    <w:rsid w:val="001D6F1F"/>
    <w:rsid w:val="001D7817"/>
    <w:rsid w:val="001D7C14"/>
    <w:rsid w:val="001E1948"/>
    <w:rsid w:val="001E194E"/>
    <w:rsid w:val="001E30D3"/>
    <w:rsid w:val="001E4542"/>
    <w:rsid w:val="001E6195"/>
    <w:rsid w:val="001E6EF3"/>
    <w:rsid w:val="001E71C1"/>
    <w:rsid w:val="001F1887"/>
    <w:rsid w:val="001F23B0"/>
    <w:rsid w:val="001F3610"/>
    <w:rsid w:val="001F4B76"/>
    <w:rsid w:val="001F5206"/>
    <w:rsid w:val="001F634F"/>
    <w:rsid w:val="001F7A76"/>
    <w:rsid w:val="001F7F7E"/>
    <w:rsid w:val="002001AC"/>
    <w:rsid w:val="0020023F"/>
    <w:rsid w:val="002009CB"/>
    <w:rsid w:val="00201B2E"/>
    <w:rsid w:val="00201D6F"/>
    <w:rsid w:val="00201E47"/>
    <w:rsid w:val="002028DE"/>
    <w:rsid w:val="0020337F"/>
    <w:rsid w:val="002039EC"/>
    <w:rsid w:val="00203E38"/>
    <w:rsid w:val="00205205"/>
    <w:rsid w:val="002066C8"/>
    <w:rsid w:val="00211A3E"/>
    <w:rsid w:val="002136DC"/>
    <w:rsid w:val="002165A6"/>
    <w:rsid w:val="002171A0"/>
    <w:rsid w:val="00217213"/>
    <w:rsid w:val="00220E10"/>
    <w:rsid w:val="002211FD"/>
    <w:rsid w:val="00221349"/>
    <w:rsid w:val="00221580"/>
    <w:rsid w:val="00221707"/>
    <w:rsid w:val="00222043"/>
    <w:rsid w:val="00222D48"/>
    <w:rsid w:val="00222DD6"/>
    <w:rsid w:val="002266CA"/>
    <w:rsid w:val="00226D8A"/>
    <w:rsid w:val="00230991"/>
    <w:rsid w:val="00231F62"/>
    <w:rsid w:val="002331F4"/>
    <w:rsid w:val="00233296"/>
    <w:rsid w:val="00234E20"/>
    <w:rsid w:val="00234EA9"/>
    <w:rsid w:val="002352E0"/>
    <w:rsid w:val="00235E85"/>
    <w:rsid w:val="002369B9"/>
    <w:rsid w:val="00241A13"/>
    <w:rsid w:val="0024369E"/>
    <w:rsid w:val="002438FF"/>
    <w:rsid w:val="00243CA9"/>
    <w:rsid w:val="00244030"/>
    <w:rsid w:val="00244103"/>
    <w:rsid w:val="0024515A"/>
    <w:rsid w:val="0024587A"/>
    <w:rsid w:val="00246C18"/>
    <w:rsid w:val="0025108A"/>
    <w:rsid w:val="00251499"/>
    <w:rsid w:val="00251CF6"/>
    <w:rsid w:val="002520AF"/>
    <w:rsid w:val="00254457"/>
    <w:rsid w:val="002548F1"/>
    <w:rsid w:val="0025493E"/>
    <w:rsid w:val="002558A7"/>
    <w:rsid w:val="00255B3D"/>
    <w:rsid w:val="00255CCA"/>
    <w:rsid w:val="0025698D"/>
    <w:rsid w:val="002603E2"/>
    <w:rsid w:val="00261415"/>
    <w:rsid w:val="00261FD1"/>
    <w:rsid w:val="00262D20"/>
    <w:rsid w:val="002633A6"/>
    <w:rsid w:val="0026392D"/>
    <w:rsid w:val="0026460D"/>
    <w:rsid w:val="00265655"/>
    <w:rsid w:val="00265C19"/>
    <w:rsid w:val="00266E60"/>
    <w:rsid w:val="00270067"/>
    <w:rsid w:val="002703F3"/>
    <w:rsid w:val="00271CD0"/>
    <w:rsid w:val="00272EAA"/>
    <w:rsid w:val="00274BC3"/>
    <w:rsid w:val="00274E5F"/>
    <w:rsid w:val="002751F2"/>
    <w:rsid w:val="00275635"/>
    <w:rsid w:val="00275A4C"/>
    <w:rsid w:val="0027748D"/>
    <w:rsid w:val="0028001F"/>
    <w:rsid w:val="00280602"/>
    <w:rsid w:val="00280F9B"/>
    <w:rsid w:val="002810D7"/>
    <w:rsid w:val="00283479"/>
    <w:rsid w:val="00284431"/>
    <w:rsid w:val="00284A04"/>
    <w:rsid w:val="00285A8C"/>
    <w:rsid w:val="00285B22"/>
    <w:rsid w:val="00285BD3"/>
    <w:rsid w:val="00286607"/>
    <w:rsid w:val="00287268"/>
    <w:rsid w:val="00287978"/>
    <w:rsid w:val="00287A05"/>
    <w:rsid w:val="00291850"/>
    <w:rsid w:val="00292352"/>
    <w:rsid w:val="00293C87"/>
    <w:rsid w:val="00294E37"/>
    <w:rsid w:val="0029667A"/>
    <w:rsid w:val="00297A36"/>
    <w:rsid w:val="00297BFF"/>
    <w:rsid w:val="00297E29"/>
    <w:rsid w:val="002A1EC6"/>
    <w:rsid w:val="002A1FAB"/>
    <w:rsid w:val="002A558F"/>
    <w:rsid w:val="002B38EB"/>
    <w:rsid w:val="002B3DF7"/>
    <w:rsid w:val="002B419F"/>
    <w:rsid w:val="002B47C4"/>
    <w:rsid w:val="002B4D8C"/>
    <w:rsid w:val="002B4F68"/>
    <w:rsid w:val="002B6279"/>
    <w:rsid w:val="002B6F9F"/>
    <w:rsid w:val="002B7052"/>
    <w:rsid w:val="002B7FF6"/>
    <w:rsid w:val="002C11D2"/>
    <w:rsid w:val="002C125E"/>
    <w:rsid w:val="002C12B7"/>
    <w:rsid w:val="002C7028"/>
    <w:rsid w:val="002C790E"/>
    <w:rsid w:val="002D0644"/>
    <w:rsid w:val="002D07EA"/>
    <w:rsid w:val="002D14A2"/>
    <w:rsid w:val="002D3219"/>
    <w:rsid w:val="002D4AD3"/>
    <w:rsid w:val="002D5BE1"/>
    <w:rsid w:val="002D5FA4"/>
    <w:rsid w:val="002D61D9"/>
    <w:rsid w:val="002D75AF"/>
    <w:rsid w:val="002E0D94"/>
    <w:rsid w:val="002E10D7"/>
    <w:rsid w:val="002E17AB"/>
    <w:rsid w:val="002E3781"/>
    <w:rsid w:val="002E3FC3"/>
    <w:rsid w:val="002E450D"/>
    <w:rsid w:val="002E543F"/>
    <w:rsid w:val="002E5757"/>
    <w:rsid w:val="002E57C8"/>
    <w:rsid w:val="002E5C85"/>
    <w:rsid w:val="002E735A"/>
    <w:rsid w:val="002F1CA1"/>
    <w:rsid w:val="002F225C"/>
    <w:rsid w:val="002F3327"/>
    <w:rsid w:val="002F3351"/>
    <w:rsid w:val="002F56C0"/>
    <w:rsid w:val="002F65FA"/>
    <w:rsid w:val="002F6E49"/>
    <w:rsid w:val="002F7273"/>
    <w:rsid w:val="00302CA4"/>
    <w:rsid w:val="0030331E"/>
    <w:rsid w:val="003036F5"/>
    <w:rsid w:val="0030372A"/>
    <w:rsid w:val="0030680A"/>
    <w:rsid w:val="00306D3F"/>
    <w:rsid w:val="00306E10"/>
    <w:rsid w:val="00307ECA"/>
    <w:rsid w:val="00310904"/>
    <w:rsid w:val="00311ED5"/>
    <w:rsid w:val="00312898"/>
    <w:rsid w:val="0031306B"/>
    <w:rsid w:val="00313147"/>
    <w:rsid w:val="00317B3A"/>
    <w:rsid w:val="00320A23"/>
    <w:rsid w:val="0032124F"/>
    <w:rsid w:val="003215EA"/>
    <w:rsid w:val="00321DFB"/>
    <w:rsid w:val="0032391C"/>
    <w:rsid w:val="00323C63"/>
    <w:rsid w:val="00324444"/>
    <w:rsid w:val="00325C4E"/>
    <w:rsid w:val="00326E53"/>
    <w:rsid w:val="0033037B"/>
    <w:rsid w:val="0033063B"/>
    <w:rsid w:val="00330F26"/>
    <w:rsid w:val="00332311"/>
    <w:rsid w:val="0033347C"/>
    <w:rsid w:val="003340B5"/>
    <w:rsid w:val="00334A8B"/>
    <w:rsid w:val="0033684D"/>
    <w:rsid w:val="00336E57"/>
    <w:rsid w:val="003403FD"/>
    <w:rsid w:val="003407E9"/>
    <w:rsid w:val="0034087C"/>
    <w:rsid w:val="003409BA"/>
    <w:rsid w:val="00341727"/>
    <w:rsid w:val="0034185A"/>
    <w:rsid w:val="00343E8B"/>
    <w:rsid w:val="00346561"/>
    <w:rsid w:val="00346F51"/>
    <w:rsid w:val="003471D8"/>
    <w:rsid w:val="00351A18"/>
    <w:rsid w:val="00354385"/>
    <w:rsid w:val="003544C1"/>
    <w:rsid w:val="00354BB3"/>
    <w:rsid w:val="00354C8E"/>
    <w:rsid w:val="00355935"/>
    <w:rsid w:val="00356473"/>
    <w:rsid w:val="00356CBA"/>
    <w:rsid w:val="0035716F"/>
    <w:rsid w:val="003606D6"/>
    <w:rsid w:val="00360FE0"/>
    <w:rsid w:val="00362326"/>
    <w:rsid w:val="00363CAA"/>
    <w:rsid w:val="0036458D"/>
    <w:rsid w:val="00365801"/>
    <w:rsid w:val="00365D57"/>
    <w:rsid w:val="0036776A"/>
    <w:rsid w:val="00367F44"/>
    <w:rsid w:val="003706BE"/>
    <w:rsid w:val="00373D38"/>
    <w:rsid w:val="003747B3"/>
    <w:rsid w:val="00376C44"/>
    <w:rsid w:val="003809AD"/>
    <w:rsid w:val="003814A9"/>
    <w:rsid w:val="00382F80"/>
    <w:rsid w:val="0038369C"/>
    <w:rsid w:val="00384F1D"/>
    <w:rsid w:val="0038663A"/>
    <w:rsid w:val="00390364"/>
    <w:rsid w:val="00390DF0"/>
    <w:rsid w:val="003912F1"/>
    <w:rsid w:val="00391313"/>
    <w:rsid w:val="00392AD7"/>
    <w:rsid w:val="00392BD2"/>
    <w:rsid w:val="00392C42"/>
    <w:rsid w:val="0039355A"/>
    <w:rsid w:val="00394802"/>
    <w:rsid w:val="00395196"/>
    <w:rsid w:val="003A001E"/>
    <w:rsid w:val="003A08B4"/>
    <w:rsid w:val="003A0F7C"/>
    <w:rsid w:val="003A1870"/>
    <w:rsid w:val="003A31FF"/>
    <w:rsid w:val="003A4C80"/>
    <w:rsid w:val="003A74B1"/>
    <w:rsid w:val="003A7BB5"/>
    <w:rsid w:val="003A7C9F"/>
    <w:rsid w:val="003A7D79"/>
    <w:rsid w:val="003B244B"/>
    <w:rsid w:val="003B2600"/>
    <w:rsid w:val="003B2A58"/>
    <w:rsid w:val="003B37F2"/>
    <w:rsid w:val="003B3C07"/>
    <w:rsid w:val="003B458E"/>
    <w:rsid w:val="003B45F3"/>
    <w:rsid w:val="003B6AE4"/>
    <w:rsid w:val="003C05A2"/>
    <w:rsid w:val="003C1444"/>
    <w:rsid w:val="003C15A5"/>
    <w:rsid w:val="003C433C"/>
    <w:rsid w:val="003C47D1"/>
    <w:rsid w:val="003C4C32"/>
    <w:rsid w:val="003C6EDC"/>
    <w:rsid w:val="003C7AD6"/>
    <w:rsid w:val="003C7C56"/>
    <w:rsid w:val="003C7C6E"/>
    <w:rsid w:val="003D02D6"/>
    <w:rsid w:val="003D081F"/>
    <w:rsid w:val="003D1C0D"/>
    <w:rsid w:val="003D439F"/>
    <w:rsid w:val="003D4768"/>
    <w:rsid w:val="003D6829"/>
    <w:rsid w:val="003E179A"/>
    <w:rsid w:val="003E2FD6"/>
    <w:rsid w:val="003E36AB"/>
    <w:rsid w:val="003E54C3"/>
    <w:rsid w:val="003E5C1C"/>
    <w:rsid w:val="003E6F1E"/>
    <w:rsid w:val="003F2167"/>
    <w:rsid w:val="003F2D52"/>
    <w:rsid w:val="003F3028"/>
    <w:rsid w:val="003F3609"/>
    <w:rsid w:val="003F3C97"/>
    <w:rsid w:val="003F3CD2"/>
    <w:rsid w:val="003F3F87"/>
    <w:rsid w:val="003F5D85"/>
    <w:rsid w:val="003F720C"/>
    <w:rsid w:val="003F77D8"/>
    <w:rsid w:val="003F7994"/>
    <w:rsid w:val="00400E13"/>
    <w:rsid w:val="00401E7F"/>
    <w:rsid w:val="004030F8"/>
    <w:rsid w:val="00403A17"/>
    <w:rsid w:val="00405793"/>
    <w:rsid w:val="004057CD"/>
    <w:rsid w:val="00405972"/>
    <w:rsid w:val="004059D3"/>
    <w:rsid w:val="00407074"/>
    <w:rsid w:val="004078EA"/>
    <w:rsid w:val="00407AFC"/>
    <w:rsid w:val="0041077A"/>
    <w:rsid w:val="00410E68"/>
    <w:rsid w:val="004143EF"/>
    <w:rsid w:val="00415956"/>
    <w:rsid w:val="00417630"/>
    <w:rsid w:val="00417A53"/>
    <w:rsid w:val="004201D7"/>
    <w:rsid w:val="004203A9"/>
    <w:rsid w:val="00420876"/>
    <w:rsid w:val="00420B4B"/>
    <w:rsid w:val="0042122E"/>
    <w:rsid w:val="0042135A"/>
    <w:rsid w:val="004231B6"/>
    <w:rsid w:val="004235E2"/>
    <w:rsid w:val="0042388A"/>
    <w:rsid w:val="00423950"/>
    <w:rsid w:val="00423DA8"/>
    <w:rsid w:val="0042707E"/>
    <w:rsid w:val="0042708D"/>
    <w:rsid w:val="00427C27"/>
    <w:rsid w:val="00431911"/>
    <w:rsid w:val="004326DA"/>
    <w:rsid w:val="0043324D"/>
    <w:rsid w:val="00433A67"/>
    <w:rsid w:val="00433AEA"/>
    <w:rsid w:val="00433B52"/>
    <w:rsid w:val="004343A1"/>
    <w:rsid w:val="00434431"/>
    <w:rsid w:val="00435740"/>
    <w:rsid w:val="00436392"/>
    <w:rsid w:val="00436C54"/>
    <w:rsid w:val="00436D40"/>
    <w:rsid w:val="004442FA"/>
    <w:rsid w:val="00444340"/>
    <w:rsid w:val="0044503C"/>
    <w:rsid w:val="0044520E"/>
    <w:rsid w:val="004452DA"/>
    <w:rsid w:val="004457E0"/>
    <w:rsid w:val="00445E98"/>
    <w:rsid w:val="00446268"/>
    <w:rsid w:val="00446BE7"/>
    <w:rsid w:val="00447130"/>
    <w:rsid w:val="00450C9E"/>
    <w:rsid w:val="00451133"/>
    <w:rsid w:val="00451829"/>
    <w:rsid w:val="00451F47"/>
    <w:rsid w:val="004528DF"/>
    <w:rsid w:val="004531B1"/>
    <w:rsid w:val="00455BC2"/>
    <w:rsid w:val="004565A3"/>
    <w:rsid w:val="00456CDF"/>
    <w:rsid w:val="00457072"/>
    <w:rsid w:val="00461006"/>
    <w:rsid w:val="004622B0"/>
    <w:rsid w:val="00462959"/>
    <w:rsid w:val="004630F7"/>
    <w:rsid w:val="004631FE"/>
    <w:rsid w:val="00463998"/>
    <w:rsid w:val="0046405B"/>
    <w:rsid w:val="004645C3"/>
    <w:rsid w:val="00464743"/>
    <w:rsid w:val="00464D79"/>
    <w:rsid w:val="004657C1"/>
    <w:rsid w:val="00465E4D"/>
    <w:rsid w:val="00467854"/>
    <w:rsid w:val="00467897"/>
    <w:rsid w:val="00467E6F"/>
    <w:rsid w:val="0047161F"/>
    <w:rsid w:val="00472ED0"/>
    <w:rsid w:val="00473BCB"/>
    <w:rsid w:val="00475242"/>
    <w:rsid w:val="00475873"/>
    <w:rsid w:val="00475DE1"/>
    <w:rsid w:val="00476737"/>
    <w:rsid w:val="004769DB"/>
    <w:rsid w:val="00476B24"/>
    <w:rsid w:val="004809EC"/>
    <w:rsid w:val="00481877"/>
    <w:rsid w:val="00482223"/>
    <w:rsid w:val="0048251A"/>
    <w:rsid w:val="00483378"/>
    <w:rsid w:val="00484884"/>
    <w:rsid w:val="00485EF1"/>
    <w:rsid w:val="0048633B"/>
    <w:rsid w:val="00486E7B"/>
    <w:rsid w:val="00487099"/>
    <w:rsid w:val="00487899"/>
    <w:rsid w:val="00490C1C"/>
    <w:rsid w:val="00495BCD"/>
    <w:rsid w:val="0049707E"/>
    <w:rsid w:val="004971EC"/>
    <w:rsid w:val="004A0C27"/>
    <w:rsid w:val="004A116E"/>
    <w:rsid w:val="004A119B"/>
    <w:rsid w:val="004A12E1"/>
    <w:rsid w:val="004A23F5"/>
    <w:rsid w:val="004A25F4"/>
    <w:rsid w:val="004A2898"/>
    <w:rsid w:val="004A31EF"/>
    <w:rsid w:val="004A4638"/>
    <w:rsid w:val="004A53AF"/>
    <w:rsid w:val="004A5425"/>
    <w:rsid w:val="004A5D0B"/>
    <w:rsid w:val="004A7196"/>
    <w:rsid w:val="004A73A5"/>
    <w:rsid w:val="004B1833"/>
    <w:rsid w:val="004B305D"/>
    <w:rsid w:val="004B30AF"/>
    <w:rsid w:val="004B38DC"/>
    <w:rsid w:val="004B396D"/>
    <w:rsid w:val="004B60CF"/>
    <w:rsid w:val="004B6E8A"/>
    <w:rsid w:val="004B770C"/>
    <w:rsid w:val="004B78B2"/>
    <w:rsid w:val="004C031A"/>
    <w:rsid w:val="004C051A"/>
    <w:rsid w:val="004C054E"/>
    <w:rsid w:val="004C40F5"/>
    <w:rsid w:val="004C49C4"/>
    <w:rsid w:val="004C4B22"/>
    <w:rsid w:val="004C5A44"/>
    <w:rsid w:val="004C65E3"/>
    <w:rsid w:val="004C7A65"/>
    <w:rsid w:val="004D1674"/>
    <w:rsid w:val="004D1B7B"/>
    <w:rsid w:val="004D1DE2"/>
    <w:rsid w:val="004D3932"/>
    <w:rsid w:val="004D4187"/>
    <w:rsid w:val="004D4E1B"/>
    <w:rsid w:val="004D703A"/>
    <w:rsid w:val="004D79CF"/>
    <w:rsid w:val="004D7D1A"/>
    <w:rsid w:val="004E04F9"/>
    <w:rsid w:val="004E13D1"/>
    <w:rsid w:val="004E1BCD"/>
    <w:rsid w:val="004E1EC8"/>
    <w:rsid w:val="004E262D"/>
    <w:rsid w:val="004E43BE"/>
    <w:rsid w:val="004E4CDC"/>
    <w:rsid w:val="004E4F66"/>
    <w:rsid w:val="004E5147"/>
    <w:rsid w:val="004E523A"/>
    <w:rsid w:val="004E5555"/>
    <w:rsid w:val="004E6389"/>
    <w:rsid w:val="004E651D"/>
    <w:rsid w:val="004E7584"/>
    <w:rsid w:val="004E7CB8"/>
    <w:rsid w:val="004F1BF0"/>
    <w:rsid w:val="004F2B5B"/>
    <w:rsid w:val="004F3069"/>
    <w:rsid w:val="004F3620"/>
    <w:rsid w:val="004F3A5C"/>
    <w:rsid w:val="004F3D2C"/>
    <w:rsid w:val="004F3F01"/>
    <w:rsid w:val="004F49B2"/>
    <w:rsid w:val="004F7F33"/>
    <w:rsid w:val="00501D76"/>
    <w:rsid w:val="00501EEC"/>
    <w:rsid w:val="0050236E"/>
    <w:rsid w:val="00502E12"/>
    <w:rsid w:val="00503235"/>
    <w:rsid w:val="005042F1"/>
    <w:rsid w:val="005048C8"/>
    <w:rsid w:val="00504EF9"/>
    <w:rsid w:val="00506B7E"/>
    <w:rsid w:val="00506C3E"/>
    <w:rsid w:val="00507035"/>
    <w:rsid w:val="005074FE"/>
    <w:rsid w:val="00511485"/>
    <w:rsid w:val="0051188F"/>
    <w:rsid w:val="00514ABC"/>
    <w:rsid w:val="0051552D"/>
    <w:rsid w:val="0051561D"/>
    <w:rsid w:val="005158F0"/>
    <w:rsid w:val="0051598A"/>
    <w:rsid w:val="00517D3D"/>
    <w:rsid w:val="00520515"/>
    <w:rsid w:val="00523537"/>
    <w:rsid w:val="005238E0"/>
    <w:rsid w:val="0052448A"/>
    <w:rsid w:val="00524CB5"/>
    <w:rsid w:val="00526318"/>
    <w:rsid w:val="005278F6"/>
    <w:rsid w:val="00527EE9"/>
    <w:rsid w:val="0053084B"/>
    <w:rsid w:val="00531365"/>
    <w:rsid w:val="0053146B"/>
    <w:rsid w:val="005319BF"/>
    <w:rsid w:val="00531D9E"/>
    <w:rsid w:val="0053374A"/>
    <w:rsid w:val="00534667"/>
    <w:rsid w:val="005350A1"/>
    <w:rsid w:val="00535740"/>
    <w:rsid w:val="00535C11"/>
    <w:rsid w:val="00540DB9"/>
    <w:rsid w:val="0054202E"/>
    <w:rsid w:val="0054399E"/>
    <w:rsid w:val="0054420A"/>
    <w:rsid w:val="005465D8"/>
    <w:rsid w:val="00546C65"/>
    <w:rsid w:val="00546E5B"/>
    <w:rsid w:val="005473BA"/>
    <w:rsid w:val="00547D7E"/>
    <w:rsid w:val="00550E08"/>
    <w:rsid w:val="0055148E"/>
    <w:rsid w:val="00551588"/>
    <w:rsid w:val="00551D4F"/>
    <w:rsid w:val="00552E03"/>
    <w:rsid w:val="00552E50"/>
    <w:rsid w:val="005535BE"/>
    <w:rsid w:val="005535E4"/>
    <w:rsid w:val="00554AB5"/>
    <w:rsid w:val="00555408"/>
    <w:rsid w:val="00555903"/>
    <w:rsid w:val="00557A6D"/>
    <w:rsid w:val="00557ABC"/>
    <w:rsid w:val="00557B31"/>
    <w:rsid w:val="00557EA8"/>
    <w:rsid w:val="00560147"/>
    <w:rsid w:val="00560DBA"/>
    <w:rsid w:val="005611D5"/>
    <w:rsid w:val="005613BE"/>
    <w:rsid w:val="0056222C"/>
    <w:rsid w:val="00562F8F"/>
    <w:rsid w:val="0056353D"/>
    <w:rsid w:val="00563BB4"/>
    <w:rsid w:val="00563C4E"/>
    <w:rsid w:val="00563F17"/>
    <w:rsid w:val="005669C3"/>
    <w:rsid w:val="005669F9"/>
    <w:rsid w:val="00567128"/>
    <w:rsid w:val="0057002A"/>
    <w:rsid w:val="00570F58"/>
    <w:rsid w:val="0057107E"/>
    <w:rsid w:val="00571AEE"/>
    <w:rsid w:val="0057254B"/>
    <w:rsid w:val="00572558"/>
    <w:rsid w:val="005755BB"/>
    <w:rsid w:val="00576456"/>
    <w:rsid w:val="00577126"/>
    <w:rsid w:val="0058041F"/>
    <w:rsid w:val="00580464"/>
    <w:rsid w:val="00580722"/>
    <w:rsid w:val="0058325D"/>
    <w:rsid w:val="00583778"/>
    <w:rsid w:val="00583B6D"/>
    <w:rsid w:val="00583F8C"/>
    <w:rsid w:val="00584839"/>
    <w:rsid w:val="00585030"/>
    <w:rsid w:val="005914F8"/>
    <w:rsid w:val="00591910"/>
    <w:rsid w:val="0059275D"/>
    <w:rsid w:val="0059421A"/>
    <w:rsid w:val="00594979"/>
    <w:rsid w:val="005954C4"/>
    <w:rsid w:val="005968B7"/>
    <w:rsid w:val="005974F0"/>
    <w:rsid w:val="005A1707"/>
    <w:rsid w:val="005A34E0"/>
    <w:rsid w:val="005A40AF"/>
    <w:rsid w:val="005A40F8"/>
    <w:rsid w:val="005A48CE"/>
    <w:rsid w:val="005A4927"/>
    <w:rsid w:val="005A5D96"/>
    <w:rsid w:val="005A615C"/>
    <w:rsid w:val="005A6938"/>
    <w:rsid w:val="005B11A1"/>
    <w:rsid w:val="005B11D6"/>
    <w:rsid w:val="005B1B53"/>
    <w:rsid w:val="005B213E"/>
    <w:rsid w:val="005B2143"/>
    <w:rsid w:val="005B3C31"/>
    <w:rsid w:val="005B4537"/>
    <w:rsid w:val="005B526E"/>
    <w:rsid w:val="005B5742"/>
    <w:rsid w:val="005B5F9F"/>
    <w:rsid w:val="005B6A38"/>
    <w:rsid w:val="005B788A"/>
    <w:rsid w:val="005C0DFF"/>
    <w:rsid w:val="005C1A1C"/>
    <w:rsid w:val="005C2452"/>
    <w:rsid w:val="005C2D7A"/>
    <w:rsid w:val="005C3DE2"/>
    <w:rsid w:val="005C4EB1"/>
    <w:rsid w:val="005C6C9A"/>
    <w:rsid w:val="005D0240"/>
    <w:rsid w:val="005D1AF4"/>
    <w:rsid w:val="005D2CF1"/>
    <w:rsid w:val="005D44A9"/>
    <w:rsid w:val="005D4EF5"/>
    <w:rsid w:val="005D503B"/>
    <w:rsid w:val="005D5E69"/>
    <w:rsid w:val="005D7737"/>
    <w:rsid w:val="005D78B0"/>
    <w:rsid w:val="005D7DE1"/>
    <w:rsid w:val="005E210B"/>
    <w:rsid w:val="005E2461"/>
    <w:rsid w:val="005E3597"/>
    <w:rsid w:val="005E4328"/>
    <w:rsid w:val="005E4C7F"/>
    <w:rsid w:val="005E5574"/>
    <w:rsid w:val="005E6A4E"/>
    <w:rsid w:val="005F0A6E"/>
    <w:rsid w:val="005F2D7F"/>
    <w:rsid w:val="005F3A73"/>
    <w:rsid w:val="005F6594"/>
    <w:rsid w:val="005F7234"/>
    <w:rsid w:val="00600927"/>
    <w:rsid w:val="00602E59"/>
    <w:rsid w:val="00604166"/>
    <w:rsid w:val="00604355"/>
    <w:rsid w:val="0060471D"/>
    <w:rsid w:val="00605FDE"/>
    <w:rsid w:val="00607673"/>
    <w:rsid w:val="00607DF7"/>
    <w:rsid w:val="006106FF"/>
    <w:rsid w:val="00610B1B"/>
    <w:rsid w:val="00611D19"/>
    <w:rsid w:val="00611D46"/>
    <w:rsid w:val="0061221D"/>
    <w:rsid w:val="00612CFC"/>
    <w:rsid w:val="00613231"/>
    <w:rsid w:val="006132E4"/>
    <w:rsid w:val="00613DBC"/>
    <w:rsid w:val="00614976"/>
    <w:rsid w:val="00614F4C"/>
    <w:rsid w:val="00615B02"/>
    <w:rsid w:val="006169F7"/>
    <w:rsid w:val="006172A3"/>
    <w:rsid w:val="00617B9F"/>
    <w:rsid w:val="00617C6F"/>
    <w:rsid w:val="00620465"/>
    <w:rsid w:val="006204CB"/>
    <w:rsid w:val="00621387"/>
    <w:rsid w:val="006215CC"/>
    <w:rsid w:val="00621E38"/>
    <w:rsid w:val="006224B4"/>
    <w:rsid w:val="006224F6"/>
    <w:rsid w:val="00622726"/>
    <w:rsid w:val="00623244"/>
    <w:rsid w:val="00623881"/>
    <w:rsid w:val="006239A3"/>
    <w:rsid w:val="00623A39"/>
    <w:rsid w:val="0062516E"/>
    <w:rsid w:val="00626294"/>
    <w:rsid w:val="00626B39"/>
    <w:rsid w:val="00626DA4"/>
    <w:rsid w:val="0062717D"/>
    <w:rsid w:val="00627628"/>
    <w:rsid w:val="00630F16"/>
    <w:rsid w:val="006315C5"/>
    <w:rsid w:val="00632C84"/>
    <w:rsid w:val="00633D9F"/>
    <w:rsid w:val="00634AEB"/>
    <w:rsid w:val="006358D1"/>
    <w:rsid w:val="00635EDC"/>
    <w:rsid w:val="006367CD"/>
    <w:rsid w:val="006374CA"/>
    <w:rsid w:val="00637B60"/>
    <w:rsid w:val="00641908"/>
    <w:rsid w:val="00641ED5"/>
    <w:rsid w:val="00644B3F"/>
    <w:rsid w:val="00644FCC"/>
    <w:rsid w:val="00647B61"/>
    <w:rsid w:val="0065092F"/>
    <w:rsid w:val="00650B93"/>
    <w:rsid w:val="00650D4C"/>
    <w:rsid w:val="006520F0"/>
    <w:rsid w:val="00653490"/>
    <w:rsid w:val="00653BE8"/>
    <w:rsid w:val="00653F7B"/>
    <w:rsid w:val="006542BD"/>
    <w:rsid w:val="00654419"/>
    <w:rsid w:val="00655DCE"/>
    <w:rsid w:val="006561E1"/>
    <w:rsid w:val="006611A5"/>
    <w:rsid w:val="0066197F"/>
    <w:rsid w:val="00661AE9"/>
    <w:rsid w:val="00661E8F"/>
    <w:rsid w:val="006620E6"/>
    <w:rsid w:val="0066318B"/>
    <w:rsid w:val="00663428"/>
    <w:rsid w:val="00663EA0"/>
    <w:rsid w:val="00665E9C"/>
    <w:rsid w:val="00666A3B"/>
    <w:rsid w:val="00666DA6"/>
    <w:rsid w:val="006670B4"/>
    <w:rsid w:val="00667BC6"/>
    <w:rsid w:val="00667D53"/>
    <w:rsid w:val="00670704"/>
    <w:rsid w:val="00671B8C"/>
    <w:rsid w:val="00671BB4"/>
    <w:rsid w:val="00672CEA"/>
    <w:rsid w:val="00672ECE"/>
    <w:rsid w:val="00673757"/>
    <w:rsid w:val="0067492C"/>
    <w:rsid w:val="00675737"/>
    <w:rsid w:val="00676060"/>
    <w:rsid w:val="00676162"/>
    <w:rsid w:val="006768BC"/>
    <w:rsid w:val="0067691F"/>
    <w:rsid w:val="00677CDF"/>
    <w:rsid w:val="006804E8"/>
    <w:rsid w:val="006813C3"/>
    <w:rsid w:val="0068338F"/>
    <w:rsid w:val="0068349B"/>
    <w:rsid w:val="006837D8"/>
    <w:rsid w:val="00683F49"/>
    <w:rsid w:val="00684528"/>
    <w:rsid w:val="006849BC"/>
    <w:rsid w:val="00685366"/>
    <w:rsid w:val="00687470"/>
    <w:rsid w:val="006874C0"/>
    <w:rsid w:val="00690619"/>
    <w:rsid w:val="0069229C"/>
    <w:rsid w:val="006929F0"/>
    <w:rsid w:val="006961A8"/>
    <w:rsid w:val="00696E73"/>
    <w:rsid w:val="00696E9D"/>
    <w:rsid w:val="00697D58"/>
    <w:rsid w:val="00697E5A"/>
    <w:rsid w:val="006A01B2"/>
    <w:rsid w:val="006A0C7C"/>
    <w:rsid w:val="006A101A"/>
    <w:rsid w:val="006A2902"/>
    <w:rsid w:val="006A29B1"/>
    <w:rsid w:val="006A3BC4"/>
    <w:rsid w:val="006A768F"/>
    <w:rsid w:val="006B0248"/>
    <w:rsid w:val="006B0439"/>
    <w:rsid w:val="006B12CB"/>
    <w:rsid w:val="006B2E00"/>
    <w:rsid w:val="006B3971"/>
    <w:rsid w:val="006B571F"/>
    <w:rsid w:val="006B5827"/>
    <w:rsid w:val="006B6D77"/>
    <w:rsid w:val="006C0813"/>
    <w:rsid w:val="006C2240"/>
    <w:rsid w:val="006C3F2E"/>
    <w:rsid w:val="006C44F2"/>
    <w:rsid w:val="006C7DE8"/>
    <w:rsid w:val="006D0672"/>
    <w:rsid w:val="006D0ECD"/>
    <w:rsid w:val="006D11FE"/>
    <w:rsid w:val="006D178F"/>
    <w:rsid w:val="006D1F8A"/>
    <w:rsid w:val="006D41BB"/>
    <w:rsid w:val="006D5841"/>
    <w:rsid w:val="006D6116"/>
    <w:rsid w:val="006D6462"/>
    <w:rsid w:val="006D79B7"/>
    <w:rsid w:val="006D7FF9"/>
    <w:rsid w:val="006E0920"/>
    <w:rsid w:val="006E11E0"/>
    <w:rsid w:val="006E16E2"/>
    <w:rsid w:val="006E27B2"/>
    <w:rsid w:val="006E30BF"/>
    <w:rsid w:val="006E40A7"/>
    <w:rsid w:val="006E428E"/>
    <w:rsid w:val="006E7315"/>
    <w:rsid w:val="006E7BAC"/>
    <w:rsid w:val="006F13EF"/>
    <w:rsid w:val="006F1F52"/>
    <w:rsid w:val="006F2FC1"/>
    <w:rsid w:val="006F32A8"/>
    <w:rsid w:val="006F4CB4"/>
    <w:rsid w:val="006F59F2"/>
    <w:rsid w:val="006F614C"/>
    <w:rsid w:val="006F70B7"/>
    <w:rsid w:val="006F7A4D"/>
    <w:rsid w:val="007008C5"/>
    <w:rsid w:val="007019A3"/>
    <w:rsid w:val="007024D4"/>
    <w:rsid w:val="00703381"/>
    <w:rsid w:val="00703572"/>
    <w:rsid w:val="00704A59"/>
    <w:rsid w:val="00704C71"/>
    <w:rsid w:val="00704FD8"/>
    <w:rsid w:val="007057C9"/>
    <w:rsid w:val="007064EB"/>
    <w:rsid w:val="00706653"/>
    <w:rsid w:val="00706966"/>
    <w:rsid w:val="00706F4B"/>
    <w:rsid w:val="0071027D"/>
    <w:rsid w:val="00710E0E"/>
    <w:rsid w:val="00711424"/>
    <w:rsid w:val="0071174F"/>
    <w:rsid w:val="00713802"/>
    <w:rsid w:val="00713D6E"/>
    <w:rsid w:val="0071577B"/>
    <w:rsid w:val="0071661B"/>
    <w:rsid w:val="00716705"/>
    <w:rsid w:val="00716C87"/>
    <w:rsid w:val="00717AE7"/>
    <w:rsid w:val="00721053"/>
    <w:rsid w:val="00722030"/>
    <w:rsid w:val="00722558"/>
    <w:rsid w:val="00723A02"/>
    <w:rsid w:val="00724500"/>
    <w:rsid w:val="00726E5A"/>
    <w:rsid w:val="00727E3E"/>
    <w:rsid w:val="007303F5"/>
    <w:rsid w:val="007304BB"/>
    <w:rsid w:val="0073051B"/>
    <w:rsid w:val="007306CE"/>
    <w:rsid w:val="007311B2"/>
    <w:rsid w:val="00731E59"/>
    <w:rsid w:val="00734988"/>
    <w:rsid w:val="00734D01"/>
    <w:rsid w:val="0073570B"/>
    <w:rsid w:val="00736EAC"/>
    <w:rsid w:val="0073763B"/>
    <w:rsid w:val="0074192B"/>
    <w:rsid w:val="00741D5F"/>
    <w:rsid w:val="00744FF1"/>
    <w:rsid w:val="00746345"/>
    <w:rsid w:val="00747E75"/>
    <w:rsid w:val="00747F15"/>
    <w:rsid w:val="00750237"/>
    <w:rsid w:val="00750299"/>
    <w:rsid w:val="0075215F"/>
    <w:rsid w:val="007536AF"/>
    <w:rsid w:val="007545C4"/>
    <w:rsid w:val="007548CF"/>
    <w:rsid w:val="00754AD1"/>
    <w:rsid w:val="00755AE1"/>
    <w:rsid w:val="007564C8"/>
    <w:rsid w:val="00760B61"/>
    <w:rsid w:val="00760D10"/>
    <w:rsid w:val="0076108A"/>
    <w:rsid w:val="00761C8A"/>
    <w:rsid w:val="0076211F"/>
    <w:rsid w:val="007623D4"/>
    <w:rsid w:val="00764018"/>
    <w:rsid w:val="00764563"/>
    <w:rsid w:val="00764B44"/>
    <w:rsid w:val="00767D19"/>
    <w:rsid w:val="007700DE"/>
    <w:rsid w:val="0077035B"/>
    <w:rsid w:val="0077114F"/>
    <w:rsid w:val="00771CB3"/>
    <w:rsid w:val="00771FEF"/>
    <w:rsid w:val="007732CF"/>
    <w:rsid w:val="00774397"/>
    <w:rsid w:val="007743D0"/>
    <w:rsid w:val="00774B8E"/>
    <w:rsid w:val="00774F11"/>
    <w:rsid w:val="007760BC"/>
    <w:rsid w:val="00776C97"/>
    <w:rsid w:val="00776CB2"/>
    <w:rsid w:val="00777E89"/>
    <w:rsid w:val="00780641"/>
    <w:rsid w:val="00781502"/>
    <w:rsid w:val="00783033"/>
    <w:rsid w:val="00783879"/>
    <w:rsid w:val="00784890"/>
    <w:rsid w:val="00791815"/>
    <w:rsid w:val="0079192A"/>
    <w:rsid w:val="007930C4"/>
    <w:rsid w:val="007934DD"/>
    <w:rsid w:val="0079361B"/>
    <w:rsid w:val="00793BA9"/>
    <w:rsid w:val="007942F2"/>
    <w:rsid w:val="00795547"/>
    <w:rsid w:val="00797445"/>
    <w:rsid w:val="00797C3C"/>
    <w:rsid w:val="007A15D7"/>
    <w:rsid w:val="007A1804"/>
    <w:rsid w:val="007A559D"/>
    <w:rsid w:val="007A7540"/>
    <w:rsid w:val="007B12E4"/>
    <w:rsid w:val="007B294E"/>
    <w:rsid w:val="007B3BFB"/>
    <w:rsid w:val="007B5ED4"/>
    <w:rsid w:val="007B7466"/>
    <w:rsid w:val="007B790C"/>
    <w:rsid w:val="007B7A9B"/>
    <w:rsid w:val="007B7BF8"/>
    <w:rsid w:val="007B7E52"/>
    <w:rsid w:val="007C0726"/>
    <w:rsid w:val="007C074A"/>
    <w:rsid w:val="007C1C7E"/>
    <w:rsid w:val="007C1FA9"/>
    <w:rsid w:val="007C22F2"/>
    <w:rsid w:val="007C2DE2"/>
    <w:rsid w:val="007C2EDA"/>
    <w:rsid w:val="007C3B8D"/>
    <w:rsid w:val="007C3B93"/>
    <w:rsid w:val="007C50F9"/>
    <w:rsid w:val="007D1F0D"/>
    <w:rsid w:val="007D3BD4"/>
    <w:rsid w:val="007D3E3B"/>
    <w:rsid w:val="007D5657"/>
    <w:rsid w:val="007D6BD6"/>
    <w:rsid w:val="007D6CE4"/>
    <w:rsid w:val="007D74A5"/>
    <w:rsid w:val="007E0502"/>
    <w:rsid w:val="007E08B2"/>
    <w:rsid w:val="007E1AF6"/>
    <w:rsid w:val="007E27B4"/>
    <w:rsid w:val="007E317F"/>
    <w:rsid w:val="007E4266"/>
    <w:rsid w:val="007E4854"/>
    <w:rsid w:val="007E4F88"/>
    <w:rsid w:val="007E71F4"/>
    <w:rsid w:val="007F02E0"/>
    <w:rsid w:val="007F177C"/>
    <w:rsid w:val="007F42C6"/>
    <w:rsid w:val="007F46D9"/>
    <w:rsid w:val="007F4F30"/>
    <w:rsid w:val="007F5C92"/>
    <w:rsid w:val="007F5C9D"/>
    <w:rsid w:val="007F639E"/>
    <w:rsid w:val="007F7749"/>
    <w:rsid w:val="008005A0"/>
    <w:rsid w:val="00803D81"/>
    <w:rsid w:val="00803D8D"/>
    <w:rsid w:val="00803D9A"/>
    <w:rsid w:val="00804443"/>
    <w:rsid w:val="00804AAD"/>
    <w:rsid w:val="008066B6"/>
    <w:rsid w:val="0081187C"/>
    <w:rsid w:val="0081230A"/>
    <w:rsid w:val="008144D9"/>
    <w:rsid w:val="00814A41"/>
    <w:rsid w:val="008154E1"/>
    <w:rsid w:val="00815818"/>
    <w:rsid w:val="0081644A"/>
    <w:rsid w:val="00816455"/>
    <w:rsid w:val="0082023D"/>
    <w:rsid w:val="0082033D"/>
    <w:rsid w:val="008208C6"/>
    <w:rsid w:val="00820CF7"/>
    <w:rsid w:val="00821175"/>
    <w:rsid w:val="00821B98"/>
    <w:rsid w:val="008226F9"/>
    <w:rsid w:val="0082611E"/>
    <w:rsid w:val="00826385"/>
    <w:rsid w:val="0083001C"/>
    <w:rsid w:val="008306C0"/>
    <w:rsid w:val="00831199"/>
    <w:rsid w:val="008316B3"/>
    <w:rsid w:val="00831A1F"/>
    <w:rsid w:val="008322CC"/>
    <w:rsid w:val="00833D29"/>
    <w:rsid w:val="008364ED"/>
    <w:rsid w:val="00836638"/>
    <w:rsid w:val="00837539"/>
    <w:rsid w:val="00840025"/>
    <w:rsid w:val="008406FA"/>
    <w:rsid w:val="00840C86"/>
    <w:rsid w:val="0084146F"/>
    <w:rsid w:val="00841BAB"/>
    <w:rsid w:val="00842547"/>
    <w:rsid w:val="00842BFF"/>
    <w:rsid w:val="00842DF0"/>
    <w:rsid w:val="00843165"/>
    <w:rsid w:val="0084795D"/>
    <w:rsid w:val="00850567"/>
    <w:rsid w:val="008512E6"/>
    <w:rsid w:val="008541A8"/>
    <w:rsid w:val="008549DA"/>
    <w:rsid w:val="00855EBC"/>
    <w:rsid w:val="00861DB7"/>
    <w:rsid w:val="00861FBB"/>
    <w:rsid w:val="008621A1"/>
    <w:rsid w:val="00863043"/>
    <w:rsid w:val="00863BC2"/>
    <w:rsid w:val="00864224"/>
    <w:rsid w:val="00864989"/>
    <w:rsid w:val="008656B9"/>
    <w:rsid w:val="0087028B"/>
    <w:rsid w:val="0087358C"/>
    <w:rsid w:val="00873D87"/>
    <w:rsid w:val="00874B67"/>
    <w:rsid w:val="00874B7A"/>
    <w:rsid w:val="0087540E"/>
    <w:rsid w:val="0087730C"/>
    <w:rsid w:val="0087746C"/>
    <w:rsid w:val="00877DC8"/>
    <w:rsid w:val="008808C4"/>
    <w:rsid w:val="008811C0"/>
    <w:rsid w:val="0088295F"/>
    <w:rsid w:val="0088314D"/>
    <w:rsid w:val="008838D2"/>
    <w:rsid w:val="00885473"/>
    <w:rsid w:val="008859E7"/>
    <w:rsid w:val="008872BA"/>
    <w:rsid w:val="00887DE3"/>
    <w:rsid w:val="00890918"/>
    <w:rsid w:val="00891991"/>
    <w:rsid w:val="00892195"/>
    <w:rsid w:val="008931BF"/>
    <w:rsid w:val="008942A3"/>
    <w:rsid w:val="008957AC"/>
    <w:rsid w:val="00896E0B"/>
    <w:rsid w:val="008979F4"/>
    <w:rsid w:val="008A0F8A"/>
    <w:rsid w:val="008A24C3"/>
    <w:rsid w:val="008A2EFD"/>
    <w:rsid w:val="008A694B"/>
    <w:rsid w:val="008A77F6"/>
    <w:rsid w:val="008A7E6C"/>
    <w:rsid w:val="008B0402"/>
    <w:rsid w:val="008B0412"/>
    <w:rsid w:val="008B0F53"/>
    <w:rsid w:val="008B2B2A"/>
    <w:rsid w:val="008B3B8A"/>
    <w:rsid w:val="008B5E0B"/>
    <w:rsid w:val="008B5EF9"/>
    <w:rsid w:val="008B6128"/>
    <w:rsid w:val="008B63D5"/>
    <w:rsid w:val="008B66CE"/>
    <w:rsid w:val="008B7875"/>
    <w:rsid w:val="008C021A"/>
    <w:rsid w:val="008C05BF"/>
    <w:rsid w:val="008C06DD"/>
    <w:rsid w:val="008C0B84"/>
    <w:rsid w:val="008C1213"/>
    <w:rsid w:val="008C1C12"/>
    <w:rsid w:val="008C38C4"/>
    <w:rsid w:val="008C3AE3"/>
    <w:rsid w:val="008C43E0"/>
    <w:rsid w:val="008C44C0"/>
    <w:rsid w:val="008C4990"/>
    <w:rsid w:val="008C4EA6"/>
    <w:rsid w:val="008C62B8"/>
    <w:rsid w:val="008D2276"/>
    <w:rsid w:val="008D34EB"/>
    <w:rsid w:val="008D42D7"/>
    <w:rsid w:val="008D4ADD"/>
    <w:rsid w:val="008D53C4"/>
    <w:rsid w:val="008D5514"/>
    <w:rsid w:val="008D5CA8"/>
    <w:rsid w:val="008D6073"/>
    <w:rsid w:val="008D66DE"/>
    <w:rsid w:val="008D69B6"/>
    <w:rsid w:val="008E06FE"/>
    <w:rsid w:val="008E0A91"/>
    <w:rsid w:val="008E0CFF"/>
    <w:rsid w:val="008E198B"/>
    <w:rsid w:val="008E46F3"/>
    <w:rsid w:val="008E62E4"/>
    <w:rsid w:val="008E6A81"/>
    <w:rsid w:val="008E714D"/>
    <w:rsid w:val="008E72A3"/>
    <w:rsid w:val="008E7379"/>
    <w:rsid w:val="008E764B"/>
    <w:rsid w:val="008F18C7"/>
    <w:rsid w:val="008F245B"/>
    <w:rsid w:val="008F2A4C"/>
    <w:rsid w:val="008F3138"/>
    <w:rsid w:val="008F3447"/>
    <w:rsid w:val="008F5294"/>
    <w:rsid w:val="008F6841"/>
    <w:rsid w:val="00900122"/>
    <w:rsid w:val="00900ACC"/>
    <w:rsid w:val="00901D00"/>
    <w:rsid w:val="00902BEA"/>
    <w:rsid w:val="00903F20"/>
    <w:rsid w:val="009055C3"/>
    <w:rsid w:val="00905BA9"/>
    <w:rsid w:val="00907CDD"/>
    <w:rsid w:val="009108F0"/>
    <w:rsid w:val="00913791"/>
    <w:rsid w:val="00913FA0"/>
    <w:rsid w:val="009144C1"/>
    <w:rsid w:val="00914CCD"/>
    <w:rsid w:val="00914EF3"/>
    <w:rsid w:val="00916846"/>
    <w:rsid w:val="00917650"/>
    <w:rsid w:val="009214AA"/>
    <w:rsid w:val="00923334"/>
    <w:rsid w:val="00924900"/>
    <w:rsid w:val="009250AF"/>
    <w:rsid w:val="00925651"/>
    <w:rsid w:val="009264C7"/>
    <w:rsid w:val="0092656B"/>
    <w:rsid w:val="00926DDC"/>
    <w:rsid w:val="00927CA6"/>
    <w:rsid w:val="00927D93"/>
    <w:rsid w:val="00934B76"/>
    <w:rsid w:val="00940149"/>
    <w:rsid w:val="009424BD"/>
    <w:rsid w:val="009455CC"/>
    <w:rsid w:val="00945C85"/>
    <w:rsid w:val="0095196C"/>
    <w:rsid w:val="0095242D"/>
    <w:rsid w:val="00952F6D"/>
    <w:rsid w:val="00953809"/>
    <w:rsid w:val="009548FF"/>
    <w:rsid w:val="0095493B"/>
    <w:rsid w:val="0095532F"/>
    <w:rsid w:val="00955D9A"/>
    <w:rsid w:val="00957322"/>
    <w:rsid w:val="00960092"/>
    <w:rsid w:val="009606D6"/>
    <w:rsid w:val="00961157"/>
    <w:rsid w:val="00962C7D"/>
    <w:rsid w:val="009639D9"/>
    <w:rsid w:val="00963BAA"/>
    <w:rsid w:val="00963D42"/>
    <w:rsid w:val="00963D80"/>
    <w:rsid w:val="009652EC"/>
    <w:rsid w:val="00966E8C"/>
    <w:rsid w:val="009715E7"/>
    <w:rsid w:val="00971E9C"/>
    <w:rsid w:val="009742D6"/>
    <w:rsid w:val="00974975"/>
    <w:rsid w:val="00975247"/>
    <w:rsid w:val="00976B4F"/>
    <w:rsid w:val="009810AD"/>
    <w:rsid w:val="009811D4"/>
    <w:rsid w:val="009820F9"/>
    <w:rsid w:val="009837A8"/>
    <w:rsid w:val="00983B62"/>
    <w:rsid w:val="009843AF"/>
    <w:rsid w:val="00986012"/>
    <w:rsid w:val="009866B2"/>
    <w:rsid w:val="0099034F"/>
    <w:rsid w:val="009903F3"/>
    <w:rsid w:val="00990ABF"/>
    <w:rsid w:val="00990C3F"/>
    <w:rsid w:val="00992F22"/>
    <w:rsid w:val="009936B2"/>
    <w:rsid w:val="00993A6F"/>
    <w:rsid w:val="009944BE"/>
    <w:rsid w:val="009953CC"/>
    <w:rsid w:val="0099591B"/>
    <w:rsid w:val="00996107"/>
    <w:rsid w:val="00996BAC"/>
    <w:rsid w:val="00996E47"/>
    <w:rsid w:val="009A0ED8"/>
    <w:rsid w:val="009A30C9"/>
    <w:rsid w:val="009A4552"/>
    <w:rsid w:val="009A4922"/>
    <w:rsid w:val="009A5162"/>
    <w:rsid w:val="009A60B4"/>
    <w:rsid w:val="009B067F"/>
    <w:rsid w:val="009B3E7D"/>
    <w:rsid w:val="009B485D"/>
    <w:rsid w:val="009B56C9"/>
    <w:rsid w:val="009B5C41"/>
    <w:rsid w:val="009B6E05"/>
    <w:rsid w:val="009C127B"/>
    <w:rsid w:val="009C14D8"/>
    <w:rsid w:val="009C192F"/>
    <w:rsid w:val="009C2183"/>
    <w:rsid w:val="009C233C"/>
    <w:rsid w:val="009C2483"/>
    <w:rsid w:val="009C2826"/>
    <w:rsid w:val="009C315E"/>
    <w:rsid w:val="009C3970"/>
    <w:rsid w:val="009C3D79"/>
    <w:rsid w:val="009C3E83"/>
    <w:rsid w:val="009C5CFD"/>
    <w:rsid w:val="009C6124"/>
    <w:rsid w:val="009C6336"/>
    <w:rsid w:val="009C6D5D"/>
    <w:rsid w:val="009D0168"/>
    <w:rsid w:val="009D0468"/>
    <w:rsid w:val="009D0538"/>
    <w:rsid w:val="009D05B2"/>
    <w:rsid w:val="009D137D"/>
    <w:rsid w:val="009D14E9"/>
    <w:rsid w:val="009D2938"/>
    <w:rsid w:val="009D3778"/>
    <w:rsid w:val="009D3D4F"/>
    <w:rsid w:val="009D4922"/>
    <w:rsid w:val="009D58F4"/>
    <w:rsid w:val="009D674E"/>
    <w:rsid w:val="009E033E"/>
    <w:rsid w:val="009E1E87"/>
    <w:rsid w:val="009E2CF1"/>
    <w:rsid w:val="009E3601"/>
    <w:rsid w:val="009E3BD6"/>
    <w:rsid w:val="009E40EA"/>
    <w:rsid w:val="009E45FE"/>
    <w:rsid w:val="009E46E6"/>
    <w:rsid w:val="009E561F"/>
    <w:rsid w:val="009E58D9"/>
    <w:rsid w:val="009E667F"/>
    <w:rsid w:val="009E6F25"/>
    <w:rsid w:val="009F0433"/>
    <w:rsid w:val="009F08E7"/>
    <w:rsid w:val="009F0BE5"/>
    <w:rsid w:val="009F2623"/>
    <w:rsid w:val="009F3084"/>
    <w:rsid w:val="009F3DF1"/>
    <w:rsid w:val="009F54B1"/>
    <w:rsid w:val="009F5865"/>
    <w:rsid w:val="009F7E54"/>
    <w:rsid w:val="00A00119"/>
    <w:rsid w:val="00A002EB"/>
    <w:rsid w:val="00A0037E"/>
    <w:rsid w:val="00A02786"/>
    <w:rsid w:val="00A02877"/>
    <w:rsid w:val="00A02D3E"/>
    <w:rsid w:val="00A03BD2"/>
    <w:rsid w:val="00A04302"/>
    <w:rsid w:val="00A05030"/>
    <w:rsid w:val="00A06259"/>
    <w:rsid w:val="00A06924"/>
    <w:rsid w:val="00A06CC4"/>
    <w:rsid w:val="00A1076A"/>
    <w:rsid w:val="00A108D0"/>
    <w:rsid w:val="00A10A7A"/>
    <w:rsid w:val="00A11CD1"/>
    <w:rsid w:val="00A1274F"/>
    <w:rsid w:val="00A14B4B"/>
    <w:rsid w:val="00A14BB2"/>
    <w:rsid w:val="00A166CA"/>
    <w:rsid w:val="00A17ADF"/>
    <w:rsid w:val="00A20061"/>
    <w:rsid w:val="00A20C58"/>
    <w:rsid w:val="00A213AB"/>
    <w:rsid w:val="00A241EC"/>
    <w:rsid w:val="00A24758"/>
    <w:rsid w:val="00A25B0E"/>
    <w:rsid w:val="00A30A98"/>
    <w:rsid w:val="00A31216"/>
    <w:rsid w:val="00A3129E"/>
    <w:rsid w:val="00A318BD"/>
    <w:rsid w:val="00A31A14"/>
    <w:rsid w:val="00A33184"/>
    <w:rsid w:val="00A33B68"/>
    <w:rsid w:val="00A346B5"/>
    <w:rsid w:val="00A35638"/>
    <w:rsid w:val="00A36841"/>
    <w:rsid w:val="00A36E20"/>
    <w:rsid w:val="00A40AE1"/>
    <w:rsid w:val="00A438E5"/>
    <w:rsid w:val="00A44B56"/>
    <w:rsid w:val="00A466BF"/>
    <w:rsid w:val="00A46815"/>
    <w:rsid w:val="00A47396"/>
    <w:rsid w:val="00A47B7C"/>
    <w:rsid w:val="00A50F83"/>
    <w:rsid w:val="00A51DFE"/>
    <w:rsid w:val="00A528E3"/>
    <w:rsid w:val="00A52AF8"/>
    <w:rsid w:val="00A52C25"/>
    <w:rsid w:val="00A54D42"/>
    <w:rsid w:val="00A56011"/>
    <w:rsid w:val="00A60ABA"/>
    <w:rsid w:val="00A625FC"/>
    <w:rsid w:val="00A63B6B"/>
    <w:rsid w:val="00A63FBB"/>
    <w:rsid w:val="00A64C77"/>
    <w:rsid w:val="00A6525E"/>
    <w:rsid w:val="00A65FCB"/>
    <w:rsid w:val="00A67D7D"/>
    <w:rsid w:val="00A73463"/>
    <w:rsid w:val="00A7351E"/>
    <w:rsid w:val="00A735F6"/>
    <w:rsid w:val="00A73BD9"/>
    <w:rsid w:val="00A759FA"/>
    <w:rsid w:val="00A76190"/>
    <w:rsid w:val="00A7646D"/>
    <w:rsid w:val="00A77B60"/>
    <w:rsid w:val="00A80776"/>
    <w:rsid w:val="00A809B4"/>
    <w:rsid w:val="00A80BC9"/>
    <w:rsid w:val="00A83126"/>
    <w:rsid w:val="00A83226"/>
    <w:rsid w:val="00A836C8"/>
    <w:rsid w:val="00A8375B"/>
    <w:rsid w:val="00A839DE"/>
    <w:rsid w:val="00A844C2"/>
    <w:rsid w:val="00A848EE"/>
    <w:rsid w:val="00A85E3B"/>
    <w:rsid w:val="00A86DE7"/>
    <w:rsid w:val="00A9004B"/>
    <w:rsid w:val="00A9176F"/>
    <w:rsid w:val="00A91CDD"/>
    <w:rsid w:val="00A91D3C"/>
    <w:rsid w:val="00A91D46"/>
    <w:rsid w:val="00A93F8F"/>
    <w:rsid w:val="00A961A9"/>
    <w:rsid w:val="00A97430"/>
    <w:rsid w:val="00AA0ACA"/>
    <w:rsid w:val="00AA0FC7"/>
    <w:rsid w:val="00AA1686"/>
    <w:rsid w:val="00AA2CAE"/>
    <w:rsid w:val="00AA3669"/>
    <w:rsid w:val="00AA3DB1"/>
    <w:rsid w:val="00AA3FF1"/>
    <w:rsid w:val="00AA431A"/>
    <w:rsid w:val="00AA4E90"/>
    <w:rsid w:val="00AA57F3"/>
    <w:rsid w:val="00AA6409"/>
    <w:rsid w:val="00AB01D4"/>
    <w:rsid w:val="00AB1940"/>
    <w:rsid w:val="00AB2A8A"/>
    <w:rsid w:val="00AB2DFA"/>
    <w:rsid w:val="00AB317C"/>
    <w:rsid w:val="00AB4D8C"/>
    <w:rsid w:val="00AB4F37"/>
    <w:rsid w:val="00AB4FF1"/>
    <w:rsid w:val="00AB51EE"/>
    <w:rsid w:val="00AB58EC"/>
    <w:rsid w:val="00AB77AC"/>
    <w:rsid w:val="00AC03EA"/>
    <w:rsid w:val="00AC1C8A"/>
    <w:rsid w:val="00AC218D"/>
    <w:rsid w:val="00AC2654"/>
    <w:rsid w:val="00AC284B"/>
    <w:rsid w:val="00AC35AB"/>
    <w:rsid w:val="00AC40B8"/>
    <w:rsid w:val="00AC4288"/>
    <w:rsid w:val="00AC4A5D"/>
    <w:rsid w:val="00AC5C9C"/>
    <w:rsid w:val="00AC6152"/>
    <w:rsid w:val="00AC65CA"/>
    <w:rsid w:val="00AC6785"/>
    <w:rsid w:val="00AC6AD2"/>
    <w:rsid w:val="00AC70E6"/>
    <w:rsid w:val="00AC7430"/>
    <w:rsid w:val="00AC7DA1"/>
    <w:rsid w:val="00AD04CB"/>
    <w:rsid w:val="00AD0784"/>
    <w:rsid w:val="00AD1A8F"/>
    <w:rsid w:val="00AD24F5"/>
    <w:rsid w:val="00AD3358"/>
    <w:rsid w:val="00AD57A4"/>
    <w:rsid w:val="00AD651E"/>
    <w:rsid w:val="00AE0097"/>
    <w:rsid w:val="00AE0D07"/>
    <w:rsid w:val="00AE0E65"/>
    <w:rsid w:val="00AE1AB5"/>
    <w:rsid w:val="00AE2DF9"/>
    <w:rsid w:val="00AE2EB3"/>
    <w:rsid w:val="00AE3130"/>
    <w:rsid w:val="00AE3161"/>
    <w:rsid w:val="00AE3D2D"/>
    <w:rsid w:val="00AE4984"/>
    <w:rsid w:val="00AE5348"/>
    <w:rsid w:val="00AE58BD"/>
    <w:rsid w:val="00AE7AB2"/>
    <w:rsid w:val="00AF067C"/>
    <w:rsid w:val="00AF0A91"/>
    <w:rsid w:val="00AF1485"/>
    <w:rsid w:val="00AF24E3"/>
    <w:rsid w:val="00AF28B5"/>
    <w:rsid w:val="00AF4ACC"/>
    <w:rsid w:val="00AF6602"/>
    <w:rsid w:val="00AF660C"/>
    <w:rsid w:val="00B01634"/>
    <w:rsid w:val="00B024D1"/>
    <w:rsid w:val="00B045ED"/>
    <w:rsid w:val="00B046B4"/>
    <w:rsid w:val="00B052D0"/>
    <w:rsid w:val="00B05CA3"/>
    <w:rsid w:val="00B07091"/>
    <w:rsid w:val="00B102BA"/>
    <w:rsid w:val="00B1186C"/>
    <w:rsid w:val="00B11902"/>
    <w:rsid w:val="00B128A0"/>
    <w:rsid w:val="00B13130"/>
    <w:rsid w:val="00B14BFA"/>
    <w:rsid w:val="00B15E23"/>
    <w:rsid w:val="00B24F0F"/>
    <w:rsid w:val="00B25EB2"/>
    <w:rsid w:val="00B26079"/>
    <w:rsid w:val="00B272F3"/>
    <w:rsid w:val="00B311E0"/>
    <w:rsid w:val="00B31966"/>
    <w:rsid w:val="00B31B8D"/>
    <w:rsid w:val="00B32B28"/>
    <w:rsid w:val="00B337CB"/>
    <w:rsid w:val="00B3479D"/>
    <w:rsid w:val="00B34A1A"/>
    <w:rsid w:val="00B35C82"/>
    <w:rsid w:val="00B36168"/>
    <w:rsid w:val="00B40B56"/>
    <w:rsid w:val="00B417B9"/>
    <w:rsid w:val="00B41849"/>
    <w:rsid w:val="00B43163"/>
    <w:rsid w:val="00B436B4"/>
    <w:rsid w:val="00B43DBB"/>
    <w:rsid w:val="00B4407B"/>
    <w:rsid w:val="00B44C67"/>
    <w:rsid w:val="00B45EAC"/>
    <w:rsid w:val="00B467D4"/>
    <w:rsid w:val="00B479B3"/>
    <w:rsid w:val="00B503D7"/>
    <w:rsid w:val="00B50AED"/>
    <w:rsid w:val="00B5129D"/>
    <w:rsid w:val="00B51E6C"/>
    <w:rsid w:val="00B5507D"/>
    <w:rsid w:val="00B57417"/>
    <w:rsid w:val="00B60C81"/>
    <w:rsid w:val="00B62BAA"/>
    <w:rsid w:val="00B63244"/>
    <w:rsid w:val="00B63A41"/>
    <w:rsid w:val="00B704E1"/>
    <w:rsid w:val="00B71309"/>
    <w:rsid w:val="00B7213E"/>
    <w:rsid w:val="00B722BC"/>
    <w:rsid w:val="00B72F15"/>
    <w:rsid w:val="00B733E4"/>
    <w:rsid w:val="00B7617A"/>
    <w:rsid w:val="00B7625A"/>
    <w:rsid w:val="00B776F0"/>
    <w:rsid w:val="00B77CA8"/>
    <w:rsid w:val="00B8019A"/>
    <w:rsid w:val="00B80BEE"/>
    <w:rsid w:val="00B80FF8"/>
    <w:rsid w:val="00B824C5"/>
    <w:rsid w:val="00B83053"/>
    <w:rsid w:val="00B9034E"/>
    <w:rsid w:val="00B907F0"/>
    <w:rsid w:val="00B90D0E"/>
    <w:rsid w:val="00B9349F"/>
    <w:rsid w:val="00B94C98"/>
    <w:rsid w:val="00B94F10"/>
    <w:rsid w:val="00B9542D"/>
    <w:rsid w:val="00BA05BB"/>
    <w:rsid w:val="00BA5052"/>
    <w:rsid w:val="00BA752F"/>
    <w:rsid w:val="00BA7EAB"/>
    <w:rsid w:val="00BB4130"/>
    <w:rsid w:val="00BB7008"/>
    <w:rsid w:val="00BB7674"/>
    <w:rsid w:val="00BC0A04"/>
    <w:rsid w:val="00BC0C1B"/>
    <w:rsid w:val="00BC10A4"/>
    <w:rsid w:val="00BC207F"/>
    <w:rsid w:val="00BC2D89"/>
    <w:rsid w:val="00BC30A7"/>
    <w:rsid w:val="00BC404A"/>
    <w:rsid w:val="00BC5B81"/>
    <w:rsid w:val="00BC6160"/>
    <w:rsid w:val="00BC6D5E"/>
    <w:rsid w:val="00BC78DA"/>
    <w:rsid w:val="00BD0098"/>
    <w:rsid w:val="00BD061F"/>
    <w:rsid w:val="00BD0913"/>
    <w:rsid w:val="00BD1A86"/>
    <w:rsid w:val="00BD22AC"/>
    <w:rsid w:val="00BD2675"/>
    <w:rsid w:val="00BD2856"/>
    <w:rsid w:val="00BD2982"/>
    <w:rsid w:val="00BD29C6"/>
    <w:rsid w:val="00BD2F36"/>
    <w:rsid w:val="00BD5780"/>
    <w:rsid w:val="00BD5A8F"/>
    <w:rsid w:val="00BD668C"/>
    <w:rsid w:val="00BE01B4"/>
    <w:rsid w:val="00BE046C"/>
    <w:rsid w:val="00BE0FE7"/>
    <w:rsid w:val="00BE10ED"/>
    <w:rsid w:val="00BE2472"/>
    <w:rsid w:val="00BE2901"/>
    <w:rsid w:val="00BE2D78"/>
    <w:rsid w:val="00BE41DA"/>
    <w:rsid w:val="00BE4348"/>
    <w:rsid w:val="00BE4FA0"/>
    <w:rsid w:val="00BE535A"/>
    <w:rsid w:val="00BE54E0"/>
    <w:rsid w:val="00BE62A3"/>
    <w:rsid w:val="00BE76B0"/>
    <w:rsid w:val="00BF0E09"/>
    <w:rsid w:val="00BF1002"/>
    <w:rsid w:val="00BF1782"/>
    <w:rsid w:val="00BF3653"/>
    <w:rsid w:val="00BF37F5"/>
    <w:rsid w:val="00BF3C05"/>
    <w:rsid w:val="00BF4014"/>
    <w:rsid w:val="00BF471C"/>
    <w:rsid w:val="00BF4CA1"/>
    <w:rsid w:val="00BF6076"/>
    <w:rsid w:val="00BF7819"/>
    <w:rsid w:val="00C0392F"/>
    <w:rsid w:val="00C05B70"/>
    <w:rsid w:val="00C05CBA"/>
    <w:rsid w:val="00C0755D"/>
    <w:rsid w:val="00C10EF7"/>
    <w:rsid w:val="00C129FC"/>
    <w:rsid w:val="00C13C07"/>
    <w:rsid w:val="00C140A3"/>
    <w:rsid w:val="00C146F4"/>
    <w:rsid w:val="00C16B21"/>
    <w:rsid w:val="00C204FC"/>
    <w:rsid w:val="00C21CCE"/>
    <w:rsid w:val="00C21E93"/>
    <w:rsid w:val="00C240ED"/>
    <w:rsid w:val="00C24882"/>
    <w:rsid w:val="00C24A03"/>
    <w:rsid w:val="00C26CC6"/>
    <w:rsid w:val="00C26D55"/>
    <w:rsid w:val="00C30C19"/>
    <w:rsid w:val="00C30ED6"/>
    <w:rsid w:val="00C32CE1"/>
    <w:rsid w:val="00C3366A"/>
    <w:rsid w:val="00C3455C"/>
    <w:rsid w:val="00C34A08"/>
    <w:rsid w:val="00C34F09"/>
    <w:rsid w:val="00C3661E"/>
    <w:rsid w:val="00C37753"/>
    <w:rsid w:val="00C40124"/>
    <w:rsid w:val="00C423F9"/>
    <w:rsid w:val="00C4265E"/>
    <w:rsid w:val="00C426D5"/>
    <w:rsid w:val="00C4293C"/>
    <w:rsid w:val="00C449DC"/>
    <w:rsid w:val="00C4595E"/>
    <w:rsid w:val="00C46430"/>
    <w:rsid w:val="00C46A3A"/>
    <w:rsid w:val="00C46D98"/>
    <w:rsid w:val="00C527BE"/>
    <w:rsid w:val="00C530F3"/>
    <w:rsid w:val="00C5417D"/>
    <w:rsid w:val="00C54B74"/>
    <w:rsid w:val="00C54F1F"/>
    <w:rsid w:val="00C56801"/>
    <w:rsid w:val="00C56EBC"/>
    <w:rsid w:val="00C57634"/>
    <w:rsid w:val="00C62B81"/>
    <w:rsid w:val="00C62BCC"/>
    <w:rsid w:val="00C63B54"/>
    <w:rsid w:val="00C642E3"/>
    <w:rsid w:val="00C64597"/>
    <w:rsid w:val="00C64E28"/>
    <w:rsid w:val="00C650F4"/>
    <w:rsid w:val="00C65B24"/>
    <w:rsid w:val="00C65E91"/>
    <w:rsid w:val="00C66F0B"/>
    <w:rsid w:val="00C6724A"/>
    <w:rsid w:val="00C677CB"/>
    <w:rsid w:val="00C67B0D"/>
    <w:rsid w:val="00C70226"/>
    <w:rsid w:val="00C7235F"/>
    <w:rsid w:val="00C72362"/>
    <w:rsid w:val="00C73290"/>
    <w:rsid w:val="00C736BC"/>
    <w:rsid w:val="00C73C79"/>
    <w:rsid w:val="00C747D3"/>
    <w:rsid w:val="00C75027"/>
    <w:rsid w:val="00C7610C"/>
    <w:rsid w:val="00C76812"/>
    <w:rsid w:val="00C805DA"/>
    <w:rsid w:val="00C81686"/>
    <w:rsid w:val="00C81950"/>
    <w:rsid w:val="00C8315C"/>
    <w:rsid w:val="00C8434E"/>
    <w:rsid w:val="00C855C8"/>
    <w:rsid w:val="00C8774C"/>
    <w:rsid w:val="00C87BFA"/>
    <w:rsid w:val="00C90334"/>
    <w:rsid w:val="00C9285D"/>
    <w:rsid w:val="00C95372"/>
    <w:rsid w:val="00C96E0F"/>
    <w:rsid w:val="00C97663"/>
    <w:rsid w:val="00C97981"/>
    <w:rsid w:val="00CA0BC8"/>
    <w:rsid w:val="00CA0D3A"/>
    <w:rsid w:val="00CA2725"/>
    <w:rsid w:val="00CA380B"/>
    <w:rsid w:val="00CA407D"/>
    <w:rsid w:val="00CA4CCC"/>
    <w:rsid w:val="00CA4DDB"/>
    <w:rsid w:val="00CA5BD3"/>
    <w:rsid w:val="00CA68C8"/>
    <w:rsid w:val="00CA7ED2"/>
    <w:rsid w:val="00CB094D"/>
    <w:rsid w:val="00CB1ED6"/>
    <w:rsid w:val="00CB3508"/>
    <w:rsid w:val="00CB3B06"/>
    <w:rsid w:val="00CB4256"/>
    <w:rsid w:val="00CB4A37"/>
    <w:rsid w:val="00CB4FE5"/>
    <w:rsid w:val="00CB6062"/>
    <w:rsid w:val="00CB7DE2"/>
    <w:rsid w:val="00CB7FF4"/>
    <w:rsid w:val="00CC00AF"/>
    <w:rsid w:val="00CC01EC"/>
    <w:rsid w:val="00CC2BC4"/>
    <w:rsid w:val="00CC41AB"/>
    <w:rsid w:val="00CC47AE"/>
    <w:rsid w:val="00CC5702"/>
    <w:rsid w:val="00CC62D7"/>
    <w:rsid w:val="00CC6BB4"/>
    <w:rsid w:val="00CC73EC"/>
    <w:rsid w:val="00CD0426"/>
    <w:rsid w:val="00CD06A5"/>
    <w:rsid w:val="00CD0C56"/>
    <w:rsid w:val="00CD0D29"/>
    <w:rsid w:val="00CD219E"/>
    <w:rsid w:val="00CD4C71"/>
    <w:rsid w:val="00CD5942"/>
    <w:rsid w:val="00CD6DB2"/>
    <w:rsid w:val="00CE37C0"/>
    <w:rsid w:val="00CE5136"/>
    <w:rsid w:val="00CE5562"/>
    <w:rsid w:val="00CE5E1B"/>
    <w:rsid w:val="00CE7917"/>
    <w:rsid w:val="00CF15C1"/>
    <w:rsid w:val="00CF1BA2"/>
    <w:rsid w:val="00CF39DB"/>
    <w:rsid w:val="00CF39F0"/>
    <w:rsid w:val="00CF40E9"/>
    <w:rsid w:val="00CF5429"/>
    <w:rsid w:val="00CF5490"/>
    <w:rsid w:val="00CF5A54"/>
    <w:rsid w:val="00CF5EC5"/>
    <w:rsid w:val="00CF6420"/>
    <w:rsid w:val="00CF66C3"/>
    <w:rsid w:val="00CF6739"/>
    <w:rsid w:val="00CF6DF3"/>
    <w:rsid w:val="00CF7567"/>
    <w:rsid w:val="00D000F3"/>
    <w:rsid w:val="00D00480"/>
    <w:rsid w:val="00D0093F"/>
    <w:rsid w:val="00D027DA"/>
    <w:rsid w:val="00D02FBC"/>
    <w:rsid w:val="00D06511"/>
    <w:rsid w:val="00D0755E"/>
    <w:rsid w:val="00D1035F"/>
    <w:rsid w:val="00D11161"/>
    <w:rsid w:val="00D167BD"/>
    <w:rsid w:val="00D16DC9"/>
    <w:rsid w:val="00D171B7"/>
    <w:rsid w:val="00D1772E"/>
    <w:rsid w:val="00D21C46"/>
    <w:rsid w:val="00D21EFB"/>
    <w:rsid w:val="00D23321"/>
    <w:rsid w:val="00D23FFF"/>
    <w:rsid w:val="00D24BA3"/>
    <w:rsid w:val="00D32003"/>
    <w:rsid w:val="00D326FF"/>
    <w:rsid w:val="00D32AE1"/>
    <w:rsid w:val="00D32F91"/>
    <w:rsid w:val="00D3566F"/>
    <w:rsid w:val="00D3652F"/>
    <w:rsid w:val="00D372D4"/>
    <w:rsid w:val="00D408BD"/>
    <w:rsid w:val="00D40CE1"/>
    <w:rsid w:val="00D429F6"/>
    <w:rsid w:val="00D4304F"/>
    <w:rsid w:val="00D44631"/>
    <w:rsid w:val="00D46C5C"/>
    <w:rsid w:val="00D474EF"/>
    <w:rsid w:val="00D477EF"/>
    <w:rsid w:val="00D502DA"/>
    <w:rsid w:val="00D5239B"/>
    <w:rsid w:val="00D526CF"/>
    <w:rsid w:val="00D52BE2"/>
    <w:rsid w:val="00D52BFB"/>
    <w:rsid w:val="00D53224"/>
    <w:rsid w:val="00D53BFF"/>
    <w:rsid w:val="00D54940"/>
    <w:rsid w:val="00D553AB"/>
    <w:rsid w:val="00D56CCC"/>
    <w:rsid w:val="00D611A8"/>
    <w:rsid w:val="00D61EDB"/>
    <w:rsid w:val="00D630DE"/>
    <w:rsid w:val="00D6462D"/>
    <w:rsid w:val="00D64DF3"/>
    <w:rsid w:val="00D71317"/>
    <w:rsid w:val="00D7195A"/>
    <w:rsid w:val="00D7384D"/>
    <w:rsid w:val="00D747CD"/>
    <w:rsid w:val="00D75BBC"/>
    <w:rsid w:val="00D76017"/>
    <w:rsid w:val="00D76FAE"/>
    <w:rsid w:val="00D8007A"/>
    <w:rsid w:val="00D800DD"/>
    <w:rsid w:val="00D80264"/>
    <w:rsid w:val="00D80FD0"/>
    <w:rsid w:val="00D812ED"/>
    <w:rsid w:val="00D819DF"/>
    <w:rsid w:val="00D81A87"/>
    <w:rsid w:val="00D82477"/>
    <w:rsid w:val="00D8269E"/>
    <w:rsid w:val="00D82E22"/>
    <w:rsid w:val="00D8380A"/>
    <w:rsid w:val="00D83AC7"/>
    <w:rsid w:val="00D83C03"/>
    <w:rsid w:val="00D83E90"/>
    <w:rsid w:val="00D85149"/>
    <w:rsid w:val="00D85294"/>
    <w:rsid w:val="00D8547E"/>
    <w:rsid w:val="00D85A55"/>
    <w:rsid w:val="00D864EE"/>
    <w:rsid w:val="00D86BAA"/>
    <w:rsid w:val="00D86F30"/>
    <w:rsid w:val="00D872BD"/>
    <w:rsid w:val="00D873DD"/>
    <w:rsid w:val="00D87807"/>
    <w:rsid w:val="00D90164"/>
    <w:rsid w:val="00D91896"/>
    <w:rsid w:val="00D92028"/>
    <w:rsid w:val="00D93CA5"/>
    <w:rsid w:val="00D93F3E"/>
    <w:rsid w:val="00D9400E"/>
    <w:rsid w:val="00D94DA9"/>
    <w:rsid w:val="00D94EB1"/>
    <w:rsid w:val="00D952CF"/>
    <w:rsid w:val="00D95F17"/>
    <w:rsid w:val="00D9614C"/>
    <w:rsid w:val="00D9636B"/>
    <w:rsid w:val="00D9757B"/>
    <w:rsid w:val="00DA0D1D"/>
    <w:rsid w:val="00DA245F"/>
    <w:rsid w:val="00DA25A0"/>
    <w:rsid w:val="00DA25AF"/>
    <w:rsid w:val="00DA2EBC"/>
    <w:rsid w:val="00DA42FF"/>
    <w:rsid w:val="00DA450D"/>
    <w:rsid w:val="00DA4CB2"/>
    <w:rsid w:val="00DA6D2D"/>
    <w:rsid w:val="00DB05C4"/>
    <w:rsid w:val="00DB2036"/>
    <w:rsid w:val="00DB3114"/>
    <w:rsid w:val="00DB4284"/>
    <w:rsid w:val="00DB45E0"/>
    <w:rsid w:val="00DB5077"/>
    <w:rsid w:val="00DB5216"/>
    <w:rsid w:val="00DB643D"/>
    <w:rsid w:val="00DB6A9C"/>
    <w:rsid w:val="00DC02FE"/>
    <w:rsid w:val="00DC1936"/>
    <w:rsid w:val="00DC2F71"/>
    <w:rsid w:val="00DC37ED"/>
    <w:rsid w:val="00DC47F8"/>
    <w:rsid w:val="00DC4877"/>
    <w:rsid w:val="00DC67AD"/>
    <w:rsid w:val="00DC6D3C"/>
    <w:rsid w:val="00DD0450"/>
    <w:rsid w:val="00DD061C"/>
    <w:rsid w:val="00DD0B81"/>
    <w:rsid w:val="00DD1F27"/>
    <w:rsid w:val="00DD3CF7"/>
    <w:rsid w:val="00DD4039"/>
    <w:rsid w:val="00DD4072"/>
    <w:rsid w:val="00DD493A"/>
    <w:rsid w:val="00DD4B5E"/>
    <w:rsid w:val="00DD6E58"/>
    <w:rsid w:val="00DE0BF4"/>
    <w:rsid w:val="00DE3F70"/>
    <w:rsid w:val="00DE405A"/>
    <w:rsid w:val="00DE4266"/>
    <w:rsid w:val="00DE4D3E"/>
    <w:rsid w:val="00DE696B"/>
    <w:rsid w:val="00DE72A7"/>
    <w:rsid w:val="00DE75B2"/>
    <w:rsid w:val="00DF0D90"/>
    <w:rsid w:val="00DF1525"/>
    <w:rsid w:val="00DF27B3"/>
    <w:rsid w:val="00DF2925"/>
    <w:rsid w:val="00DF2DB0"/>
    <w:rsid w:val="00DF36EC"/>
    <w:rsid w:val="00DF3F59"/>
    <w:rsid w:val="00DF419A"/>
    <w:rsid w:val="00DF4D2B"/>
    <w:rsid w:val="00DF59C2"/>
    <w:rsid w:val="00DF66A1"/>
    <w:rsid w:val="00E000D5"/>
    <w:rsid w:val="00E010BD"/>
    <w:rsid w:val="00E047F0"/>
    <w:rsid w:val="00E0523D"/>
    <w:rsid w:val="00E07ACE"/>
    <w:rsid w:val="00E105CE"/>
    <w:rsid w:val="00E106DE"/>
    <w:rsid w:val="00E10B45"/>
    <w:rsid w:val="00E10E0B"/>
    <w:rsid w:val="00E111D9"/>
    <w:rsid w:val="00E139FE"/>
    <w:rsid w:val="00E13C4B"/>
    <w:rsid w:val="00E147FC"/>
    <w:rsid w:val="00E148CF"/>
    <w:rsid w:val="00E14E64"/>
    <w:rsid w:val="00E15E50"/>
    <w:rsid w:val="00E1757F"/>
    <w:rsid w:val="00E17707"/>
    <w:rsid w:val="00E17FAC"/>
    <w:rsid w:val="00E21F96"/>
    <w:rsid w:val="00E23296"/>
    <w:rsid w:val="00E24477"/>
    <w:rsid w:val="00E24CB1"/>
    <w:rsid w:val="00E26242"/>
    <w:rsid w:val="00E263B3"/>
    <w:rsid w:val="00E30205"/>
    <w:rsid w:val="00E310F9"/>
    <w:rsid w:val="00E317EA"/>
    <w:rsid w:val="00E34B05"/>
    <w:rsid w:val="00E353BB"/>
    <w:rsid w:val="00E3544F"/>
    <w:rsid w:val="00E37BC0"/>
    <w:rsid w:val="00E37C58"/>
    <w:rsid w:val="00E41C8C"/>
    <w:rsid w:val="00E43B01"/>
    <w:rsid w:val="00E44020"/>
    <w:rsid w:val="00E44F46"/>
    <w:rsid w:val="00E457CD"/>
    <w:rsid w:val="00E45986"/>
    <w:rsid w:val="00E468AF"/>
    <w:rsid w:val="00E47F75"/>
    <w:rsid w:val="00E50CC1"/>
    <w:rsid w:val="00E5177A"/>
    <w:rsid w:val="00E5263B"/>
    <w:rsid w:val="00E52672"/>
    <w:rsid w:val="00E53A17"/>
    <w:rsid w:val="00E53A3A"/>
    <w:rsid w:val="00E55762"/>
    <w:rsid w:val="00E55E0E"/>
    <w:rsid w:val="00E56C47"/>
    <w:rsid w:val="00E56F5B"/>
    <w:rsid w:val="00E61AC8"/>
    <w:rsid w:val="00E62194"/>
    <w:rsid w:val="00E62E1F"/>
    <w:rsid w:val="00E62E37"/>
    <w:rsid w:val="00E65383"/>
    <w:rsid w:val="00E65963"/>
    <w:rsid w:val="00E662D3"/>
    <w:rsid w:val="00E66479"/>
    <w:rsid w:val="00E66619"/>
    <w:rsid w:val="00E66921"/>
    <w:rsid w:val="00E70820"/>
    <w:rsid w:val="00E70BF6"/>
    <w:rsid w:val="00E710E5"/>
    <w:rsid w:val="00E756CA"/>
    <w:rsid w:val="00E7762C"/>
    <w:rsid w:val="00E77F3C"/>
    <w:rsid w:val="00E8038E"/>
    <w:rsid w:val="00E809EF"/>
    <w:rsid w:val="00E82EFE"/>
    <w:rsid w:val="00E830D4"/>
    <w:rsid w:val="00E8516A"/>
    <w:rsid w:val="00E8582B"/>
    <w:rsid w:val="00E85BA8"/>
    <w:rsid w:val="00E86CF3"/>
    <w:rsid w:val="00E90C50"/>
    <w:rsid w:val="00E9137F"/>
    <w:rsid w:val="00E91C12"/>
    <w:rsid w:val="00E922B2"/>
    <w:rsid w:val="00E92AF1"/>
    <w:rsid w:val="00E93C0A"/>
    <w:rsid w:val="00E97CC6"/>
    <w:rsid w:val="00EA001B"/>
    <w:rsid w:val="00EA22EE"/>
    <w:rsid w:val="00EA2621"/>
    <w:rsid w:val="00EA61EE"/>
    <w:rsid w:val="00EA63B9"/>
    <w:rsid w:val="00EA6A77"/>
    <w:rsid w:val="00EA7874"/>
    <w:rsid w:val="00EA7A80"/>
    <w:rsid w:val="00EB2DC3"/>
    <w:rsid w:val="00EB395D"/>
    <w:rsid w:val="00EB3F47"/>
    <w:rsid w:val="00EB517D"/>
    <w:rsid w:val="00EB546E"/>
    <w:rsid w:val="00EB616E"/>
    <w:rsid w:val="00EB686E"/>
    <w:rsid w:val="00EB7C5B"/>
    <w:rsid w:val="00EB7DE2"/>
    <w:rsid w:val="00EC0258"/>
    <w:rsid w:val="00EC0963"/>
    <w:rsid w:val="00EC0C5F"/>
    <w:rsid w:val="00EC2A9D"/>
    <w:rsid w:val="00EC2F27"/>
    <w:rsid w:val="00EC51A4"/>
    <w:rsid w:val="00EC5B05"/>
    <w:rsid w:val="00ED0FFF"/>
    <w:rsid w:val="00ED27C9"/>
    <w:rsid w:val="00ED2E61"/>
    <w:rsid w:val="00ED33B2"/>
    <w:rsid w:val="00ED3BC0"/>
    <w:rsid w:val="00ED4E89"/>
    <w:rsid w:val="00ED6571"/>
    <w:rsid w:val="00ED6CA9"/>
    <w:rsid w:val="00ED73AA"/>
    <w:rsid w:val="00ED7F02"/>
    <w:rsid w:val="00EE020A"/>
    <w:rsid w:val="00EE0A6C"/>
    <w:rsid w:val="00EE3058"/>
    <w:rsid w:val="00EE3A4A"/>
    <w:rsid w:val="00EE3D32"/>
    <w:rsid w:val="00EE42A6"/>
    <w:rsid w:val="00EE497E"/>
    <w:rsid w:val="00EE624F"/>
    <w:rsid w:val="00EF1629"/>
    <w:rsid w:val="00EF2696"/>
    <w:rsid w:val="00EF30D4"/>
    <w:rsid w:val="00EF4322"/>
    <w:rsid w:val="00F00192"/>
    <w:rsid w:val="00F004A6"/>
    <w:rsid w:val="00F00BA1"/>
    <w:rsid w:val="00F0119A"/>
    <w:rsid w:val="00F0153A"/>
    <w:rsid w:val="00F023D0"/>
    <w:rsid w:val="00F03498"/>
    <w:rsid w:val="00F051B6"/>
    <w:rsid w:val="00F05ACC"/>
    <w:rsid w:val="00F06410"/>
    <w:rsid w:val="00F06682"/>
    <w:rsid w:val="00F10399"/>
    <w:rsid w:val="00F110A9"/>
    <w:rsid w:val="00F127B5"/>
    <w:rsid w:val="00F13254"/>
    <w:rsid w:val="00F1346C"/>
    <w:rsid w:val="00F15B80"/>
    <w:rsid w:val="00F15CFF"/>
    <w:rsid w:val="00F17BE8"/>
    <w:rsid w:val="00F2071B"/>
    <w:rsid w:val="00F2105B"/>
    <w:rsid w:val="00F2200C"/>
    <w:rsid w:val="00F22B7C"/>
    <w:rsid w:val="00F245B2"/>
    <w:rsid w:val="00F246E0"/>
    <w:rsid w:val="00F25192"/>
    <w:rsid w:val="00F25E72"/>
    <w:rsid w:val="00F25FCE"/>
    <w:rsid w:val="00F3013F"/>
    <w:rsid w:val="00F3046A"/>
    <w:rsid w:val="00F30B5A"/>
    <w:rsid w:val="00F312BE"/>
    <w:rsid w:val="00F31600"/>
    <w:rsid w:val="00F324E5"/>
    <w:rsid w:val="00F32716"/>
    <w:rsid w:val="00F32D1A"/>
    <w:rsid w:val="00F33249"/>
    <w:rsid w:val="00F34D51"/>
    <w:rsid w:val="00F36F27"/>
    <w:rsid w:val="00F37226"/>
    <w:rsid w:val="00F40076"/>
    <w:rsid w:val="00F4256F"/>
    <w:rsid w:val="00F42917"/>
    <w:rsid w:val="00F43A89"/>
    <w:rsid w:val="00F43C83"/>
    <w:rsid w:val="00F4500D"/>
    <w:rsid w:val="00F46340"/>
    <w:rsid w:val="00F469CD"/>
    <w:rsid w:val="00F50807"/>
    <w:rsid w:val="00F52CD5"/>
    <w:rsid w:val="00F5375E"/>
    <w:rsid w:val="00F542A8"/>
    <w:rsid w:val="00F54318"/>
    <w:rsid w:val="00F5628B"/>
    <w:rsid w:val="00F57D08"/>
    <w:rsid w:val="00F60704"/>
    <w:rsid w:val="00F61C83"/>
    <w:rsid w:val="00F62875"/>
    <w:rsid w:val="00F62A25"/>
    <w:rsid w:val="00F64F83"/>
    <w:rsid w:val="00F65604"/>
    <w:rsid w:val="00F65985"/>
    <w:rsid w:val="00F66CB2"/>
    <w:rsid w:val="00F67637"/>
    <w:rsid w:val="00F67B17"/>
    <w:rsid w:val="00F702D7"/>
    <w:rsid w:val="00F707D7"/>
    <w:rsid w:val="00F7092D"/>
    <w:rsid w:val="00F7162D"/>
    <w:rsid w:val="00F71AA3"/>
    <w:rsid w:val="00F71AF8"/>
    <w:rsid w:val="00F73C44"/>
    <w:rsid w:val="00F747B2"/>
    <w:rsid w:val="00F75B5B"/>
    <w:rsid w:val="00F77302"/>
    <w:rsid w:val="00F7743E"/>
    <w:rsid w:val="00F77524"/>
    <w:rsid w:val="00F77C15"/>
    <w:rsid w:val="00F812FC"/>
    <w:rsid w:val="00F81AF5"/>
    <w:rsid w:val="00F83E9A"/>
    <w:rsid w:val="00F861D6"/>
    <w:rsid w:val="00F868AF"/>
    <w:rsid w:val="00F87340"/>
    <w:rsid w:val="00F8799A"/>
    <w:rsid w:val="00F9011A"/>
    <w:rsid w:val="00F905BD"/>
    <w:rsid w:val="00F935B7"/>
    <w:rsid w:val="00F93EDD"/>
    <w:rsid w:val="00F9433A"/>
    <w:rsid w:val="00F956DC"/>
    <w:rsid w:val="00F9650A"/>
    <w:rsid w:val="00F9718F"/>
    <w:rsid w:val="00F9758B"/>
    <w:rsid w:val="00F97C67"/>
    <w:rsid w:val="00F97CB4"/>
    <w:rsid w:val="00FA01D9"/>
    <w:rsid w:val="00FA1316"/>
    <w:rsid w:val="00FA1377"/>
    <w:rsid w:val="00FA19DB"/>
    <w:rsid w:val="00FA1B67"/>
    <w:rsid w:val="00FA1EA7"/>
    <w:rsid w:val="00FA2303"/>
    <w:rsid w:val="00FA6584"/>
    <w:rsid w:val="00FA6F81"/>
    <w:rsid w:val="00FA712C"/>
    <w:rsid w:val="00FB00CC"/>
    <w:rsid w:val="00FB354A"/>
    <w:rsid w:val="00FB3D27"/>
    <w:rsid w:val="00FB4CAC"/>
    <w:rsid w:val="00FB4FF6"/>
    <w:rsid w:val="00FB5647"/>
    <w:rsid w:val="00FB5CA4"/>
    <w:rsid w:val="00FB6415"/>
    <w:rsid w:val="00FB6AC0"/>
    <w:rsid w:val="00FB7033"/>
    <w:rsid w:val="00FB7BC3"/>
    <w:rsid w:val="00FC0DB4"/>
    <w:rsid w:val="00FC2D73"/>
    <w:rsid w:val="00FC2D83"/>
    <w:rsid w:val="00FC2F9A"/>
    <w:rsid w:val="00FC4E48"/>
    <w:rsid w:val="00FC58AB"/>
    <w:rsid w:val="00FC62F6"/>
    <w:rsid w:val="00FC6414"/>
    <w:rsid w:val="00FC6790"/>
    <w:rsid w:val="00FD0015"/>
    <w:rsid w:val="00FD079E"/>
    <w:rsid w:val="00FD097A"/>
    <w:rsid w:val="00FD1858"/>
    <w:rsid w:val="00FD1DE6"/>
    <w:rsid w:val="00FD2445"/>
    <w:rsid w:val="00FD2A53"/>
    <w:rsid w:val="00FD3548"/>
    <w:rsid w:val="00FD4B8B"/>
    <w:rsid w:val="00FD57FD"/>
    <w:rsid w:val="00FD59DF"/>
    <w:rsid w:val="00FD6DD9"/>
    <w:rsid w:val="00FD7A35"/>
    <w:rsid w:val="00FE0973"/>
    <w:rsid w:val="00FE0A54"/>
    <w:rsid w:val="00FE1412"/>
    <w:rsid w:val="00FE317A"/>
    <w:rsid w:val="00FE3B17"/>
    <w:rsid w:val="00FE4478"/>
    <w:rsid w:val="00FE490B"/>
    <w:rsid w:val="00FE5477"/>
    <w:rsid w:val="00FE5A3A"/>
    <w:rsid w:val="00FE6833"/>
    <w:rsid w:val="00FE68FB"/>
    <w:rsid w:val="00FE6FBF"/>
    <w:rsid w:val="00FF05B0"/>
    <w:rsid w:val="00FF0DE2"/>
    <w:rsid w:val="00FF1097"/>
    <w:rsid w:val="00FF1C5C"/>
    <w:rsid w:val="00FF2716"/>
    <w:rsid w:val="00FF5024"/>
    <w:rsid w:val="00FF63A8"/>
    <w:rsid w:val="00FF6F35"/>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9DE4"/>
  <w15:docId w15:val="{CF4C946C-85CD-42B3-82E3-C638C56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D5"/>
    <w:pPr>
      <w:spacing w:after="200" w:line="276" w:lineRule="auto"/>
    </w:pPr>
    <w:rPr>
      <w:rFonts w:ascii="Arial" w:hAnsi="Arial" w:cs="Arial"/>
      <w:sz w:val="20"/>
      <w:szCs w:val="20"/>
    </w:rPr>
  </w:style>
  <w:style w:type="paragraph" w:styleId="Ttulo1">
    <w:name w:val="heading 1"/>
    <w:basedOn w:val="Normal"/>
    <w:next w:val="Normal"/>
    <w:link w:val="Ttulo1Car"/>
    <w:uiPriority w:val="9"/>
    <w:qFormat/>
    <w:rsid w:val="00F9011A"/>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F901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90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F9011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9011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9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
    <w:basedOn w:val="Normal"/>
    <w:link w:val="PrrafodelistaCar"/>
    <w:uiPriority w:val="34"/>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011A"/>
    <w:pPr>
      <w:spacing w:after="0" w:line="240" w:lineRule="auto"/>
      <w:jc w:val="both"/>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line="240" w:lineRule="auto"/>
    </w:p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8A7E6C"/>
    <w:pPr>
      <w:tabs>
        <w:tab w:val="right" w:leader="dot" w:pos="8263"/>
      </w:tabs>
      <w:spacing w:after="100"/>
      <w:ind w:left="200"/>
      <w:jc w:val="both"/>
    </w:pPr>
  </w:style>
  <w:style w:type="paragraph" w:styleId="TDC3">
    <w:name w:val="toc 3"/>
    <w:basedOn w:val="Normal"/>
    <w:next w:val="Normal"/>
    <w:autoRedefine/>
    <w:uiPriority w:val="39"/>
    <w:unhideWhenUsed/>
    <w:rsid w:val="00F9011A"/>
    <w:pPr>
      <w:spacing w:after="100"/>
      <w:ind w:left="400"/>
    </w:pPr>
  </w:style>
  <w:style w:type="paragraph" w:customStyle="1" w:styleId="PRRAFOSENTENCIA">
    <w:name w:val="PÁRRAFO SENTENCIA"/>
    <w:basedOn w:val="Normal"/>
    <w:link w:val="PRRAFOSENTENCIACar"/>
    <w:qFormat/>
    <w:rsid w:val="00F9011A"/>
    <w:pPr>
      <w:spacing w:before="100" w:beforeAutospacing="1" w:after="100" w:afterAutospacing="1" w:line="360" w:lineRule="auto"/>
      <w:jc w:val="both"/>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sentenciaCar0">
    <w:name w:val="Párrafo sentencia Car"/>
    <w:link w:val="Prrafosentencia0"/>
    <w:locked/>
    <w:rsid w:val="00F67637"/>
    <w:rPr>
      <w:rFonts w:ascii="Arial" w:eastAsia="Cambria" w:hAnsi="Arial" w:cs="Arial"/>
      <w:color w:val="000000"/>
      <w:sz w:val="28"/>
      <w:szCs w:val="28"/>
      <w:lang w:val="es-ES_tradnl"/>
    </w:rPr>
  </w:style>
  <w:style w:type="paragraph" w:customStyle="1" w:styleId="Prrafosentencia0">
    <w:name w:val="Párrafo sentencia"/>
    <w:basedOn w:val="Sinespaciado"/>
    <w:link w:val="PrrafosentenciaCar0"/>
    <w:autoRedefine/>
    <w:qFormat/>
    <w:rsid w:val="00F67637"/>
    <w:pPr>
      <w:spacing w:before="360" w:after="360" w:line="360" w:lineRule="auto"/>
      <w:ind w:firstLine="1418"/>
    </w:pPr>
    <w:rPr>
      <w:rFonts w:eastAsia="Cambria" w:cs="Arial"/>
      <w:color w:val="000000"/>
      <w:sz w:val="28"/>
      <w:szCs w:val="28"/>
      <w:lang w:val="es-ES_tradnl"/>
    </w:rPr>
  </w:style>
  <w:style w:type="table" w:customStyle="1" w:styleId="Tablaconcuadrcula3">
    <w:name w:val="Tabla con cuadrícula3"/>
    <w:basedOn w:val="Tablanormal"/>
    <w:next w:val="Tablaconcuadrcula"/>
    <w:uiPriority w:val="99"/>
    <w:rsid w:val="0035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2">
    <w:name w:val="corte4 fondo Car2"/>
    <w:link w:val="corte4fondo"/>
    <w:locked/>
    <w:rsid w:val="004326DA"/>
    <w:rPr>
      <w:rFonts w:ascii="Arial" w:hAnsi="Arial" w:cs="Arial"/>
      <w:sz w:val="30"/>
      <w:szCs w:val="20"/>
      <w:lang w:val="x-none"/>
    </w:rPr>
  </w:style>
  <w:style w:type="paragraph" w:customStyle="1" w:styleId="corte4fondo">
    <w:name w:val="corte4 fondo"/>
    <w:basedOn w:val="Normal"/>
    <w:link w:val="corte4fondoCar2"/>
    <w:qFormat/>
    <w:rsid w:val="004326DA"/>
    <w:pPr>
      <w:spacing w:after="0" w:line="360" w:lineRule="auto"/>
      <w:ind w:firstLine="709"/>
      <w:jc w:val="both"/>
    </w:pPr>
    <w:rPr>
      <w:sz w:val="30"/>
      <w:lang w:val="x-none"/>
    </w:rPr>
  </w:style>
  <w:style w:type="character" w:customStyle="1" w:styleId="NormalsentenciaCar">
    <w:name w:val="Normal sentencia Car"/>
    <w:basedOn w:val="Fuentedeprrafopredeter"/>
    <w:link w:val="Normalsentencia"/>
    <w:locked/>
    <w:rsid w:val="009D0168"/>
    <w:rPr>
      <w:rFonts w:ascii="Arial" w:hAnsi="Arial" w:cs="Arial"/>
      <w:sz w:val="28"/>
      <w:lang w:val="es-ES" w:eastAsia="es-ES"/>
    </w:rPr>
  </w:style>
  <w:style w:type="paragraph" w:customStyle="1" w:styleId="Normalsentencia">
    <w:name w:val="Normal sentencia"/>
    <w:basedOn w:val="Normal"/>
    <w:link w:val="NormalsentenciaCar"/>
    <w:qFormat/>
    <w:rsid w:val="009D0168"/>
    <w:pPr>
      <w:spacing w:before="240" w:after="120" w:line="360" w:lineRule="auto"/>
      <w:ind w:firstLine="709"/>
      <w:jc w:val="both"/>
    </w:pPr>
    <w:rPr>
      <w:sz w:val="28"/>
      <w:szCs w:val="22"/>
      <w:lang w:val="es-ES" w:eastAsia="es-ES"/>
    </w:rPr>
  </w:style>
  <w:style w:type="character" w:styleId="Mencinsinresolver">
    <w:name w:val="Unresolved Mention"/>
    <w:basedOn w:val="Fuentedeprrafopredeter"/>
    <w:uiPriority w:val="99"/>
    <w:semiHidden/>
    <w:unhideWhenUsed/>
    <w:rsid w:val="00527EE9"/>
    <w:rPr>
      <w:color w:val="605E5C"/>
      <w:shd w:val="clear" w:color="auto" w:fill="E1DFDD"/>
    </w:rPr>
  </w:style>
  <w:style w:type="character" w:styleId="Hipervnculovisitado">
    <w:name w:val="FollowedHyperlink"/>
    <w:basedOn w:val="Fuentedeprrafopredeter"/>
    <w:uiPriority w:val="99"/>
    <w:semiHidden/>
    <w:unhideWhenUsed/>
    <w:rsid w:val="00E052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38480077">
      <w:bodyDiv w:val="1"/>
      <w:marLeft w:val="0"/>
      <w:marRight w:val="0"/>
      <w:marTop w:val="0"/>
      <w:marBottom w:val="0"/>
      <w:divBdr>
        <w:top w:val="none" w:sz="0" w:space="0" w:color="auto"/>
        <w:left w:val="none" w:sz="0" w:space="0" w:color="auto"/>
        <w:bottom w:val="none" w:sz="0" w:space="0" w:color="auto"/>
        <w:right w:val="none" w:sz="0" w:space="0" w:color="auto"/>
      </w:divBdr>
    </w:div>
    <w:div w:id="60831101">
      <w:bodyDiv w:val="1"/>
      <w:marLeft w:val="0"/>
      <w:marRight w:val="0"/>
      <w:marTop w:val="0"/>
      <w:marBottom w:val="0"/>
      <w:divBdr>
        <w:top w:val="none" w:sz="0" w:space="0" w:color="auto"/>
        <w:left w:val="none" w:sz="0" w:space="0" w:color="auto"/>
        <w:bottom w:val="none" w:sz="0" w:space="0" w:color="auto"/>
        <w:right w:val="none" w:sz="0" w:space="0" w:color="auto"/>
      </w:divBdr>
    </w:div>
    <w:div w:id="218131753">
      <w:bodyDiv w:val="1"/>
      <w:marLeft w:val="0"/>
      <w:marRight w:val="0"/>
      <w:marTop w:val="0"/>
      <w:marBottom w:val="0"/>
      <w:divBdr>
        <w:top w:val="none" w:sz="0" w:space="0" w:color="auto"/>
        <w:left w:val="none" w:sz="0" w:space="0" w:color="auto"/>
        <w:bottom w:val="none" w:sz="0" w:space="0" w:color="auto"/>
        <w:right w:val="none" w:sz="0" w:space="0" w:color="auto"/>
      </w:divBdr>
    </w:div>
    <w:div w:id="468062268">
      <w:bodyDiv w:val="1"/>
      <w:marLeft w:val="0"/>
      <w:marRight w:val="0"/>
      <w:marTop w:val="0"/>
      <w:marBottom w:val="0"/>
      <w:divBdr>
        <w:top w:val="none" w:sz="0" w:space="0" w:color="auto"/>
        <w:left w:val="none" w:sz="0" w:space="0" w:color="auto"/>
        <w:bottom w:val="none" w:sz="0" w:space="0" w:color="auto"/>
        <w:right w:val="none" w:sz="0" w:space="0" w:color="auto"/>
      </w:divBdr>
    </w:div>
    <w:div w:id="557861856">
      <w:bodyDiv w:val="1"/>
      <w:marLeft w:val="0"/>
      <w:marRight w:val="0"/>
      <w:marTop w:val="0"/>
      <w:marBottom w:val="0"/>
      <w:divBdr>
        <w:top w:val="none" w:sz="0" w:space="0" w:color="auto"/>
        <w:left w:val="none" w:sz="0" w:space="0" w:color="auto"/>
        <w:bottom w:val="none" w:sz="0" w:space="0" w:color="auto"/>
        <w:right w:val="none" w:sz="0" w:space="0" w:color="auto"/>
      </w:divBdr>
    </w:div>
    <w:div w:id="737820863">
      <w:bodyDiv w:val="1"/>
      <w:marLeft w:val="0"/>
      <w:marRight w:val="0"/>
      <w:marTop w:val="0"/>
      <w:marBottom w:val="0"/>
      <w:divBdr>
        <w:top w:val="none" w:sz="0" w:space="0" w:color="auto"/>
        <w:left w:val="none" w:sz="0" w:space="0" w:color="auto"/>
        <w:bottom w:val="none" w:sz="0" w:space="0" w:color="auto"/>
        <w:right w:val="none" w:sz="0" w:space="0" w:color="auto"/>
      </w:divBdr>
    </w:div>
    <w:div w:id="753166543">
      <w:bodyDiv w:val="1"/>
      <w:marLeft w:val="0"/>
      <w:marRight w:val="0"/>
      <w:marTop w:val="0"/>
      <w:marBottom w:val="0"/>
      <w:divBdr>
        <w:top w:val="none" w:sz="0" w:space="0" w:color="auto"/>
        <w:left w:val="none" w:sz="0" w:space="0" w:color="auto"/>
        <w:bottom w:val="none" w:sz="0" w:space="0" w:color="auto"/>
        <w:right w:val="none" w:sz="0" w:space="0" w:color="auto"/>
      </w:divBdr>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886601943">
      <w:bodyDiv w:val="1"/>
      <w:marLeft w:val="0"/>
      <w:marRight w:val="0"/>
      <w:marTop w:val="0"/>
      <w:marBottom w:val="0"/>
      <w:divBdr>
        <w:top w:val="none" w:sz="0" w:space="0" w:color="auto"/>
        <w:left w:val="none" w:sz="0" w:space="0" w:color="auto"/>
        <w:bottom w:val="none" w:sz="0" w:space="0" w:color="auto"/>
        <w:right w:val="none" w:sz="0" w:space="0" w:color="auto"/>
      </w:divBdr>
    </w:div>
    <w:div w:id="1019936981">
      <w:bodyDiv w:val="1"/>
      <w:marLeft w:val="0"/>
      <w:marRight w:val="0"/>
      <w:marTop w:val="0"/>
      <w:marBottom w:val="0"/>
      <w:divBdr>
        <w:top w:val="none" w:sz="0" w:space="0" w:color="auto"/>
        <w:left w:val="none" w:sz="0" w:space="0" w:color="auto"/>
        <w:bottom w:val="none" w:sz="0" w:space="0" w:color="auto"/>
        <w:right w:val="none" w:sz="0" w:space="0" w:color="auto"/>
      </w:divBdr>
      <w:divsChild>
        <w:div w:id="604197405">
          <w:marLeft w:val="0"/>
          <w:marRight w:val="0"/>
          <w:marTop w:val="0"/>
          <w:marBottom w:val="0"/>
          <w:divBdr>
            <w:top w:val="none" w:sz="0" w:space="0" w:color="auto"/>
            <w:left w:val="none" w:sz="0" w:space="0" w:color="auto"/>
            <w:bottom w:val="none" w:sz="0" w:space="0" w:color="auto"/>
            <w:right w:val="none" w:sz="0" w:space="0" w:color="auto"/>
          </w:divBdr>
        </w:div>
      </w:divsChild>
    </w:div>
    <w:div w:id="1194004664">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458717537">
      <w:bodyDiv w:val="1"/>
      <w:marLeft w:val="0"/>
      <w:marRight w:val="0"/>
      <w:marTop w:val="0"/>
      <w:marBottom w:val="0"/>
      <w:divBdr>
        <w:top w:val="none" w:sz="0" w:space="0" w:color="auto"/>
        <w:left w:val="none" w:sz="0" w:space="0" w:color="auto"/>
        <w:bottom w:val="none" w:sz="0" w:space="0" w:color="auto"/>
        <w:right w:val="none" w:sz="0" w:space="0" w:color="auto"/>
      </w:divBdr>
    </w:div>
    <w:div w:id="1514612824">
      <w:bodyDiv w:val="1"/>
      <w:marLeft w:val="0"/>
      <w:marRight w:val="0"/>
      <w:marTop w:val="0"/>
      <w:marBottom w:val="0"/>
      <w:divBdr>
        <w:top w:val="none" w:sz="0" w:space="0" w:color="auto"/>
        <w:left w:val="none" w:sz="0" w:space="0" w:color="auto"/>
        <w:bottom w:val="none" w:sz="0" w:space="0" w:color="auto"/>
        <w:right w:val="none" w:sz="0" w:space="0" w:color="auto"/>
      </w:divBdr>
    </w:div>
    <w:div w:id="1608927791">
      <w:bodyDiv w:val="1"/>
      <w:marLeft w:val="0"/>
      <w:marRight w:val="0"/>
      <w:marTop w:val="0"/>
      <w:marBottom w:val="0"/>
      <w:divBdr>
        <w:top w:val="none" w:sz="0" w:space="0" w:color="auto"/>
        <w:left w:val="none" w:sz="0" w:space="0" w:color="auto"/>
        <w:bottom w:val="none" w:sz="0" w:space="0" w:color="auto"/>
        <w:right w:val="none" w:sz="0" w:space="0" w:color="auto"/>
      </w:divBdr>
    </w:div>
    <w:div w:id="1712487110">
      <w:bodyDiv w:val="1"/>
      <w:marLeft w:val="0"/>
      <w:marRight w:val="0"/>
      <w:marTop w:val="0"/>
      <w:marBottom w:val="0"/>
      <w:divBdr>
        <w:top w:val="none" w:sz="0" w:space="0" w:color="auto"/>
        <w:left w:val="none" w:sz="0" w:space="0" w:color="auto"/>
        <w:bottom w:val="none" w:sz="0" w:space="0" w:color="auto"/>
        <w:right w:val="none" w:sz="0" w:space="0" w:color="auto"/>
      </w:divBdr>
    </w:div>
    <w:div w:id="1804884564">
      <w:bodyDiv w:val="1"/>
      <w:marLeft w:val="0"/>
      <w:marRight w:val="0"/>
      <w:marTop w:val="0"/>
      <w:marBottom w:val="0"/>
      <w:divBdr>
        <w:top w:val="none" w:sz="0" w:space="0" w:color="auto"/>
        <w:left w:val="none" w:sz="0" w:space="0" w:color="auto"/>
        <w:bottom w:val="none" w:sz="0" w:space="0" w:color="auto"/>
        <w:right w:val="none" w:sz="0" w:space="0" w:color="auto"/>
      </w:divBdr>
    </w:div>
    <w:div w:id="1830053523">
      <w:bodyDiv w:val="1"/>
      <w:marLeft w:val="0"/>
      <w:marRight w:val="0"/>
      <w:marTop w:val="0"/>
      <w:marBottom w:val="0"/>
      <w:divBdr>
        <w:top w:val="none" w:sz="0" w:space="0" w:color="auto"/>
        <w:left w:val="none" w:sz="0" w:space="0" w:color="auto"/>
        <w:bottom w:val="none" w:sz="0" w:space="0" w:color="auto"/>
        <w:right w:val="none" w:sz="0" w:space="0" w:color="auto"/>
      </w:divBdr>
    </w:div>
    <w:div w:id="1919947576">
      <w:bodyDiv w:val="1"/>
      <w:marLeft w:val="0"/>
      <w:marRight w:val="0"/>
      <w:marTop w:val="0"/>
      <w:marBottom w:val="0"/>
      <w:divBdr>
        <w:top w:val="none" w:sz="0" w:space="0" w:color="auto"/>
        <w:left w:val="none" w:sz="0" w:space="0" w:color="auto"/>
        <w:bottom w:val="none" w:sz="0" w:space="0" w:color="auto"/>
        <w:right w:val="none" w:sz="0" w:space="0" w:color="auto"/>
      </w:divBdr>
    </w:div>
    <w:div w:id="2012754074">
      <w:bodyDiv w:val="1"/>
      <w:marLeft w:val="0"/>
      <w:marRight w:val="0"/>
      <w:marTop w:val="0"/>
      <w:marBottom w:val="0"/>
      <w:divBdr>
        <w:top w:val="none" w:sz="0" w:space="0" w:color="auto"/>
        <w:left w:val="none" w:sz="0" w:space="0" w:color="auto"/>
        <w:bottom w:val="none" w:sz="0" w:space="0" w:color="auto"/>
        <w:right w:val="none" w:sz="0" w:space="0" w:color="auto"/>
      </w:divBdr>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 w:id="21050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teeg.gob.mx/estrados/2021/tercera/revision/TEEG%20REV-18-2021/02-170421-200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7283-CAFC-4790-80F0-8DFFA971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9447</Words>
  <Characters>51962</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Homero Treviño Landin</dc:creator>
  <cp:lastModifiedBy>Homero Treviño Landin</cp:lastModifiedBy>
  <cp:revision>4</cp:revision>
  <cp:lastPrinted>2019-12-19T23:40:00Z</cp:lastPrinted>
  <dcterms:created xsi:type="dcterms:W3CDTF">2021-05-12T18:51:00Z</dcterms:created>
  <dcterms:modified xsi:type="dcterms:W3CDTF">2021-05-12T18:52:00Z</dcterms:modified>
</cp:coreProperties>
</file>