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1"/>
        <w:tblW w:w="4855" w:type="dxa"/>
        <w:jc w:val="right"/>
        <w:tblLook w:val="04A0" w:firstRow="1" w:lastRow="0" w:firstColumn="1" w:lastColumn="0" w:noHBand="0" w:noVBand="1"/>
      </w:tblPr>
      <w:tblGrid>
        <w:gridCol w:w="4855"/>
      </w:tblGrid>
      <w:tr w:rsidR="0097282A" w:rsidRPr="006C0050" w14:paraId="7DFB8C87" w14:textId="77777777" w:rsidTr="000A46EA">
        <w:trPr>
          <w:trHeight w:val="3969"/>
          <w:jc w:val="right"/>
        </w:trPr>
        <w:tc>
          <w:tcPr>
            <w:tcW w:w="4855" w:type="dxa"/>
            <w:tcBorders>
              <w:top w:val="nil"/>
              <w:left w:val="nil"/>
              <w:bottom w:val="nil"/>
              <w:right w:val="nil"/>
            </w:tcBorders>
            <w:hideMark/>
          </w:tcPr>
          <w:p w14:paraId="06FECFD8" w14:textId="77777777" w:rsidR="0097282A" w:rsidRPr="006C0050" w:rsidRDefault="00AB14D7" w:rsidP="00454A52">
            <w:pPr>
              <w:jc w:val="both"/>
              <w:rPr>
                <w:rFonts w:ascii="Arial" w:hAnsi="Arial" w:cs="Arial"/>
                <w:b/>
                <w:sz w:val="24"/>
                <w:szCs w:val="24"/>
                <w:lang w:val="es-ES_tradnl"/>
              </w:rPr>
            </w:pPr>
            <w:r w:rsidRPr="006C0050">
              <w:rPr>
                <w:rFonts w:ascii="Arial" w:hAnsi="Arial" w:cs="Arial"/>
                <w:b/>
                <w:sz w:val="24"/>
                <w:szCs w:val="24"/>
                <w:lang w:val="es-ES_tradnl"/>
              </w:rPr>
              <w:t xml:space="preserve">JUICIO </w:t>
            </w:r>
            <w:r w:rsidR="007036D1">
              <w:rPr>
                <w:rFonts w:ascii="Arial" w:hAnsi="Arial" w:cs="Arial"/>
                <w:b/>
                <w:sz w:val="24"/>
                <w:szCs w:val="24"/>
                <w:lang w:val="es-ES_tradnl"/>
              </w:rPr>
              <w:t>DE REVISIÓN CONSTITUCIONAL ELECTORAL</w:t>
            </w:r>
            <w:r w:rsidRPr="006C0050">
              <w:rPr>
                <w:rFonts w:ascii="Arial" w:hAnsi="Arial" w:cs="Arial"/>
                <w:b/>
                <w:sz w:val="24"/>
                <w:szCs w:val="24"/>
                <w:lang w:val="es-ES_tradnl"/>
              </w:rPr>
              <w:t xml:space="preserve"> </w:t>
            </w:r>
          </w:p>
          <w:p w14:paraId="78784CBC" w14:textId="77777777" w:rsidR="000E630E" w:rsidRPr="006C0050" w:rsidRDefault="000E630E" w:rsidP="00454A52">
            <w:pPr>
              <w:jc w:val="both"/>
              <w:rPr>
                <w:rFonts w:ascii="Arial" w:hAnsi="Arial" w:cs="Arial"/>
                <w:b/>
                <w:sz w:val="24"/>
                <w:szCs w:val="24"/>
                <w:lang w:val="es-ES_tradnl"/>
              </w:rPr>
            </w:pPr>
          </w:p>
          <w:p w14:paraId="3A24BC23" w14:textId="77777777" w:rsidR="0097282A" w:rsidRPr="006C0050" w:rsidRDefault="0097282A" w:rsidP="00454A52">
            <w:pPr>
              <w:jc w:val="both"/>
              <w:rPr>
                <w:rFonts w:ascii="Arial" w:eastAsia="Calibri" w:hAnsi="Arial" w:cs="Arial"/>
                <w:sz w:val="24"/>
                <w:szCs w:val="24"/>
              </w:rPr>
            </w:pPr>
            <w:r w:rsidRPr="006C0050">
              <w:rPr>
                <w:rFonts w:ascii="Arial" w:eastAsia="Calibri" w:hAnsi="Arial" w:cs="Arial"/>
                <w:b/>
                <w:sz w:val="24"/>
                <w:szCs w:val="24"/>
              </w:rPr>
              <w:t>EXPEDIENTE:</w:t>
            </w:r>
            <w:r w:rsidRPr="006C0050">
              <w:rPr>
                <w:rFonts w:ascii="Arial" w:eastAsia="Calibri" w:hAnsi="Arial" w:cs="Arial"/>
                <w:sz w:val="24"/>
                <w:szCs w:val="24"/>
              </w:rPr>
              <w:t xml:space="preserve"> SM-J</w:t>
            </w:r>
            <w:r w:rsidR="007036D1">
              <w:rPr>
                <w:rFonts w:ascii="Arial" w:eastAsia="Calibri" w:hAnsi="Arial" w:cs="Arial"/>
                <w:sz w:val="24"/>
                <w:szCs w:val="24"/>
              </w:rPr>
              <w:t>RC</w:t>
            </w:r>
            <w:r w:rsidRPr="006C0050">
              <w:rPr>
                <w:rFonts w:ascii="Arial" w:eastAsia="Calibri" w:hAnsi="Arial" w:cs="Arial"/>
                <w:sz w:val="24"/>
                <w:szCs w:val="24"/>
              </w:rPr>
              <w:t>-</w:t>
            </w:r>
            <w:r w:rsidR="00512B5D">
              <w:rPr>
                <w:rFonts w:ascii="Arial" w:eastAsia="Calibri" w:hAnsi="Arial" w:cs="Arial"/>
                <w:sz w:val="24"/>
                <w:szCs w:val="24"/>
              </w:rPr>
              <w:t>72</w:t>
            </w:r>
            <w:r w:rsidRPr="006C0050">
              <w:rPr>
                <w:rFonts w:ascii="Arial" w:eastAsia="Calibri" w:hAnsi="Arial" w:cs="Arial"/>
                <w:sz w:val="24"/>
                <w:szCs w:val="24"/>
              </w:rPr>
              <w:t>/202</w:t>
            </w:r>
            <w:r w:rsidR="00CD4B7C">
              <w:rPr>
                <w:rFonts w:ascii="Arial" w:eastAsia="Calibri" w:hAnsi="Arial" w:cs="Arial"/>
                <w:sz w:val="24"/>
                <w:szCs w:val="24"/>
              </w:rPr>
              <w:t>1</w:t>
            </w:r>
          </w:p>
          <w:p w14:paraId="2E525DA9" w14:textId="77777777" w:rsidR="0097282A" w:rsidRPr="006C0050" w:rsidRDefault="0097282A" w:rsidP="00454A52">
            <w:pPr>
              <w:tabs>
                <w:tab w:val="left" w:pos="3341"/>
              </w:tabs>
              <w:jc w:val="both"/>
              <w:rPr>
                <w:rFonts w:ascii="Arial" w:eastAsia="Calibri" w:hAnsi="Arial" w:cs="Arial"/>
                <w:b/>
                <w:sz w:val="24"/>
                <w:szCs w:val="24"/>
              </w:rPr>
            </w:pPr>
          </w:p>
          <w:p w14:paraId="28DFF928" w14:textId="77777777" w:rsidR="0097282A" w:rsidRPr="005F3DBD" w:rsidRDefault="0097282A" w:rsidP="00454A52">
            <w:pPr>
              <w:jc w:val="both"/>
              <w:rPr>
                <w:rFonts w:ascii="Arial" w:eastAsia="Times New Roman" w:hAnsi="Arial" w:cs="Arial"/>
                <w:bCs/>
                <w:spacing w:val="-4"/>
                <w:sz w:val="24"/>
                <w:szCs w:val="24"/>
                <w:lang w:val="es-ES_tradnl" w:eastAsia="es-ES"/>
              </w:rPr>
            </w:pPr>
            <w:r w:rsidRPr="006C0050">
              <w:rPr>
                <w:rFonts w:ascii="Arial" w:eastAsia="Times New Roman" w:hAnsi="Arial" w:cs="Arial"/>
                <w:b/>
                <w:spacing w:val="-4"/>
                <w:sz w:val="24"/>
                <w:szCs w:val="24"/>
                <w:lang w:val="es-ES_tradnl" w:eastAsia="es-ES"/>
              </w:rPr>
              <w:t xml:space="preserve">ACTOR: </w:t>
            </w:r>
            <w:r w:rsidR="00512B5D">
              <w:rPr>
                <w:rFonts w:ascii="Arial" w:eastAsia="Times New Roman" w:hAnsi="Arial" w:cs="Arial"/>
                <w:bCs/>
                <w:spacing w:val="-4"/>
                <w:sz w:val="24"/>
                <w:szCs w:val="24"/>
                <w:lang w:val="es-ES_tradnl" w:eastAsia="es-ES"/>
              </w:rPr>
              <w:t>PARTIDO ACCIÓN NACIONAL</w:t>
            </w:r>
          </w:p>
          <w:p w14:paraId="3366486D" w14:textId="77777777" w:rsidR="003B65A1" w:rsidRDefault="003B65A1" w:rsidP="00454A52">
            <w:pPr>
              <w:jc w:val="both"/>
              <w:rPr>
                <w:rFonts w:ascii="Arial" w:eastAsia="Times New Roman" w:hAnsi="Arial" w:cs="Arial"/>
                <w:bCs/>
                <w:spacing w:val="-4"/>
                <w:sz w:val="24"/>
                <w:szCs w:val="24"/>
                <w:lang w:val="es-ES_tradnl" w:eastAsia="es-ES"/>
              </w:rPr>
            </w:pPr>
          </w:p>
          <w:p w14:paraId="75F54FB7" w14:textId="77777777" w:rsidR="0097282A" w:rsidRPr="006C0050" w:rsidRDefault="0097282A" w:rsidP="00454A52">
            <w:pPr>
              <w:jc w:val="both"/>
              <w:rPr>
                <w:rFonts w:ascii="Arial" w:eastAsia="Calibri" w:hAnsi="Arial" w:cs="Arial"/>
                <w:bCs/>
                <w:sz w:val="24"/>
                <w:szCs w:val="24"/>
              </w:rPr>
            </w:pPr>
            <w:r w:rsidRPr="006C0050">
              <w:rPr>
                <w:rFonts w:ascii="Arial" w:eastAsia="Times New Roman" w:hAnsi="Arial" w:cs="Arial"/>
                <w:b/>
                <w:sz w:val="24"/>
                <w:szCs w:val="24"/>
                <w:lang w:val="es-ES_tradnl" w:eastAsia="es-ES"/>
              </w:rPr>
              <w:t xml:space="preserve">RESPONSABLE: </w:t>
            </w:r>
            <w:r w:rsidR="007F4D97" w:rsidRPr="006C0050">
              <w:rPr>
                <w:rFonts w:ascii="Arial" w:eastAsia="Times New Roman" w:hAnsi="Arial" w:cs="Arial"/>
                <w:sz w:val="24"/>
                <w:szCs w:val="24"/>
                <w:lang w:val="es-ES_tradnl" w:eastAsia="es-ES"/>
              </w:rPr>
              <w:t xml:space="preserve">TRIBUNAL </w:t>
            </w:r>
            <w:r w:rsidR="00512B5D">
              <w:rPr>
                <w:rFonts w:ascii="Arial" w:eastAsia="Times New Roman" w:hAnsi="Arial" w:cs="Arial"/>
                <w:sz w:val="24"/>
                <w:szCs w:val="24"/>
                <w:lang w:val="es-ES_tradnl" w:eastAsia="es-ES"/>
              </w:rPr>
              <w:t>ESTATAL ELECTORAL DE GUANAJUATO</w:t>
            </w:r>
          </w:p>
          <w:p w14:paraId="5F0022AE" w14:textId="77777777" w:rsidR="0097282A" w:rsidRPr="006C0050" w:rsidRDefault="0097282A" w:rsidP="00454A52">
            <w:pPr>
              <w:jc w:val="both"/>
              <w:rPr>
                <w:rFonts w:ascii="Arial" w:eastAsia="Calibri" w:hAnsi="Arial" w:cs="Arial"/>
                <w:bCs/>
                <w:sz w:val="24"/>
                <w:szCs w:val="24"/>
              </w:rPr>
            </w:pPr>
          </w:p>
          <w:p w14:paraId="233F4926" w14:textId="77777777" w:rsidR="0097282A" w:rsidRPr="006C0050" w:rsidRDefault="0097282A" w:rsidP="00454A52">
            <w:pPr>
              <w:jc w:val="both"/>
              <w:rPr>
                <w:rFonts w:ascii="Arial" w:eastAsia="Calibri" w:hAnsi="Arial" w:cs="Arial"/>
                <w:sz w:val="24"/>
                <w:szCs w:val="24"/>
              </w:rPr>
            </w:pPr>
            <w:r w:rsidRPr="006C0050">
              <w:rPr>
                <w:rFonts w:ascii="Arial" w:eastAsia="Calibri" w:hAnsi="Arial" w:cs="Arial"/>
                <w:b/>
                <w:sz w:val="24"/>
                <w:szCs w:val="24"/>
              </w:rPr>
              <w:t>MAGISTRADA PONENTE:</w:t>
            </w:r>
            <w:r w:rsidRPr="006C0050">
              <w:rPr>
                <w:rFonts w:ascii="Arial" w:eastAsia="Calibri" w:hAnsi="Arial" w:cs="Arial"/>
                <w:sz w:val="24"/>
                <w:szCs w:val="24"/>
              </w:rPr>
              <w:t xml:space="preserve"> CLAUDIA VALLE AGUILASOCHO</w:t>
            </w:r>
          </w:p>
          <w:p w14:paraId="4DE60BC6" w14:textId="77777777" w:rsidR="0097282A" w:rsidRPr="006C0050" w:rsidRDefault="0097282A" w:rsidP="00454A52">
            <w:pPr>
              <w:jc w:val="both"/>
              <w:rPr>
                <w:rFonts w:ascii="Arial" w:eastAsia="Calibri" w:hAnsi="Arial" w:cs="Arial"/>
                <w:b/>
                <w:sz w:val="24"/>
                <w:szCs w:val="24"/>
              </w:rPr>
            </w:pPr>
          </w:p>
          <w:p w14:paraId="0D5E8406" w14:textId="77777777" w:rsidR="0097282A" w:rsidRPr="006C0050" w:rsidRDefault="002B1C6F" w:rsidP="00454A52">
            <w:pPr>
              <w:jc w:val="both"/>
              <w:rPr>
                <w:rFonts w:ascii="Arial" w:eastAsia="Calibri" w:hAnsi="Arial" w:cs="Arial"/>
                <w:sz w:val="24"/>
                <w:szCs w:val="24"/>
              </w:rPr>
            </w:pPr>
            <w:r w:rsidRPr="006C0050">
              <w:rPr>
                <w:rFonts w:ascii="Arial" w:eastAsia="Calibri" w:hAnsi="Arial" w:cs="Arial"/>
                <w:b/>
                <w:sz w:val="24"/>
                <w:szCs w:val="24"/>
              </w:rPr>
              <w:t>SECRETARI</w:t>
            </w:r>
            <w:r w:rsidR="00CD4B7C">
              <w:rPr>
                <w:rFonts w:ascii="Arial" w:eastAsia="Calibri" w:hAnsi="Arial" w:cs="Arial"/>
                <w:b/>
                <w:sz w:val="24"/>
                <w:szCs w:val="24"/>
              </w:rPr>
              <w:t>O</w:t>
            </w:r>
            <w:r w:rsidR="0097282A" w:rsidRPr="006C0050">
              <w:rPr>
                <w:rFonts w:ascii="Arial" w:eastAsia="Calibri" w:hAnsi="Arial" w:cs="Arial"/>
                <w:b/>
                <w:sz w:val="24"/>
                <w:szCs w:val="24"/>
              </w:rPr>
              <w:t xml:space="preserve">: </w:t>
            </w:r>
            <w:r w:rsidR="00CD4B7C">
              <w:rPr>
                <w:rFonts w:ascii="Arial" w:eastAsia="Calibri" w:hAnsi="Arial" w:cs="Arial"/>
                <w:sz w:val="24"/>
                <w:szCs w:val="24"/>
              </w:rPr>
              <w:t>JUAN ANTONIO PALOMARES LEAL</w:t>
            </w:r>
            <w:r w:rsidR="0097282A" w:rsidRPr="006C0050">
              <w:rPr>
                <w:rFonts w:ascii="Arial" w:eastAsia="Calibri" w:hAnsi="Arial" w:cs="Arial"/>
                <w:sz w:val="24"/>
                <w:szCs w:val="24"/>
              </w:rPr>
              <w:t xml:space="preserve"> </w:t>
            </w:r>
          </w:p>
        </w:tc>
      </w:tr>
    </w:tbl>
    <w:p w14:paraId="364B19A5" w14:textId="77777777" w:rsidR="0097282A" w:rsidRPr="006C0050" w:rsidRDefault="0097282A" w:rsidP="007F4038">
      <w:pPr>
        <w:tabs>
          <w:tab w:val="left" w:pos="7470"/>
        </w:tabs>
        <w:spacing w:after="0" w:line="360" w:lineRule="auto"/>
        <w:jc w:val="both"/>
        <w:rPr>
          <w:rFonts w:ascii="Arial" w:eastAsia="Calibri" w:hAnsi="Arial" w:cs="Arial"/>
          <w:sz w:val="24"/>
          <w:szCs w:val="24"/>
        </w:rPr>
      </w:pPr>
    </w:p>
    <w:p w14:paraId="7A23997E" w14:textId="4B55C736" w:rsidR="0097282A" w:rsidRPr="006C0050" w:rsidRDefault="0097282A" w:rsidP="007F4038">
      <w:pPr>
        <w:tabs>
          <w:tab w:val="left" w:pos="7470"/>
        </w:tabs>
        <w:spacing w:after="0" w:line="360" w:lineRule="auto"/>
        <w:jc w:val="both"/>
        <w:rPr>
          <w:rFonts w:ascii="Arial" w:eastAsia="Calibri" w:hAnsi="Arial" w:cs="Arial"/>
          <w:sz w:val="24"/>
          <w:szCs w:val="24"/>
        </w:rPr>
      </w:pPr>
      <w:r w:rsidRPr="006C0050">
        <w:rPr>
          <w:rFonts w:ascii="Arial" w:eastAsia="Calibri" w:hAnsi="Arial" w:cs="Arial"/>
          <w:sz w:val="24"/>
          <w:szCs w:val="24"/>
        </w:rPr>
        <w:t>Monterrey, Nuevo León, a</w:t>
      </w:r>
      <w:r w:rsidR="00CD4B7C">
        <w:rPr>
          <w:rFonts w:ascii="Arial" w:eastAsia="Calibri" w:hAnsi="Arial" w:cs="Arial"/>
          <w:sz w:val="24"/>
          <w:szCs w:val="24"/>
        </w:rPr>
        <w:t xml:space="preserve"> </w:t>
      </w:r>
      <w:r w:rsidR="00D911E8">
        <w:rPr>
          <w:rFonts w:ascii="Arial" w:eastAsia="Calibri" w:hAnsi="Arial" w:cs="Arial"/>
          <w:sz w:val="24"/>
          <w:szCs w:val="24"/>
        </w:rPr>
        <w:t xml:space="preserve">diecinueve </w:t>
      </w:r>
      <w:r w:rsidR="000A267B">
        <w:rPr>
          <w:rFonts w:ascii="Arial" w:eastAsia="Calibri" w:hAnsi="Arial" w:cs="Arial"/>
          <w:sz w:val="24"/>
          <w:szCs w:val="24"/>
        </w:rPr>
        <w:t xml:space="preserve">de </w:t>
      </w:r>
      <w:r w:rsidR="00027195">
        <w:rPr>
          <w:rFonts w:ascii="Arial" w:eastAsia="Calibri" w:hAnsi="Arial" w:cs="Arial"/>
          <w:sz w:val="24"/>
          <w:szCs w:val="24"/>
        </w:rPr>
        <w:t>mayo</w:t>
      </w:r>
      <w:r w:rsidR="000A267B">
        <w:rPr>
          <w:rFonts w:ascii="Arial" w:eastAsia="Calibri" w:hAnsi="Arial" w:cs="Arial"/>
          <w:sz w:val="24"/>
          <w:szCs w:val="24"/>
        </w:rPr>
        <w:t xml:space="preserve"> d</w:t>
      </w:r>
      <w:r w:rsidRPr="006C0050">
        <w:rPr>
          <w:rFonts w:ascii="Arial" w:eastAsia="Calibri" w:hAnsi="Arial" w:cs="Arial"/>
          <w:sz w:val="24"/>
          <w:szCs w:val="24"/>
        </w:rPr>
        <w:t xml:space="preserve">e dos mil </w:t>
      </w:r>
      <w:r w:rsidR="00CD4B7C">
        <w:rPr>
          <w:rFonts w:ascii="Arial" w:eastAsia="Calibri" w:hAnsi="Arial" w:cs="Arial"/>
          <w:sz w:val="24"/>
          <w:szCs w:val="24"/>
        </w:rPr>
        <w:t>veintiuno</w:t>
      </w:r>
      <w:r w:rsidRPr="006C0050">
        <w:rPr>
          <w:rFonts w:ascii="Arial" w:eastAsia="Calibri" w:hAnsi="Arial" w:cs="Arial"/>
          <w:sz w:val="24"/>
          <w:szCs w:val="24"/>
        </w:rPr>
        <w:t>.</w:t>
      </w:r>
    </w:p>
    <w:p w14:paraId="42C46CB6" w14:textId="77777777" w:rsidR="0097282A" w:rsidRPr="006C0050" w:rsidRDefault="0097282A" w:rsidP="007F4038">
      <w:pPr>
        <w:spacing w:after="0" w:line="360" w:lineRule="auto"/>
        <w:jc w:val="both"/>
        <w:rPr>
          <w:rFonts w:ascii="Arial" w:eastAsia="Calibri" w:hAnsi="Arial" w:cs="Arial"/>
          <w:b/>
          <w:sz w:val="24"/>
          <w:szCs w:val="24"/>
        </w:rPr>
      </w:pPr>
    </w:p>
    <w:p w14:paraId="048B585D" w14:textId="00E3E7F9" w:rsidR="00C52B3C" w:rsidRDefault="0097282A" w:rsidP="00956BB7">
      <w:pPr>
        <w:spacing w:after="0" w:line="360" w:lineRule="auto"/>
        <w:jc w:val="both"/>
        <w:rPr>
          <w:rFonts w:ascii="Arial" w:hAnsi="Arial" w:cs="Arial"/>
          <w:sz w:val="24"/>
          <w:szCs w:val="24"/>
        </w:rPr>
      </w:pPr>
      <w:bookmarkStart w:id="0" w:name="_Hlk22065591"/>
      <w:bookmarkStart w:id="1" w:name="_Hlk16695620"/>
      <w:r w:rsidRPr="00F5042C">
        <w:rPr>
          <w:rFonts w:ascii="Arial" w:eastAsia="Calibri" w:hAnsi="Arial" w:cs="Arial"/>
          <w:b/>
          <w:sz w:val="24"/>
          <w:szCs w:val="24"/>
        </w:rPr>
        <w:t>Sentencia definitiva</w:t>
      </w:r>
      <w:r w:rsidRPr="00F5042C">
        <w:rPr>
          <w:rFonts w:ascii="Arial" w:eastAsia="Calibri" w:hAnsi="Arial" w:cs="Arial"/>
          <w:sz w:val="24"/>
          <w:szCs w:val="24"/>
        </w:rPr>
        <w:t xml:space="preserve"> que </w:t>
      </w:r>
      <w:r w:rsidR="0039582A" w:rsidRPr="00F5042C">
        <w:rPr>
          <w:rFonts w:ascii="Arial" w:eastAsia="Calibri" w:hAnsi="Arial" w:cs="Arial"/>
          <w:b/>
          <w:sz w:val="24"/>
          <w:szCs w:val="24"/>
        </w:rPr>
        <w:t>revoca</w:t>
      </w:r>
      <w:r w:rsidR="00320F70" w:rsidRPr="00F5042C">
        <w:rPr>
          <w:rFonts w:ascii="Arial" w:eastAsia="Calibri" w:hAnsi="Arial" w:cs="Arial"/>
          <w:b/>
          <w:sz w:val="24"/>
          <w:szCs w:val="24"/>
        </w:rPr>
        <w:t xml:space="preserve"> </w:t>
      </w:r>
      <w:r w:rsidR="00320F70" w:rsidRPr="00F5042C">
        <w:rPr>
          <w:rFonts w:ascii="Arial" w:eastAsia="Calibri" w:hAnsi="Arial" w:cs="Arial"/>
          <w:sz w:val="24"/>
          <w:szCs w:val="24"/>
        </w:rPr>
        <w:t xml:space="preserve">la resolución </w:t>
      </w:r>
      <w:r w:rsidR="00320F70" w:rsidRPr="00F5042C">
        <w:rPr>
          <w:rFonts w:ascii="Arial" w:hAnsi="Arial" w:cs="Arial"/>
          <w:bCs/>
          <w:sz w:val="24"/>
          <w:szCs w:val="24"/>
        </w:rPr>
        <w:t xml:space="preserve">del Tribunal Estatal Electoral de Guanajuato, dictada en el expediente </w:t>
      </w:r>
      <w:r w:rsidR="00320F70" w:rsidRPr="00F5042C">
        <w:rPr>
          <w:rFonts w:ascii="Arial" w:eastAsia="Calibri" w:hAnsi="Arial" w:cs="Arial"/>
          <w:sz w:val="24"/>
          <w:szCs w:val="24"/>
        </w:rPr>
        <w:t xml:space="preserve">TEEG-REV-16/2021 y acumulado, que </w:t>
      </w:r>
      <w:r w:rsidR="000221C6" w:rsidRPr="00F5042C">
        <w:rPr>
          <w:rFonts w:ascii="Arial" w:eastAsia="Calibri" w:hAnsi="Arial" w:cs="Arial"/>
          <w:sz w:val="24"/>
          <w:szCs w:val="24"/>
        </w:rPr>
        <w:t>a su vez</w:t>
      </w:r>
      <w:r w:rsidR="00956BB7" w:rsidRPr="00F5042C">
        <w:rPr>
          <w:rFonts w:ascii="Arial" w:eastAsia="Calibri" w:hAnsi="Arial" w:cs="Arial"/>
          <w:sz w:val="24"/>
          <w:szCs w:val="24"/>
        </w:rPr>
        <w:t xml:space="preserve"> revocó</w:t>
      </w:r>
      <w:r w:rsidR="00320F70" w:rsidRPr="00F5042C">
        <w:rPr>
          <w:rFonts w:ascii="Arial" w:eastAsia="Calibri" w:hAnsi="Arial" w:cs="Arial"/>
          <w:sz w:val="24"/>
          <w:szCs w:val="24"/>
        </w:rPr>
        <w:t xml:space="preserve"> </w:t>
      </w:r>
      <w:r w:rsidR="00956BB7" w:rsidRPr="00F5042C">
        <w:rPr>
          <w:rFonts w:ascii="Arial" w:eastAsia="Calibri" w:hAnsi="Arial" w:cs="Arial"/>
          <w:sz w:val="24"/>
          <w:szCs w:val="24"/>
        </w:rPr>
        <w:t>el acuerdo CGIEEG/120/2021</w:t>
      </w:r>
      <w:r w:rsidR="0055160A" w:rsidRPr="00F5042C">
        <w:rPr>
          <w:rFonts w:ascii="Arial" w:eastAsia="Calibri" w:hAnsi="Arial" w:cs="Arial"/>
          <w:sz w:val="24"/>
          <w:szCs w:val="24"/>
        </w:rPr>
        <w:t>,</w:t>
      </w:r>
      <w:r w:rsidR="00956BB7" w:rsidRPr="00F5042C">
        <w:rPr>
          <w:rFonts w:ascii="Arial" w:eastAsia="Calibri" w:hAnsi="Arial" w:cs="Arial"/>
          <w:sz w:val="24"/>
          <w:szCs w:val="24"/>
        </w:rPr>
        <w:t xml:space="preserve"> emitido por el Consejo General del Instituto Electoral </w:t>
      </w:r>
      <w:r w:rsidR="00E223BF" w:rsidRPr="00F5042C">
        <w:rPr>
          <w:rFonts w:ascii="Arial" w:eastAsia="Calibri" w:hAnsi="Arial" w:cs="Arial"/>
          <w:sz w:val="24"/>
          <w:szCs w:val="24"/>
        </w:rPr>
        <w:t>de esa entidad federativa</w:t>
      </w:r>
      <w:r w:rsidR="00320F70" w:rsidRPr="00F5042C">
        <w:rPr>
          <w:rFonts w:ascii="Arial" w:eastAsia="Calibri" w:hAnsi="Arial" w:cs="Arial"/>
          <w:sz w:val="24"/>
          <w:szCs w:val="24"/>
        </w:rPr>
        <w:t xml:space="preserve">, </w:t>
      </w:r>
      <w:r w:rsidR="00320F70" w:rsidRPr="00F5042C">
        <w:rPr>
          <w:rFonts w:ascii="Arial" w:hAnsi="Arial" w:cs="Arial"/>
          <w:bCs/>
          <w:sz w:val="24"/>
          <w:szCs w:val="24"/>
        </w:rPr>
        <w:t>al estimarse que</w:t>
      </w:r>
      <w:r w:rsidR="000221C6" w:rsidRPr="00F5042C">
        <w:rPr>
          <w:rFonts w:ascii="Arial" w:hAnsi="Arial" w:cs="Arial"/>
          <w:sz w:val="24"/>
          <w:szCs w:val="24"/>
        </w:rPr>
        <w:t xml:space="preserve"> </w:t>
      </w:r>
      <w:r w:rsidR="00F5042C" w:rsidRPr="00F5042C">
        <w:rPr>
          <w:rFonts w:ascii="Arial" w:hAnsi="Arial" w:cs="Arial"/>
          <w:sz w:val="24"/>
          <w:szCs w:val="24"/>
        </w:rPr>
        <w:t>contrario a lo que determinó dicho tribunal</w:t>
      </w:r>
      <w:r w:rsidR="00F5042C" w:rsidRPr="00F5042C">
        <w:rPr>
          <w:rFonts w:ascii="Arial" w:hAnsi="Arial" w:cs="Arial"/>
          <w:i/>
          <w:iCs/>
          <w:sz w:val="24"/>
          <w:szCs w:val="24"/>
        </w:rPr>
        <w:t xml:space="preserve"> </w:t>
      </w:r>
      <w:r w:rsidR="00F5042C" w:rsidRPr="00F5042C">
        <w:rPr>
          <w:rFonts w:ascii="Arial" w:hAnsi="Arial" w:cs="Arial"/>
          <w:sz w:val="24"/>
          <w:szCs w:val="24"/>
        </w:rPr>
        <w:t xml:space="preserve">derivado de su interpretación de los artículos </w:t>
      </w:r>
      <w:r w:rsidR="00F5042C" w:rsidRPr="00F5042C">
        <w:rPr>
          <w:rFonts w:ascii="Arial" w:hAnsi="Arial" w:cs="Arial"/>
          <w:sz w:val="24"/>
          <w:szCs w:val="24"/>
          <w:lang w:val="es-ES_tradnl" w:eastAsia="es-ES"/>
        </w:rPr>
        <w:t>333 y 334 de la</w:t>
      </w:r>
      <w:r w:rsidR="00F5042C" w:rsidRPr="00F5042C">
        <w:rPr>
          <w:rFonts w:ascii="Arial" w:hAnsi="Arial" w:cs="Arial"/>
          <w:i/>
          <w:iCs/>
          <w:sz w:val="24"/>
          <w:szCs w:val="24"/>
          <w:lang w:val="es-ES_tradnl" w:eastAsia="es-ES"/>
        </w:rPr>
        <w:t xml:space="preserve"> </w:t>
      </w:r>
      <w:r w:rsidR="00F5042C" w:rsidRPr="00F5042C">
        <w:rPr>
          <w:rFonts w:ascii="Arial" w:hAnsi="Arial" w:cs="Arial"/>
          <w:sz w:val="24"/>
          <w:szCs w:val="24"/>
          <w:lang w:val="es-ES_tradnl" w:eastAsia="es-ES"/>
        </w:rPr>
        <w:t xml:space="preserve">Ley de Instituciones y Procedimientos Electorales para </w:t>
      </w:r>
      <w:r w:rsidR="00F5042C">
        <w:rPr>
          <w:rFonts w:ascii="Arial" w:hAnsi="Arial" w:cs="Arial"/>
          <w:sz w:val="24"/>
          <w:szCs w:val="24"/>
          <w:lang w:val="es-ES_tradnl" w:eastAsia="es-ES"/>
        </w:rPr>
        <w:t>dicho Estado</w:t>
      </w:r>
      <w:r w:rsidR="00F5042C" w:rsidRPr="00F5042C">
        <w:rPr>
          <w:rFonts w:ascii="Arial" w:hAnsi="Arial" w:cs="Arial"/>
          <w:sz w:val="24"/>
          <w:szCs w:val="24"/>
          <w:lang w:val="es-ES_tradnl"/>
        </w:rPr>
        <w:t>,</w:t>
      </w:r>
      <w:r w:rsidR="00F5042C" w:rsidRPr="00F5042C">
        <w:rPr>
          <w:rFonts w:ascii="Arial" w:hAnsi="Arial" w:cs="Arial"/>
          <w:sz w:val="24"/>
          <w:szCs w:val="24"/>
        </w:rPr>
        <w:t xml:space="preserve"> las candidaturas independientes</w:t>
      </w:r>
      <w:r w:rsidR="00F5042C">
        <w:rPr>
          <w:rFonts w:ascii="Arial" w:hAnsi="Arial" w:cs="Arial"/>
          <w:sz w:val="24"/>
          <w:szCs w:val="24"/>
        </w:rPr>
        <w:t xml:space="preserve"> locales</w:t>
      </w:r>
      <w:r w:rsidR="00F5042C" w:rsidRPr="00F5042C">
        <w:rPr>
          <w:rFonts w:ascii="Arial" w:hAnsi="Arial" w:cs="Arial"/>
          <w:sz w:val="24"/>
          <w:szCs w:val="24"/>
        </w:rPr>
        <w:t xml:space="preserve"> sólo tienen derecho a que se les otorgue, para gastos de campaña, el monto que para dicho rubro se asigna a un partido político de nueva creación</w:t>
      </w:r>
      <w:r w:rsidR="00122EC8" w:rsidRPr="00F5042C">
        <w:rPr>
          <w:rFonts w:ascii="Arial" w:hAnsi="Arial" w:cs="Arial"/>
          <w:sz w:val="24"/>
          <w:szCs w:val="24"/>
        </w:rPr>
        <w:t>.</w:t>
      </w:r>
    </w:p>
    <w:p w14:paraId="70C99DE1" w14:textId="77777777" w:rsidR="007626C1" w:rsidRDefault="007626C1" w:rsidP="00956BB7">
      <w:pPr>
        <w:spacing w:after="0" w:line="360" w:lineRule="auto"/>
        <w:jc w:val="both"/>
        <w:rPr>
          <w:rFonts w:ascii="Arial" w:hAnsi="Arial" w:cs="Arial"/>
          <w:sz w:val="24"/>
          <w:szCs w:val="24"/>
        </w:rPr>
      </w:pPr>
    </w:p>
    <w:p w14:paraId="01BAC67D" w14:textId="77777777" w:rsidR="007626C1" w:rsidRPr="007626C1" w:rsidRDefault="007626C1" w:rsidP="007626C1">
      <w:pPr>
        <w:spacing w:line="360" w:lineRule="auto"/>
        <w:jc w:val="center"/>
        <w:rPr>
          <w:rFonts w:ascii="Arial" w:hAnsi="Arial" w:cs="Arial"/>
          <w:b/>
          <w:spacing w:val="26"/>
          <w:sz w:val="20"/>
        </w:rPr>
      </w:pPr>
      <w:r w:rsidRPr="007626C1">
        <w:rPr>
          <w:rFonts w:ascii="Arial" w:hAnsi="Arial" w:cs="Arial"/>
          <w:b/>
          <w:spacing w:val="26"/>
          <w:sz w:val="20"/>
        </w:rPr>
        <w:t>ÍNDICE</w:t>
      </w:r>
    </w:p>
    <w:sdt>
      <w:sdtPr>
        <w:rPr>
          <w:rFonts w:ascii="Arial" w:eastAsia="Calibri" w:hAnsi="Arial" w:cs="Arial"/>
          <w:lang w:val="es-ES"/>
        </w:rPr>
        <w:id w:val="751545205"/>
        <w:docPartObj>
          <w:docPartGallery w:val="Table of Contents"/>
          <w:docPartUnique/>
        </w:docPartObj>
      </w:sdtPr>
      <w:sdtEndPr>
        <w:rPr>
          <w:rFonts w:eastAsiaTheme="minorHAnsi"/>
          <w:lang w:val="es-MX"/>
        </w:rPr>
      </w:sdtEndPr>
      <w:sdtContent>
        <w:p w14:paraId="755D65B9" w14:textId="77777777" w:rsidR="007626C1" w:rsidRPr="00FD1625" w:rsidRDefault="007626C1" w:rsidP="007626C1">
          <w:pPr>
            <w:keepNext/>
            <w:keepLines/>
            <w:spacing w:line="360" w:lineRule="auto"/>
            <w:jc w:val="both"/>
            <w:rPr>
              <w:rFonts w:ascii="Arial" w:eastAsiaTheme="majorEastAsia" w:hAnsi="Arial" w:cs="Arial"/>
              <w:lang w:eastAsia="es-MX"/>
            </w:rPr>
          </w:pPr>
        </w:p>
        <w:p w14:paraId="6D3C8014" w14:textId="5042CF7F" w:rsidR="00BB29CB" w:rsidRPr="00BB29CB" w:rsidRDefault="007626C1">
          <w:pPr>
            <w:pStyle w:val="TDC1"/>
            <w:rPr>
              <w:rFonts w:ascii="Arial" w:eastAsiaTheme="minorEastAsia" w:hAnsi="Arial" w:cs="Arial"/>
              <w:noProof/>
              <w:lang w:val="es-MX" w:eastAsia="es-MX"/>
            </w:rPr>
          </w:pPr>
          <w:r w:rsidRPr="00BB29CB">
            <w:rPr>
              <w:rFonts w:ascii="Arial" w:hAnsi="Arial" w:cs="Arial"/>
              <w:lang w:val="es-ES"/>
            </w:rPr>
            <w:fldChar w:fldCharType="begin"/>
          </w:r>
          <w:r w:rsidRPr="00BB29CB">
            <w:rPr>
              <w:rFonts w:ascii="Arial" w:hAnsi="Arial" w:cs="Arial"/>
              <w:lang w:val="es-ES"/>
            </w:rPr>
            <w:instrText xml:space="preserve"> TOC \o "1-4" \h \z \u </w:instrText>
          </w:r>
          <w:r w:rsidRPr="00BB29CB">
            <w:rPr>
              <w:rFonts w:ascii="Arial" w:hAnsi="Arial" w:cs="Arial"/>
              <w:lang w:val="es-ES"/>
            </w:rPr>
            <w:fldChar w:fldCharType="separate"/>
          </w:r>
          <w:hyperlink w:anchor="_Toc71932151" w:history="1">
            <w:r w:rsidR="00BB29CB" w:rsidRPr="00BB29CB">
              <w:rPr>
                <w:rStyle w:val="Hipervnculo"/>
                <w:rFonts w:ascii="Arial" w:hAnsi="Arial" w:cs="Arial"/>
                <w:noProof/>
                <w:spacing w:val="26"/>
              </w:rPr>
              <w:t>GLOSARIO</w:t>
            </w:r>
            <w:r w:rsidR="00BB29CB" w:rsidRPr="00BB29CB">
              <w:rPr>
                <w:rFonts w:ascii="Arial" w:hAnsi="Arial" w:cs="Arial"/>
                <w:noProof/>
                <w:webHidden/>
              </w:rPr>
              <w:tab/>
            </w:r>
            <w:r w:rsidR="00BB29CB" w:rsidRPr="00BB29CB">
              <w:rPr>
                <w:rFonts w:ascii="Arial" w:hAnsi="Arial" w:cs="Arial"/>
                <w:noProof/>
                <w:webHidden/>
              </w:rPr>
              <w:fldChar w:fldCharType="begin"/>
            </w:r>
            <w:r w:rsidR="00BB29CB" w:rsidRPr="00BB29CB">
              <w:rPr>
                <w:rFonts w:ascii="Arial" w:hAnsi="Arial" w:cs="Arial"/>
                <w:noProof/>
                <w:webHidden/>
              </w:rPr>
              <w:instrText xml:space="preserve"> PAGEREF _Toc71932151 \h </w:instrText>
            </w:r>
            <w:r w:rsidR="00BB29CB" w:rsidRPr="00BB29CB">
              <w:rPr>
                <w:rFonts w:ascii="Arial" w:hAnsi="Arial" w:cs="Arial"/>
                <w:noProof/>
                <w:webHidden/>
              </w:rPr>
            </w:r>
            <w:r w:rsidR="00BB29CB" w:rsidRPr="00BB29CB">
              <w:rPr>
                <w:rFonts w:ascii="Arial" w:hAnsi="Arial" w:cs="Arial"/>
                <w:noProof/>
                <w:webHidden/>
              </w:rPr>
              <w:fldChar w:fldCharType="separate"/>
            </w:r>
            <w:r w:rsidR="00AB0214">
              <w:rPr>
                <w:rFonts w:ascii="Arial" w:hAnsi="Arial" w:cs="Arial"/>
                <w:noProof/>
                <w:webHidden/>
              </w:rPr>
              <w:t>1</w:t>
            </w:r>
            <w:r w:rsidR="00BB29CB" w:rsidRPr="00BB29CB">
              <w:rPr>
                <w:rFonts w:ascii="Arial" w:hAnsi="Arial" w:cs="Arial"/>
                <w:noProof/>
                <w:webHidden/>
              </w:rPr>
              <w:fldChar w:fldCharType="end"/>
            </w:r>
          </w:hyperlink>
        </w:p>
        <w:p w14:paraId="450A6432" w14:textId="63CB6AF1" w:rsidR="00BB29CB" w:rsidRPr="00BB29CB" w:rsidRDefault="008120AF">
          <w:pPr>
            <w:pStyle w:val="TDC1"/>
            <w:rPr>
              <w:rFonts w:ascii="Arial" w:eastAsiaTheme="minorEastAsia" w:hAnsi="Arial" w:cs="Arial"/>
              <w:noProof/>
              <w:lang w:val="es-MX" w:eastAsia="es-MX"/>
            </w:rPr>
          </w:pPr>
          <w:hyperlink w:anchor="_Toc71932152" w:history="1">
            <w:r w:rsidR="00BB29CB" w:rsidRPr="00BB29CB">
              <w:rPr>
                <w:rStyle w:val="Hipervnculo"/>
                <w:rFonts w:ascii="Arial" w:eastAsia="Times New Roman" w:hAnsi="Arial" w:cs="Arial"/>
                <w:caps/>
                <w:noProof/>
                <w:kern w:val="32"/>
              </w:rPr>
              <w:t>1.</w:t>
            </w:r>
            <w:r w:rsidR="00BB29CB" w:rsidRPr="00BB29CB">
              <w:rPr>
                <w:rFonts w:ascii="Arial" w:eastAsiaTheme="minorEastAsia" w:hAnsi="Arial" w:cs="Arial"/>
                <w:noProof/>
                <w:lang w:val="es-MX" w:eastAsia="es-MX"/>
              </w:rPr>
              <w:tab/>
            </w:r>
            <w:r w:rsidR="00BB29CB" w:rsidRPr="00BB29CB">
              <w:rPr>
                <w:rStyle w:val="Hipervnculo"/>
                <w:rFonts w:ascii="Arial" w:eastAsia="Times New Roman" w:hAnsi="Arial" w:cs="Arial"/>
                <w:caps/>
                <w:noProof/>
                <w:kern w:val="32"/>
              </w:rPr>
              <w:t>ANTECEDENTES DEL CASO</w:t>
            </w:r>
            <w:r w:rsidR="00BB29CB" w:rsidRPr="00BB29CB">
              <w:rPr>
                <w:rFonts w:ascii="Arial" w:hAnsi="Arial" w:cs="Arial"/>
                <w:noProof/>
                <w:webHidden/>
              </w:rPr>
              <w:tab/>
            </w:r>
            <w:r w:rsidR="00BB29CB" w:rsidRPr="00BB29CB">
              <w:rPr>
                <w:rFonts w:ascii="Arial" w:hAnsi="Arial" w:cs="Arial"/>
                <w:noProof/>
                <w:webHidden/>
              </w:rPr>
              <w:fldChar w:fldCharType="begin"/>
            </w:r>
            <w:r w:rsidR="00BB29CB" w:rsidRPr="00BB29CB">
              <w:rPr>
                <w:rFonts w:ascii="Arial" w:hAnsi="Arial" w:cs="Arial"/>
                <w:noProof/>
                <w:webHidden/>
              </w:rPr>
              <w:instrText xml:space="preserve"> PAGEREF _Toc71932152 \h </w:instrText>
            </w:r>
            <w:r w:rsidR="00BB29CB" w:rsidRPr="00BB29CB">
              <w:rPr>
                <w:rFonts w:ascii="Arial" w:hAnsi="Arial" w:cs="Arial"/>
                <w:noProof/>
                <w:webHidden/>
              </w:rPr>
            </w:r>
            <w:r w:rsidR="00BB29CB" w:rsidRPr="00BB29CB">
              <w:rPr>
                <w:rFonts w:ascii="Arial" w:hAnsi="Arial" w:cs="Arial"/>
                <w:noProof/>
                <w:webHidden/>
              </w:rPr>
              <w:fldChar w:fldCharType="separate"/>
            </w:r>
            <w:r w:rsidR="00AB0214">
              <w:rPr>
                <w:rFonts w:ascii="Arial" w:hAnsi="Arial" w:cs="Arial"/>
                <w:noProof/>
                <w:webHidden/>
              </w:rPr>
              <w:t>2</w:t>
            </w:r>
            <w:r w:rsidR="00BB29CB" w:rsidRPr="00BB29CB">
              <w:rPr>
                <w:rFonts w:ascii="Arial" w:hAnsi="Arial" w:cs="Arial"/>
                <w:noProof/>
                <w:webHidden/>
              </w:rPr>
              <w:fldChar w:fldCharType="end"/>
            </w:r>
          </w:hyperlink>
        </w:p>
        <w:p w14:paraId="3AB29F6A" w14:textId="1E88E828" w:rsidR="00BB29CB" w:rsidRPr="00BB29CB" w:rsidRDefault="008120AF">
          <w:pPr>
            <w:pStyle w:val="TDC1"/>
            <w:rPr>
              <w:rFonts w:ascii="Arial" w:eastAsiaTheme="minorEastAsia" w:hAnsi="Arial" w:cs="Arial"/>
              <w:noProof/>
              <w:lang w:val="es-MX" w:eastAsia="es-MX"/>
            </w:rPr>
          </w:pPr>
          <w:hyperlink w:anchor="_Toc71932153" w:history="1">
            <w:r w:rsidR="00BB29CB" w:rsidRPr="00BB29CB">
              <w:rPr>
                <w:rStyle w:val="Hipervnculo"/>
                <w:rFonts w:ascii="Arial" w:hAnsi="Arial" w:cs="Arial"/>
                <w:noProof/>
              </w:rPr>
              <w:t>2.</w:t>
            </w:r>
            <w:r w:rsidR="00BB29CB" w:rsidRPr="00BB29CB">
              <w:rPr>
                <w:rStyle w:val="Hipervnculo"/>
                <w:rFonts w:ascii="Arial" w:eastAsia="Times New Roman" w:hAnsi="Arial" w:cs="Arial"/>
                <w:caps/>
                <w:noProof/>
                <w:kern w:val="32"/>
              </w:rPr>
              <w:t xml:space="preserve"> COMPETENCIA</w:t>
            </w:r>
            <w:r w:rsidR="00BB29CB" w:rsidRPr="00BB29CB">
              <w:rPr>
                <w:rFonts w:ascii="Arial" w:hAnsi="Arial" w:cs="Arial"/>
                <w:noProof/>
                <w:webHidden/>
              </w:rPr>
              <w:tab/>
            </w:r>
            <w:r w:rsidR="00BB29CB" w:rsidRPr="00BB29CB">
              <w:rPr>
                <w:rFonts w:ascii="Arial" w:hAnsi="Arial" w:cs="Arial"/>
                <w:noProof/>
                <w:webHidden/>
              </w:rPr>
              <w:fldChar w:fldCharType="begin"/>
            </w:r>
            <w:r w:rsidR="00BB29CB" w:rsidRPr="00BB29CB">
              <w:rPr>
                <w:rFonts w:ascii="Arial" w:hAnsi="Arial" w:cs="Arial"/>
                <w:noProof/>
                <w:webHidden/>
              </w:rPr>
              <w:instrText xml:space="preserve"> PAGEREF _Toc71932153 \h </w:instrText>
            </w:r>
            <w:r w:rsidR="00BB29CB" w:rsidRPr="00BB29CB">
              <w:rPr>
                <w:rFonts w:ascii="Arial" w:hAnsi="Arial" w:cs="Arial"/>
                <w:noProof/>
                <w:webHidden/>
              </w:rPr>
            </w:r>
            <w:r w:rsidR="00BB29CB" w:rsidRPr="00BB29CB">
              <w:rPr>
                <w:rFonts w:ascii="Arial" w:hAnsi="Arial" w:cs="Arial"/>
                <w:noProof/>
                <w:webHidden/>
              </w:rPr>
              <w:fldChar w:fldCharType="separate"/>
            </w:r>
            <w:r w:rsidR="00AB0214">
              <w:rPr>
                <w:rFonts w:ascii="Arial" w:hAnsi="Arial" w:cs="Arial"/>
                <w:noProof/>
                <w:webHidden/>
              </w:rPr>
              <w:t>3</w:t>
            </w:r>
            <w:r w:rsidR="00BB29CB" w:rsidRPr="00BB29CB">
              <w:rPr>
                <w:rFonts w:ascii="Arial" w:hAnsi="Arial" w:cs="Arial"/>
                <w:noProof/>
                <w:webHidden/>
              </w:rPr>
              <w:fldChar w:fldCharType="end"/>
            </w:r>
          </w:hyperlink>
        </w:p>
        <w:p w14:paraId="719A89C2" w14:textId="3353F427" w:rsidR="00BB29CB" w:rsidRPr="00BB29CB" w:rsidRDefault="008120AF">
          <w:pPr>
            <w:pStyle w:val="TDC1"/>
            <w:rPr>
              <w:rFonts w:ascii="Arial" w:eastAsiaTheme="minorEastAsia" w:hAnsi="Arial" w:cs="Arial"/>
              <w:noProof/>
              <w:lang w:val="es-MX" w:eastAsia="es-MX"/>
            </w:rPr>
          </w:pPr>
          <w:hyperlink w:anchor="_Toc71932154" w:history="1">
            <w:r w:rsidR="00BB29CB" w:rsidRPr="00BB29CB">
              <w:rPr>
                <w:rStyle w:val="Hipervnculo"/>
                <w:rFonts w:ascii="Arial" w:eastAsia="Times New Roman" w:hAnsi="Arial" w:cs="Arial"/>
                <w:caps/>
                <w:noProof/>
                <w:kern w:val="32"/>
              </w:rPr>
              <w:t>3. PROCEDENCIA</w:t>
            </w:r>
            <w:r w:rsidR="00BB29CB" w:rsidRPr="00BB29CB">
              <w:rPr>
                <w:rFonts w:ascii="Arial" w:hAnsi="Arial" w:cs="Arial"/>
                <w:noProof/>
                <w:webHidden/>
              </w:rPr>
              <w:tab/>
            </w:r>
            <w:r w:rsidR="00BB29CB" w:rsidRPr="00BB29CB">
              <w:rPr>
                <w:rFonts w:ascii="Arial" w:hAnsi="Arial" w:cs="Arial"/>
                <w:noProof/>
                <w:webHidden/>
              </w:rPr>
              <w:fldChar w:fldCharType="begin"/>
            </w:r>
            <w:r w:rsidR="00BB29CB" w:rsidRPr="00BB29CB">
              <w:rPr>
                <w:rFonts w:ascii="Arial" w:hAnsi="Arial" w:cs="Arial"/>
                <w:noProof/>
                <w:webHidden/>
              </w:rPr>
              <w:instrText xml:space="preserve"> PAGEREF _Toc71932154 \h </w:instrText>
            </w:r>
            <w:r w:rsidR="00BB29CB" w:rsidRPr="00BB29CB">
              <w:rPr>
                <w:rFonts w:ascii="Arial" w:hAnsi="Arial" w:cs="Arial"/>
                <w:noProof/>
                <w:webHidden/>
              </w:rPr>
            </w:r>
            <w:r w:rsidR="00BB29CB" w:rsidRPr="00BB29CB">
              <w:rPr>
                <w:rFonts w:ascii="Arial" w:hAnsi="Arial" w:cs="Arial"/>
                <w:noProof/>
                <w:webHidden/>
              </w:rPr>
              <w:fldChar w:fldCharType="separate"/>
            </w:r>
            <w:r w:rsidR="00AB0214">
              <w:rPr>
                <w:rFonts w:ascii="Arial" w:hAnsi="Arial" w:cs="Arial"/>
                <w:noProof/>
                <w:webHidden/>
              </w:rPr>
              <w:t>3</w:t>
            </w:r>
            <w:r w:rsidR="00BB29CB" w:rsidRPr="00BB29CB">
              <w:rPr>
                <w:rFonts w:ascii="Arial" w:hAnsi="Arial" w:cs="Arial"/>
                <w:noProof/>
                <w:webHidden/>
              </w:rPr>
              <w:fldChar w:fldCharType="end"/>
            </w:r>
          </w:hyperlink>
        </w:p>
        <w:p w14:paraId="50A3D907" w14:textId="0B23D1EB" w:rsidR="00BB29CB" w:rsidRPr="00BB29CB" w:rsidRDefault="008120AF">
          <w:pPr>
            <w:pStyle w:val="TDC1"/>
            <w:rPr>
              <w:rFonts w:ascii="Arial" w:eastAsiaTheme="minorEastAsia" w:hAnsi="Arial" w:cs="Arial"/>
              <w:noProof/>
              <w:lang w:val="es-MX" w:eastAsia="es-MX"/>
            </w:rPr>
          </w:pPr>
          <w:hyperlink w:anchor="_Toc71932155" w:history="1">
            <w:r w:rsidR="00BB29CB" w:rsidRPr="00BB29CB">
              <w:rPr>
                <w:rStyle w:val="Hipervnculo"/>
                <w:rFonts w:ascii="Arial" w:hAnsi="Arial" w:cs="Arial"/>
                <w:noProof/>
              </w:rPr>
              <w:t>4. ESTUDIO DE FONDO</w:t>
            </w:r>
            <w:r w:rsidR="00BB29CB" w:rsidRPr="00BB29CB">
              <w:rPr>
                <w:rFonts w:ascii="Arial" w:hAnsi="Arial" w:cs="Arial"/>
                <w:noProof/>
                <w:webHidden/>
              </w:rPr>
              <w:tab/>
            </w:r>
            <w:r w:rsidR="00BB29CB" w:rsidRPr="00BB29CB">
              <w:rPr>
                <w:rFonts w:ascii="Arial" w:hAnsi="Arial" w:cs="Arial"/>
                <w:noProof/>
                <w:webHidden/>
              </w:rPr>
              <w:fldChar w:fldCharType="begin"/>
            </w:r>
            <w:r w:rsidR="00BB29CB" w:rsidRPr="00BB29CB">
              <w:rPr>
                <w:rFonts w:ascii="Arial" w:hAnsi="Arial" w:cs="Arial"/>
                <w:noProof/>
                <w:webHidden/>
              </w:rPr>
              <w:instrText xml:space="preserve"> PAGEREF _Toc71932155 \h </w:instrText>
            </w:r>
            <w:r w:rsidR="00BB29CB" w:rsidRPr="00BB29CB">
              <w:rPr>
                <w:rFonts w:ascii="Arial" w:hAnsi="Arial" w:cs="Arial"/>
                <w:noProof/>
                <w:webHidden/>
              </w:rPr>
            </w:r>
            <w:r w:rsidR="00BB29CB" w:rsidRPr="00BB29CB">
              <w:rPr>
                <w:rFonts w:ascii="Arial" w:hAnsi="Arial" w:cs="Arial"/>
                <w:noProof/>
                <w:webHidden/>
              </w:rPr>
              <w:fldChar w:fldCharType="separate"/>
            </w:r>
            <w:r w:rsidR="00AB0214">
              <w:rPr>
                <w:rFonts w:ascii="Arial" w:hAnsi="Arial" w:cs="Arial"/>
                <w:noProof/>
                <w:webHidden/>
              </w:rPr>
              <w:t>4</w:t>
            </w:r>
            <w:r w:rsidR="00BB29CB" w:rsidRPr="00BB29CB">
              <w:rPr>
                <w:rFonts w:ascii="Arial" w:hAnsi="Arial" w:cs="Arial"/>
                <w:noProof/>
                <w:webHidden/>
              </w:rPr>
              <w:fldChar w:fldCharType="end"/>
            </w:r>
          </w:hyperlink>
        </w:p>
        <w:p w14:paraId="38C9BDA1" w14:textId="345B6FA2" w:rsidR="00BB29CB" w:rsidRPr="00BB29CB" w:rsidRDefault="008120AF" w:rsidP="00BB29CB">
          <w:pPr>
            <w:pStyle w:val="TDC2"/>
            <w:ind w:left="0"/>
            <w:rPr>
              <w:rFonts w:ascii="Arial" w:eastAsiaTheme="minorEastAsia" w:hAnsi="Arial" w:cs="Arial"/>
              <w:noProof/>
              <w:lang w:val="es-MX" w:eastAsia="es-MX"/>
            </w:rPr>
          </w:pPr>
          <w:hyperlink w:anchor="_Toc71932156" w:history="1">
            <w:r w:rsidR="00BB29CB" w:rsidRPr="00BB29CB">
              <w:rPr>
                <w:rStyle w:val="Hipervnculo"/>
                <w:rFonts w:ascii="Arial" w:hAnsi="Arial" w:cs="Arial"/>
                <w:noProof/>
              </w:rPr>
              <w:t>4.1. Materia de la Controversia</w:t>
            </w:r>
            <w:r w:rsidR="00BB29CB" w:rsidRPr="00BB29CB">
              <w:rPr>
                <w:rFonts w:ascii="Arial" w:hAnsi="Arial" w:cs="Arial"/>
                <w:noProof/>
                <w:webHidden/>
              </w:rPr>
              <w:tab/>
            </w:r>
            <w:r w:rsidR="00BB29CB" w:rsidRPr="00BB29CB">
              <w:rPr>
                <w:rFonts w:ascii="Arial" w:hAnsi="Arial" w:cs="Arial"/>
                <w:noProof/>
                <w:webHidden/>
              </w:rPr>
              <w:fldChar w:fldCharType="begin"/>
            </w:r>
            <w:r w:rsidR="00BB29CB" w:rsidRPr="00BB29CB">
              <w:rPr>
                <w:rFonts w:ascii="Arial" w:hAnsi="Arial" w:cs="Arial"/>
                <w:noProof/>
                <w:webHidden/>
              </w:rPr>
              <w:instrText xml:space="preserve"> PAGEREF _Toc71932156 \h </w:instrText>
            </w:r>
            <w:r w:rsidR="00BB29CB" w:rsidRPr="00BB29CB">
              <w:rPr>
                <w:rFonts w:ascii="Arial" w:hAnsi="Arial" w:cs="Arial"/>
                <w:noProof/>
                <w:webHidden/>
              </w:rPr>
            </w:r>
            <w:r w:rsidR="00BB29CB" w:rsidRPr="00BB29CB">
              <w:rPr>
                <w:rFonts w:ascii="Arial" w:hAnsi="Arial" w:cs="Arial"/>
                <w:noProof/>
                <w:webHidden/>
              </w:rPr>
              <w:fldChar w:fldCharType="separate"/>
            </w:r>
            <w:r w:rsidR="00AB0214">
              <w:rPr>
                <w:rFonts w:ascii="Arial" w:hAnsi="Arial" w:cs="Arial"/>
                <w:noProof/>
                <w:webHidden/>
              </w:rPr>
              <w:t>4</w:t>
            </w:r>
            <w:r w:rsidR="00BB29CB" w:rsidRPr="00BB29CB">
              <w:rPr>
                <w:rFonts w:ascii="Arial" w:hAnsi="Arial" w:cs="Arial"/>
                <w:noProof/>
                <w:webHidden/>
              </w:rPr>
              <w:fldChar w:fldCharType="end"/>
            </w:r>
          </w:hyperlink>
        </w:p>
        <w:p w14:paraId="2E7CAC65" w14:textId="3028E01E" w:rsidR="00BB29CB" w:rsidRPr="00BB29CB" w:rsidRDefault="008120AF" w:rsidP="00BB29CB">
          <w:pPr>
            <w:pStyle w:val="TDC2"/>
            <w:ind w:left="0"/>
            <w:rPr>
              <w:rFonts w:ascii="Arial" w:eastAsiaTheme="minorEastAsia" w:hAnsi="Arial" w:cs="Arial"/>
              <w:noProof/>
              <w:lang w:val="es-MX" w:eastAsia="es-MX"/>
            </w:rPr>
          </w:pPr>
          <w:hyperlink w:anchor="_Toc71932157" w:history="1">
            <w:r w:rsidR="00BB29CB" w:rsidRPr="00BB29CB">
              <w:rPr>
                <w:rStyle w:val="Hipervnculo"/>
                <w:rFonts w:ascii="Arial" w:hAnsi="Arial" w:cs="Arial"/>
                <w:noProof/>
              </w:rPr>
              <w:t>4.1.1. Resolución impugnada</w:t>
            </w:r>
            <w:r w:rsidR="00BB29CB" w:rsidRPr="00BB29CB">
              <w:rPr>
                <w:rFonts w:ascii="Arial" w:hAnsi="Arial" w:cs="Arial"/>
                <w:noProof/>
                <w:webHidden/>
              </w:rPr>
              <w:tab/>
            </w:r>
            <w:r w:rsidR="00BB29CB" w:rsidRPr="00BB29CB">
              <w:rPr>
                <w:rFonts w:ascii="Arial" w:hAnsi="Arial" w:cs="Arial"/>
                <w:noProof/>
                <w:webHidden/>
              </w:rPr>
              <w:fldChar w:fldCharType="begin"/>
            </w:r>
            <w:r w:rsidR="00BB29CB" w:rsidRPr="00BB29CB">
              <w:rPr>
                <w:rFonts w:ascii="Arial" w:hAnsi="Arial" w:cs="Arial"/>
                <w:noProof/>
                <w:webHidden/>
              </w:rPr>
              <w:instrText xml:space="preserve"> PAGEREF _Toc71932157 \h </w:instrText>
            </w:r>
            <w:r w:rsidR="00BB29CB" w:rsidRPr="00BB29CB">
              <w:rPr>
                <w:rFonts w:ascii="Arial" w:hAnsi="Arial" w:cs="Arial"/>
                <w:noProof/>
                <w:webHidden/>
              </w:rPr>
            </w:r>
            <w:r w:rsidR="00BB29CB" w:rsidRPr="00BB29CB">
              <w:rPr>
                <w:rFonts w:ascii="Arial" w:hAnsi="Arial" w:cs="Arial"/>
                <w:noProof/>
                <w:webHidden/>
              </w:rPr>
              <w:fldChar w:fldCharType="separate"/>
            </w:r>
            <w:r w:rsidR="00AB0214">
              <w:rPr>
                <w:rFonts w:ascii="Arial" w:hAnsi="Arial" w:cs="Arial"/>
                <w:noProof/>
                <w:webHidden/>
              </w:rPr>
              <w:t>4</w:t>
            </w:r>
            <w:r w:rsidR="00BB29CB" w:rsidRPr="00BB29CB">
              <w:rPr>
                <w:rFonts w:ascii="Arial" w:hAnsi="Arial" w:cs="Arial"/>
                <w:noProof/>
                <w:webHidden/>
              </w:rPr>
              <w:fldChar w:fldCharType="end"/>
            </w:r>
          </w:hyperlink>
        </w:p>
        <w:p w14:paraId="7FEE6F89" w14:textId="29B64E8B" w:rsidR="00BB29CB" w:rsidRPr="00BB29CB" w:rsidRDefault="008120AF" w:rsidP="00BB29CB">
          <w:pPr>
            <w:pStyle w:val="TDC2"/>
            <w:ind w:left="0"/>
            <w:rPr>
              <w:rFonts w:ascii="Arial" w:eastAsiaTheme="minorEastAsia" w:hAnsi="Arial" w:cs="Arial"/>
              <w:noProof/>
              <w:lang w:val="es-MX" w:eastAsia="es-MX"/>
            </w:rPr>
          </w:pPr>
          <w:hyperlink w:anchor="_Toc71932158" w:history="1">
            <w:r w:rsidR="00BB29CB" w:rsidRPr="00BB29CB">
              <w:rPr>
                <w:rStyle w:val="Hipervnculo"/>
                <w:rFonts w:ascii="Arial" w:hAnsi="Arial" w:cs="Arial"/>
                <w:noProof/>
              </w:rPr>
              <w:t>4.1.2. Planteamiento ante esta Sala</w:t>
            </w:r>
            <w:r w:rsidR="00BB29CB" w:rsidRPr="00BB29CB">
              <w:rPr>
                <w:rFonts w:ascii="Arial" w:hAnsi="Arial" w:cs="Arial"/>
                <w:noProof/>
                <w:webHidden/>
              </w:rPr>
              <w:tab/>
            </w:r>
            <w:r w:rsidR="00BB29CB" w:rsidRPr="00BB29CB">
              <w:rPr>
                <w:rFonts w:ascii="Arial" w:hAnsi="Arial" w:cs="Arial"/>
                <w:noProof/>
                <w:webHidden/>
              </w:rPr>
              <w:fldChar w:fldCharType="begin"/>
            </w:r>
            <w:r w:rsidR="00BB29CB" w:rsidRPr="00BB29CB">
              <w:rPr>
                <w:rFonts w:ascii="Arial" w:hAnsi="Arial" w:cs="Arial"/>
                <w:noProof/>
                <w:webHidden/>
              </w:rPr>
              <w:instrText xml:space="preserve"> PAGEREF _Toc71932158 \h </w:instrText>
            </w:r>
            <w:r w:rsidR="00BB29CB" w:rsidRPr="00BB29CB">
              <w:rPr>
                <w:rFonts w:ascii="Arial" w:hAnsi="Arial" w:cs="Arial"/>
                <w:noProof/>
                <w:webHidden/>
              </w:rPr>
            </w:r>
            <w:r w:rsidR="00BB29CB" w:rsidRPr="00BB29CB">
              <w:rPr>
                <w:rFonts w:ascii="Arial" w:hAnsi="Arial" w:cs="Arial"/>
                <w:noProof/>
                <w:webHidden/>
              </w:rPr>
              <w:fldChar w:fldCharType="separate"/>
            </w:r>
            <w:r w:rsidR="00AB0214">
              <w:rPr>
                <w:rFonts w:ascii="Arial" w:hAnsi="Arial" w:cs="Arial"/>
                <w:noProof/>
                <w:webHidden/>
              </w:rPr>
              <w:t>6</w:t>
            </w:r>
            <w:r w:rsidR="00BB29CB" w:rsidRPr="00BB29CB">
              <w:rPr>
                <w:rFonts w:ascii="Arial" w:hAnsi="Arial" w:cs="Arial"/>
                <w:noProof/>
                <w:webHidden/>
              </w:rPr>
              <w:fldChar w:fldCharType="end"/>
            </w:r>
          </w:hyperlink>
        </w:p>
        <w:p w14:paraId="7939DA98" w14:textId="785BC2BF" w:rsidR="00BB29CB" w:rsidRPr="00BB29CB" w:rsidRDefault="008120AF" w:rsidP="00BB29CB">
          <w:pPr>
            <w:pStyle w:val="TDC2"/>
            <w:ind w:left="0"/>
            <w:rPr>
              <w:rFonts w:ascii="Arial" w:eastAsiaTheme="minorEastAsia" w:hAnsi="Arial" w:cs="Arial"/>
              <w:noProof/>
              <w:lang w:val="es-MX" w:eastAsia="es-MX"/>
            </w:rPr>
          </w:pPr>
          <w:hyperlink w:anchor="_Toc71932159" w:history="1">
            <w:r w:rsidR="00BB29CB" w:rsidRPr="00BB29CB">
              <w:rPr>
                <w:rStyle w:val="Hipervnculo"/>
                <w:rFonts w:ascii="Arial" w:hAnsi="Arial" w:cs="Arial"/>
                <w:noProof/>
              </w:rPr>
              <w:t>4.2. Cuestión a resolver</w:t>
            </w:r>
            <w:r w:rsidR="00BB29CB" w:rsidRPr="00BB29CB">
              <w:rPr>
                <w:rFonts w:ascii="Arial" w:hAnsi="Arial" w:cs="Arial"/>
                <w:noProof/>
                <w:webHidden/>
              </w:rPr>
              <w:tab/>
            </w:r>
            <w:r w:rsidR="00BB29CB" w:rsidRPr="00BB29CB">
              <w:rPr>
                <w:rFonts w:ascii="Arial" w:hAnsi="Arial" w:cs="Arial"/>
                <w:noProof/>
                <w:webHidden/>
              </w:rPr>
              <w:fldChar w:fldCharType="begin"/>
            </w:r>
            <w:r w:rsidR="00BB29CB" w:rsidRPr="00BB29CB">
              <w:rPr>
                <w:rFonts w:ascii="Arial" w:hAnsi="Arial" w:cs="Arial"/>
                <w:noProof/>
                <w:webHidden/>
              </w:rPr>
              <w:instrText xml:space="preserve"> PAGEREF _Toc71932159 \h </w:instrText>
            </w:r>
            <w:r w:rsidR="00BB29CB" w:rsidRPr="00BB29CB">
              <w:rPr>
                <w:rFonts w:ascii="Arial" w:hAnsi="Arial" w:cs="Arial"/>
                <w:noProof/>
                <w:webHidden/>
              </w:rPr>
            </w:r>
            <w:r w:rsidR="00BB29CB" w:rsidRPr="00BB29CB">
              <w:rPr>
                <w:rFonts w:ascii="Arial" w:hAnsi="Arial" w:cs="Arial"/>
                <w:noProof/>
                <w:webHidden/>
              </w:rPr>
              <w:fldChar w:fldCharType="separate"/>
            </w:r>
            <w:r w:rsidR="00AB0214">
              <w:rPr>
                <w:rFonts w:ascii="Arial" w:hAnsi="Arial" w:cs="Arial"/>
                <w:noProof/>
                <w:webHidden/>
              </w:rPr>
              <w:t>7</w:t>
            </w:r>
            <w:r w:rsidR="00BB29CB" w:rsidRPr="00BB29CB">
              <w:rPr>
                <w:rFonts w:ascii="Arial" w:hAnsi="Arial" w:cs="Arial"/>
                <w:noProof/>
                <w:webHidden/>
              </w:rPr>
              <w:fldChar w:fldCharType="end"/>
            </w:r>
          </w:hyperlink>
        </w:p>
        <w:p w14:paraId="3B83F4ED" w14:textId="1BF1041E" w:rsidR="00BB29CB" w:rsidRPr="00BB29CB" w:rsidRDefault="008120AF" w:rsidP="00BB29CB">
          <w:pPr>
            <w:pStyle w:val="TDC2"/>
            <w:ind w:left="0"/>
            <w:rPr>
              <w:rFonts w:ascii="Arial" w:eastAsiaTheme="minorEastAsia" w:hAnsi="Arial" w:cs="Arial"/>
              <w:noProof/>
              <w:lang w:val="es-MX" w:eastAsia="es-MX"/>
            </w:rPr>
          </w:pPr>
          <w:hyperlink w:anchor="_Toc71932160" w:history="1">
            <w:r w:rsidR="00BB29CB" w:rsidRPr="00BB29CB">
              <w:rPr>
                <w:rStyle w:val="Hipervnculo"/>
                <w:rFonts w:ascii="Arial" w:hAnsi="Arial" w:cs="Arial"/>
                <w:noProof/>
              </w:rPr>
              <w:t>4.3. Decisión</w:t>
            </w:r>
            <w:r w:rsidR="00BB29CB" w:rsidRPr="00BB29CB">
              <w:rPr>
                <w:rFonts w:ascii="Arial" w:hAnsi="Arial" w:cs="Arial"/>
                <w:noProof/>
                <w:webHidden/>
              </w:rPr>
              <w:tab/>
            </w:r>
            <w:r w:rsidR="00BB29CB" w:rsidRPr="00BB29CB">
              <w:rPr>
                <w:rFonts w:ascii="Arial" w:hAnsi="Arial" w:cs="Arial"/>
                <w:noProof/>
                <w:webHidden/>
              </w:rPr>
              <w:fldChar w:fldCharType="begin"/>
            </w:r>
            <w:r w:rsidR="00BB29CB" w:rsidRPr="00BB29CB">
              <w:rPr>
                <w:rFonts w:ascii="Arial" w:hAnsi="Arial" w:cs="Arial"/>
                <w:noProof/>
                <w:webHidden/>
              </w:rPr>
              <w:instrText xml:space="preserve"> PAGEREF _Toc71932160 \h </w:instrText>
            </w:r>
            <w:r w:rsidR="00BB29CB" w:rsidRPr="00BB29CB">
              <w:rPr>
                <w:rFonts w:ascii="Arial" w:hAnsi="Arial" w:cs="Arial"/>
                <w:noProof/>
                <w:webHidden/>
              </w:rPr>
            </w:r>
            <w:r w:rsidR="00BB29CB" w:rsidRPr="00BB29CB">
              <w:rPr>
                <w:rFonts w:ascii="Arial" w:hAnsi="Arial" w:cs="Arial"/>
                <w:noProof/>
                <w:webHidden/>
              </w:rPr>
              <w:fldChar w:fldCharType="separate"/>
            </w:r>
            <w:r w:rsidR="00AB0214">
              <w:rPr>
                <w:rFonts w:ascii="Arial" w:hAnsi="Arial" w:cs="Arial"/>
                <w:noProof/>
                <w:webHidden/>
              </w:rPr>
              <w:t>7</w:t>
            </w:r>
            <w:r w:rsidR="00BB29CB" w:rsidRPr="00BB29CB">
              <w:rPr>
                <w:rFonts w:ascii="Arial" w:hAnsi="Arial" w:cs="Arial"/>
                <w:noProof/>
                <w:webHidden/>
              </w:rPr>
              <w:fldChar w:fldCharType="end"/>
            </w:r>
          </w:hyperlink>
        </w:p>
        <w:p w14:paraId="5057FDBD" w14:textId="0004E0CF" w:rsidR="00BB29CB" w:rsidRPr="00BB29CB" w:rsidRDefault="008120AF" w:rsidP="00BB29CB">
          <w:pPr>
            <w:pStyle w:val="TDC2"/>
            <w:ind w:left="0"/>
            <w:rPr>
              <w:rFonts w:ascii="Arial" w:eastAsiaTheme="minorEastAsia" w:hAnsi="Arial" w:cs="Arial"/>
              <w:noProof/>
              <w:lang w:val="es-MX" w:eastAsia="es-MX"/>
            </w:rPr>
          </w:pPr>
          <w:hyperlink w:anchor="_Toc71932161" w:history="1">
            <w:r w:rsidR="00BB29CB" w:rsidRPr="00BB29CB">
              <w:rPr>
                <w:rStyle w:val="Hipervnculo"/>
                <w:rFonts w:ascii="Arial" w:hAnsi="Arial" w:cs="Arial"/>
                <w:noProof/>
              </w:rPr>
              <w:t>4.4. Justificación de la decisión</w:t>
            </w:r>
            <w:r w:rsidR="00BB29CB" w:rsidRPr="00BB29CB">
              <w:rPr>
                <w:rFonts w:ascii="Arial" w:hAnsi="Arial" w:cs="Arial"/>
                <w:noProof/>
                <w:webHidden/>
              </w:rPr>
              <w:tab/>
            </w:r>
            <w:r w:rsidR="00BB29CB" w:rsidRPr="00BB29CB">
              <w:rPr>
                <w:rFonts w:ascii="Arial" w:hAnsi="Arial" w:cs="Arial"/>
                <w:noProof/>
                <w:webHidden/>
              </w:rPr>
              <w:fldChar w:fldCharType="begin"/>
            </w:r>
            <w:r w:rsidR="00BB29CB" w:rsidRPr="00BB29CB">
              <w:rPr>
                <w:rFonts w:ascii="Arial" w:hAnsi="Arial" w:cs="Arial"/>
                <w:noProof/>
                <w:webHidden/>
              </w:rPr>
              <w:instrText xml:space="preserve"> PAGEREF _Toc71932161 \h </w:instrText>
            </w:r>
            <w:r w:rsidR="00BB29CB" w:rsidRPr="00BB29CB">
              <w:rPr>
                <w:rFonts w:ascii="Arial" w:hAnsi="Arial" w:cs="Arial"/>
                <w:noProof/>
                <w:webHidden/>
              </w:rPr>
            </w:r>
            <w:r w:rsidR="00BB29CB" w:rsidRPr="00BB29CB">
              <w:rPr>
                <w:rFonts w:ascii="Arial" w:hAnsi="Arial" w:cs="Arial"/>
                <w:noProof/>
                <w:webHidden/>
              </w:rPr>
              <w:fldChar w:fldCharType="separate"/>
            </w:r>
            <w:r w:rsidR="00AB0214">
              <w:rPr>
                <w:rFonts w:ascii="Arial" w:hAnsi="Arial" w:cs="Arial"/>
                <w:noProof/>
                <w:webHidden/>
              </w:rPr>
              <w:t>7</w:t>
            </w:r>
            <w:r w:rsidR="00BB29CB" w:rsidRPr="00BB29CB">
              <w:rPr>
                <w:rFonts w:ascii="Arial" w:hAnsi="Arial" w:cs="Arial"/>
                <w:noProof/>
                <w:webHidden/>
              </w:rPr>
              <w:fldChar w:fldCharType="end"/>
            </w:r>
          </w:hyperlink>
        </w:p>
        <w:p w14:paraId="5AAE2D1A" w14:textId="48932342" w:rsidR="00BB29CB" w:rsidRPr="00BB29CB" w:rsidRDefault="008120AF" w:rsidP="00BB29CB">
          <w:pPr>
            <w:pStyle w:val="TDC2"/>
            <w:ind w:left="0"/>
            <w:rPr>
              <w:rFonts w:ascii="Arial" w:eastAsiaTheme="minorEastAsia" w:hAnsi="Arial" w:cs="Arial"/>
              <w:noProof/>
              <w:lang w:val="es-MX" w:eastAsia="es-MX"/>
            </w:rPr>
          </w:pPr>
          <w:hyperlink w:anchor="_Toc71932162" w:history="1">
            <w:r w:rsidR="00BB29CB" w:rsidRPr="00BB29CB">
              <w:rPr>
                <w:rStyle w:val="Hipervnculo"/>
                <w:rFonts w:ascii="Arial" w:hAnsi="Arial" w:cs="Arial"/>
                <w:noProof/>
              </w:rPr>
              <w:t>5. EFECTOS</w:t>
            </w:r>
            <w:r w:rsidR="00BB29CB" w:rsidRPr="00BB29CB">
              <w:rPr>
                <w:rFonts w:ascii="Arial" w:hAnsi="Arial" w:cs="Arial"/>
                <w:noProof/>
                <w:webHidden/>
              </w:rPr>
              <w:tab/>
            </w:r>
            <w:r w:rsidR="00BB29CB" w:rsidRPr="00BB29CB">
              <w:rPr>
                <w:rFonts w:ascii="Arial" w:hAnsi="Arial" w:cs="Arial"/>
                <w:noProof/>
                <w:webHidden/>
              </w:rPr>
              <w:fldChar w:fldCharType="begin"/>
            </w:r>
            <w:r w:rsidR="00BB29CB" w:rsidRPr="00BB29CB">
              <w:rPr>
                <w:rFonts w:ascii="Arial" w:hAnsi="Arial" w:cs="Arial"/>
                <w:noProof/>
                <w:webHidden/>
              </w:rPr>
              <w:instrText xml:space="preserve"> PAGEREF _Toc71932162 \h </w:instrText>
            </w:r>
            <w:r w:rsidR="00BB29CB" w:rsidRPr="00BB29CB">
              <w:rPr>
                <w:rFonts w:ascii="Arial" w:hAnsi="Arial" w:cs="Arial"/>
                <w:noProof/>
                <w:webHidden/>
              </w:rPr>
            </w:r>
            <w:r w:rsidR="00BB29CB" w:rsidRPr="00BB29CB">
              <w:rPr>
                <w:rFonts w:ascii="Arial" w:hAnsi="Arial" w:cs="Arial"/>
                <w:noProof/>
                <w:webHidden/>
              </w:rPr>
              <w:fldChar w:fldCharType="separate"/>
            </w:r>
            <w:r w:rsidR="00AB0214">
              <w:rPr>
                <w:rFonts w:ascii="Arial" w:hAnsi="Arial" w:cs="Arial"/>
                <w:noProof/>
                <w:webHidden/>
              </w:rPr>
              <w:t>12</w:t>
            </w:r>
            <w:r w:rsidR="00BB29CB" w:rsidRPr="00BB29CB">
              <w:rPr>
                <w:rFonts w:ascii="Arial" w:hAnsi="Arial" w:cs="Arial"/>
                <w:noProof/>
                <w:webHidden/>
              </w:rPr>
              <w:fldChar w:fldCharType="end"/>
            </w:r>
          </w:hyperlink>
        </w:p>
        <w:p w14:paraId="6705186F" w14:textId="4A06AB91" w:rsidR="00BB29CB" w:rsidRPr="00BB29CB" w:rsidRDefault="008120AF">
          <w:pPr>
            <w:pStyle w:val="TDC1"/>
            <w:rPr>
              <w:rFonts w:ascii="Arial" w:eastAsiaTheme="minorEastAsia" w:hAnsi="Arial" w:cs="Arial"/>
              <w:noProof/>
              <w:lang w:val="es-MX" w:eastAsia="es-MX"/>
            </w:rPr>
          </w:pPr>
          <w:hyperlink w:anchor="_Toc71932163" w:history="1">
            <w:r w:rsidR="00BB29CB" w:rsidRPr="00BB29CB">
              <w:rPr>
                <w:rStyle w:val="Hipervnculo"/>
                <w:rFonts w:ascii="Arial" w:hAnsi="Arial" w:cs="Arial"/>
                <w:noProof/>
              </w:rPr>
              <w:t>6. RESOLUTIVOS</w:t>
            </w:r>
            <w:r w:rsidR="00BB29CB" w:rsidRPr="00BB29CB">
              <w:rPr>
                <w:rFonts w:ascii="Arial" w:hAnsi="Arial" w:cs="Arial"/>
                <w:noProof/>
                <w:webHidden/>
              </w:rPr>
              <w:tab/>
            </w:r>
            <w:r w:rsidR="00BB29CB" w:rsidRPr="00BB29CB">
              <w:rPr>
                <w:rFonts w:ascii="Arial" w:hAnsi="Arial" w:cs="Arial"/>
                <w:noProof/>
                <w:webHidden/>
              </w:rPr>
              <w:fldChar w:fldCharType="begin"/>
            </w:r>
            <w:r w:rsidR="00BB29CB" w:rsidRPr="00BB29CB">
              <w:rPr>
                <w:rFonts w:ascii="Arial" w:hAnsi="Arial" w:cs="Arial"/>
                <w:noProof/>
                <w:webHidden/>
              </w:rPr>
              <w:instrText xml:space="preserve"> PAGEREF _Toc71932163 \h </w:instrText>
            </w:r>
            <w:r w:rsidR="00BB29CB" w:rsidRPr="00BB29CB">
              <w:rPr>
                <w:rFonts w:ascii="Arial" w:hAnsi="Arial" w:cs="Arial"/>
                <w:noProof/>
                <w:webHidden/>
              </w:rPr>
            </w:r>
            <w:r w:rsidR="00BB29CB" w:rsidRPr="00BB29CB">
              <w:rPr>
                <w:rFonts w:ascii="Arial" w:hAnsi="Arial" w:cs="Arial"/>
                <w:noProof/>
                <w:webHidden/>
              </w:rPr>
              <w:fldChar w:fldCharType="separate"/>
            </w:r>
            <w:r w:rsidR="00AB0214">
              <w:rPr>
                <w:rFonts w:ascii="Arial" w:hAnsi="Arial" w:cs="Arial"/>
                <w:noProof/>
                <w:webHidden/>
              </w:rPr>
              <w:t>18</w:t>
            </w:r>
            <w:r w:rsidR="00BB29CB" w:rsidRPr="00BB29CB">
              <w:rPr>
                <w:rFonts w:ascii="Arial" w:hAnsi="Arial" w:cs="Arial"/>
                <w:noProof/>
                <w:webHidden/>
              </w:rPr>
              <w:fldChar w:fldCharType="end"/>
            </w:r>
          </w:hyperlink>
        </w:p>
        <w:p w14:paraId="08E7C58A" w14:textId="498739EF" w:rsidR="007626C1" w:rsidRDefault="007626C1" w:rsidP="007626C1">
          <w:pPr>
            <w:spacing w:after="0" w:line="360" w:lineRule="auto"/>
            <w:jc w:val="both"/>
            <w:rPr>
              <w:rFonts w:ascii="Arial" w:hAnsi="Arial" w:cs="Arial"/>
              <w:sz w:val="24"/>
              <w:szCs w:val="24"/>
            </w:rPr>
          </w:pPr>
          <w:r w:rsidRPr="00BB29CB">
            <w:rPr>
              <w:rFonts w:ascii="Arial" w:hAnsi="Arial" w:cs="Arial"/>
            </w:rPr>
            <w:fldChar w:fldCharType="end"/>
          </w:r>
        </w:p>
      </w:sdtContent>
    </w:sdt>
    <w:p w14:paraId="3E9202A5" w14:textId="77777777" w:rsidR="00151C6B" w:rsidRDefault="0097282A" w:rsidP="007626C1">
      <w:pPr>
        <w:tabs>
          <w:tab w:val="center" w:pos="4136"/>
          <w:tab w:val="left" w:pos="5460"/>
        </w:tabs>
        <w:spacing w:after="0" w:line="240" w:lineRule="auto"/>
        <w:jc w:val="center"/>
        <w:outlineLvl w:val="0"/>
        <w:rPr>
          <w:rFonts w:ascii="Arial" w:eastAsia="Calibri" w:hAnsi="Arial" w:cs="Arial"/>
          <w:b/>
          <w:spacing w:val="26"/>
          <w:sz w:val="20"/>
          <w:szCs w:val="20"/>
        </w:rPr>
      </w:pPr>
      <w:bookmarkStart w:id="2" w:name="_Toc15739412"/>
      <w:bookmarkStart w:id="3" w:name="_Toc16695549"/>
      <w:bookmarkStart w:id="4" w:name="_Toc45184362"/>
      <w:bookmarkStart w:id="5" w:name="_Toc45365155"/>
      <w:bookmarkStart w:id="6" w:name="_Toc71932151"/>
      <w:bookmarkEnd w:id="0"/>
      <w:bookmarkEnd w:id="1"/>
      <w:r w:rsidRPr="000813B7">
        <w:rPr>
          <w:rFonts w:ascii="Arial" w:eastAsia="Calibri" w:hAnsi="Arial" w:cs="Arial"/>
          <w:b/>
          <w:spacing w:val="26"/>
          <w:sz w:val="20"/>
          <w:szCs w:val="20"/>
        </w:rPr>
        <w:t>GLOSARIO</w:t>
      </w:r>
      <w:bookmarkEnd w:id="2"/>
      <w:bookmarkEnd w:id="3"/>
      <w:bookmarkEnd w:id="4"/>
      <w:bookmarkEnd w:id="5"/>
      <w:bookmarkEnd w:id="6"/>
    </w:p>
    <w:p w14:paraId="027C40AC" w14:textId="77777777" w:rsidR="00386DC3" w:rsidRPr="000813B7" w:rsidRDefault="00386DC3" w:rsidP="00060CCE">
      <w:pPr>
        <w:tabs>
          <w:tab w:val="center" w:pos="4136"/>
          <w:tab w:val="left" w:pos="5460"/>
        </w:tabs>
        <w:spacing w:after="0" w:line="240" w:lineRule="auto"/>
        <w:outlineLvl w:val="0"/>
        <w:rPr>
          <w:rFonts w:ascii="Arial" w:eastAsia="Calibri" w:hAnsi="Arial" w:cs="Arial"/>
          <w:b/>
          <w:spacing w:val="26"/>
          <w:sz w:val="20"/>
          <w:szCs w:val="20"/>
        </w:rPr>
      </w:pPr>
    </w:p>
    <w:tbl>
      <w:tblPr>
        <w:tblW w:w="0" w:type="auto"/>
        <w:jc w:val="center"/>
        <w:tblLook w:val="01E0" w:firstRow="1" w:lastRow="1" w:firstColumn="1" w:lastColumn="1" w:noHBand="0" w:noVBand="0"/>
      </w:tblPr>
      <w:tblGrid>
        <w:gridCol w:w="2552"/>
        <w:gridCol w:w="5245"/>
      </w:tblGrid>
      <w:tr w:rsidR="009601BB" w:rsidRPr="000813B7" w14:paraId="484E80DC" w14:textId="77777777" w:rsidTr="000567A2">
        <w:trPr>
          <w:trHeight w:val="424"/>
          <w:jc w:val="center"/>
        </w:trPr>
        <w:tc>
          <w:tcPr>
            <w:tcW w:w="2552" w:type="dxa"/>
          </w:tcPr>
          <w:p w14:paraId="73C9B9F5" w14:textId="77777777" w:rsidR="009601BB" w:rsidRDefault="00BF7D79" w:rsidP="009601BB">
            <w:pPr>
              <w:spacing w:after="0" w:line="240" w:lineRule="auto"/>
              <w:rPr>
                <w:rFonts w:ascii="Arial" w:eastAsia="Calibri" w:hAnsi="Arial" w:cs="Arial"/>
                <w:b/>
                <w:i/>
                <w:sz w:val="20"/>
                <w:szCs w:val="20"/>
              </w:rPr>
            </w:pPr>
            <w:r>
              <w:rPr>
                <w:rFonts w:ascii="Arial" w:eastAsia="Calibri" w:hAnsi="Arial" w:cs="Arial"/>
                <w:b/>
                <w:i/>
                <w:sz w:val="20"/>
                <w:szCs w:val="20"/>
              </w:rPr>
              <w:t>Acuerdo de financiamiento anual</w:t>
            </w:r>
            <w:r w:rsidR="009601BB">
              <w:rPr>
                <w:rFonts w:ascii="Arial" w:eastAsia="Calibri" w:hAnsi="Arial" w:cs="Arial"/>
                <w:b/>
                <w:i/>
                <w:sz w:val="20"/>
                <w:szCs w:val="20"/>
              </w:rPr>
              <w:t>:</w:t>
            </w:r>
          </w:p>
          <w:p w14:paraId="1CEFE40B" w14:textId="77777777" w:rsidR="00956BB7" w:rsidRDefault="00956BB7" w:rsidP="009601BB">
            <w:pPr>
              <w:spacing w:after="0" w:line="240" w:lineRule="auto"/>
              <w:rPr>
                <w:rFonts w:ascii="Arial" w:eastAsia="Calibri" w:hAnsi="Arial" w:cs="Arial"/>
                <w:b/>
                <w:i/>
                <w:sz w:val="20"/>
                <w:szCs w:val="20"/>
              </w:rPr>
            </w:pPr>
          </w:p>
        </w:tc>
        <w:tc>
          <w:tcPr>
            <w:tcW w:w="5245" w:type="dxa"/>
          </w:tcPr>
          <w:p w14:paraId="3A0C441A" w14:textId="77777777" w:rsidR="009601BB" w:rsidRDefault="00956BB7" w:rsidP="009601BB">
            <w:pPr>
              <w:spacing w:after="0" w:line="240" w:lineRule="auto"/>
              <w:jc w:val="both"/>
              <w:rPr>
                <w:rFonts w:ascii="Arial" w:hAnsi="Arial" w:cs="Arial"/>
                <w:sz w:val="20"/>
                <w:szCs w:val="20"/>
                <w:shd w:val="clear" w:color="auto" w:fill="FFFFFF"/>
              </w:rPr>
            </w:pPr>
            <w:r w:rsidRPr="00956BB7">
              <w:rPr>
                <w:rFonts w:ascii="Arial" w:hAnsi="Arial" w:cs="Arial"/>
                <w:sz w:val="20"/>
                <w:szCs w:val="20"/>
                <w:shd w:val="clear" w:color="auto" w:fill="FFFFFF"/>
              </w:rPr>
              <w:lastRenderedPageBreak/>
              <w:t xml:space="preserve">Acuerdo </w:t>
            </w:r>
            <w:r w:rsidR="000D43AD" w:rsidRPr="000D43AD">
              <w:rPr>
                <w:rFonts w:ascii="Arial" w:hAnsi="Arial" w:cs="Arial"/>
                <w:sz w:val="20"/>
                <w:szCs w:val="20"/>
                <w:shd w:val="clear" w:color="auto" w:fill="FFFFFF"/>
              </w:rPr>
              <w:t>CGIEEG/039/2020</w:t>
            </w:r>
            <w:r w:rsidR="000D43AD">
              <w:rPr>
                <w:rFonts w:ascii="Arial" w:hAnsi="Arial" w:cs="Arial"/>
                <w:sz w:val="20"/>
                <w:szCs w:val="20"/>
                <w:shd w:val="clear" w:color="auto" w:fill="FFFFFF"/>
              </w:rPr>
              <w:t>,</w:t>
            </w:r>
            <w:r w:rsidR="000D43AD" w:rsidRPr="000D43AD">
              <w:rPr>
                <w:rFonts w:ascii="Arial" w:hAnsi="Arial" w:cs="Arial"/>
                <w:sz w:val="20"/>
                <w:szCs w:val="20"/>
                <w:shd w:val="clear" w:color="auto" w:fill="FFFFFF"/>
              </w:rPr>
              <w:t xml:space="preserve"> </w:t>
            </w:r>
            <w:r w:rsidRPr="00956BB7">
              <w:rPr>
                <w:rFonts w:ascii="Arial" w:hAnsi="Arial" w:cs="Arial"/>
                <w:sz w:val="20"/>
                <w:szCs w:val="20"/>
                <w:shd w:val="clear" w:color="auto" w:fill="FFFFFF"/>
              </w:rPr>
              <w:t xml:space="preserve">mediante el cual se determina el monto anual total del financiamiento público </w:t>
            </w:r>
            <w:r w:rsidRPr="00956BB7">
              <w:rPr>
                <w:rFonts w:ascii="Arial" w:hAnsi="Arial" w:cs="Arial"/>
                <w:sz w:val="20"/>
                <w:szCs w:val="20"/>
                <w:shd w:val="clear" w:color="auto" w:fill="FFFFFF"/>
              </w:rPr>
              <w:lastRenderedPageBreak/>
              <w:t>para el año dos mil veintiuno que se distribuirá entre los partidos políticos, así como el financiamiento para gastos de campaña del conjunto de candidaturas independientes para el proceso electoral local ordinario 2020-2021</w:t>
            </w:r>
            <w:r>
              <w:rPr>
                <w:rFonts w:ascii="Arial" w:hAnsi="Arial" w:cs="Arial"/>
                <w:sz w:val="20"/>
                <w:szCs w:val="20"/>
                <w:shd w:val="clear" w:color="auto" w:fill="FFFFFF"/>
              </w:rPr>
              <w:t>, emitido el cuatro de septiembre de dos mil veinte</w:t>
            </w:r>
          </w:p>
          <w:p w14:paraId="039D6594" w14:textId="77777777" w:rsidR="00956BB7" w:rsidRDefault="00956BB7" w:rsidP="009601BB">
            <w:pPr>
              <w:spacing w:after="0" w:line="240" w:lineRule="auto"/>
              <w:jc w:val="both"/>
              <w:rPr>
                <w:rFonts w:ascii="Arial" w:hAnsi="Arial" w:cs="Arial"/>
                <w:sz w:val="20"/>
                <w:szCs w:val="20"/>
                <w:shd w:val="clear" w:color="auto" w:fill="FFFFFF"/>
              </w:rPr>
            </w:pPr>
          </w:p>
        </w:tc>
      </w:tr>
      <w:tr w:rsidR="00956BB7" w:rsidRPr="000813B7" w14:paraId="08F63E1D" w14:textId="77777777" w:rsidTr="000567A2">
        <w:trPr>
          <w:trHeight w:val="424"/>
          <w:jc w:val="center"/>
        </w:trPr>
        <w:tc>
          <w:tcPr>
            <w:tcW w:w="2552" w:type="dxa"/>
          </w:tcPr>
          <w:p w14:paraId="06B24434" w14:textId="77777777" w:rsidR="00956BB7" w:rsidRDefault="00BF7D79" w:rsidP="00956BB7">
            <w:pPr>
              <w:spacing w:after="0" w:line="240" w:lineRule="auto"/>
              <w:rPr>
                <w:rFonts w:ascii="Arial" w:eastAsia="Calibri" w:hAnsi="Arial" w:cs="Arial"/>
                <w:b/>
                <w:i/>
                <w:sz w:val="20"/>
                <w:szCs w:val="20"/>
              </w:rPr>
            </w:pPr>
            <w:r>
              <w:rPr>
                <w:rFonts w:ascii="Arial" w:eastAsia="Calibri" w:hAnsi="Arial" w:cs="Arial"/>
                <w:b/>
                <w:i/>
                <w:sz w:val="20"/>
                <w:szCs w:val="20"/>
              </w:rPr>
              <w:lastRenderedPageBreak/>
              <w:t>Acuerdo de financiamiento para independientes</w:t>
            </w:r>
            <w:r w:rsidR="00956BB7">
              <w:rPr>
                <w:rFonts w:ascii="Arial" w:eastAsia="Calibri" w:hAnsi="Arial" w:cs="Arial"/>
                <w:b/>
                <w:i/>
                <w:sz w:val="20"/>
                <w:szCs w:val="20"/>
              </w:rPr>
              <w:t>:</w:t>
            </w:r>
          </w:p>
          <w:p w14:paraId="7FEF2EEB" w14:textId="77777777" w:rsidR="00956BB7" w:rsidRDefault="00956BB7" w:rsidP="009601BB">
            <w:pPr>
              <w:spacing w:after="0" w:line="240" w:lineRule="auto"/>
              <w:rPr>
                <w:rFonts w:ascii="Arial" w:eastAsia="Calibri" w:hAnsi="Arial" w:cs="Arial"/>
                <w:b/>
                <w:i/>
                <w:sz w:val="20"/>
                <w:szCs w:val="20"/>
              </w:rPr>
            </w:pPr>
          </w:p>
        </w:tc>
        <w:tc>
          <w:tcPr>
            <w:tcW w:w="5245" w:type="dxa"/>
          </w:tcPr>
          <w:p w14:paraId="15E7D7C6" w14:textId="77777777" w:rsidR="00956BB7" w:rsidRDefault="00956BB7" w:rsidP="009601BB">
            <w:pPr>
              <w:spacing w:after="0" w:line="240" w:lineRule="auto"/>
              <w:jc w:val="both"/>
              <w:rPr>
                <w:rFonts w:ascii="Arial" w:hAnsi="Arial" w:cs="Arial"/>
                <w:sz w:val="20"/>
                <w:szCs w:val="20"/>
                <w:shd w:val="clear" w:color="auto" w:fill="FFFFFF"/>
              </w:rPr>
            </w:pPr>
            <w:r w:rsidRPr="00956BB7">
              <w:rPr>
                <w:rFonts w:ascii="Arial" w:hAnsi="Arial" w:cs="Arial"/>
                <w:sz w:val="20"/>
                <w:szCs w:val="20"/>
                <w:shd w:val="clear" w:color="auto" w:fill="FFFFFF"/>
              </w:rPr>
              <w:t>Acuerdo</w:t>
            </w:r>
            <w:r w:rsidR="000D43AD">
              <w:rPr>
                <w:rFonts w:ascii="Arial" w:hAnsi="Arial" w:cs="Arial"/>
                <w:sz w:val="20"/>
                <w:szCs w:val="20"/>
                <w:shd w:val="clear" w:color="auto" w:fill="FFFFFF"/>
              </w:rPr>
              <w:t xml:space="preserve"> </w:t>
            </w:r>
            <w:r w:rsidR="000D43AD" w:rsidRPr="000D43AD">
              <w:rPr>
                <w:rFonts w:ascii="Arial" w:hAnsi="Arial" w:cs="Arial"/>
                <w:sz w:val="20"/>
                <w:szCs w:val="20"/>
                <w:shd w:val="clear" w:color="auto" w:fill="FFFFFF"/>
              </w:rPr>
              <w:t>CGIEEG/120/2021</w:t>
            </w:r>
            <w:r w:rsidR="000D43AD">
              <w:rPr>
                <w:rFonts w:ascii="Arial" w:hAnsi="Arial" w:cs="Arial"/>
                <w:sz w:val="20"/>
                <w:szCs w:val="20"/>
                <w:shd w:val="clear" w:color="auto" w:fill="FFFFFF"/>
              </w:rPr>
              <w:t xml:space="preserve">, </w:t>
            </w:r>
            <w:r w:rsidRPr="00956BB7">
              <w:rPr>
                <w:rFonts w:ascii="Arial" w:hAnsi="Arial" w:cs="Arial"/>
                <w:sz w:val="20"/>
                <w:szCs w:val="20"/>
                <w:shd w:val="clear" w:color="auto" w:fill="FFFFFF"/>
              </w:rPr>
              <w:t>mediante el cual se determina el monto del financiamiento público a que tienen derecho las candidaturas independientes registradas en la elección de ayuntamientos en el proceso electoral local ordinario 2020-2021, así como los límites del financiamiento privado para gastos de campaña</w:t>
            </w:r>
            <w:r>
              <w:rPr>
                <w:rFonts w:ascii="Arial" w:hAnsi="Arial" w:cs="Arial"/>
                <w:sz w:val="20"/>
                <w:szCs w:val="20"/>
                <w:shd w:val="clear" w:color="auto" w:fill="FFFFFF"/>
              </w:rPr>
              <w:t xml:space="preserve">, emitido el cuatro de abril de dos mil </w:t>
            </w:r>
            <w:r w:rsidR="0055160A">
              <w:rPr>
                <w:rFonts w:ascii="Arial" w:hAnsi="Arial" w:cs="Arial"/>
                <w:sz w:val="20"/>
                <w:szCs w:val="20"/>
                <w:shd w:val="clear" w:color="auto" w:fill="FFFFFF"/>
              </w:rPr>
              <w:t>veintiuno</w:t>
            </w:r>
          </w:p>
          <w:p w14:paraId="7A4D77B4" w14:textId="77777777" w:rsidR="00956BB7" w:rsidRPr="00956BB7" w:rsidRDefault="00956BB7" w:rsidP="009601BB">
            <w:pPr>
              <w:spacing w:after="0" w:line="240" w:lineRule="auto"/>
              <w:jc w:val="both"/>
              <w:rPr>
                <w:rFonts w:ascii="Arial" w:hAnsi="Arial" w:cs="Arial"/>
                <w:sz w:val="20"/>
                <w:szCs w:val="20"/>
                <w:shd w:val="clear" w:color="auto" w:fill="FFFFFF"/>
              </w:rPr>
            </w:pPr>
          </w:p>
        </w:tc>
      </w:tr>
      <w:tr w:rsidR="000D43AD" w:rsidRPr="000813B7" w14:paraId="6FE1DF0F" w14:textId="77777777" w:rsidTr="000567A2">
        <w:trPr>
          <w:trHeight w:val="424"/>
          <w:jc w:val="center"/>
        </w:trPr>
        <w:tc>
          <w:tcPr>
            <w:tcW w:w="2552" w:type="dxa"/>
          </w:tcPr>
          <w:p w14:paraId="69B98C9D" w14:textId="77777777" w:rsidR="000D43AD" w:rsidRDefault="000D43AD" w:rsidP="009601BB">
            <w:pPr>
              <w:spacing w:after="0" w:line="240" w:lineRule="auto"/>
              <w:rPr>
                <w:rFonts w:ascii="Arial" w:eastAsia="Calibri" w:hAnsi="Arial" w:cs="Arial"/>
                <w:b/>
                <w:i/>
                <w:sz w:val="20"/>
                <w:szCs w:val="20"/>
              </w:rPr>
            </w:pPr>
            <w:r>
              <w:rPr>
                <w:rFonts w:ascii="Arial" w:eastAsia="Calibri" w:hAnsi="Arial" w:cs="Arial"/>
                <w:b/>
                <w:i/>
                <w:sz w:val="20"/>
                <w:szCs w:val="20"/>
              </w:rPr>
              <w:t>Consejo General:</w:t>
            </w:r>
          </w:p>
        </w:tc>
        <w:tc>
          <w:tcPr>
            <w:tcW w:w="5245" w:type="dxa"/>
          </w:tcPr>
          <w:p w14:paraId="0E545814" w14:textId="77777777" w:rsidR="000D43AD" w:rsidRDefault="000D43AD" w:rsidP="009601BB">
            <w:pPr>
              <w:spacing w:after="0" w:line="240" w:lineRule="auto"/>
              <w:jc w:val="both"/>
              <w:rPr>
                <w:rFonts w:ascii="Arial" w:hAnsi="Arial" w:cs="Arial"/>
                <w:sz w:val="20"/>
                <w:szCs w:val="20"/>
                <w:shd w:val="clear" w:color="auto" w:fill="FFFFFF"/>
              </w:rPr>
            </w:pPr>
            <w:r w:rsidRPr="000D43AD">
              <w:rPr>
                <w:rFonts w:ascii="Arial" w:hAnsi="Arial" w:cs="Arial"/>
                <w:sz w:val="20"/>
                <w:szCs w:val="20"/>
                <w:shd w:val="clear" w:color="auto" w:fill="FFFFFF"/>
              </w:rPr>
              <w:t>Consejo General</w:t>
            </w:r>
            <w:r>
              <w:rPr>
                <w:rFonts w:ascii="Arial" w:hAnsi="Arial" w:cs="Arial"/>
                <w:sz w:val="20"/>
                <w:szCs w:val="20"/>
                <w:shd w:val="clear" w:color="auto" w:fill="FFFFFF"/>
              </w:rPr>
              <w:t xml:space="preserve"> del Instituto Electoral del Estado de Guanajuato</w:t>
            </w:r>
          </w:p>
          <w:p w14:paraId="54C3A01A" w14:textId="77777777" w:rsidR="000D43AD" w:rsidRPr="00B7238F" w:rsidRDefault="000D43AD" w:rsidP="009601BB">
            <w:pPr>
              <w:spacing w:after="0" w:line="240" w:lineRule="auto"/>
              <w:jc w:val="both"/>
              <w:rPr>
                <w:rFonts w:ascii="Arial" w:hAnsi="Arial" w:cs="Arial"/>
                <w:sz w:val="20"/>
                <w:szCs w:val="20"/>
                <w:shd w:val="clear" w:color="auto" w:fill="FFFFFF"/>
              </w:rPr>
            </w:pPr>
          </w:p>
        </w:tc>
      </w:tr>
      <w:tr w:rsidR="00B7238F" w:rsidRPr="000813B7" w14:paraId="1895DC15" w14:textId="77777777" w:rsidTr="000567A2">
        <w:trPr>
          <w:trHeight w:val="424"/>
          <w:jc w:val="center"/>
        </w:trPr>
        <w:tc>
          <w:tcPr>
            <w:tcW w:w="2552" w:type="dxa"/>
          </w:tcPr>
          <w:p w14:paraId="47372594" w14:textId="77777777" w:rsidR="00B7238F" w:rsidRPr="000813B7" w:rsidRDefault="00B7238F" w:rsidP="009601BB">
            <w:pPr>
              <w:spacing w:after="0" w:line="240" w:lineRule="auto"/>
              <w:rPr>
                <w:rFonts w:ascii="Arial" w:eastAsia="Calibri" w:hAnsi="Arial" w:cs="Arial"/>
                <w:b/>
                <w:i/>
                <w:sz w:val="20"/>
                <w:szCs w:val="20"/>
              </w:rPr>
            </w:pPr>
            <w:r>
              <w:rPr>
                <w:rFonts w:ascii="Arial" w:eastAsia="Calibri" w:hAnsi="Arial" w:cs="Arial"/>
                <w:b/>
                <w:i/>
                <w:sz w:val="20"/>
                <w:szCs w:val="20"/>
              </w:rPr>
              <w:t xml:space="preserve">Constitución </w:t>
            </w:r>
            <w:r w:rsidR="0055160A">
              <w:rPr>
                <w:rFonts w:ascii="Arial" w:eastAsia="Calibri" w:hAnsi="Arial" w:cs="Arial"/>
                <w:b/>
                <w:i/>
                <w:sz w:val="20"/>
                <w:szCs w:val="20"/>
              </w:rPr>
              <w:t>Federal</w:t>
            </w:r>
            <w:r>
              <w:rPr>
                <w:rFonts w:ascii="Arial" w:eastAsia="Calibri" w:hAnsi="Arial" w:cs="Arial"/>
                <w:b/>
                <w:i/>
                <w:sz w:val="20"/>
                <w:szCs w:val="20"/>
              </w:rPr>
              <w:t>:</w:t>
            </w:r>
          </w:p>
        </w:tc>
        <w:tc>
          <w:tcPr>
            <w:tcW w:w="5245" w:type="dxa"/>
          </w:tcPr>
          <w:p w14:paraId="29A98498" w14:textId="77777777" w:rsidR="00B7238F" w:rsidRDefault="00B7238F" w:rsidP="009601BB">
            <w:pPr>
              <w:spacing w:after="0" w:line="240" w:lineRule="auto"/>
              <w:jc w:val="both"/>
              <w:rPr>
                <w:rFonts w:ascii="Arial" w:hAnsi="Arial" w:cs="Arial"/>
                <w:sz w:val="20"/>
                <w:szCs w:val="20"/>
                <w:shd w:val="clear" w:color="auto" w:fill="FFFFFF"/>
              </w:rPr>
            </w:pPr>
            <w:r w:rsidRPr="00B7238F">
              <w:rPr>
                <w:rFonts w:ascii="Arial" w:hAnsi="Arial" w:cs="Arial"/>
                <w:sz w:val="20"/>
                <w:szCs w:val="20"/>
                <w:shd w:val="clear" w:color="auto" w:fill="FFFFFF"/>
              </w:rPr>
              <w:t xml:space="preserve">Constitución Política </w:t>
            </w:r>
            <w:r w:rsidR="0055160A">
              <w:rPr>
                <w:rFonts w:ascii="Arial" w:hAnsi="Arial" w:cs="Arial"/>
                <w:sz w:val="20"/>
                <w:szCs w:val="20"/>
                <w:shd w:val="clear" w:color="auto" w:fill="FFFFFF"/>
              </w:rPr>
              <w:t>de los Estados Unidos Mexicanos</w:t>
            </w:r>
          </w:p>
          <w:p w14:paraId="67508F49" w14:textId="77777777" w:rsidR="00B7238F" w:rsidRPr="000813B7" w:rsidRDefault="00B7238F" w:rsidP="009601BB">
            <w:pPr>
              <w:spacing w:after="0" w:line="240" w:lineRule="auto"/>
              <w:jc w:val="both"/>
              <w:rPr>
                <w:rFonts w:ascii="Arial" w:hAnsi="Arial" w:cs="Arial"/>
                <w:sz w:val="20"/>
                <w:szCs w:val="20"/>
                <w:shd w:val="clear" w:color="auto" w:fill="FFFFFF"/>
              </w:rPr>
            </w:pPr>
          </w:p>
        </w:tc>
      </w:tr>
      <w:tr w:rsidR="00753C52" w:rsidRPr="000813B7" w14:paraId="04226745" w14:textId="77777777" w:rsidTr="000567A2">
        <w:trPr>
          <w:trHeight w:val="424"/>
          <w:jc w:val="center"/>
        </w:trPr>
        <w:tc>
          <w:tcPr>
            <w:tcW w:w="2552" w:type="dxa"/>
          </w:tcPr>
          <w:p w14:paraId="64AAC99F" w14:textId="5C662C42" w:rsidR="00753C52" w:rsidRDefault="00753C52" w:rsidP="009601BB">
            <w:pPr>
              <w:spacing w:after="0" w:line="240" w:lineRule="auto"/>
              <w:rPr>
                <w:rFonts w:ascii="Arial" w:eastAsia="Calibri" w:hAnsi="Arial" w:cs="Arial"/>
                <w:b/>
                <w:i/>
                <w:sz w:val="20"/>
                <w:szCs w:val="20"/>
              </w:rPr>
            </w:pPr>
            <w:r>
              <w:rPr>
                <w:rFonts w:ascii="Arial" w:eastAsia="Calibri" w:hAnsi="Arial" w:cs="Arial"/>
                <w:b/>
                <w:i/>
                <w:sz w:val="20"/>
                <w:szCs w:val="20"/>
              </w:rPr>
              <w:t>Instituto local:</w:t>
            </w:r>
          </w:p>
        </w:tc>
        <w:tc>
          <w:tcPr>
            <w:tcW w:w="5245" w:type="dxa"/>
          </w:tcPr>
          <w:p w14:paraId="0705C9FB" w14:textId="4412ED63" w:rsidR="00753C52" w:rsidRPr="00B7238F" w:rsidRDefault="00753C52" w:rsidP="009601BB">
            <w:pPr>
              <w:spacing w:after="0" w:line="240" w:lineRule="auto"/>
              <w:jc w:val="both"/>
              <w:rPr>
                <w:rFonts w:ascii="Arial" w:hAnsi="Arial" w:cs="Arial"/>
                <w:sz w:val="20"/>
                <w:szCs w:val="20"/>
                <w:shd w:val="clear" w:color="auto" w:fill="FFFFFF"/>
              </w:rPr>
            </w:pPr>
            <w:r>
              <w:rPr>
                <w:rFonts w:ascii="Arial" w:hAnsi="Arial" w:cs="Arial"/>
                <w:sz w:val="20"/>
                <w:szCs w:val="20"/>
                <w:shd w:val="clear" w:color="auto" w:fill="FFFFFF"/>
              </w:rPr>
              <w:t>Instituto Electoral del Estado de Guanajuato</w:t>
            </w:r>
          </w:p>
        </w:tc>
      </w:tr>
      <w:tr w:rsidR="009601BB" w:rsidRPr="000813B7" w14:paraId="78164187" w14:textId="77777777" w:rsidTr="00A4693A">
        <w:trPr>
          <w:trHeight w:val="723"/>
          <w:jc w:val="center"/>
        </w:trPr>
        <w:tc>
          <w:tcPr>
            <w:tcW w:w="2552" w:type="dxa"/>
          </w:tcPr>
          <w:p w14:paraId="4828CF12" w14:textId="77777777" w:rsidR="009601BB" w:rsidRPr="000813B7" w:rsidRDefault="009601BB" w:rsidP="009601BB">
            <w:pPr>
              <w:spacing w:after="0" w:line="240" w:lineRule="auto"/>
              <w:rPr>
                <w:rFonts w:ascii="Arial" w:eastAsia="Calibri" w:hAnsi="Arial" w:cs="Arial"/>
                <w:b/>
                <w:i/>
                <w:sz w:val="20"/>
                <w:szCs w:val="20"/>
              </w:rPr>
            </w:pPr>
            <w:r w:rsidRPr="000813B7">
              <w:rPr>
                <w:rFonts w:ascii="Arial" w:eastAsia="Calibri" w:hAnsi="Arial" w:cs="Arial"/>
                <w:b/>
                <w:i/>
                <w:sz w:val="20"/>
                <w:szCs w:val="20"/>
              </w:rPr>
              <w:t>Ley de Medios:</w:t>
            </w:r>
          </w:p>
        </w:tc>
        <w:tc>
          <w:tcPr>
            <w:tcW w:w="5245" w:type="dxa"/>
          </w:tcPr>
          <w:p w14:paraId="609CBD47" w14:textId="77777777" w:rsidR="009601BB" w:rsidRPr="000813B7" w:rsidRDefault="009601BB" w:rsidP="009601BB">
            <w:pPr>
              <w:spacing w:after="0" w:line="240" w:lineRule="auto"/>
              <w:jc w:val="both"/>
              <w:rPr>
                <w:rFonts w:ascii="Arial" w:eastAsia="Calibri" w:hAnsi="Arial" w:cs="Arial"/>
                <w:sz w:val="20"/>
                <w:szCs w:val="20"/>
              </w:rPr>
            </w:pPr>
            <w:r w:rsidRPr="000813B7">
              <w:rPr>
                <w:rFonts w:ascii="Arial" w:eastAsia="Times New Roman" w:hAnsi="Arial" w:cs="Arial"/>
                <w:sz w:val="20"/>
                <w:szCs w:val="20"/>
                <w:lang w:val="es-ES" w:eastAsia="es-ES"/>
              </w:rPr>
              <w:t>Ley General del Sistema de Medios de Impugnación en Materia Electoral</w:t>
            </w:r>
          </w:p>
        </w:tc>
      </w:tr>
      <w:tr w:rsidR="009F2E3E" w:rsidRPr="000813B7" w14:paraId="23097651" w14:textId="77777777" w:rsidTr="00302201">
        <w:trPr>
          <w:trHeight w:val="521"/>
          <w:jc w:val="center"/>
        </w:trPr>
        <w:tc>
          <w:tcPr>
            <w:tcW w:w="2552" w:type="dxa"/>
          </w:tcPr>
          <w:p w14:paraId="08DCD819" w14:textId="77777777" w:rsidR="009F2E3E" w:rsidRPr="000813B7" w:rsidRDefault="009F2E3E" w:rsidP="009601BB">
            <w:pPr>
              <w:spacing w:after="0" w:line="240" w:lineRule="auto"/>
              <w:rPr>
                <w:rFonts w:ascii="Arial" w:eastAsia="Calibri" w:hAnsi="Arial" w:cs="Arial"/>
                <w:b/>
                <w:i/>
                <w:sz w:val="20"/>
                <w:szCs w:val="20"/>
              </w:rPr>
            </w:pPr>
            <w:r>
              <w:rPr>
                <w:rFonts w:ascii="Arial" w:eastAsia="Calibri" w:hAnsi="Arial" w:cs="Arial"/>
                <w:b/>
                <w:i/>
                <w:sz w:val="20"/>
                <w:szCs w:val="20"/>
              </w:rPr>
              <w:t>Ley local:</w:t>
            </w:r>
          </w:p>
        </w:tc>
        <w:tc>
          <w:tcPr>
            <w:tcW w:w="5245" w:type="dxa"/>
          </w:tcPr>
          <w:p w14:paraId="1B5AFAE5" w14:textId="77777777" w:rsidR="009F2E3E" w:rsidRDefault="0055160A" w:rsidP="009601BB">
            <w:pPr>
              <w:spacing w:after="0" w:line="240" w:lineRule="auto"/>
              <w:jc w:val="both"/>
              <w:rPr>
                <w:rFonts w:ascii="Arial" w:eastAsia="Times New Roman" w:hAnsi="Arial" w:cs="Arial"/>
                <w:sz w:val="20"/>
                <w:szCs w:val="20"/>
                <w:lang w:val="es-ES" w:eastAsia="es-ES"/>
              </w:rPr>
            </w:pPr>
            <w:r w:rsidRPr="0055160A">
              <w:rPr>
                <w:rFonts w:ascii="Arial" w:eastAsia="Times New Roman" w:hAnsi="Arial" w:cs="Arial"/>
                <w:sz w:val="20"/>
                <w:szCs w:val="20"/>
                <w:lang w:val="es-ES" w:eastAsia="es-ES"/>
              </w:rPr>
              <w:t>Ley de Instituciones y Procedimientos Electorales para el Estado de Guanajuato</w:t>
            </w:r>
          </w:p>
          <w:p w14:paraId="0C57E56E" w14:textId="77777777" w:rsidR="0055160A" w:rsidRPr="000813B7" w:rsidRDefault="0055160A" w:rsidP="009601BB">
            <w:pPr>
              <w:spacing w:after="0" w:line="240" w:lineRule="auto"/>
              <w:jc w:val="both"/>
              <w:rPr>
                <w:rFonts w:ascii="Arial" w:eastAsia="Times New Roman" w:hAnsi="Arial" w:cs="Arial"/>
                <w:sz w:val="20"/>
                <w:szCs w:val="20"/>
                <w:lang w:val="es-ES" w:eastAsia="es-ES"/>
              </w:rPr>
            </w:pPr>
          </w:p>
        </w:tc>
      </w:tr>
      <w:tr w:rsidR="009601BB" w:rsidRPr="000813B7" w14:paraId="580F18FF" w14:textId="77777777" w:rsidTr="00621862">
        <w:trPr>
          <w:trHeight w:val="392"/>
          <w:jc w:val="center"/>
        </w:trPr>
        <w:tc>
          <w:tcPr>
            <w:tcW w:w="2552" w:type="dxa"/>
          </w:tcPr>
          <w:p w14:paraId="3D0CD499" w14:textId="77777777" w:rsidR="009601BB" w:rsidRPr="000813B7" w:rsidRDefault="0055160A" w:rsidP="009601BB">
            <w:pPr>
              <w:spacing w:after="0" w:line="240" w:lineRule="auto"/>
              <w:rPr>
                <w:rFonts w:ascii="Arial" w:eastAsia="Calibri" w:hAnsi="Arial" w:cs="Arial"/>
                <w:b/>
                <w:i/>
                <w:sz w:val="20"/>
                <w:szCs w:val="20"/>
              </w:rPr>
            </w:pPr>
            <w:r>
              <w:rPr>
                <w:rFonts w:ascii="Arial" w:eastAsia="Calibri" w:hAnsi="Arial" w:cs="Arial"/>
                <w:b/>
                <w:i/>
                <w:sz w:val="20"/>
                <w:szCs w:val="20"/>
              </w:rPr>
              <w:t>PAN</w:t>
            </w:r>
            <w:r w:rsidR="009601BB" w:rsidRPr="000813B7">
              <w:rPr>
                <w:rFonts w:ascii="Arial" w:eastAsia="Calibri" w:hAnsi="Arial" w:cs="Arial"/>
                <w:b/>
                <w:i/>
                <w:sz w:val="20"/>
                <w:szCs w:val="20"/>
              </w:rPr>
              <w:t>:</w:t>
            </w:r>
          </w:p>
        </w:tc>
        <w:tc>
          <w:tcPr>
            <w:tcW w:w="5245" w:type="dxa"/>
          </w:tcPr>
          <w:p w14:paraId="3044BCE3" w14:textId="77777777" w:rsidR="009601BB" w:rsidRPr="000813B7" w:rsidRDefault="0055160A" w:rsidP="009601BB">
            <w:pPr>
              <w:spacing w:after="0" w:line="240" w:lineRule="auto"/>
              <w:jc w:val="both"/>
              <w:rPr>
                <w:rFonts w:ascii="Arial" w:eastAsia="Calibri" w:hAnsi="Arial" w:cs="Arial"/>
                <w:sz w:val="20"/>
                <w:szCs w:val="20"/>
              </w:rPr>
            </w:pPr>
            <w:r>
              <w:rPr>
                <w:rFonts w:ascii="Arial" w:eastAsia="Calibri" w:hAnsi="Arial" w:cs="Arial"/>
                <w:sz w:val="20"/>
                <w:szCs w:val="20"/>
              </w:rPr>
              <w:t>Partido Acción Nacional</w:t>
            </w:r>
          </w:p>
        </w:tc>
      </w:tr>
      <w:tr w:rsidR="009601BB" w:rsidRPr="000813B7" w14:paraId="73F3A048" w14:textId="77777777" w:rsidTr="00621862">
        <w:trPr>
          <w:trHeight w:val="205"/>
          <w:jc w:val="center"/>
        </w:trPr>
        <w:tc>
          <w:tcPr>
            <w:tcW w:w="2552" w:type="dxa"/>
          </w:tcPr>
          <w:p w14:paraId="563EC1E2" w14:textId="77777777" w:rsidR="009601BB" w:rsidRPr="000813B7" w:rsidRDefault="009601BB" w:rsidP="009601BB">
            <w:pPr>
              <w:spacing w:after="0" w:line="240" w:lineRule="auto"/>
              <w:rPr>
                <w:rFonts w:ascii="Arial" w:eastAsia="Calibri" w:hAnsi="Arial" w:cs="Arial"/>
                <w:b/>
                <w:i/>
                <w:sz w:val="20"/>
                <w:szCs w:val="20"/>
              </w:rPr>
            </w:pPr>
            <w:r w:rsidRPr="000813B7">
              <w:rPr>
                <w:rFonts w:ascii="Arial" w:eastAsia="Calibri" w:hAnsi="Arial" w:cs="Arial"/>
                <w:b/>
                <w:i/>
                <w:sz w:val="20"/>
                <w:szCs w:val="20"/>
              </w:rPr>
              <w:t>Tribunal local:</w:t>
            </w:r>
          </w:p>
        </w:tc>
        <w:tc>
          <w:tcPr>
            <w:tcW w:w="5245" w:type="dxa"/>
          </w:tcPr>
          <w:p w14:paraId="40A0CD60" w14:textId="77777777" w:rsidR="009601BB" w:rsidRPr="000813B7" w:rsidRDefault="0055160A" w:rsidP="009601BB">
            <w:pPr>
              <w:spacing w:after="0" w:line="240" w:lineRule="auto"/>
              <w:jc w:val="both"/>
              <w:rPr>
                <w:rFonts w:ascii="Arial" w:eastAsia="Calibri" w:hAnsi="Arial" w:cs="Arial"/>
                <w:sz w:val="20"/>
                <w:szCs w:val="20"/>
              </w:rPr>
            </w:pPr>
            <w:r>
              <w:rPr>
                <w:rFonts w:ascii="Arial" w:eastAsia="Calibri" w:hAnsi="Arial" w:cs="Arial"/>
                <w:sz w:val="20"/>
                <w:szCs w:val="20"/>
              </w:rPr>
              <w:t>Tribunal Estatal Electoral Guanajuato</w:t>
            </w:r>
          </w:p>
        </w:tc>
      </w:tr>
    </w:tbl>
    <w:p w14:paraId="6458E423" w14:textId="77777777" w:rsidR="0097282A" w:rsidRPr="000E3B6E" w:rsidRDefault="0097282A" w:rsidP="007F4038">
      <w:pPr>
        <w:spacing w:after="0" w:line="360" w:lineRule="auto"/>
        <w:rPr>
          <w:rFonts w:ascii="Arial" w:eastAsia="Calibri" w:hAnsi="Arial" w:cs="Arial"/>
          <w:b/>
          <w:spacing w:val="26"/>
        </w:rPr>
      </w:pPr>
    </w:p>
    <w:p w14:paraId="413507D4" w14:textId="77777777" w:rsidR="0097282A" w:rsidRPr="003864A2" w:rsidRDefault="0097282A" w:rsidP="003864A2">
      <w:pPr>
        <w:keepNext/>
        <w:numPr>
          <w:ilvl w:val="0"/>
          <w:numId w:val="1"/>
        </w:numPr>
        <w:spacing w:before="240" w:after="240" w:line="360" w:lineRule="auto"/>
        <w:jc w:val="both"/>
        <w:outlineLvl w:val="0"/>
        <w:rPr>
          <w:rFonts w:ascii="Arial" w:eastAsia="Times New Roman" w:hAnsi="Arial" w:cs="Arial"/>
          <w:b/>
          <w:bCs/>
          <w:caps/>
          <w:kern w:val="32"/>
          <w:sz w:val="24"/>
          <w:szCs w:val="24"/>
        </w:rPr>
      </w:pPr>
      <w:bookmarkStart w:id="7" w:name="_Toc15739413"/>
      <w:bookmarkStart w:id="8" w:name="_Toc16695550"/>
      <w:bookmarkStart w:id="9" w:name="_Toc45184363"/>
      <w:bookmarkStart w:id="10" w:name="_Toc45365156"/>
      <w:bookmarkStart w:id="11" w:name="_Toc71932152"/>
      <w:r w:rsidRPr="003864A2">
        <w:rPr>
          <w:rFonts w:ascii="Arial" w:eastAsia="Times New Roman" w:hAnsi="Arial" w:cs="Arial"/>
          <w:b/>
          <w:bCs/>
          <w:caps/>
          <w:kern w:val="32"/>
          <w:sz w:val="24"/>
          <w:szCs w:val="24"/>
        </w:rPr>
        <w:t>ANTECEDENTES DEL CASO</w:t>
      </w:r>
      <w:bookmarkEnd w:id="7"/>
      <w:bookmarkEnd w:id="8"/>
      <w:bookmarkEnd w:id="9"/>
      <w:bookmarkEnd w:id="10"/>
      <w:bookmarkEnd w:id="11"/>
    </w:p>
    <w:p w14:paraId="2A7A262F" w14:textId="77777777" w:rsidR="00A966B5" w:rsidRPr="003864A2" w:rsidRDefault="00A966B5" w:rsidP="003864A2">
      <w:pPr>
        <w:spacing w:before="240" w:after="240" w:line="360" w:lineRule="auto"/>
        <w:jc w:val="both"/>
        <w:rPr>
          <w:rFonts w:ascii="Arial" w:hAnsi="Arial" w:cs="Arial"/>
          <w:sz w:val="24"/>
          <w:szCs w:val="24"/>
        </w:rPr>
      </w:pPr>
      <w:r w:rsidRPr="003864A2">
        <w:rPr>
          <w:rFonts w:ascii="Arial" w:hAnsi="Arial" w:cs="Arial"/>
          <w:sz w:val="24"/>
          <w:szCs w:val="24"/>
        </w:rPr>
        <w:t xml:space="preserve">Las fechas señaladas corresponden </w:t>
      </w:r>
      <w:r w:rsidR="00CD4B7C" w:rsidRPr="003864A2">
        <w:rPr>
          <w:rFonts w:ascii="Arial" w:hAnsi="Arial" w:cs="Arial"/>
          <w:sz w:val="24"/>
          <w:szCs w:val="24"/>
        </w:rPr>
        <w:t>al año dos mil veint</w:t>
      </w:r>
      <w:r w:rsidR="00A24383" w:rsidRPr="003864A2">
        <w:rPr>
          <w:rFonts w:ascii="Arial" w:hAnsi="Arial" w:cs="Arial"/>
          <w:sz w:val="24"/>
          <w:szCs w:val="24"/>
        </w:rPr>
        <w:t>iuno</w:t>
      </w:r>
      <w:r w:rsidRPr="003864A2">
        <w:rPr>
          <w:rFonts w:ascii="Arial" w:hAnsi="Arial" w:cs="Arial"/>
          <w:sz w:val="24"/>
          <w:szCs w:val="24"/>
        </w:rPr>
        <w:t>, salvo distinta precisión.</w:t>
      </w:r>
    </w:p>
    <w:p w14:paraId="2B17AE92" w14:textId="77777777" w:rsidR="00D5479E" w:rsidRPr="004360D8" w:rsidRDefault="000D43AD" w:rsidP="000D43AD">
      <w:pPr>
        <w:pStyle w:val="Prrafodelista"/>
        <w:numPr>
          <w:ilvl w:val="1"/>
          <w:numId w:val="6"/>
        </w:numPr>
        <w:spacing w:before="240" w:after="240" w:line="360" w:lineRule="auto"/>
        <w:ind w:left="0" w:firstLine="0"/>
        <w:contextualSpacing w:val="0"/>
        <w:jc w:val="both"/>
        <w:rPr>
          <w:rFonts w:ascii="Arial" w:hAnsi="Arial" w:cs="Arial"/>
          <w:sz w:val="24"/>
          <w:szCs w:val="24"/>
        </w:rPr>
      </w:pPr>
      <w:r w:rsidRPr="000D43AD">
        <w:rPr>
          <w:rFonts w:ascii="Arial" w:hAnsi="Arial" w:cs="Arial"/>
          <w:b/>
          <w:bCs/>
          <w:color w:val="000000"/>
          <w:sz w:val="24"/>
          <w:szCs w:val="24"/>
        </w:rPr>
        <w:t>Financiamiento público anual</w:t>
      </w:r>
      <w:r w:rsidR="003169E7">
        <w:rPr>
          <w:rFonts w:ascii="Arial" w:hAnsi="Arial" w:cs="Arial"/>
          <w:b/>
          <w:bCs/>
          <w:color w:val="000000"/>
          <w:sz w:val="24"/>
          <w:szCs w:val="24"/>
        </w:rPr>
        <w:t xml:space="preserve"> 2020-2021</w:t>
      </w:r>
      <w:r w:rsidR="00D5479E" w:rsidRPr="000D43AD">
        <w:rPr>
          <w:rFonts w:ascii="Arial" w:hAnsi="Arial" w:cs="Arial"/>
          <w:b/>
          <w:bCs/>
          <w:color w:val="000000"/>
          <w:sz w:val="24"/>
          <w:szCs w:val="24"/>
        </w:rPr>
        <w:t xml:space="preserve">. </w:t>
      </w:r>
      <w:r w:rsidRPr="000D43AD">
        <w:rPr>
          <w:rFonts w:ascii="Arial" w:hAnsi="Arial" w:cs="Arial"/>
          <w:color w:val="000000"/>
          <w:sz w:val="24"/>
          <w:szCs w:val="24"/>
        </w:rPr>
        <w:t xml:space="preserve">El cuatro de septiembre de dos mil veinte, </w:t>
      </w:r>
      <w:r>
        <w:rPr>
          <w:rFonts w:ascii="Arial" w:hAnsi="Arial" w:cs="Arial"/>
          <w:color w:val="000000"/>
          <w:sz w:val="24"/>
          <w:szCs w:val="24"/>
        </w:rPr>
        <w:t xml:space="preserve">el </w:t>
      </w:r>
      <w:r>
        <w:rPr>
          <w:rFonts w:ascii="Arial" w:hAnsi="Arial" w:cs="Arial"/>
          <w:i/>
          <w:iCs/>
          <w:color w:val="000000"/>
          <w:sz w:val="24"/>
          <w:szCs w:val="24"/>
        </w:rPr>
        <w:t>Consejo General</w:t>
      </w:r>
      <w:r>
        <w:rPr>
          <w:rFonts w:ascii="Arial" w:hAnsi="Arial" w:cs="Arial"/>
          <w:color w:val="000000"/>
          <w:sz w:val="24"/>
          <w:szCs w:val="24"/>
        </w:rPr>
        <w:t xml:space="preserve"> emitió el </w:t>
      </w:r>
      <w:r w:rsidR="00BF7D79">
        <w:rPr>
          <w:rFonts w:ascii="Arial" w:hAnsi="Arial" w:cs="Arial"/>
          <w:i/>
          <w:iCs/>
          <w:color w:val="000000"/>
          <w:sz w:val="24"/>
          <w:szCs w:val="24"/>
        </w:rPr>
        <w:t>Acuerdo de financiamiento anual</w:t>
      </w:r>
      <w:r>
        <w:rPr>
          <w:rFonts w:ascii="Arial" w:hAnsi="Arial" w:cs="Arial"/>
          <w:i/>
          <w:iCs/>
          <w:color w:val="000000"/>
          <w:sz w:val="24"/>
          <w:szCs w:val="24"/>
        </w:rPr>
        <w:t>.</w:t>
      </w:r>
    </w:p>
    <w:p w14:paraId="4690D42E" w14:textId="77777777" w:rsidR="00C67A86" w:rsidRPr="00131FAD" w:rsidRDefault="004360D8" w:rsidP="004360D8">
      <w:pPr>
        <w:pStyle w:val="Prrafodelista"/>
        <w:numPr>
          <w:ilvl w:val="1"/>
          <w:numId w:val="6"/>
        </w:numPr>
        <w:spacing w:before="240" w:after="240" w:line="360" w:lineRule="auto"/>
        <w:ind w:left="0" w:firstLine="0"/>
        <w:contextualSpacing w:val="0"/>
        <w:jc w:val="both"/>
        <w:rPr>
          <w:rFonts w:ascii="Arial" w:hAnsi="Arial" w:cs="Arial"/>
          <w:sz w:val="24"/>
          <w:szCs w:val="24"/>
        </w:rPr>
      </w:pPr>
      <w:r w:rsidRPr="003864A2">
        <w:rPr>
          <w:rFonts w:ascii="Arial" w:eastAsia="Calibri" w:hAnsi="Arial" w:cs="Arial"/>
          <w:b/>
          <w:sz w:val="24"/>
          <w:szCs w:val="24"/>
          <w:lang w:val="es-ES_tradnl"/>
        </w:rPr>
        <w:t>Inicio del proceso electoral local</w:t>
      </w:r>
      <w:r>
        <w:rPr>
          <w:rFonts w:ascii="Arial" w:eastAsia="Calibri" w:hAnsi="Arial" w:cs="Arial"/>
          <w:b/>
          <w:sz w:val="24"/>
          <w:szCs w:val="24"/>
          <w:lang w:val="es-ES_tradnl"/>
        </w:rPr>
        <w:t xml:space="preserve"> y convocatoria</w:t>
      </w:r>
      <w:r w:rsidRPr="003864A2">
        <w:rPr>
          <w:rFonts w:ascii="Arial" w:eastAsia="Calibri" w:hAnsi="Arial" w:cs="Arial"/>
          <w:b/>
          <w:sz w:val="24"/>
          <w:szCs w:val="24"/>
          <w:lang w:val="es-ES_tradnl"/>
        </w:rPr>
        <w:t xml:space="preserve">. </w:t>
      </w:r>
      <w:r w:rsidRPr="00C92B33">
        <w:rPr>
          <w:rFonts w:ascii="Arial" w:hAnsi="Arial" w:cs="Arial"/>
          <w:sz w:val="24"/>
          <w:szCs w:val="24"/>
        </w:rPr>
        <w:t>El siete de septiembre de dos mil veinte dio inicio el proceso electoral local en el Estado de Guanajuato para renovar diputaciones y ayuntamientos de la entidad</w:t>
      </w:r>
      <w:r w:rsidR="00F53C5D">
        <w:rPr>
          <w:rFonts w:ascii="Arial" w:eastAsia="Calibri" w:hAnsi="Arial" w:cs="Arial"/>
          <w:sz w:val="24"/>
          <w:szCs w:val="24"/>
          <w:lang w:val="es-ES_tradnl"/>
        </w:rPr>
        <w:t xml:space="preserve">, asimismo, el </w:t>
      </w:r>
      <w:r w:rsidR="00F53C5D">
        <w:rPr>
          <w:rFonts w:ascii="Arial" w:eastAsia="Calibri" w:hAnsi="Arial" w:cs="Arial"/>
          <w:i/>
          <w:iCs/>
          <w:sz w:val="24"/>
          <w:szCs w:val="24"/>
          <w:lang w:val="es-ES_tradnl"/>
        </w:rPr>
        <w:t xml:space="preserve">Consejo General </w:t>
      </w:r>
      <w:r>
        <w:rPr>
          <w:rFonts w:ascii="Arial" w:eastAsia="Calibri" w:hAnsi="Arial" w:cs="Arial"/>
          <w:sz w:val="24"/>
          <w:szCs w:val="24"/>
          <w:lang w:val="es-ES_tradnl"/>
        </w:rPr>
        <w:t>emitió el acuerdo</w:t>
      </w:r>
      <w:r w:rsidR="000D43AD" w:rsidRPr="000D43AD">
        <w:rPr>
          <w:rFonts w:ascii="Arial" w:eastAsia="Calibri" w:hAnsi="Arial" w:cs="Arial"/>
          <w:sz w:val="24"/>
          <w:szCs w:val="24"/>
          <w:lang w:val="es-ES_tradnl"/>
        </w:rPr>
        <w:t xml:space="preserve"> CGIEEG/045/2020</w:t>
      </w:r>
      <w:r>
        <w:rPr>
          <w:rFonts w:ascii="Arial" w:eastAsia="Calibri" w:hAnsi="Arial" w:cs="Arial"/>
          <w:sz w:val="24"/>
          <w:szCs w:val="24"/>
          <w:lang w:val="es-ES_tradnl"/>
        </w:rPr>
        <w:t>, por el que se convocó a</w:t>
      </w:r>
      <w:r w:rsidR="000D43AD" w:rsidRPr="000D43AD">
        <w:rPr>
          <w:rFonts w:ascii="Arial" w:eastAsia="Calibri" w:hAnsi="Arial" w:cs="Arial"/>
          <w:sz w:val="24"/>
          <w:szCs w:val="24"/>
          <w:lang w:val="es-ES_tradnl"/>
        </w:rPr>
        <w:t xml:space="preserve"> las elecciones ordinarias </w:t>
      </w:r>
      <w:r w:rsidR="00F53C5D">
        <w:rPr>
          <w:rFonts w:ascii="Arial" w:eastAsia="Calibri" w:hAnsi="Arial" w:cs="Arial"/>
          <w:sz w:val="24"/>
          <w:szCs w:val="24"/>
          <w:lang w:val="es-ES_tradnl"/>
        </w:rPr>
        <w:t>a efecto de renovar dichos cargos</w:t>
      </w:r>
      <w:r w:rsidR="00D13CAE" w:rsidRPr="000D43AD">
        <w:rPr>
          <w:rFonts w:ascii="Arial" w:hAnsi="Arial" w:cs="Arial"/>
          <w:color w:val="000000"/>
          <w:sz w:val="24"/>
          <w:szCs w:val="24"/>
        </w:rPr>
        <w:t>.</w:t>
      </w:r>
    </w:p>
    <w:p w14:paraId="3D28CAF1" w14:textId="07FE3569" w:rsidR="00131FAD" w:rsidRDefault="00131FAD" w:rsidP="00131FAD">
      <w:pPr>
        <w:pStyle w:val="Prrafodelista"/>
        <w:numPr>
          <w:ilvl w:val="1"/>
          <w:numId w:val="6"/>
        </w:numPr>
        <w:spacing w:before="240" w:after="240" w:line="360" w:lineRule="auto"/>
        <w:ind w:left="0" w:firstLine="0"/>
        <w:contextualSpacing w:val="0"/>
        <w:jc w:val="both"/>
        <w:rPr>
          <w:rFonts w:ascii="Arial" w:hAnsi="Arial" w:cs="Arial"/>
          <w:sz w:val="24"/>
          <w:szCs w:val="24"/>
        </w:rPr>
      </w:pPr>
      <w:r w:rsidRPr="00131FAD">
        <w:rPr>
          <w:rFonts w:ascii="Arial" w:hAnsi="Arial" w:cs="Arial"/>
          <w:b/>
          <w:sz w:val="24"/>
          <w:szCs w:val="24"/>
        </w:rPr>
        <w:t>Registro de candidaturas independientes.</w:t>
      </w:r>
      <w:r w:rsidRPr="00131FAD">
        <w:rPr>
          <w:rFonts w:ascii="Arial" w:hAnsi="Arial" w:cs="Arial"/>
          <w:sz w:val="24"/>
          <w:szCs w:val="24"/>
        </w:rPr>
        <w:t xml:space="preserve"> </w:t>
      </w:r>
      <w:r>
        <w:rPr>
          <w:rFonts w:ascii="Arial" w:hAnsi="Arial" w:cs="Arial"/>
          <w:sz w:val="24"/>
          <w:szCs w:val="24"/>
        </w:rPr>
        <w:t>E</w:t>
      </w:r>
      <w:r w:rsidR="00890832">
        <w:rPr>
          <w:rFonts w:ascii="Arial" w:hAnsi="Arial" w:cs="Arial"/>
          <w:sz w:val="24"/>
          <w:szCs w:val="24"/>
        </w:rPr>
        <w:t>n sesión iniciada el</w:t>
      </w:r>
      <w:r>
        <w:rPr>
          <w:rFonts w:ascii="Arial" w:hAnsi="Arial" w:cs="Arial"/>
          <w:sz w:val="24"/>
          <w:szCs w:val="24"/>
        </w:rPr>
        <w:t xml:space="preserve"> cuatro de abril, m</w:t>
      </w:r>
      <w:r w:rsidRPr="00131FAD">
        <w:rPr>
          <w:rFonts w:ascii="Arial" w:hAnsi="Arial" w:cs="Arial"/>
          <w:sz w:val="24"/>
          <w:szCs w:val="24"/>
        </w:rPr>
        <w:t xml:space="preserve">ediante acuerdos CGIEEG/110/2021 y CGIEEG/119/2021, el </w:t>
      </w:r>
      <w:r w:rsidRPr="00131FAD">
        <w:rPr>
          <w:rFonts w:ascii="Arial" w:hAnsi="Arial" w:cs="Arial"/>
          <w:i/>
          <w:iCs/>
          <w:sz w:val="24"/>
          <w:szCs w:val="24"/>
        </w:rPr>
        <w:t>Consejo General</w:t>
      </w:r>
      <w:r w:rsidRPr="00131FAD">
        <w:rPr>
          <w:rFonts w:ascii="Arial" w:hAnsi="Arial" w:cs="Arial"/>
          <w:sz w:val="24"/>
          <w:szCs w:val="24"/>
        </w:rPr>
        <w:t xml:space="preserve"> determinó la procedencia del registro de las fórmulas de candidaturas independientes para contender en la renovación de los ayuntamientos Comonfort y Dolores Hidalgo</w:t>
      </w:r>
      <w:r w:rsidR="00890832">
        <w:rPr>
          <w:rFonts w:ascii="Arial" w:hAnsi="Arial" w:cs="Arial"/>
          <w:sz w:val="24"/>
          <w:szCs w:val="24"/>
        </w:rPr>
        <w:t>, ambos del Estado de Guanajuato</w:t>
      </w:r>
      <w:r w:rsidRPr="00131FAD">
        <w:rPr>
          <w:rFonts w:ascii="Arial" w:hAnsi="Arial" w:cs="Arial"/>
          <w:sz w:val="24"/>
          <w:szCs w:val="24"/>
        </w:rPr>
        <w:t xml:space="preserve">, </w:t>
      </w:r>
      <w:r>
        <w:rPr>
          <w:rFonts w:ascii="Arial" w:hAnsi="Arial" w:cs="Arial"/>
          <w:sz w:val="24"/>
          <w:szCs w:val="24"/>
        </w:rPr>
        <w:t xml:space="preserve">encabezadas por </w:t>
      </w:r>
      <w:r w:rsidRPr="00131FAD">
        <w:rPr>
          <w:rFonts w:ascii="Arial" w:hAnsi="Arial" w:cs="Arial"/>
          <w:sz w:val="24"/>
          <w:szCs w:val="24"/>
        </w:rPr>
        <w:t xml:space="preserve">José Luis Revilla Macías y </w:t>
      </w:r>
      <w:r w:rsidR="00327581">
        <w:rPr>
          <w:rFonts w:ascii="Arial" w:hAnsi="Arial" w:cs="Arial"/>
          <w:sz w:val="24"/>
          <w:szCs w:val="24"/>
        </w:rPr>
        <w:t>José Julio González Landeros</w:t>
      </w:r>
      <w:r w:rsidRPr="00131FAD">
        <w:rPr>
          <w:rFonts w:ascii="Arial" w:hAnsi="Arial" w:cs="Arial"/>
          <w:sz w:val="24"/>
          <w:szCs w:val="24"/>
        </w:rPr>
        <w:t>, respectivamente.</w:t>
      </w:r>
    </w:p>
    <w:p w14:paraId="60FE5E69" w14:textId="705E046D" w:rsidR="00131FAD" w:rsidRPr="004360D8" w:rsidRDefault="00131FAD" w:rsidP="00131FAD">
      <w:pPr>
        <w:pStyle w:val="Prrafodelista"/>
        <w:numPr>
          <w:ilvl w:val="1"/>
          <w:numId w:val="6"/>
        </w:numPr>
        <w:spacing w:before="240" w:after="240" w:line="360" w:lineRule="auto"/>
        <w:ind w:left="0" w:firstLine="0"/>
        <w:contextualSpacing w:val="0"/>
        <w:jc w:val="both"/>
        <w:rPr>
          <w:rFonts w:ascii="Arial" w:hAnsi="Arial" w:cs="Arial"/>
          <w:sz w:val="24"/>
          <w:szCs w:val="24"/>
        </w:rPr>
      </w:pPr>
      <w:r w:rsidRPr="000D43AD">
        <w:rPr>
          <w:rFonts w:ascii="Arial" w:hAnsi="Arial" w:cs="Arial"/>
          <w:b/>
          <w:bCs/>
          <w:color w:val="000000"/>
          <w:sz w:val="24"/>
          <w:szCs w:val="24"/>
        </w:rPr>
        <w:lastRenderedPageBreak/>
        <w:t xml:space="preserve">Financiamiento público </w:t>
      </w:r>
      <w:r>
        <w:rPr>
          <w:rFonts w:ascii="Arial" w:hAnsi="Arial" w:cs="Arial"/>
          <w:b/>
          <w:bCs/>
          <w:color w:val="000000"/>
          <w:sz w:val="24"/>
          <w:szCs w:val="24"/>
        </w:rPr>
        <w:t>para candidaturas independientes</w:t>
      </w:r>
      <w:r w:rsidRPr="000D43AD">
        <w:rPr>
          <w:rFonts w:ascii="Arial" w:hAnsi="Arial" w:cs="Arial"/>
          <w:b/>
          <w:bCs/>
          <w:color w:val="000000"/>
          <w:sz w:val="24"/>
          <w:szCs w:val="24"/>
        </w:rPr>
        <w:t xml:space="preserve">. </w:t>
      </w:r>
      <w:r>
        <w:rPr>
          <w:rFonts w:ascii="Arial" w:hAnsi="Arial" w:cs="Arial"/>
          <w:color w:val="000000"/>
          <w:sz w:val="24"/>
          <w:szCs w:val="24"/>
        </w:rPr>
        <w:t>En la misma fecha</w:t>
      </w:r>
      <w:r w:rsidRPr="000D43AD">
        <w:rPr>
          <w:rFonts w:ascii="Arial" w:hAnsi="Arial" w:cs="Arial"/>
          <w:color w:val="000000"/>
          <w:sz w:val="24"/>
          <w:szCs w:val="24"/>
        </w:rPr>
        <w:t xml:space="preserve">, </w:t>
      </w:r>
      <w:r>
        <w:rPr>
          <w:rFonts w:ascii="Arial" w:hAnsi="Arial" w:cs="Arial"/>
          <w:color w:val="000000"/>
          <w:sz w:val="24"/>
          <w:szCs w:val="24"/>
        </w:rPr>
        <w:t xml:space="preserve">el </w:t>
      </w:r>
      <w:r>
        <w:rPr>
          <w:rFonts w:ascii="Arial" w:hAnsi="Arial" w:cs="Arial"/>
          <w:i/>
          <w:iCs/>
          <w:color w:val="000000"/>
          <w:sz w:val="24"/>
          <w:szCs w:val="24"/>
        </w:rPr>
        <w:t>Consejo General</w:t>
      </w:r>
      <w:r>
        <w:rPr>
          <w:rFonts w:ascii="Arial" w:hAnsi="Arial" w:cs="Arial"/>
          <w:color w:val="000000"/>
          <w:sz w:val="24"/>
          <w:szCs w:val="24"/>
        </w:rPr>
        <w:t xml:space="preserve"> emitió el </w:t>
      </w:r>
      <w:r w:rsidR="00BF7D79">
        <w:rPr>
          <w:rFonts w:ascii="Arial" w:hAnsi="Arial" w:cs="Arial"/>
          <w:i/>
          <w:iCs/>
          <w:color w:val="000000"/>
          <w:sz w:val="24"/>
          <w:szCs w:val="24"/>
        </w:rPr>
        <w:t>Acuerdo de financiamiento para independientes</w:t>
      </w:r>
      <w:r w:rsidR="00327581">
        <w:rPr>
          <w:rFonts w:ascii="Arial" w:hAnsi="Arial" w:cs="Arial"/>
          <w:i/>
          <w:iCs/>
          <w:color w:val="000000"/>
          <w:sz w:val="24"/>
          <w:szCs w:val="24"/>
        </w:rPr>
        <w:t xml:space="preserve"> </w:t>
      </w:r>
      <w:r w:rsidR="00327581">
        <w:rPr>
          <w:rFonts w:ascii="Arial" w:hAnsi="Arial" w:cs="Arial"/>
          <w:color w:val="000000"/>
          <w:sz w:val="24"/>
          <w:szCs w:val="24"/>
        </w:rPr>
        <w:t>y,</w:t>
      </w:r>
      <w:r w:rsidR="00327581" w:rsidRPr="00327581">
        <w:rPr>
          <w:rFonts w:ascii="Arial" w:hAnsi="Arial" w:cs="Arial"/>
          <w:color w:val="000000"/>
          <w:sz w:val="24"/>
          <w:szCs w:val="24"/>
        </w:rPr>
        <w:t xml:space="preserve"> </w:t>
      </w:r>
      <w:r w:rsidR="00327581">
        <w:rPr>
          <w:rFonts w:ascii="Arial" w:hAnsi="Arial" w:cs="Arial"/>
          <w:color w:val="000000"/>
          <w:sz w:val="24"/>
          <w:szCs w:val="24"/>
        </w:rPr>
        <w:t xml:space="preserve">ordenó notificar dicha determinación </w:t>
      </w:r>
      <w:r w:rsidR="00327581" w:rsidRPr="009C332C">
        <w:rPr>
          <w:rFonts w:ascii="Arial" w:hAnsi="Arial" w:cs="Arial"/>
          <w:color w:val="000000"/>
          <w:sz w:val="24"/>
          <w:szCs w:val="24"/>
        </w:rPr>
        <w:t>a las personas representantes de las candidaturas independientes registradas</w:t>
      </w:r>
      <w:r w:rsidR="00327581">
        <w:rPr>
          <w:rFonts w:ascii="Arial" w:hAnsi="Arial" w:cs="Arial"/>
          <w:color w:val="000000"/>
          <w:sz w:val="24"/>
          <w:szCs w:val="24"/>
        </w:rPr>
        <w:t>,</w:t>
      </w:r>
      <w:r w:rsidR="00327581" w:rsidRPr="009C332C">
        <w:rPr>
          <w:rFonts w:ascii="Arial" w:hAnsi="Arial" w:cs="Arial"/>
          <w:color w:val="000000"/>
          <w:sz w:val="24"/>
          <w:szCs w:val="24"/>
        </w:rPr>
        <w:t xml:space="preserve"> a efecto de que </w:t>
      </w:r>
      <w:r w:rsidR="00327581">
        <w:rPr>
          <w:rFonts w:ascii="Arial" w:hAnsi="Arial" w:cs="Arial"/>
          <w:color w:val="000000"/>
          <w:sz w:val="24"/>
          <w:szCs w:val="24"/>
        </w:rPr>
        <w:t>ratificaran</w:t>
      </w:r>
      <w:r w:rsidR="00327581" w:rsidRPr="009C332C">
        <w:rPr>
          <w:rFonts w:ascii="Arial" w:hAnsi="Arial" w:cs="Arial"/>
          <w:color w:val="000000"/>
          <w:sz w:val="24"/>
          <w:szCs w:val="24"/>
        </w:rPr>
        <w:t xml:space="preserve">, mediante escrito dirigido a la Secretaría Ejecutiva </w:t>
      </w:r>
      <w:r w:rsidR="00327581">
        <w:rPr>
          <w:rFonts w:ascii="Arial" w:hAnsi="Arial" w:cs="Arial"/>
          <w:color w:val="000000"/>
          <w:sz w:val="24"/>
          <w:szCs w:val="24"/>
        </w:rPr>
        <w:t xml:space="preserve">del </w:t>
      </w:r>
      <w:r w:rsidR="00753C52">
        <w:rPr>
          <w:rFonts w:ascii="Arial" w:hAnsi="Arial" w:cs="Arial"/>
          <w:i/>
          <w:iCs/>
          <w:color w:val="000000"/>
          <w:sz w:val="24"/>
          <w:szCs w:val="24"/>
        </w:rPr>
        <w:t>Instituto local</w:t>
      </w:r>
      <w:r w:rsidR="00327581" w:rsidRPr="009C332C">
        <w:rPr>
          <w:rFonts w:ascii="Arial" w:hAnsi="Arial" w:cs="Arial"/>
          <w:color w:val="000000"/>
          <w:sz w:val="24"/>
          <w:szCs w:val="24"/>
        </w:rPr>
        <w:t>, los datos de la cuenta bancaria aperturada a nombre de la persona moral para recibir el financiamiento público y privado correspondiente</w:t>
      </w:r>
      <w:r w:rsidR="00327581">
        <w:rPr>
          <w:rFonts w:ascii="Arial" w:hAnsi="Arial" w:cs="Arial"/>
          <w:color w:val="000000"/>
          <w:sz w:val="24"/>
          <w:szCs w:val="24"/>
        </w:rPr>
        <w:t>.</w:t>
      </w:r>
    </w:p>
    <w:p w14:paraId="1978BA56" w14:textId="47E230A0" w:rsidR="00131FAD" w:rsidRDefault="00131FAD" w:rsidP="00131FAD">
      <w:pPr>
        <w:pStyle w:val="Prrafodelista"/>
        <w:numPr>
          <w:ilvl w:val="1"/>
          <w:numId w:val="6"/>
        </w:numPr>
        <w:spacing w:before="240" w:after="240" w:line="360" w:lineRule="auto"/>
        <w:ind w:left="0" w:firstLine="0"/>
        <w:contextualSpacing w:val="0"/>
        <w:jc w:val="both"/>
        <w:rPr>
          <w:rFonts w:ascii="Arial" w:hAnsi="Arial" w:cs="Arial"/>
          <w:sz w:val="24"/>
          <w:szCs w:val="24"/>
        </w:rPr>
      </w:pPr>
      <w:r w:rsidRPr="003864A2">
        <w:rPr>
          <w:rFonts w:ascii="Arial" w:hAnsi="Arial" w:cs="Arial"/>
          <w:b/>
          <w:sz w:val="24"/>
          <w:szCs w:val="24"/>
        </w:rPr>
        <w:t>Recurso de revisión local [</w:t>
      </w:r>
      <w:r w:rsidR="003169E7" w:rsidRPr="003169E7">
        <w:rPr>
          <w:rFonts w:ascii="Arial" w:hAnsi="Arial" w:cs="Arial"/>
          <w:b/>
          <w:sz w:val="24"/>
          <w:szCs w:val="24"/>
        </w:rPr>
        <w:t>TEEG-REV-16/2021</w:t>
      </w:r>
      <w:r w:rsidR="003169E7">
        <w:rPr>
          <w:rFonts w:ascii="Arial" w:hAnsi="Arial" w:cs="Arial"/>
          <w:b/>
          <w:sz w:val="24"/>
          <w:szCs w:val="24"/>
        </w:rPr>
        <w:t xml:space="preserve"> y acumulado</w:t>
      </w:r>
      <w:r w:rsidRPr="003864A2">
        <w:rPr>
          <w:rFonts w:ascii="Arial" w:hAnsi="Arial" w:cs="Arial"/>
          <w:b/>
          <w:sz w:val="24"/>
          <w:szCs w:val="24"/>
        </w:rPr>
        <w:t>].</w:t>
      </w:r>
      <w:r w:rsidRPr="003864A2">
        <w:rPr>
          <w:rFonts w:ascii="Arial" w:hAnsi="Arial" w:cs="Arial"/>
          <w:sz w:val="24"/>
          <w:szCs w:val="24"/>
        </w:rPr>
        <w:t xml:space="preserve"> Inconforme</w:t>
      </w:r>
      <w:r w:rsidR="003169E7">
        <w:rPr>
          <w:rFonts w:ascii="Arial" w:hAnsi="Arial" w:cs="Arial"/>
          <w:sz w:val="24"/>
          <w:szCs w:val="24"/>
        </w:rPr>
        <w:t>s</w:t>
      </w:r>
      <w:r w:rsidRPr="003864A2">
        <w:rPr>
          <w:rFonts w:ascii="Arial" w:hAnsi="Arial" w:cs="Arial"/>
          <w:sz w:val="24"/>
          <w:szCs w:val="24"/>
        </w:rPr>
        <w:t xml:space="preserve"> con lo anterior, </w:t>
      </w:r>
      <w:r w:rsidR="00BF7D79">
        <w:rPr>
          <w:rFonts w:ascii="Arial" w:hAnsi="Arial" w:cs="Arial"/>
          <w:sz w:val="24"/>
          <w:szCs w:val="24"/>
        </w:rPr>
        <w:t>el nueve y quince de abril</w:t>
      </w:r>
      <w:r w:rsidRPr="003864A2">
        <w:rPr>
          <w:rFonts w:ascii="Arial" w:hAnsi="Arial" w:cs="Arial"/>
          <w:sz w:val="24"/>
          <w:szCs w:val="24"/>
        </w:rPr>
        <w:t xml:space="preserve">, </w:t>
      </w:r>
      <w:r w:rsidR="003169E7">
        <w:rPr>
          <w:rFonts w:ascii="Arial" w:hAnsi="Arial" w:cs="Arial"/>
          <w:sz w:val="24"/>
          <w:szCs w:val="24"/>
        </w:rPr>
        <w:t xml:space="preserve">José Luis Revilla Macías, Cuauhtémoc Mora Loma y </w:t>
      </w:r>
      <w:r w:rsidR="00327581">
        <w:rPr>
          <w:rFonts w:ascii="Arial" w:hAnsi="Arial" w:cs="Arial"/>
          <w:sz w:val="24"/>
          <w:szCs w:val="24"/>
        </w:rPr>
        <w:t>José Julio González Landeros</w:t>
      </w:r>
      <w:r w:rsidRPr="003864A2">
        <w:rPr>
          <w:rFonts w:ascii="Arial" w:hAnsi="Arial" w:cs="Arial"/>
          <w:sz w:val="24"/>
          <w:szCs w:val="24"/>
        </w:rPr>
        <w:t xml:space="preserve"> present</w:t>
      </w:r>
      <w:r w:rsidR="003169E7">
        <w:rPr>
          <w:rFonts w:ascii="Arial" w:hAnsi="Arial" w:cs="Arial"/>
          <w:sz w:val="24"/>
          <w:szCs w:val="24"/>
        </w:rPr>
        <w:t>aron</w:t>
      </w:r>
      <w:r w:rsidRPr="003864A2">
        <w:rPr>
          <w:rFonts w:ascii="Arial" w:hAnsi="Arial" w:cs="Arial"/>
          <w:sz w:val="24"/>
          <w:szCs w:val="24"/>
        </w:rPr>
        <w:t xml:space="preserve"> recurso de revisión </w:t>
      </w:r>
      <w:r>
        <w:rPr>
          <w:rFonts w:ascii="Arial" w:hAnsi="Arial" w:cs="Arial"/>
          <w:sz w:val="24"/>
          <w:szCs w:val="24"/>
        </w:rPr>
        <w:t xml:space="preserve">ante el </w:t>
      </w:r>
      <w:r>
        <w:rPr>
          <w:rFonts w:ascii="Arial" w:hAnsi="Arial" w:cs="Arial"/>
          <w:i/>
          <w:iCs/>
          <w:sz w:val="24"/>
          <w:szCs w:val="24"/>
        </w:rPr>
        <w:t>Tribunal local</w:t>
      </w:r>
      <w:r w:rsidRPr="003864A2">
        <w:rPr>
          <w:rFonts w:ascii="Arial" w:hAnsi="Arial" w:cs="Arial"/>
          <w:sz w:val="24"/>
          <w:szCs w:val="24"/>
        </w:rPr>
        <w:t>.</w:t>
      </w:r>
    </w:p>
    <w:p w14:paraId="47914710" w14:textId="77777777" w:rsidR="005A7FCD" w:rsidRPr="003864A2" w:rsidRDefault="003169E7" w:rsidP="003864A2">
      <w:pPr>
        <w:pStyle w:val="Prrafodelista"/>
        <w:numPr>
          <w:ilvl w:val="1"/>
          <w:numId w:val="6"/>
        </w:numPr>
        <w:spacing w:before="240" w:after="240" w:line="360" w:lineRule="auto"/>
        <w:ind w:left="0" w:hanging="12"/>
        <w:contextualSpacing w:val="0"/>
        <w:jc w:val="both"/>
        <w:rPr>
          <w:rFonts w:ascii="Arial" w:hAnsi="Arial" w:cs="Arial"/>
          <w:sz w:val="24"/>
          <w:szCs w:val="24"/>
        </w:rPr>
      </w:pPr>
      <w:r>
        <w:rPr>
          <w:rFonts w:ascii="Arial" w:hAnsi="Arial" w:cs="Arial"/>
          <w:b/>
          <w:bCs/>
          <w:sz w:val="24"/>
          <w:szCs w:val="24"/>
        </w:rPr>
        <w:t>Sentencia</w:t>
      </w:r>
      <w:r w:rsidR="005A7FCD" w:rsidRPr="003864A2">
        <w:rPr>
          <w:rFonts w:ascii="Arial" w:hAnsi="Arial" w:cs="Arial"/>
          <w:b/>
          <w:bCs/>
          <w:sz w:val="24"/>
          <w:szCs w:val="24"/>
        </w:rPr>
        <w:t xml:space="preserve"> impugnada.</w:t>
      </w:r>
      <w:r w:rsidR="005A7FCD" w:rsidRPr="003864A2">
        <w:rPr>
          <w:rFonts w:ascii="Arial" w:hAnsi="Arial" w:cs="Arial"/>
          <w:sz w:val="24"/>
          <w:szCs w:val="24"/>
        </w:rPr>
        <w:t xml:space="preserve"> </w:t>
      </w:r>
      <w:r w:rsidR="00354CA5" w:rsidRPr="003864A2">
        <w:rPr>
          <w:rFonts w:ascii="Arial" w:eastAsia="Calibri" w:hAnsi="Arial" w:cs="Arial"/>
          <w:sz w:val="24"/>
          <w:szCs w:val="24"/>
          <w:lang w:val="es-ES_tradnl"/>
        </w:rPr>
        <w:t xml:space="preserve">El </w:t>
      </w:r>
      <w:r>
        <w:rPr>
          <w:rFonts w:ascii="Arial" w:eastAsia="Calibri" w:hAnsi="Arial" w:cs="Arial"/>
          <w:sz w:val="24"/>
          <w:szCs w:val="24"/>
          <w:lang w:val="es-ES_tradnl"/>
        </w:rPr>
        <w:t>treinta</w:t>
      </w:r>
      <w:r w:rsidR="00354CA5" w:rsidRPr="003864A2">
        <w:rPr>
          <w:rFonts w:ascii="Arial" w:eastAsia="Calibri" w:hAnsi="Arial" w:cs="Arial"/>
          <w:sz w:val="24"/>
          <w:szCs w:val="24"/>
          <w:lang w:val="es-ES_tradnl"/>
        </w:rPr>
        <w:t xml:space="preserve"> de abril, </w:t>
      </w:r>
      <w:r w:rsidR="00302201">
        <w:rPr>
          <w:rFonts w:ascii="Arial" w:eastAsia="Calibri" w:hAnsi="Arial" w:cs="Arial"/>
          <w:sz w:val="24"/>
          <w:szCs w:val="24"/>
          <w:lang w:val="es-ES_tradnl"/>
        </w:rPr>
        <w:t xml:space="preserve">se </w:t>
      </w:r>
      <w:r w:rsidR="00354CA5" w:rsidRPr="003864A2">
        <w:rPr>
          <w:rFonts w:ascii="Arial" w:eastAsia="Calibri" w:hAnsi="Arial" w:cs="Arial"/>
          <w:sz w:val="24"/>
          <w:szCs w:val="24"/>
          <w:lang w:val="es-ES_tradnl"/>
        </w:rPr>
        <w:t xml:space="preserve">emitió la resolución correspondiente, en la cual </w:t>
      </w:r>
      <w:r>
        <w:rPr>
          <w:rFonts w:ascii="Arial" w:eastAsia="Calibri" w:hAnsi="Arial" w:cs="Arial"/>
          <w:sz w:val="24"/>
          <w:szCs w:val="24"/>
          <w:lang w:val="es-ES_tradnl"/>
        </w:rPr>
        <w:t xml:space="preserve">se </w:t>
      </w:r>
      <w:r w:rsidR="00354CA5" w:rsidRPr="003864A2">
        <w:rPr>
          <w:rFonts w:ascii="Arial" w:eastAsia="Calibri" w:hAnsi="Arial" w:cs="Arial"/>
          <w:sz w:val="24"/>
          <w:szCs w:val="24"/>
          <w:lang w:val="es-ES_tradnl"/>
        </w:rPr>
        <w:t xml:space="preserve">determinó esencialmente </w:t>
      </w:r>
      <w:r>
        <w:rPr>
          <w:rFonts w:ascii="Arial" w:eastAsia="Calibri" w:hAnsi="Arial" w:cs="Arial"/>
          <w:b/>
          <w:bCs/>
          <w:sz w:val="24"/>
          <w:szCs w:val="24"/>
          <w:lang w:val="es-ES_tradnl"/>
        </w:rPr>
        <w:t>revocar</w:t>
      </w:r>
      <w:r w:rsidR="00354CA5" w:rsidRPr="003864A2">
        <w:rPr>
          <w:rFonts w:ascii="Arial" w:eastAsia="Calibri" w:hAnsi="Arial" w:cs="Arial"/>
          <w:sz w:val="24"/>
          <w:szCs w:val="24"/>
          <w:lang w:val="es-ES_tradnl"/>
        </w:rPr>
        <w:t xml:space="preserve"> </w:t>
      </w:r>
      <w:r>
        <w:rPr>
          <w:rFonts w:ascii="Arial" w:eastAsia="Calibri" w:hAnsi="Arial" w:cs="Arial"/>
          <w:sz w:val="24"/>
          <w:szCs w:val="24"/>
          <w:lang w:val="es-ES_tradnl"/>
        </w:rPr>
        <w:t xml:space="preserve">el </w:t>
      </w:r>
      <w:r w:rsidR="00BF7D79">
        <w:rPr>
          <w:rFonts w:ascii="Arial" w:eastAsia="Calibri" w:hAnsi="Arial" w:cs="Arial"/>
          <w:i/>
          <w:iCs/>
          <w:sz w:val="24"/>
          <w:szCs w:val="24"/>
          <w:lang w:val="es-ES_tradnl"/>
        </w:rPr>
        <w:t>Acuerdo de financiamiento para independientes</w:t>
      </w:r>
      <w:r w:rsidR="000A54E2">
        <w:rPr>
          <w:rFonts w:ascii="Arial" w:eastAsia="Calibri" w:hAnsi="Arial" w:cs="Arial"/>
          <w:i/>
          <w:iCs/>
          <w:sz w:val="24"/>
          <w:szCs w:val="24"/>
          <w:lang w:val="es-ES_tradnl"/>
        </w:rPr>
        <w:t>.</w:t>
      </w:r>
    </w:p>
    <w:p w14:paraId="2B601824" w14:textId="77777777" w:rsidR="00B26111" w:rsidRPr="003864A2" w:rsidRDefault="00181294" w:rsidP="003864A2">
      <w:pPr>
        <w:pStyle w:val="Prrafodelista"/>
        <w:numPr>
          <w:ilvl w:val="1"/>
          <w:numId w:val="6"/>
        </w:numPr>
        <w:spacing w:before="240" w:after="240" w:line="360" w:lineRule="auto"/>
        <w:ind w:left="0" w:hanging="11"/>
        <w:contextualSpacing w:val="0"/>
        <w:jc w:val="both"/>
        <w:rPr>
          <w:rFonts w:ascii="Arial" w:hAnsi="Arial" w:cs="Arial"/>
          <w:sz w:val="24"/>
          <w:szCs w:val="24"/>
        </w:rPr>
      </w:pPr>
      <w:r w:rsidRPr="003864A2">
        <w:rPr>
          <w:rFonts w:ascii="Arial" w:eastAsia="Calibri" w:hAnsi="Arial" w:cs="Arial"/>
          <w:b/>
          <w:sz w:val="24"/>
          <w:szCs w:val="24"/>
          <w:lang w:val="es-ES_tradnl"/>
        </w:rPr>
        <w:t>Juicio de revisión constitucional electoral</w:t>
      </w:r>
      <w:r w:rsidR="00B26111" w:rsidRPr="003864A2">
        <w:rPr>
          <w:rFonts w:ascii="Arial" w:eastAsia="Calibri" w:hAnsi="Arial" w:cs="Arial"/>
          <w:b/>
          <w:sz w:val="24"/>
          <w:szCs w:val="24"/>
          <w:lang w:val="es-ES_tradnl"/>
        </w:rPr>
        <w:t xml:space="preserve">. </w:t>
      </w:r>
      <w:r w:rsidR="00B26111" w:rsidRPr="003864A2">
        <w:rPr>
          <w:rFonts w:ascii="Arial" w:eastAsia="Calibri" w:hAnsi="Arial" w:cs="Arial"/>
          <w:sz w:val="24"/>
          <w:szCs w:val="24"/>
          <w:lang w:val="es-ES_tradnl"/>
        </w:rPr>
        <w:t xml:space="preserve">Inconforme con </w:t>
      </w:r>
      <w:r w:rsidR="00C67A86" w:rsidRPr="003864A2">
        <w:rPr>
          <w:rFonts w:ascii="Arial" w:eastAsia="Calibri" w:hAnsi="Arial" w:cs="Arial"/>
          <w:sz w:val="24"/>
          <w:szCs w:val="24"/>
          <w:lang w:val="es-ES_tradnl"/>
        </w:rPr>
        <w:t>la</w:t>
      </w:r>
      <w:r w:rsidR="00B26111" w:rsidRPr="003864A2">
        <w:rPr>
          <w:rFonts w:ascii="Arial" w:eastAsia="Calibri" w:hAnsi="Arial" w:cs="Arial"/>
          <w:sz w:val="24"/>
          <w:szCs w:val="24"/>
          <w:lang w:val="es-ES_tradnl"/>
        </w:rPr>
        <w:t xml:space="preserve"> sentencia, el </w:t>
      </w:r>
      <w:r w:rsidR="003169E7">
        <w:rPr>
          <w:rFonts w:ascii="Arial" w:eastAsia="Calibri" w:hAnsi="Arial" w:cs="Arial"/>
          <w:sz w:val="24"/>
          <w:szCs w:val="24"/>
          <w:lang w:val="es-ES_tradnl"/>
        </w:rPr>
        <w:t>cuatro de mayo</w:t>
      </w:r>
      <w:r w:rsidR="00B26111" w:rsidRPr="003864A2">
        <w:rPr>
          <w:rFonts w:ascii="Arial" w:eastAsia="Calibri" w:hAnsi="Arial" w:cs="Arial"/>
          <w:sz w:val="24"/>
          <w:szCs w:val="24"/>
          <w:lang w:val="es-ES_tradnl"/>
        </w:rPr>
        <w:t>,</w:t>
      </w:r>
      <w:r w:rsidR="003169E7">
        <w:rPr>
          <w:rFonts w:ascii="Arial" w:eastAsia="Calibri" w:hAnsi="Arial" w:cs="Arial"/>
          <w:sz w:val="24"/>
          <w:szCs w:val="24"/>
          <w:lang w:val="es-ES_tradnl"/>
        </w:rPr>
        <w:t xml:space="preserve"> el</w:t>
      </w:r>
      <w:r w:rsidR="00B26111" w:rsidRPr="003864A2">
        <w:rPr>
          <w:rFonts w:ascii="Arial" w:eastAsia="Calibri" w:hAnsi="Arial" w:cs="Arial"/>
          <w:sz w:val="24"/>
          <w:szCs w:val="24"/>
          <w:lang w:val="es-ES_tradnl"/>
        </w:rPr>
        <w:t xml:space="preserve"> </w:t>
      </w:r>
      <w:r w:rsidR="003169E7">
        <w:rPr>
          <w:rFonts w:ascii="Arial" w:eastAsia="Calibri" w:hAnsi="Arial" w:cs="Arial"/>
          <w:i/>
          <w:iCs/>
          <w:sz w:val="24"/>
          <w:szCs w:val="24"/>
          <w:lang w:val="es-ES_tradnl"/>
        </w:rPr>
        <w:t>PAN</w:t>
      </w:r>
      <w:r w:rsidR="00C67A86" w:rsidRPr="003864A2">
        <w:rPr>
          <w:rFonts w:ascii="Arial" w:eastAsia="Calibri" w:hAnsi="Arial" w:cs="Arial"/>
          <w:i/>
          <w:iCs/>
          <w:sz w:val="24"/>
          <w:szCs w:val="24"/>
          <w:lang w:val="es-ES_tradnl"/>
        </w:rPr>
        <w:t xml:space="preserve"> </w:t>
      </w:r>
      <w:r w:rsidR="00B26111" w:rsidRPr="003864A2">
        <w:rPr>
          <w:rFonts w:ascii="Arial" w:eastAsia="Calibri" w:hAnsi="Arial" w:cs="Arial"/>
          <w:b/>
          <w:bCs/>
          <w:sz w:val="24"/>
          <w:szCs w:val="24"/>
          <w:lang w:val="es-ES_tradnl"/>
        </w:rPr>
        <w:t>promovió</w:t>
      </w:r>
      <w:r w:rsidR="00B26111" w:rsidRPr="003864A2">
        <w:rPr>
          <w:rFonts w:ascii="Arial" w:eastAsia="Calibri" w:hAnsi="Arial" w:cs="Arial"/>
          <w:sz w:val="24"/>
          <w:szCs w:val="24"/>
          <w:lang w:val="es-ES_tradnl"/>
        </w:rPr>
        <w:t xml:space="preserve"> el presente medio de impugnación.</w:t>
      </w:r>
    </w:p>
    <w:p w14:paraId="208AE310" w14:textId="77777777" w:rsidR="0097282A" w:rsidRPr="003864A2" w:rsidRDefault="0097282A" w:rsidP="003864A2">
      <w:pPr>
        <w:spacing w:before="240" w:after="240" w:line="360" w:lineRule="auto"/>
        <w:jc w:val="both"/>
        <w:outlineLvl w:val="0"/>
        <w:rPr>
          <w:rFonts w:ascii="Arial" w:eastAsia="Times New Roman" w:hAnsi="Arial" w:cs="Arial"/>
          <w:b/>
          <w:bCs/>
          <w:caps/>
          <w:kern w:val="32"/>
          <w:sz w:val="24"/>
          <w:szCs w:val="24"/>
        </w:rPr>
      </w:pPr>
      <w:bookmarkStart w:id="12" w:name="_Toc71932153"/>
      <w:r w:rsidRPr="003864A2">
        <w:rPr>
          <w:rFonts w:ascii="Arial" w:hAnsi="Arial" w:cs="Arial"/>
          <w:b/>
          <w:bCs/>
          <w:sz w:val="24"/>
          <w:szCs w:val="24"/>
        </w:rPr>
        <w:t>2.</w:t>
      </w:r>
      <w:bookmarkStart w:id="13" w:name="_Toc45655837"/>
      <w:bookmarkStart w:id="14" w:name="_Toc45365157"/>
      <w:bookmarkStart w:id="15" w:name="_Toc45184364"/>
      <w:bookmarkStart w:id="16" w:name="_Toc16695551"/>
      <w:bookmarkStart w:id="17" w:name="_Toc15739414"/>
      <w:r w:rsidRPr="003864A2">
        <w:rPr>
          <w:rFonts w:ascii="Arial" w:eastAsia="Times New Roman" w:hAnsi="Arial" w:cs="Arial"/>
          <w:b/>
          <w:bCs/>
          <w:caps/>
          <w:kern w:val="32"/>
          <w:sz w:val="24"/>
          <w:szCs w:val="24"/>
        </w:rPr>
        <w:t xml:space="preserve"> COMPETENCIA</w:t>
      </w:r>
      <w:bookmarkEnd w:id="12"/>
      <w:bookmarkEnd w:id="13"/>
      <w:bookmarkEnd w:id="14"/>
      <w:bookmarkEnd w:id="15"/>
      <w:bookmarkEnd w:id="16"/>
      <w:bookmarkEnd w:id="17"/>
    </w:p>
    <w:p w14:paraId="0B35A951" w14:textId="77777777" w:rsidR="000E3B6E" w:rsidRPr="003864A2" w:rsidRDefault="00C67A86" w:rsidP="003864A2">
      <w:pPr>
        <w:spacing w:before="240" w:after="240" w:line="360" w:lineRule="auto"/>
        <w:jc w:val="both"/>
        <w:rPr>
          <w:rFonts w:ascii="Arial" w:hAnsi="Arial" w:cs="Arial"/>
          <w:sz w:val="24"/>
          <w:szCs w:val="24"/>
          <w:lang w:val="es-ES" w:eastAsia="es-ES"/>
        </w:rPr>
      </w:pPr>
      <w:bookmarkStart w:id="18" w:name="_Hlk17840549"/>
      <w:r w:rsidRPr="003864A2">
        <w:rPr>
          <w:rFonts w:ascii="Arial" w:hAnsi="Arial" w:cs="Arial"/>
          <w:sz w:val="24"/>
          <w:szCs w:val="24"/>
          <w:lang w:val="es-ES_tradnl" w:eastAsia="es-ES"/>
        </w:rPr>
        <w:t xml:space="preserve">Esta Sala Regional es competente para conocer y resolver el presente juicio, toda vez que se controvierte una resolución dictada por el </w:t>
      </w:r>
      <w:r w:rsidRPr="003864A2">
        <w:rPr>
          <w:rFonts w:ascii="Arial" w:hAnsi="Arial" w:cs="Arial"/>
          <w:i/>
          <w:sz w:val="24"/>
          <w:szCs w:val="24"/>
          <w:lang w:val="es-ES_tradnl" w:eastAsia="es-ES"/>
        </w:rPr>
        <w:t>Tribunal local,</w:t>
      </w:r>
      <w:r w:rsidRPr="003864A2">
        <w:rPr>
          <w:rFonts w:ascii="Arial" w:hAnsi="Arial" w:cs="Arial"/>
          <w:sz w:val="24"/>
          <w:szCs w:val="24"/>
          <w:lang w:val="es-ES_tradnl" w:eastAsia="es-ES"/>
        </w:rPr>
        <w:t xml:space="preserve"> relacionada </w:t>
      </w:r>
      <w:r w:rsidR="00D26046" w:rsidRPr="003864A2">
        <w:rPr>
          <w:rFonts w:ascii="Arial" w:hAnsi="Arial" w:cs="Arial"/>
          <w:sz w:val="24"/>
          <w:szCs w:val="24"/>
          <w:lang w:val="es-ES_tradnl" w:eastAsia="es-ES"/>
        </w:rPr>
        <w:t xml:space="preserve">con </w:t>
      </w:r>
      <w:r w:rsidR="00BF7D79" w:rsidRPr="00BF7D79">
        <w:rPr>
          <w:rFonts w:ascii="Arial" w:hAnsi="Arial" w:cs="Arial"/>
          <w:sz w:val="24"/>
          <w:szCs w:val="24"/>
          <w:lang w:val="es-ES_tradnl" w:eastAsia="es-ES"/>
        </w:rPr>
        <w:t>monto del financiamiento público a que tienen derecho las candidaturas independientes registradas en la elección de ayuntamientos en el proceso electoral local ordinario 2020-2021, así como los límites del financiamiento privado para gastos de campaña</w:t>
      </w:r>
      <w:r w:rsidR="00BF7D79">
        <w:rPr>
          <w:rFonts w:ascii="Arial" w:hAnsi="Arial" w:cs="Arial"/>
          <w:sz w:val="24"/>
          <w:szCs w:val="24"/>
          <w:lang w:val="es-ES_tradnl" w:eastAsia="es-ES"/>
        </w:rPr>
        <w:t xml:space="preserve"> en el Estado de Guanajuato</w:t>
      </w:r>
      <w:r w:rsidR="00D26046" w:rsidRPr="003864A2">
        <w:rPr>
          <w:rFonts w:ascii="Arial" w:hAnsi="Arial" w:cs="Arial"/>
          <w:sz w:val="24"/>
          <w:szCs w:val="24"/>
          <w:lang w:val="es-ES_tradnl" w:eastAsia="es-ES"/>
        </w:rPr>
        <w:t>;</w:t>
      </w:r>
      <w:r w:rsidRPr="003864A2">
        <w:rPr>
          <w:rFonts w:ascii="Arial" w:hAnsi="Arial" w:cs="Arial"/>
          <w:sz w:val="24"/>
          <w:szCs w:val="24"/>
          <w:lang w:val="es-ES_tradnl" w:eastAsia="es-ES"/>
        </w:rPr>
        <w:t xml:space="preserve"> entidad federativa que se ubica dentro de la Segunda Circunscripción Electoral Plurinominal en la que esta Sala ejerce jurisdicción</w:t>
      </w:r>
      <w:r w:rsidR="00F04398" w:rsidRPr="003864A2">
        <w:rPr>
          <w:rFonts w:ascii="Arial" w:hAnsi="Arial" w:cs="Arial"/>
          <w:sz w:val="24"/>
          <w:szCs w:val="24"/>
          <w:lang w:val="es-ES" w:eastAsia="es-ES"/>
        </w:rPr>
        <w:t>.</w:t>
      </w:r>
      <w:bookmarkStart w:id="19" w:name="_Hlk15540932"/>
      <w:bookmarkEnd w:id="18"/>
    </w:p>
    <w:p w14:paraId="24AD4D5D" w14:textId="77777777" w:rsidR="0097282A" w:rsidRPr="003864A2" w:rsidRDefault="00142929" w:rsidP="003864A2">
      <w:pPr>
        <w:spacing w:before="240" w:after="240" w:line="360" w:lineRule="auto"/>
        <w:jc w:val="both"/>
        <w:rPr>
          <w:rFonts w:ascii="Arial" w:eastAsia="Times New Roman" w:hAnsi="Arial" w:cs="Arial"/>
          <w:sz w:val="24"/>
          <w:szCs w:val="24"/>
          <w:lang w:val="es-ES_tradnl" w:eastAsia="es-ES"/>
        </w:rPr>
      </w:pPr>
      <w:r w:rsidRPr="003864A2">
        <w:rPr>
          <w:rFonts w:ascii="Arial" w:eastAsia="Times New Roman" w:hAnsi="Arial" w:cs="Arial"/>
          <w:color w:val="000000" w:themeColor="text1"/>
          <w:sz w:val="24"/>
          <w:szCs w:val="24"/>
          <w:lang w:eastAsia="es-MX"/>
        </w:rPr>
        <w:t xml:space="preserve">Lo anterior, de conformidad con los artículos 195, fracción III, de la Ley Orgánica del Poder Judicial de la Federación y 87, párrafo 1, inciso b), de la </w:t>
      </w:r>
      <w:r w:rsidRPr="003864A2">
        <w:rPr>
          <w:rFonts w:ascii="Arial" w:eastAsia="Times New Roman" w:hAnsi="Arial" w:cs="Arial"/>
          <w:i/>
          <w:iCs/>
          <w:color w:val="000000" w:themeColor="text1"/>
          <w:sz w:val="24"/>
          <w:szCs w:val="24"/>
          <w:lang w:eastAsia="es-MX"/>
        </w:rPr>
        <w:t>Ley de Medios</w:t>
      </w:r>
      <w:r w:rsidR="0097282A" w:rsidRPr="003864A2">
        <w:rPr>
          <w:rFonts w:ascii="Arial" w:eastAsia="Times New Roman" w:hAnsi="Arial" w:cs="Arial"/>
          <w:sz w:val="24"/>
          <w:szCs w:val="24"/>
          <w:lang w:val="es-ES" w:eastAsia="es-ES"/>
        </w:rPr>
        <w:t>.</w:t>
      </w:r>
    </w:p>
    <w:p w14:paraId="277DA075" w14:textId="77777777" w:rsidR="0097282A" w:rsidRPr="003864A2" w:rsidRDefault="00CA5A57" w:rsidP="003864A2">
      <w:pPr>
        <w:keepNext/>
        <w:spacing w:before="240" w:after="240" w:line="360" w:lineRule="auto"/>
        <w:jc w:val="both"/>
        <w:outlineLvl w:val="0"/>
        <w:rPr>
          <w:rFonts w:ascii="Arial" w:eastAsia="Times New Roman" w:hAnsi="Arial" w:cs="Arial"/>
          <w:b/>
          <w:bCs/>
          <w:caps/>
          <w:kern w:val="32"/>
          <w:sz w:val="24"/>
          <w:szCs w:val="24"/>
        </w:rPr>
      </w:pPr>
      <w:bookmarkStart w:id="20" w:name="_Toc45655838"/>
      <w:bookmarkStart w:id="21" w:name="_Toc45365158"/>
      <w:bookmarkStart w:id="22" w:name="_Toc45184365"/>
      <w:bookmarkStart w:id="23" w:name="_Toc71932154"/>
      <w:r w:rsidRPr="003864A2">
        <w:rPr>
          <w:rFonts w:ascii="Arial" w:eastAsia="Times New Roman" w:hAnsi="Arial" w:cs="Arial"/>
          <w:b/>
          <w:bCs/>
          <w:caps/>
          <w:kern w:val="32"/>
          <w:sz w:val="24"/>
          <w:szCs w:val="24"/>
        </w:rPr>
        <w:lastRenderedPageBreak/>
        <w:t>3</w:t>
      </w:r>
      <w:r w:rsidR="0097282A" w:rsidRPr="003864A2">
        <w:rPr>
          <w:rFonts w:ascii="Arial" w:eastAsia="Times New Roman" w:hAnsi="Arial" w:cs="Arial"/>
          <w:b/>
          <w:bCs/>
          <w:caps/>
          <w:kern w:val="32"/>
          <w:sz w:val="24"/>
          <w:szCs w:val="24"/>
        </w:rPr>
        <w:t>. PROCEDENCIA</w:t>
      </w:r>
      <w:bookmarkEnd w:id="20"/>
      <w:bookmarkEnd w:id="21"/>
      <w:bookmarkEnd w:id="22"/>
      <w:bookmarkEnd w:id="23"/>
    </w:p>
    <w:p w14:paraId="198180C6" w14:textId="77777777" w:rsidR="0097282A" w:rsidRPr="003864A2" w:rsidRDefault="00142929" w:rsidP="003864A2">
      <w:pPr>
        <w:tabs>
          <w:tab w:val="left" w:pos="2646"/>
        </w:tabs>
        <w:spacing w:before="240" w:after="240" w:line="360" w:lineRule="auto"/>
        <w:jc w:val="both"/>
        <w:rPr>
          <w:rFonts w:ascii="Arial" w:eastAsia="Calibri" w:hAnsi="Arial" w:cs="Arial"/>
          <w:bCs/>
          <w:sz w:val="24"/>
          <w:szCs w:val="24"/>
          <w:lang w:val="es-ES_tradnl"/>
        </w:rPr>
      </w:pPr>
      <w:r w:rsidRPr="003864A2">
        <w:rPr>
          <w:rFonts w:ascii="Arial" w:hAnsi="Arial" w:cs="Arial"/>
          <w:sz w:val="24"/>
          <w:szCs w:val="24"/>
        </w:rPr>
        <w:t xml:space="preserve">El presente juicio es procedente porque reúne los requisitos </w:t>
      </w:r>
      <w:r w:rsidRPr="003864A2">
        <w:rPr>
          <w:rFonts w:ascii="Arial" w:eastAsiaTheme="minorEastAsia" w:hAnsi="Arial" w:cs="Arial"/>
          <w:sz w:val="24"/>
          <w:szCs w:val="24"/>
          <w:lang w:eastAsia="es-MX"/>
        </w:rPr>
        <w:t xml:space="preserve">previstos en los artículos 8, 9, párrafo 1, </w:t>
      </w:r>
      <w:r w:rsidRPr="003864A2">
        <w:rPr>
          <w:rFonts w:ascii="Arial" w:hAnsi="Arial" w:cs="Arial"/>
          <w:sz w:val="24"/>
          <w:szCs w:val="24"/>
        </w:rPr>
        <w:t xml:space="preserve">86 y 88, párrafo 1, inciso b) de la </w:t>
      </w:r>
      <w:r w:rsidRPr="003864A2">
        <w:rPr>
          <w:rFonts w:ascii="Arial" w:hAnsi="Arial" w:cs="Arial"/>
          <w:i/>
          <w:sz w:val="24"/>
          <w:szCs w:val="24"/>
        </w:rPr>
        <w:t>Ley de Medios</w:t>
      </w:r>
      <w:r w:rsidRPr="003864A2">
        <w:rPr>
          <w:rFonts w:ascii="Arial" w:hAnsi="Arial" w:cs="Arial"/>
          <w:sz w:val="24"/>
          <w:szCs w:val="24"/>
        </w:rPr>
        <w:t>, conforme lo razonado en el auto de admisión dictado en el presente asunto</w:t>
      </w:r>
      <w:r w:rsidR="0068252C" w:rsidRPr="003864A2">
        <w:rPr>
          <w:rFonts w:ascii="Arial" w:hAnsi="Arial" w:cs="Arial"/>
          <w:sz w:val="24"/>
          <w:szCs w:val="24"/>
          <w:vertAlign w:val="superscript"/>
        </w:rPr>
        <w:footnoteReference w:id="1"/>
      </w:r>
      <w:r w:rsidR="0097282A" w:rsidRPr="003864A2">
        <w:rPr>
          <w:rFonts w:ascii="Arial" w:eastAsia="Calibri" w:hAnsi="Arial" w:cs="Arial"/>
          <w:bCs/>
          <w:sz w:val="24"/>
          <w:szCs w:val="24"/>
          <w:lang w:val="es-ES_tradnl"/>
        </w:rPr>
        <w:t>.</w:t>
      </w:r>
    </w:p>
    <w:p w14:paraId="1835DE5C" w14:textId="77777777" w:rsidR="00300B98" w:rsidRPr="003864A2" w:rsidRDefault="00CA5A57" w:rsidP="003864A2">
      <w:pPr>
        <w:pStyle w:val="Ttulo1"/>
        <w:spacing w:after="240" w:line="360" w:lineRule="auto"/>
        <w:rPr>
          <w:rFonts w:ascii="Arial" w:eastAsia="Calibri" w:hAnsi="Arial" w:cs="Arial"/>
          <w:b/>
          <w:color w:val="auto"/>
          <w:sz w:val="24"/>
          <w:szCs w:val="24"/>
          <w:lang w:val="es-ES_tradnl"/>
        </w:rPr>
      </w:pPr>
      <w:bookmarkStart w:id="24" w:name="_Toc45655839"/>
      <w:bookmarkStart w:id="25" w:name="_Toc71932155"/>
      <w:r w:rsidRPr="003864A2">
        <w:rPr>
          <w:rFonts w:ascii="Arial" w:eastAsia="Calibri" w:hAnsi="Arial" w:cs="Arial"/>
          <w:b/>
          <w:color w:val="auto"/>
          <w:sz w:val="24"/>
          <w:szCs w:val="24"/>
          <w:lang w:val="es-ES_tradnl"/>
        </w:rPr>
        <w:t>4</w:t>
      </w:r>
      <w:r w:rsidR="0097282A" w:rsidRPr="003864A2">
        <w:rPr>
          <w:rFonts w:ascii="Arial" w:eastAsia="Calibri" w:hAnsi="Arial" w:cs="Arial"/>
          <w:b/>
          <w:color w:val="auto"/>
          <w:sz w:val="24"/>
          <w:szCs w:val="24"/>
          <w:lang w:val="es-ES_tradnl"/>
        </w:rPr>
        <w:t>. ESTUDIO DE FONDO</w:t>
      </w:r>
      <w:bookmarkEnd w:id="24"/>
      <w:bookmarkEnd w:id="25"/>
    </w:p>
    <w:p w14:paraId="65A02C43" w14:textId="77777777" w:rsidR="00C97430" w:rsidRPr="003864A2" w:rsidRDefault="00CA5A57" w:rsidP="003864A2">
      <w:pPr>
        <w:pStyle w:val="Ttulo2"/>
        <w:spacing w:before="240" w:after="240" w:line="360" w:lineRule="auto"/>
        <w:rPr>
          <w:rFonts w:ascii="Arial" w:eastAsia="Calibri" w:hAnsi="Arial" w:cs="Arial"/>
          <w:b/>
          <w:color w:val="auto"/>
          <w:sz w:val="24"/>
          <w:szCs w:val="24"/>
          <w:lang w:val="es-ES_tradnl"/>
        </w:rPr>
      </w:pPr>
      <w:bookmarkStart w:id="26" w:name="_Toc71932156"/>
      <w:bookmarkStart w:id="27" w:name="_Hlk11800218"/>
      <w:r w:rsidRPr="003864A2">
        <w:rPr>
          <w:rFonts w:ascii="Arial" w:eastAsia="Calibri" w:hAnsi="Arial" w:cs="Arial"/>
          <w:b/>
          <w:color w:val="auto"/>
          <w:sz w:val="24"/>
          <w:szCs w:val="24"/>
          <w:lang w:val="es-ES_tradnl"/>
        </w:rPr>
        <w:t>4</w:t>
      </w:r>
      <w:r w:rsidR="0038757E" w:rsidRPr="003864A2">
        <w:rPr>
          <w:rFonts w:ascii="Arial" w:eastAsia="Calibri" w:hAnsi="Arial" w:cs="Arial"/>
          <w:b/>
          <w:color w:val="auto"/>
          <w:sz w:val="24"/>
          <w:szCs w:val="24"/>
          <w:lang w:val="es-ES_tradnl"/>
        </w:rPr>
        <w:t>.1. Materia de la Controversia</w:t>
      </w:r>
      <w:bookmarkEnd w:id="26"/>
    </w:p>
    <w:p w14:paraId="4CCEF30F" w14:textId="569A9377" w:rsidR="00142929" w:rsidRPr="003864A2" w:rsidRDefault="000A54E2" w:rsidP="00BF7D79">
      <w:pPr>
        <w:spacing w:before="240" w:after="240" w:line="360" w:lineRule="auto"/>
        <w:jc w:val="both"/>
        <w:rPr>
          <w:rFonts w:ascii="Arial" w:eastAsia="Calibri" w:hAnsi="Arial" w:cs="Arial"/>
          <w:sz w:val="24"/>
          <w:szCs w:val="24"/>
          <w:lang w:val="es-ES_tradnl"/>
        </w:rPr>
      </w:pPr>
      <w:r w:rsidRPr="00CC1D30">
        <w:rPr>
          <w:rFonts w:ascii="Arial" w:eastAsia="Calibri" w:hAnsi="Arial" w:cs="Arial"/>
          <w:sz w:val="24"/>
          <w:szCs w:val="24"/>
          <w:lang w:val="es-ES_tradnl"/>
        </w:rPr>
        <w:t xml:space="preserve">El </w:t>
      </w:r>
      <w:r w:rsidR="00BF7D79">
        <w:rPr>
          <w:rFonts w:ascii="Arial" w:eastAsia="Calibri" w:hAnsi="Arial" w:cs="Arial"/>
          <w:i/>
          <w:iCs/>
          <w:sz w:val="24"/>
          <w:szCs w:val="24"/>
          <w:lang w:val="es-ES_tradnl"/>
        </w:rPr>
        <w:t>Consejo General</w:t>
      </w:r>
      <w:r w:rsidRPr="00CC1D30">
        <w:rPr>
          <w:rFonts w:ascii="Arial" w:eastAsia="Calibri" w:hAnsi="Arial" w:cs="Arial"/>
          <w:i/>
          <w:iCs/>
          <w:sz w:val="24"/>
          <w:szCs w:val="24"/>
          <w:lang w:val="es-ES_tradnl"/>
        </w:rPr>
        <w:t xml:space="preserve"> </w:t>
      </w:r>
      <w:r w:rsidR="00BF7D79">
        <w:rPr>
          <w:rFonts w:ascii="Arial" w:eastAsia="Calibri" w:hAnsi="Arial" w:cs="Arial"/>
          <w:sz w:val="24"/>
          <w:szCs w:val="24"/>
          <w:lang w:val="es-ES_tradnl"/>
        </w:rPr>
        <w:t xml:space="preserve">emitió el </w:t>
      </w:r>
      <w:r w:rsidR="00BF7D79">
        <w:rPr>
          <w:rFonts w:ascii="Arial" w:eastAsia="Calibri" w:hAnsi="Arial" w:cs="Arial"/>
          <w:i/>
          <w:iCs/>
          <w:sz w:val="24"/>
          <w:szCs w:val="24"/>
          <w:lang w:val="es-ES_tradnl"/>
        </w:rPr>
        <w:t>Acuerdo de financiamiento para independientes</w:t>
      </w:r>
      <w:r w:rsidR="00D26046" w:rsidRPr="0018352C">
        <w:rPr>
          <w:rFonts w:ascii="Arial" w:hAnsi="Arial" w:cs="Arial"/>
          <w:color w:val="000000"/>
          <w:sz w:val="24"/>
          <w:szCs w:val="24"/>
        </w:rPr>
        <w:t xml:space="preserve">, </w:t>
      </w:r>
      <w:r w:rsidR="00BF7D79">
        <w:rPr>
          <w:rFonts w:ascii="Arial" w:hAnsi="Arial" w:cs="Arial"/>
          <w:color w:val="000000"/>
          <w:sz w:val="24"/>
          <w:szCs w:val="24"/>
        </w:rPr>
        <w:t>en dicha resolución determinó que</w:t>
      </w:r>
      <w:r w:rsidR="00293D7F" w:rsidRPr="00293D7F">
        <w:rPr>
          <w:rFonts w:ascii="Arial" w:hAnsi="Arial" w:cs="Arial"/>
          <w:color w:val="000000"/>
          <w:sz w:val="24"/>
          <w:szCs w:val="24"/>
        </w:rPr>
        <w:t xml:space="preserve"> </w:t>
      </w:r>
      <w:r w:rsidR="00783D1B" w:rsidRPr="00783D1B">
        <w:rPr>
          <w:rFonts w:ascii="Arial" w:hAnsi="Arial" w:cs="Arial"/>
          <w:color w:val="000000"/>
          <w:sz w:val="24"/>
          <w:szCs w:val="24"/>
        </w:rPr>
        <w:t>el monto por concepto de financiamiento público para gastos de campaña</w:t>
      </w:r>
      <w:r w:rsidR="001026ED">
        <w:rPr>
          <w:rFonts w:ascii="Arial" w:hAnsi="Arial" w:cs="Arial"/>
          <w:color w:val="000000"/>
          <w:sz w:val="24"/>
          <w:szCs w:val="24"/>
        </w:rPr>
        <w:t>,</w:t>
      </w:r>
      <w:r w:rsidR="00783D1B" w:rsidRPr="00783D1B">
        <w:rPr>
          <w:rFonts w:ascii="Arial" w:hAnsi="Arial" w:cs="Arial"/>
          <w:color w:val="000000"/>
          <w:sz w:val="24"/>
          <w:szCs w:val="24"/>
        </w:rPr>
        <w:t xml:space="preserve"> para la totalidad de las candidaturas independientes que o</w:t>
      </w:r>
      <w:r w:rsidR="00783D1B">
        <w:rPr>
          <w:rFonts w:ascii="Arial" w:hAnsi="Arial" w:cs="Arial"/>
          <w:color w:val="000000"/>
          <w:sz w:val="24"/>
          <w:szCs w:val="24"/>
        </w:rPr>
        <w:t>btuvieron</w:t>
      </w:r>
      <w:r w:rsidR="00783D1B" w:rsidRPr="00783D1B">
        <w:rPr>
          <w:rFonts w:ascii="Arial" w:hAnsi="Arial" w:cs="Arial"/>
          <w:color w:val="000000"/>
          <w:sz w:val="24"/>
          <w:szCs w:val="24"/>
        </w:rPr>
        <w:t xml:space="preserve"> su registro</w:t>
      </w:r>
      <w:r w:rsidR="00783D1B">
        <w:rPr>
          <w:rFonts w:ascii="Arial" w:hAnsi="Arial" w:cs="Arial"/>
          <w:color w:val="000000"/>
          <w:sz w:val="24"/>
          <w:szCs w:val="24"/>
        </w:rPr>
        <w:t xml:space="preserve"> para contender en el proceso electoral local 2020-2021,</w:t>
      </w:r>
      <w:r w:rsidR="00783D1B" w:rsidRPr="00783D1B">
        <w:rPr>
          <w:rFonts w:ascii="Arial" w:hAnsi="Arial" w:cs="Arial"/>
          <w:color w:val="000000"/>
          <w:sz w:val="24"/>
          <w:szCs w:val="24"/>
        </w:rPr>
        <w:t xml:space="preserve"> </w:t>
      </w:r>
      <w:r w:rsidR="00783D1B">
        <w:rPr>
          <w:rFonts w:ascii="Arial" w:hAnsi="Arial" w:cs="Arial"/>
          <w:color w:val="000000"/>
          <w:sz w:val="24"/>
          <w:szCs w:val="24"/>
        </w:rPr>
        <w:t>es</w:t>
      </w:r>
      <w:r w:rsidR="00783D1B" w:rsidRPr="00783D1B">
        <w:rPr>
          <w:rFonts w:ascii="Arial" w:hAnsi="Arial" w:cs="Arial"/>
          <w:color w:val="000000"/>
          <w:sz w:val="24"/>
          <w:szCs w:val="24"/>
        </w:rPr>
        <w:t xml:space="preserve"> de $957,813.88 </w:t>
      </w:r>
      <w:r w:rsidR="00293D7F" w:rsidRPr="00293D7F">
        <w:rPr>
          <w:rFonts w:ascii="Arial" w:hAnsi="Arial" w:cs="Arial"/>
          <w:color w:val="000000"/>
          <w:sz w:val="24"/>
          <w:szCs w:val="24"/>
        </w:rPr>
        <w:t>(novecientos cincuenta y siete mil ochocientos trece pesos 88/100 m.n.)</w:t>
      </w:r>
      <w:r w:rsidR="001026ED">
        <w:rPr>
          <w:rFonts w:ascii="Arial" w:hAnsi="Arial" w:cs="Arial"/>
          <w:bCs/>
          <w:sz w:val="24"/>
          <w:szCs w:val="24"/>
          <w:lang w:val="es-ES_tradnl"/>
        </w:rPr>
        <w:t>, por lo que procedió a prorratearlo entre dichas candidaturas.</w:t>
      </w:r>
    </w:p>
    <w:p w14:paraId="3A4F75CB" w14:textId="77777777" w:rsidR="00F002F3" w:rsidRPr="003864A2" w:rsidRDefault="00F002F3" w:rsidP="003864A2">
      <w:pPr>
        <w:pStyle w:val="Ttulo2"/>
        <w:spacing w:before="240" w:after="240" w:line="360" w:lineRule="auto"/>
        <w:rPr>
          <w:rFonts w:ascii="Arial" w:eastAsia="Calibri" w:hAnsi="Arial" w:cs="Arial"/>
          <w:b/>
          <w:color w:val="auto"/>
          <w:sz w:val="24"/>
          <w:szCs w:val="24"/>
          <w:lang w:val="es-ES_tradnl"/>
        </w:rPr>
      </w:pPr>
      <w:bookmarkStart w:id="28" w:name="_Toc71932157"/>
      <w:r w:rsidRPr="003864A2">
        <w:rPr>
          <w:rFonts w:ascii="Arial" w:eastAsia="Calibri" w:hAnsi="Arial" w:cs="Arial"/>
          <w:b/>
          <w:color w:val="auto"/>
          <w:sz w:val="24"/>
          <w:szCs w:val="24"/>
          <w:lang w:val="es-ES_tradnl"/>
        </w:rPr>
        <w:t>4.1.1. Resolución impugnada</w:t>
      </w:r>
      <w:bookmarkEnd w:id="28"/>
    </w:p>
    <w:p w14:paraId="1566C371" w14:textId="77777777" w:rsidR="0054413E" w:rsidRPr="00422418" w:rsidRDefault="0054413E" w:rsidP="0054413E">
      <w:pPr>
        <w:shd w:val="clear" w:color="auto" w:fill="FFFFFF" w:themeFill="background1"/>
        <w:spacing w:before="240" w:after="240" w:line="360" w:lineRule="auto"/>
        <w:jc w:val="both"/>
        <w:rPr>
          <w:rFonts w:ascii="Arial" w:hAnsi="Arial" w:cs="Arial"/>
          <w:sz w:val="24"/>
          <w:szCs w:val="24"/>
          <w:lang w:val="es-ES_tradnl" w:eastAsia="es-ES"/>
        </w:rPr>
      </w:pPr>
      <w:bookmarkStart w:id="29" w:name="_Hlk15570128"/>
      <w:bookmarkEnd w:id="27"/>
      <w:r>
        <w:rPr>
          <w:rFonts w:ascii="Arial" w:hAnsi="Arial" w:cs="Arial"/>
          <w:sz w:val="24"/>
          <w:szCs w:val="24"/>
          <w:lang w:val="es-ES_tradnl" w:eastAsia="es-ES"/>
        </w:rPr>
        <w:t>En lo que interesa, el</w:t>
      </w:r>
      <w:r w:rsidRPr="00422418">
        <w:rPr>
          <w:rFonts w:ascii="Arial" w:hAnsi="Arial" w:cs="Arial"/>
          <w:sz w:val="24"/>
          <w:szCs w:val="24"/>
          <w:lang w:val="es-ES_tradnl" w:eastAsia="es-ES"/>
        </w:rPr>
        <w:t xml:space="preserve"> </w:t>
      </w:r>
      <w:r>
        <w:rPr>
          <w:rFonts w:ascii="Arial" w:hAnsi="Arial" w:cs="Arial"/>
          <w:i/>
          <w:sz w:val="24"/>
          <w:szCs w:val="24"/>
          <w:lang w:val="es-ES_tradnl" w:eastAsia="es-ES"/>
        </w:rPr>
        <w:t>Tribunal local</w:t>
      </w:r>
      <w:r w:rsidRPr="00422418">
        <w:rPr>
          <w:rFonts w:ascii="Arial" w:hAnsi="Arial" w:cs="Arial"/>
          <w:sz w:val="24"/>
          <w:szCs w:val="24"/>
          <w:lang w:val="es-ES_tradnl" w:eastAsia="es-ES"/>
        </w:rPr>
        <w:t xml:space="preserve"> </w:t>
      </w:r>
      <w:r>
        <w:rPr>
          <w:rFonts w:ascii="Arial" w:hAnsi="Arial" w:cs="Arial"/>
          <w:sz w:val="24"/>
          <w:szCs w:val="24"/>
          <w:lang w:val="es-ES_tradnl" w:eastAsia="es-ES"/>
        </w:rPr>
        <w:t>revocó</w:t>
      </w:r>
      <w:r w:rsidRPr="00422418">
        <w:rPr>
          <w:rFonts w:ascii="Arial" w:hAnsi="Arial" w:cs="Arial"/>
          <w:b/>
          <w:bCs/>
          <w:sz w:val="24"/>
          <w:szCs w:val="24"/>
          <w:lang w:val="es-ES_tradnl" w:eastAsia="es-ES"/>
        </w:rPr>
        <w:t xml:space="preserve"> </w:t>
      </w:r>
      <w:r>
        <w:rPr>
          <w:rFonts w:ascii="Arial" w:hAnsi="Arial" w:cs="Arial"/>
          <w:sz w:val="24"/>
          <w:szCs w:val="24"/>
          <w:lang w:val="es-ES_tradnl" w:eastAsia="es-ES"/>
        </w:rPr>
        <w:t xml:space="preserve">el </w:t>
      </w:r>
      <w:r w:rsidRPr="0054413E">
        <w:rPr>
          <w:rFonts w:ascii="Arial" w:hAnsi="Arial" w:cs="Arial"/>
          <w:i/>
          <w:iCs/>
          <w:sz w:val="24"/>
          <w:szCs w:val="24"/>
          <w:lang w:val="es-ES_tradnl" w:eastAsia="es-ES"/>
        </w:rPr>
        <w:t>Acuerdo de financiamiento para independientes</w:t>
      </w:r>
      <w:r>
        <w:rPr>
          <w:rFonts w:ascii="Arial" w:hAnsi="Arial" w:cs="Arial"/>
          <w:sz w:val="24"/>
          <w:szCs w:val="24"/>
          <w:lang w:val="es-ES_tradnl" w:eastAsia="es-ES"/>
        </w:rPr>
        <w:t xml:space="preserve"> con base en lo siguiente.</w:t>
      </w:r>
    </w:p>
    <w:p w14:paraId="22647F99" w14:textId="77777777" w:rsidR="0095439E" w:rsidRDefault="0054413E" w:rsidP="0095439E">
      <w:pPr>
        <w:shd w:val="clear" w:color="auto" w:fill="FFFFFF" w:themeFill="background1"/>
        <w:spacing w:before="240" w:after="240" w:line="360" w:lineRule="auto"/>
        <w:jc w:val="both"/>
        <w:rPr>
          <w:rFonts w:ascii="Arial" w:hAnsi="Arial" w:cs="Arial"/>
          <w:sz w:val="24"/>
          <w:szCs w:val="24"/>
          <w:lang w:val="es-ES_tradnl" w:eastAsia="es-ES"/>
        </w:rPr>
      </w:pPr>
      <w:r>
        <w:rPr>
          <w:rFonts w:ascii="Arial" w:hAnsi="Arial" w:cs="Arial"/>
          <w:sz w:val="24"/>
          <w:szCs w:val="24"/>
          <w:lang w:val="es-ES_tradnl" w:eastAsia="es-ES"/>
        </w:rPr>
        <w:t xml:space="preserve">En primer término, </w:t>
      </w:r>
      <w:r w:rsidR="0095439E">
        <w:rPr>
          <w:rFonts w:ascii="Arial" w:hAnsi="Arial" w:cs="Arial"/>
          <w:sz w:val="24"/>
          <w:szCs w:val="24"/>
          <w:lang w:val="es-ES_tradnl" w:eastAsia="es-ES"/>
        </w:rPr>
        <w:t xml:space="preserve">el </w:t>
      </w:r>
      <w:r w:rsidR="0095439E">
        <w:rPr>
          <w:rFonts w:ascii="Arial" w:hAnsi="Arial" w:cs="Arial"/>
          <w:i/>
          <w:iCs/>
          <w:sz w:val="24"/>
          <w:szCs w:val="24"/>
          <w:lang w:val="es-ES_tradnl" w:eastAsia="es-ES"/>
        </w:rPr>
        <w:t>Tribunal local</w:t>
      </w:r>
      <w:r w:rsidR="0095439E">
        <w:rPr>
          <w:rFonts w:ascii="Arial" w:hAnsi="Arial" w:cs="Arial"/>
          <w:sz w:val="24"/>
          <w:szCs w:val="24"/>
          <w:lang w:val="es-ES_tradnl" w:eastAsia="es-ES"/>
        </w:rPr>
        <w:t xml:space="preserve"> estimó que lo esencialmente reclamado se relacionaba </w:t>
      </w:r>
      <w:r w:rsidR="00EA637F">
        <w:rPr>
          <w:rFonts w:ascii="Arial" w:hAnsi="Arial" w:cs="Arial"/>
          <w:sz w:val="24"/>
          <w:szCs w:val="24"/>
          <w:lang w:val="es-ES_tradnl" w:eastAsia="es-ES"/>
        </w:rPr>
        <w:t xml:space="preserve">con </w:t>
      </w:r>
      <w:r w:rsidR="0095439E" w:rsidRPr="0095439E">
        <w:rPr>
          <w:rFonts w:ascii="Arial" w:hAnsi="Arial" w:cs="Arial"/>
          <w:sz w:val="24"/>
          <w:szCs w:val="24"/>
          <w:lang w:val="es-ES_tradnl" w:eastAsia="es-ES"/>
        </w:rPr>
        <w:t xml:space="preserve">el financiamiento público correspondiente </w:t>
      </w:r>
      <w:r w:rsidR="00801B78">
        <w:rPr>
          <w:rFonts w:ascii="Arial" w:hAnsi="Arial" w:cs="Arial"/>
          <w:sz w:val="24"/>
          <w:szCs w:val="24"/>
          <w:lang w:val="es-ES_tradnl" w:eastAsia="es-ES"/>
        </w:rPr>
        <w:t>a</w:t>
      </w:r>
      <w:r w:rsidR="0095439E" w:rsidRPr="0095439E">
        <w:rPr>
          <w:rFonts w:ascii="Arial" w:hAnsi="Arial" w:cs="Arial"/>
          <w:sz w:val="24"/>
          <w:szCs w:val="24"/>
          <w:lang w:val="es-ES_tradnl" w:eastAsia="es-ES"/>
        </w:rPr>
        <w:t xml:space="preserve"> las</w:t>
      </w:r>
      <w:r w:rsidR="0095439E">
        <w:rPr>
          <w:rFonts w:ascii="Arial" w:hAnsi="Arial" w:cs="Arial"/>
          <w:sz w:val="24"/>
          <w:szCs w:val="24"/>
          <w:lang w:val="es-ES_tradnl" w:eastAsia="es-ES"/>
        </w:rPr>
        <w:t xml:space="preserve"> </w:t>
      </w:r>
      <w:r w:rsidR="0095439E" w:rsidRPr="0095439E">
        <w:rPr>
          <w:rFonts w:ascii="Arial" w:hAnsi="Arial" w:cs="Arial"/>
          <w:sz w:val="24"/>
          <w:szCs w:val="24"/>
          <w:lang w:val="es-ES_tradnl" w:eastAsia="es-ES"/>
        </w:rPr>
        <w:t xml:space="preserve">candidaturas independientes, en virtud de que, para la integración </w:t>
      </w:r>
      <w:r w:rsidR="000817F7" w:rsidRPr="0095439E">
        <w:rPr>
          <w:rFonts w:ascii="Arial" w:hAnsi="Arial" w:cs="Arial"/>
          <w:sz w:val="24"/>
          <w:szCs w:val="24"/>
          <w:lang w:val="es-ES_tradnl" w:eastAsia="es-ES"/>
        </w:rPr>
        <w:t>de este</w:t>
      </w:r>
      <w:r w:rsidR="0095439E">
        <w:rPr>
          <w:rFonts w:ascii="Arial" w:hAnsi="Arial" w:cs="Arial"/>
          <w:sz w:val="24"/>
          <w:szCs w:val="24"/>
          <w:lang w:val="es-ES_tradnl" w:eastAsia="es-ES"/>
        </w:rPr>
        <w:t xml:space="preserve">, el </w:t>
      </w:r>
      <w:r w:rsidR="0095439E">
        <w:rPr>
          <w:rFonts w:ascii="Arial" w:hAnsi="Arial" w:cs="Arial"/>
          <w:i/>
          <w:iCs/>
          <w:sz w:val="24"/>
          <w:szCs w:val="24"/>
          <w:lang w:val="es-ES_tradnl" w:eastAsia="es-ES"/>
        </w:rPr>
        <w:t>Consejo General</w:t>
      </w:r>
      <w:r w:rsidR="0095439E" w:rsidRPr="0095439E">
        <w:rPr>
          <w:rFonts w:ascii="Arial" w:hAnsi="Arial" w:cs="Arial"/>
          <w:sz w:val="24"/>
          <w:szCs w:val="24"/>
          <w:lang w:val="es-ES_tradnl" w:eastAsia="es-ES"/>
        </w:rPr>
        <w:t xml:space="preserve"> sólo consideró lo relativo al rubro de gastos de campaña que para</w:t>
      </w:r>
      <w:r w:rsidR="0095439E">
        <w:rPr>
          <w:rFonts w:ascii="Arial" w:hAnsi="Arial" w:cs="Arial"/>
          <w:sz w:val="24"/>
          <w:szCs w:val="24"/>
          <w:lang w:val="es-ES_tradnl" w:eastAsia="es-ES"/>
        </w:rPr>
        <w:t xml:space="preserve"> </w:t>
      </w:r>
      <w:r w:rsidR="0095439E" w:rsidRPr="0095439E">
        <w:rPr>
          <w:rFonts w:ascii="Arial" w:hAnsi="Arial" w:cs="Arial"/>
          <w:sz w:val="24"/>
          <w:szCs w:val="24"/>
          <w:lang w:val="es-ES_tradnl" w:eastAsia="es-ES"/>
        </w:rPr>
        <w:t>un partido de nuevo registro se contempla, dejando fuera los relativos a</w:t>
      </w:r>
      <w:r w:rsidR="0095439E">
        <w:rPr>
          <w:rFonts w:ascii="Arial" w:hAnsi="Arial" w:cs="Arial"/>
          <w:sz w:val="24"/>
          <w:szCs w:val="24"/>
          <w:lang w:val="es-ES_tradnl" w:eastAsia="es-ES"/>
        </w:rPr>
        <w:t xml:space="preserve"> </w:t>
      </w:r>
      <w:r w:rsidR="0095439E" w:rsidRPr="0095439E">
        <w:rPr>
          <w:rFonts w:ascii="Arial" w:hAnsi="Arial" w:cs="Arial"/>
          <w:sz w:val="24"/>
          <w:szCs w:val="24"/>
          <w:lang w:val="es-ES_tradnl" w:eastAsia="es-ES"/>
        </w:rPr>
        <w:t>los gastos ordinarios y para actividades específicas</w:t>
      </w:r>
      <w:r w:rsidR="0095439E">
        <w:rPr>
          <w:rFonts w:ascii="Arial" w:hAnsi="Arial" w:cs="Arial"/>
          <w:sz w:val="24"/>
          <w:szCs w:val="24"/>
          <w:lang w:val="es-ES_tradnl" w:eastAsia="es-ES"/>
        </w:rPr>
        <w:t>.</w:t>
      </w:r>
    </w:p>
    <w:p w14:paraId="047FD73E" w14:textId="77777777" w:rsidR="0095439E" w:rsidRDefault="0095439E" w:rsidP="0095439E">
      <w:pPr>
        <w:shd w:val="clear" w:color="auto" w:fill="FFFFFF" w:themeFill="background1"/>
        <w:spacing w:before="240" w:after="240" w:line="360" w:lineRule="auto"/>
        <w:jc w:val="both"/>
        <w:rPr>
          <w:rFonts w:ascii="Arial" w:hAnsi="Arial" w:cs="Arial"/>
          <w:sz w:val="24"/>
          <w:szCs w:val="24"/>
          <w:lang w:val="es-ES_tradnl" w:eastAsia="es-ES"/>
        </w:rPr>
      </w:pPr>
      <w:r>
        <w:rPr>
          <w:rFonts w:ascii="Arial" w:hAnsi="Arial" w:cs="Arial"/>
          <w:sz w:val="24"/>
          <w:szCs w:val="24"/>
          <w:lang w:val="es-ES_tradnl" w:eastAsia="es-ES"/>
        </w:rPr>
        <w:t>Al efecto, el tribunal responsable aclaró que</w:t>
      </w:r>
      <w:r w:rsidRPr="0095439E">
        <w:rPr>
          <w:rFonts w:ascii="Arial" w:hAnsi="Arial" w:cs="Arial"/>
          <w:sz w:val="24"/>
          <w:szCs w:val="24"/>
          <w:lang w:val="es-ES_tradnl" w:eastAsia="es-ES"/>
        </w:rPr>
        <w:t xml:space="preserve"> </w:t>
      </w:r>
      <w:r w:rsidRPr="0095439E">
        <w:rPr>
          <w:rFonts w:ascii="Arial" w:hAnsi="Arial" w:cs="Arial"/>
          <w:i/>
          <w:iCs/>
          <w:sz w:val="24"/>
          <w:szCs w:val="24"/>
          <w:lang w:val="es-ES_tradnl" w:eastAsia="es-ES"/>
        </w:rPr>
        <w:t>Consejo General</w:t>
      </w:r>
      <w:r>
        <w:rPr>
          <w:rFonts w:ascii="Arial" w:hAnsi="Arial" w:cs="Arial"/>
          <w:sz w:val="24"/>
          <w:szCs w:val="24"/>
          <w:lang w:val="es-ES_tradnl" w:eastAsia="es-ES"/>
        </w:rPr>
        <w:t>,</w:t>
      </w:r>
      <w:r w:rsidRPr="0095439E">
        <w:rPr>
          <w:rFonts w:ascii="Arial" w:hAnsi="Arial" w:cs="Arial"/>
          <w:sz w:val="24"/>
          <w:szCs w:val="24"/>
          <w:lang w:val="es-ES_tradnl" w:eastAsia="es-ES"/>
        </w:rPr>
        <w:t xml:space="preserve"> al emitir el </w:t>
      </w:r>
      <w:r w:rsidRPr="0054413E">
        <w:rPr>
          <w:rFonts w:ascii="Arial" w:hAnsi="Arial" w:cs="Arial"/>
          <w:i/>
          <w:iCs/>
          <w:sz w:val="24"/>
          <w:szCs w:val="24"/>
          <w:lang w:val="es-ES_tradnl" w:eastAsia="es-ES"/>
        </w:rPr>
        <w:t>Acuerdo de financiamiento para independientes</w:t>
      </w:r>
      <w:r>
        <w:rPr>
          <w:rFonts w:ascii="Arial" w:hAnsi="Arial" w:cs="Arial"/>
          <w:sz w:val="24"/>
          <w:szCs w:val="24"/>
          <w:lang w:val="es-ES_tradnl" w:eastAsia="es-ES"/>
        </w:rPr>
        <w:t xml:space="preserve"> </w:t>
      </w:r>
      <w:r w:rsidRPr="0095439E">
        <w:rPr>
          <w:rFonts w:ascii="Arial" w:hAnsi="Arial" w:cs="Arial"/>
          <w:sz w:val="24"/>
          <w:szCs w:val="24"/>
          <w:lang w:val="es-ES_tradnl" w:eastAsia="es-ES"/>
        </w:rPr>
        <w:t>con el que</w:t>
      </w:r>
      <w:r w:rsidR="00EA637F">
        <w:rPr>
          <w:rFonts w:ascii="Arial" w:hAnsi="Arial" w:cs="Arial"/>
          <w:sz w:val="24"/>
          <w:szCs w:val="24"/>
          <w:lang w:val="es-ES_tradnl" w:eastAsia="es-ES"/>
        </w:rPr>
        <w:t xml:space="preserve"> se</w:t>
      </w:r>
      <w:r w:rsidRPr="0095439E">
        <w:rPr>
          <w:rFonts w:ascii="Arial" w:hAnsi="Arial" w:cs="Arial"/>
          <w:sz w:val="24"/>
          <w:szCs w:val="24"/>
          <w:lang w:val="es-ES_tradnl" w:eastAsia="es-ES"/>
        </w:rPr>
        <w:t xml:space="preserve"> fij</w:t>
      </w:r>
      <w:r w:rsidR="00EA637F">
        <w:rPr>
          <w:rFonts w:ascii="Arial" w:hAnsi="Arial" w:cs="Arial"/>
          <w:sz w:val="24"/>
          <w:szCs w:val="24"/>
          <w:lang w:val="es-ES_tradnl" w:eastAsia="es-ES"/>
        </w:rPr>
        <w:t>ó</w:t>
      </w:r>
      <w:r w:rsidRPr="0095439E">
        <w:rPr>
          <w:rFonts w:ascii="Arial" w:hAnsi="Arial" w:cs="Arial"/>
          <w:sz w:val="24"/>
          <w:szCs w:val="24"/>
          <w:lang w:val="es-ES_tradnl" w:eastAsia="es-ES"/>
        </w:rPr>
        <w:t xml:space="preserve"> el monto de financiamiento público a que tienen derecho</w:t>
      </w:r>
      <w:r>
        <w:rPr>
          <w:rFonts w:ascii="Arial" w:hAnsi="Arial" w:cs="Arial"/>
          <w:sz w:val="24"/>
          <w:szCs w:val="24"/>
          <w:lang w:val="es-ES_tradnl" w:eastAsia="es-ES"/>
        </w:rPr>
        <w:t xml:space="preserve"> </w:t>
      </w:r>
      <w:r w:rsidRPr="0095439E">
        <w:rPr>
          <w:rFonts w:ascii="Arial" w:hAnsi="Arial" w:cs="Arial"/>
          <w:sz w:val="24"/>
          <w:szCs w:val="24"/>
          <w:lang w:val="es-ES_tradnl" w:eastAsia="es-ES"/>
        </w:rPr>
        <w:t xml:space="preserve">las candidaturas independientes registradas, tomó como base </w:t>
      </w:r>
      <w:r>
        <w:rPr>
          <w:rFonts w:ascii="Arial" w:hAnsi="Arial" w:cs="Arial"/>
          <w:sz w:val="24"/>
          <w:szCs w:val="24"/>
          <w:lang w:val="es-ES_tradnl" w:eastAsia="es-ES"/>
        </w:rPr>
        <w:t xml:space="preserve">el </w:t>
      </w:r>
      <w:r w:rsidRPr="0095439E">
        <w:rPr>
          <w:rFonts w:ascii="Arial" w:hAnsi="Arial" w:cs="Arial"/>
          <w:i/>
          <w:iCs/>
          <w:sz w:val="24"/>
          <w:szCs w:val="24"/>
          <w:lang w:val="es-ES_tradnl" w:eastAsia="es-ES"/>
        </w:rPr>
        <w:t>Acuerdo de financiamiento anual</w:t>
      </w:r>
      <w:r w:rsidRPr="0095439E">
        <w:rPr>
          <w:rFonts w:ascii="Arial" w:hAnsi="Arial" w:cs="Arial"/>
          <w:sz w:val="24"/>
          <w:szCs w:val="24"/>
          <w:lang w:val="es-ES_tradnl" w:eastAsia="es-ES"/>
        </w:rPr>
        <w:t>, a fin de determinar el monto que individualmente</w:t>
      </w:r>
      <w:r>
        <w:rPr>
          <w:rFonts w:ascii="Arial" w:hAnsi="Arial" w:cs="Arial"/>
          <w:sz w:val="24"/>
          <w:szCs w:val="24"/>
          <w:lang w:val="es-ES_tradnl" w:eastAsia="es-ES"/>
        </w:rPr>
        <w:t xml:space="preserve"> </w:t>
      </w:r>
      <w:r w:rsidRPr="0095439E">
        <w:rPr>
          <w:rFonts w:ascii="Arial" w:hAnsi="Arial" w:cs="Arial"/>
          <w:sz w:val="24"/>
          <w:szCs w:val="24"/>
          <w:lang w:val="es-ES_tradnl" w:eastAsia="es-ES"/>
        </w:rPr>
        <w:t>correspondería para cada caso de las fórmulas registradas por tipo de</w:t>
      </w:r>
      <w:r>
        <w:rPr>
          <w:rFonts w:ascii="Arial" w:hAnsi="Arial" w:cs="Arial"/>
          <w:sz w:val="24"/>
          <w:szCs w:val="24"/>
          <w:lang w:val="es-ES_tradnl" w:eastAsia="es-ES"/>
        </w:rPr>
        <w:t xml:space="preserve"> </w:t>
      </w:r>
      <w:r w:rsidRPr="0095439E">
        <w:rPr>
          <w:rFonts w:ascii="Arial" w:hAnsi="Arial" w:cs="Arial"/>
          <w:sz w:val="24"/>
          <w:szCs w:val="24"/>
          <w:lang w:val="es-ES_tradnl" w:eastAsia="es-ES"/>
        </w:rPr>
        <w:t>elección.</w:t>
      </w:r>
    </w:p>
    <w:p w14:paraId="37712404" w14:textId="6F213099" w:rsidR="00EA637F" w:rsidRDefault="00EA637F" w:rsidP="00EA637F">
      <w:pPr>
        <w:shd w:val="clear" w:color="auto" w:fill="FFFFFF" w:themeFill="background1"/>
        <w:spacing w:before="240" w:after="240" w:line="360" w:lineRule="auto"/>
        <w:jc w:val="both"/>
        <w:rPr>
          <w:rFonts w:ascii="Arial" w:hAnsi="Arial" w:cs="Arial"/>
          <w:sz w:val="24"/>
          <w:szCs w:val="24"/>
          <w:lang w:val="es-ES_tradnl" w:eastAsia="es-ES"/>
        </w:rPr>
      </w:pPr>
      <w:r>
        <w:rPr>
          <w:rFonts w:ascii="Arial" w:hAnsi="Arial" w:cs="Arial"/>
          <w:sz w:val="24"/>
          <w:szCs w:val="24"/>
          <w:lang w:val="es-ES_tradnl" w:eastAsia="es-ES"/>
        </w:rPr>
        <w:t xml:space="preserve">Precisado lo anterior, el </w:t>
      </w:r>
      <w:r>
        <w:rPr>
          <w:rFonts w:ascii="Arial" w:hAnsi="Arial" w:cs="Arial"/>
          <w:i/>
          <w:iCs/>
          <w:sz w:val="24"/>
          <w:szCs w:val="24"/>
          <w:lang w:val="es-ES_tradnl" w:eastAsia="es-ES"/>
        </w:rPr>
        <w:t xml:space="preserve">Tribunal local </w:t>
      </w:r>
      <w:r>
        <w:rPr>
          <w:rFonts w:ascii="Arial" w:hAnsi="Arial" w:cs="Arial"/>
          <w:sz w:val="24"/>
          <w:szCs w:val="24"/>
          <w:lang w:val="es-ES_tradnl" w:eastAsia="es-ES"/>
        </w:rPr>
        <w:t xml:space="preserve">partió de la base de que, </w:t>
      </w:r>
      <w:r w:rsidRPr="00EA637F">
        <w:rPr>
          <w:rFonts w:ascii="Arial" w:hAnsi="Arial" w:cs="Arial"/>
          <w:sz w:val="24"/>
          <w:szCs w:val="24"/>
          <w:lang w:val="es-ES_tradnl" w:eastAsia="es-ES"/>
        </w:rPr>
        <w:t>con la emisión del</w:t>
      </w:r>
      <w:r>
        <w:rPr>
          <w:rFonts w:ascii="Arial" w:hAnsi="Arial" w:cs="Arial"/>
          <w:sz w:val="24"/>
          <w:szCs w:val="24"/>
          <w:lang w:val="es-ES_tradnl" w:eastAsia="es-ES"/>
        </w:rPr>
        <w:t xml:space="preserve"> </w:t>
      </w:r>
      <w:r w:rsidRPr="0054413E">
        <w:rPr>
          <w:rFonts w:ascii="Arial" w:hAnsi="Arial" w:cs="Arial"/>
          <w:i/>
          <w:iCs/>
          <w:sz w:val="24"/>
          <w:szCs w:val="24"/>
          <w:lang w:val="es-ES_tradnl" w:eastAsia="es-ES"/>
        </w:rPr>
        <w:t>Acuerdo de financiamiento para independientes</w:t>
      </w:r>
      <w:r>
        <w:rPr>
          <w:rFonts w:ascii="Arial" w:hAnsi="Arial" w:cs="Arial"/>
          <w:sz w:val="24"/>
          <w:szCs w:val="24"/>
          <w:lang w:val="es-ES_tradnl" w:eastAsia="es-ES"/>
        </w:rPr>
        <w:t xml:space="preserve">, el </w:t>
      </w:r>
      <w:r>
        <w:rPr>
          <w:rFonts w:ascii="Arial" w:hAnsi="Arial" w:cs="Arial"/>
          <w:i/>
          <w:iCs/>
          <w:sz w:val="24"/>
          <w:szCs w:val="24"/>
          <w:lang w:val="es-ES_tradnl" w:eastAsia="es-ES"/>
        </w:rPr>
        <w:t>Consejo General</w:t>
      </w:r>
      <w:r w:rsidRPr="00EA637F">
        <w:rPr>
          <w:rFonts w:ascii="Arial" w:hAnsi="Arial" w:cs="Arial"/>
          <w:sz w:val="24"/>
          <w:szCs w:val="24"/>
          <w:lang w:val="es-ES_tradnl" w:eastAsia="es-ES"/>
        </w:rPr>
        <w:t xml:space="preserve"> aplicó lo</w:t>
      </w:r>
      <w:r>
        <w:rPr>
          <w:rFonts w:ascii="Arial" w:hAnsi="Arial" w:cs="Arial"/>
          <w:sz w:val="24"/>
          <w:szCs w:val="24"/>
          <w:lang w:val="es-ES_tradnl" w:eastAsia="es-ES"/>
        </w:rPr>
        <w:t xml:space="preserve"> </w:t>
      </w:r>
      <w:r w:rsidRPr="00EA637F">
        <w:rPr>
          <w:rFonts w:ascii="Arial" w:hAnsi="Arial" w:cs="Arial"/>
          <w:sz w:val="24"/>
          <w:szCs w:val="24"/>
          <w:lang w:val="es-ES_tradnl" w:eastAsia="es-ES"/>
        </w:rPr>
        <w:t>establecido respecto al financiamiento público para las candidaturas</w:t>
      </w:r>
      <w:r>
        <w:rPr>
          <w:rFonts w:ascii="Arial" w:hAnsi="Arial" w:cs="Arial"/>
          <w:sz w:val="24"/>
          <w:szCs w:val="24"/>
          <w:lang w:val="es-ES_tradnl" w:eastAsia="es-ES"/>
        </w:rPr>
        <w:t xml:space="preserve"> </w:t>
      </w:r>
      <w:r w:rsidRPr="00EA637F">
        <w:rPr>
          <w:rFonts w:ascii="Arial" w:hAnsi="Arial" w:cs="Arial"/>
          <w:sz w:val="24"/>
          <w:szCs w:val="24"/>
          <w:lang w:val="es-ES_tradnl" w:eastAsia="es-ES"/>
        </w:rPr>
        <w:t xml:space="preserve">independientes en el </w:t>
      </w:r>
      <w:r w:rsidRPr="0095439E">
        <w:rPr>
          <w:rFonts w:ascii="Arial" w:hAnsi="Arial" w:cs="Arial"/>
          <w:i/>
          <w:iCs/>
          <w:sz w:val="24"/>
          <w:szCs w:val="24"/>
          <w:lang w:val="es-ES_tradnl" w:eastAsia="es-ES"/>
        </w:rPr>
        <w:t>Acuerdo de financiamiento anual</w:t>
      </w:r>
      <w:r>
        <w:rPr>
          <w:rFonts w:ascii="Arial" w:hAnsi="Arial" w:cs="Arial"/>
          <w:sz w:val="24"/>
          <w:szCs w:val="24"/>
          <w:lang w:val="es-ES_tradnl" w:eastAsia="es-ES"/>
        </w:rPr>
        <w:t xml:space="preserve">, aclarando que </w:t>
      </w:r>
      <w:r w:rsidR="00801B78">
        <w:rPr>
          <w:rFonts w:ascii="Arial" w:hAnsi="Arial" w:cs="Arial"/>
          <w:sz w:val="24"/>
          <w:szCs w:val="24"/>
          <w:lang w:val="es-ES_tradnl" w:eastAsia="es-ES"/>
        </w:rPr>
        <w:t xml:space="preserve">los </w:t>
      </w:r>
      <w:r w:rsidR="00801B78">
        <w:rPr>
          <w:rFonts w:ascii="Arial" w:hAnsi="Arial" w:cs="Arial"/>
          <w:sz w:val="24"/>
          <w:szCs w:val="24"/>
          <w:lang w:val="es-ES_tradnl" w:eastAsia="es-ES"/>
        </w:rPr>
        <w:lastRenderedPageBreak/>
        <w:t>candidatos independientes</w:t>
      </w:r>
      <w:r>
        <w:rPr>
          <w:rFonts w:ascii="Arial" w:hAnsi="Arial" w:cs="Arial"/>
          <w:sz w:val="24"/>
          <w:szCs w:val="24"/>
          <w:lang w:val="es-ES_tradnl" w:eastAsia="es-ES"/>
        </w:rPr>
        <w:t xml:space="preserve"> ahí</w:t>
      </w:r>
      <w:r w:rsidRPr="00EA637F">
        <w:rPr>
          <w:rFonts w:ascii="Arial" w:hAnsi="Arial" w:cs="Arial"/>
          <w:sz w:val="24"/>
          <w:szCs w:val="24"/>
          <w:lang w:val="es-ES_tradnl" w:eastAsia="es-ES"/>
        </w:rPr>
        <w:t xml:space="preserve"> impugnantes carecían de</w:t>
      </w:r>
      <w:r>
        <w:rPr>
          <w:rFonts w:ascii="Arial" w:hAnsi="Arial" w:cs="Arial"/>
          <w:sz w:val="24"/>
          <w:szCs w:val="24"/>
          <w:lang w:val="es-ES_tradnl" w:eastAsia="es-ES"/>
        </w:rPr>
        <w:t xml:space="preserve"> </w:t>
      </w:r>
      <w:r w:rsidRPr="00EA637F">
        <w:rPr>
          <w:rFonts w:ascii="Arial" w:hAnsi="Arial" w:cs="Arial"/>
          <w:sz w:val="24"/>
          <w:szCs w:val="24"/>
          <w:lang w:val="es-ES_tradnl" w:eastAsia="es-ES"/>
        </w:rPr>
        <w:t xml:space="preserve">legitimidad para controvertir </w:t>
      </w:r>
      <w:r>
        <w:rPr>
          <w:rFonts w:ascii="Arial" w:hAnsi="Arial" w:cs="Arial"/>
          <w:sz w:val="24"/>
          <w:szCs w:val="24"/>
          <w:lang w:val="es-ES_tradnl" w:eastAsia="es-ES"/>
        </w:rPr>
        <w:t>dicho acuerdo</w:t>
      </w:r>
      <w:r w:rsidRPr="00EA637F">
        <w:rPr>
          <w:rFonts w:ascii="Arial" w:hAnsi="Arial" w:cs="Arial"/>
          <w:sz w:val="24"/>
          <w:szCs w:val="24"/>
          <w:lang w:val="es-ES_tradnl" w:eastAsia="es-ES"/>
        </w:rPr>
        <w:t xml:space="preserve"> a la fecha de su</w:t>
      </w:r>
      <w:r>
        <w:rPr>
          <w:rFonts w:ascii="Arial" w:hAnsi="Arial" w:cs="Arial"/>
          <w:sz w:val="24"/>
          <w:szCs w:val="24"/>
          <w:lang w:val="es-ES_tradnl" w:eastAsia="es-ES"/>
        </w:rPr>
        <w:t xml:space="preserve"> </w:t>
      </w:r>
      <w:r w:rsidRPr="00EA637F">
        <w:rPr>
          <w:rFonts w:ascii="Arial" w:hAnsi="Arial" w:cs="Arial"/>
          <w:sz w:val="24"/>
          <w:szCs w:val="24"/>
          <w:lang w:val="es-ES_tradnl" w:eastAsia="es-ES"/>
        </w:rPr>
        <w:t>emisión (cuatro de septiembre de dos mil veinte),</w:t>
      </w:r>
      <w:r>
        <w:rPr>
          <w:rFonts w:ascii="Arial" w:hAnsi="Arial" w:cs="Arial"/>
          <w:sz w:val="24"/>
          <w:szCs w:val="24"/>
          <w:lang w:val="es-ES_tradnl" w:eastAsia="es-ES"/>
        </w:rPr>
        <w:t xml:space="preserve"> pues</w:t>
      </w:r>
      <w:r w:rsidRPr="00EA637F">
        <w:rPr>
          <w:rFonts w:ascii="Arial" w:hAnsi="Arial" w:cs="Arial"/>
          <w:sz w:val="24"/>
          <w:szCs w:val="24"/>
          <w:lang w:val="es-ES_tradnl" w:eastAsia="es-ES"/>
        </w:rPr>
        <w:t xml:space="preserve"> </w:t>
      </w:r>
      <w:r w:rsidR="00327581" w:rsidRPr="00EA637F">
        <w:rPr>
          <w:rFonts w:ascii="Arial" w:hAnsi="Arial" w:cs="Arial"/>
          <w:sz w:val="24"/>
          <w:szCs w:val="24"/>
          <w:lang w:val="es-ES_tradnl" w:eastAsia="es-ES"/>
        </w:rPr>
        <w:t>aún</w:t>
      </w:r>
      <w:r w:rsidRPr="00EA637F">
        <w:rPr>
          <w:rFonts w:ascii="Arial" w:hAnsi="Arial" w:cs="Arial"/>
          <w:sz w:val="24"/>
          <w:szCs w:val="24"/>
          <w:lang w:val="es-ES_tradnl" w:eastAsia="es-ES"/>
        </w:rPr>
        <w:t xml:space="preserve"> no se formulaba la</w:t>
      </w:r>
      <w:r>
        <w:rPr>
          <w:rFonts w:ascii="Arial" w:hAnsi="Arial" w:cs="Arial"/>
          <w:sz w:val="24"/>
          <w:szCs w:val="24"/>
          <w:lang w:val="es-ES_tradnl" w:eastAsia="es-ES"/>
        </w:rPr>
        <w:t xml:space="preserve"> </w:t>
      </w:r>
      <w:r w:rsidRPr="00EA637F">
        <w:rPr>
          <w:rFonts w:ascii="Arial" w:hAnsi="Arial" w:cs="Arial"/>
          <w:sz w:val="24"/>
          <w:szCs w:val="24"/>
          <w:lang w:val="es-ES_tradnl" w:eastAsia="es-ES"/>
        </w:rPr>
        <w:t>convocatoria a las elecciones ordinarias del seis de junio y</w:t>
      </w:r>
      <w:r>
        <w:rPr>
          <w:rFonts w:ascii="Arial" w:hAnsi="Arial" w:cs="Arial"/>
          <w:sz w:val="24"/>
          <w:szCs w:val="24"/>
          <w:lang w:val="es-ES_tradnl" w:eastAsia="es-ES"/>
        </w:rPr>
        <w:t>,</w:t>
      </w:r>
      <w:r w:rsidRPr="00EA637F">
        <w:rPr>
          <w:rFonts w:ascii="Arial" w:hAnsi="Arial" w:cs="Arial"/>
          <w:sz w:val="24"/>
          <w:szCs w:val="24"/>
          <w:lang w:val="es-ES_tradnl" w:eastAsia="es-ES"/>
        </w:rPr>
        <w:t xml:space="preserve"> tampoco</w:t>
      </w:r>
      <w:r>
        <w:rPr>
          <w:rFonts w:ascii="Arial" w:hAnsi="Arial" w:cs="Arial"/>
          <w:sz w:val="24"/>
          <w:szCs w:val="24"/>
          <w:lang w:val="es-ES_tradnl" w:eastAsia="es-ES"/>
        </w:rPr>
        <w:t xml:space="preserve"> </w:t>
      </w:r>
      <w:r w:rsidRPr="00EA637F">
        <w:rPr>
          <w:rFonts w:ascii="Arial" w:hAnsi="Arial" w:cs="Arial"/>
          <w:sz w:val="24"/>
          <w:szCs w:val="24"/>
          <w:lang w:val="es-ES_tradnl" w:eastAsia="es-ES"/>
        </w:rPr>
        <w:t>contaban con la calidad de candidatos independientes registrados a fin</w:t>
      </w:r>
      <w:r>
        <w:rPr>
          <w:rFonts w:ascii="Arial" w:hAnsi="Arial" w:cs="Arial"/>
          <w:sz w:val="24"/>
          <w:szCs w:val="24"/>
          <w:lang w:val="es-ES_tradnl" w:eastAsia="es-ES"/>
        </w:rPr>
        <w:t xml:space="preserve"> </w:t>
      </w:r>
      <w:r w:rsidRPr="00EA637F">
        <w:rPr>
          <w:rFonts w:ascii="Arial" w:hAnsi="Arial" w:cs="Arial"/>
          <w:sz w:val="24"/>
          <w:szCs w:val="24"/>
          <w:lang w:val="es-ES_tradnl" w:eastAsia="es-ES"/>
        </w:rPr>
        <w:t>de que les generar</w:t>
      </w:r>
      <w:r>
        <w:rPr>
          <w:rFonts w:ascii="Arial" w:hAnsi="Arial" w:cs="Arial"/>
          <w:sz w:val="24"/>
          <w:szCs w:val="24"/>
          <w:lang w:val="es-ES_tradnl" w:eastAsia="es-ES"/>
        </w:rPr>
        <w:t>a</w:t>
      </w:r>
      <w:r w:rsidRPr="00EA637F">
        <w:rPr>
          <w:rFonts w:ascii="Arial" w:hAnsi="Arial" w:cs="Arial"/>
          <w:sz w:val="24"/>
          <w:szCs w:val="24"/>
          <w:lang w:val="es-ES_tradnl" w:eastAsia="es-ES"/>
        </w:rPr>
        <w:t xml:space="preserve"> un perjuicio</w:t>
      </w:r>
      <w:r>
        <w:rPr>
          <w:rFonts w:ascii="Arial" w:hAnsi="Arial" w:cs="Arial"/>
          <w:sz w:val="24"/>
          <w:szCs w:val="24"/>
          <w:lang w:val="es-ES_tradnl" w:eastAsia="es-ES"/>
        </w:rPr>
        <w:t xml:space="preserve">, </w:t>
      </w:r>
      <w:r w:rsidRPr="00EA637F">
        <w:rPr>
          <w:rFonts w:ascii="Arial" w:hAnsi="Arial" w:cs="Arial"/>
          <w:sz w:val="24"/>
          <w:szCs w:val="24"/>
          <w:lang w:val="es-ES_tradnl" w:eastAsia="es-ES"/>
        </w:rPr>
        <w:t xml:space="preserve">pues </w:t>
      </w:r>
      <w:r w:rsidR="00801B78">
        <w:rPr>
          <w:rFonts w:ascii="Arial" w:hAnsi="Arial" w:cs="Arial"/>
          <w:sz w:val="24"/>
          <w:szCs w:val="24"/>
          <w:lang w:val="es-ES_tradnl" w:eastAsia="es-ES"/>
        </w:rPr>
        <w:t>esa calidad</w:t>
      </w:r>
      <w:r w:rsidRPr="00EA637F">
        <w:rPr>
          <w:rFonts w:ascii="Arial" w:hAnsi="Arial" w:cs="Arial"/>
          <w:sz w:val="24"/>
          <w:szCs w:val="24"/>
          <w:lang w:val="es-ES_tradnl" w:eastAsia="es-ES"/>
        </w:rPr>
        <w:t xml:space="preserve"> la</w:t>
      </w:r>
      <w:r>
        <w:rPr>
          <w:rFonts w:ascii="Arial" w:hAnsi="Arial" w:cs="Arial"/>
          <w:sz w:val="24"/>
          <w:szCs w:val="24"/>
          <w:lang w:val="es-ES_tradnl" w:eastAsia="es-ES"/>
        </w:rPr>
        <w:t xml:space="preserve"> </w:t>
      </w:r>
      <w:r w:rsidRPr="00EA637F">
        <w:rPr>
          <w:rFonts w:ascii="Arial" w:hAnsi="Arial" w:cs="Arial"/>
          <w:sz w:val="24"/>
          <w:szCs w:val="24"/>
          <w:lang w:val="es-ES_tradnl" w:eastAsia="es-ES"/>
        </w:rPr>
        <w:t>adquirieron con los acuerdos CGIEEG/110/2021 y CGIEEG/119/2021</w:t>
      </w:r>
      <w:r>
        <w:rPr>
          <w:rFonts w:ascii="Arial" w:hAnsi="Arial" w:cs="Arial"/>
          <w:sz w:val="24"/>
          <w:szCs w:val="24"/>
          <w:lang w:val="es-ES_tradnl" w:eastAsia="es-ES"/>
        </w:rPr>
        <w:t xml:space="preserve"> </w:t>
      </w:r>
      <w:r w:rsidRPr="00EA637F">
        <w:rPr>
          <w:rFonts w:ascii="Arial" w:hAnsi="Arial" w:cs="Arial"/>
          <w:sz w:val="24"/>
          <w:szCs w:val="24"/>
          <w:lang w:val="es-ES_tradnl" w:eastAsia="es-ES"/>
        </w:rPr>
        <w:t>pronunciados en la sesión iniciada el cuatro de abril.</w:t>
      </w:r>
    </w:p>
    <w:p w14:paraId="0A7F73AA" w14:textId="51F28A8F" w:rsidR="00EA637F" w:rsidRDefault="00EA637F" w:rsidP="00EA637F">
      <w:pPr>
        <w:shd w:val="clear" w:color="auto" w:fill="FFFFFF" w:themeFill="background1"/>
        <w:spacing w:before="240" w:after="240" w:line="360" w:lineRule="auto"/>
        <w:jc w:val="both"/>
        <w:rPr>
          <w:rFonts w:ascii="Arial" w:hAnsi="Arial" w:cs="Arial"/>
          <w:sz w:val="24"/>
          <w:szCs w:val="24"/>
          <w:lang w:val="es-ES_tradnl" w:eastAsia="es-ES"/>
        </w:rPr>
      </w:pPr>
      <w:r>
        <w:rPr>
          <w:rFonts w:ascii="Arial" w:hAnsi="Arial" w:cs="Arial"/>
          <w:sz w:val="24"/>
          <w:szCs w:val="24"/>
          <w:lang w:val="es-ES_tradnl" w:eastAsia="es-ES"/>
        </w:rPr>
        <w:t xml:space="preserve">Así, a decir del </w:t>
      </w:r>
      <w:r>
        <w:rPr>
          <w:rFonts w:ascii="Arial" w:hAnsi="Arial" w:cs="Arial"/>
          <w:i/>
          <w:iCs/>
          <w:sz w:val="24"/>
          <w:szCs w:val="24"/>
          <w:lang w:val="es-ES_tradnl" w:eastAsia="es-ES"/>
        </w:rPr>
        <w:t>Tribunal local</w:t>
      </w:r>
      <w:r w:rsidR="00F61382">
        <w:rPr>
          <w:rFonts w:ascii="Arial" w:hAnsi="Arial" w:cs="Arial"/>
          <w:i/>
          <w:iCs/>
          <w:sz w:val="24"/>
          <w:szCs w:val="24"/>
          <w:lang w:val="es-ES_tradnl" w:eastAsia="es-ES"/>
        </w:rPr>
        <w:t xml:space="preserve">, </w:t>
      </w:r>
      <w:r w:rsidR="00F61382">
        <w:rPr>
          <w:rFonts w:ascii="Arial" w:hAnsi="Arial" w:cs="Arial"/>
          <w:sz w:val="24"/>
          <w:szCs w:val="24"/>
          <w:lang w:val="es-ES_tradnl" w:eastAsia="es-ES"/>
        </w:rPr>
        <w:t xml:space="preserve">el </w:t>
      </w:r>
      <w:r w:rsidR="00F61382">
        <w:rPr>
          <w:rFonts w:ascii="Arial" w:hAnsi="Arial" w:cs="Arial"/>
          <w:i/>
          <w:iCs/>
          <w:sz w:val="24"/>
          <w:szCs w:val="24"/>
          <w:lang w:val="es-ES_tradnl" w:eastAsia="es-ES"/>
        </w:rPr>
        <w:t>Consejo General</w:t>
      </w:r>
      <w:r w:rsidRPr="00EA637F">
        <w:rPr>
          <w:rFonts w:ascii="Arial" w:hAnsi="Arial" w:cs="Arial"/>
          <w:sz w:val="24"/>
          <w:szCs w:val="24"/>
          <w:lang w:val="es-ES_tradnl" w:eastAsia="es-ES"/>
        </w:rPr>
        <w:t xml:space="preserve"> aplic</w:t>
      </w:r>
      <w:r>
        <w:rPr>
          <w:rFonts w:ascii="Arial" w:hAnsi="Arial" w:cs="Arial"/>
          <w:sz w:val="24"/>
          <w:szCs w:val="24"/>
          <w:lang w:val="es-ES_tradnl" w:eastAsia="es-ES"/>
        </w:rPr>
        <w:t>ó</w:t>
      </w:r>
      <w:r w:rsidRPr="00EA637F">
        <w:rPr>
          <w:rFonts w:ascii="Arial" w:hAnsi="Arial" w:cs="Arial"/>
          <w:sz w:val="24"/>
          <w:szCs w:val="24"/>
          <w:lang w:val="es-ES_tradnl" w:eastAsia="es-ES"/>
        </w:rPr>
        <w:t xml:space="preserve"> por primera vez</w:t>
      </w:r>
      <w:r w:rsidR="00801B78">
        <w:rPr>
          <w:rFonts w:ascii="Arial" w:hAnsi="Arial" w:cs="Arial"/>
          <w:sz w:val="24"/>
          <w:szCs w:val="24"/>
          <w:lang w:val="es-ES_tradnl" w:eastAsia="es-ES"/>
        </w:rPr>
        <w:t xml:space="preserve"> </w:t>
      </w:r>
      <w:r w:rsidR="000817F7" w:rsidRPr="00EA637F">
        <w:rPr>
          <w:rFonts w:ascii="Arial" w:hAnsi="Arial" w:cs="Arial"/>
          <w:sz w:val="24"/>
          <w:szCs w:val="24"/>
          <w:lang w:val="es-ES_tradnl" w:eastAsia="es-ES"/>
        </w:rPr>
        <w:t xml:space="preserve">el </w:t>
      </w:r>
      <w:r w:rsidR="000817F7" w:rsidRPr="0095439E">
        <w:rPr>
          <w:rFonts w:ascii="Arial" w:hAnsi="Arial" w:cs="Arial"/>
          <w:i/>
          <w:iCs/>
          <w:sz w:val="24"/>
          <w:szCs w:val="24"/>
          <w:lang w:val="es-ES_tradnl" w:eastAsia="es-ES"/>
        </w:rPr>
        <w:t>Acuerdo de financiamiento anual</w:t>
      </w:r>
      <w:r w:rsidR="000817F7">
        <w:rPr>
          <w:rFonts w:ascii="Arial" w:hAnsi="Arial" w:cs="Arial"/>
          <w:sz w:val="24"/>
          <w:szCs w:val="24"/>
          <w:lang w:val="es-ES_tradnl" w:eastAsia="es-ES"/>
        </w:rPr>
        <w:t xml:space="preserve"> </w:t>
      </w:r>
      <w:r w:rsidR="007C4D9F">
        <w:rPr>
          <w:rFonts w:ascii="Arial" w:hAnsi="Arial" w:cs="Arial"/>
          <w:sz w:val="24"/>
          <w:szCs w:val="24"/>
          <w:lang w:val="es-ES_tradnl" w:eastAsia="es-ES"/>
        </w:rPr>
        <w:t xml:space="preserve">por conducto del </w:t>
      </w:r>
      <w:r w:rsidR="007C4D9F" w:rsidRPr="0054413E">
        <w:rPr>
          <w:rFonts w:ascii="Arial" w:hAnsi="Arial" w:cs="Arial"/>
          <w:i/>
          <w:iCs/>
          <w:sz w:val="24"/>
          <w:szCs w:val="24"/>
          <w:lang w:val="es-ES_tradnl" w:eastAsia="es-ES"/>
        </w:rPr>
        <w:t>Acuerdo de financiamiento para independientes</w:t>
      </w:r>
      <w:r w:rsidR="007C4D9F">
        <w:rPr>
          <w:rFonts w:ascii="Arial" w:hAnsi="Arial" w:cs="Arial"/>
          <w:i/>
          <w:iCs/>
          <w:sz w:val="24"/>
          <w:szCs w:val="24"/>
          <w:lang w:val="es-ES_tradnl" w:eastAsia="es-ES"/>
        </w:rPr>
        <w:t>.</w:t>
      </w:r>
    </w:p>
    <w:p w14:paraId="5684FBCD" w14:textId="77777777" w:rsidR="0095439E" w:rsidRDefault="007C4D9F" w:rsidP="0095439E">
      <w:pPr>
        <w:shd w:val="clear" w:color="auto" w:fill="FFFFFF" w:themeFill="background1"/>
        <w:spacing w:before="240" w:after="240" w:line="360" w:lineRule="auto"/>
        <w:jc w:val="both"/>
        <w:rPr>
          <w:rFonts w:ascii="Arial" w:hAnsi="Arial" w:cs="Arial"/>
          <w:sz w:val="24"/>
          <w:szCs w:val="24"/>
          <w:lang w:val="es-ES_tradnl" w:eastAsia="es-ES"/>
        </w:rPr>
      </w:pPr>
      <w:r>
        <w:rPr>
          <w:rFonts w:ascii="Arial" w:hAnsi="Arial" w:cs="Arial"/>
          <w:sz w:val="24"/>
          <w:szCs w:val="24"/>
          <w:lang w:val="es-ES_tradnl" w:eastAsia="es-ES"/>
        </w:rPr>
        <w:t>Precisado lo anterior</w:t>
      </w:r>
      <w:r w:rsidR="00801B78">
        <w:rPr>
          <w:rFonts w:ascii="Arial" w:hAnsi="Arial" w:cs="Arial"/>
          <w:sz w:val="24"/>
          <w:szCs w:val="24"/>
          <w:lang w:val="es-ES_tradnl" w:eastAsia="es-ES"/>
        </w:rPr>
        <w:t xml:space="preserve">, el tribunal responsable consideró que el </w:t>
      </w:r>
      <w:r w:rsidR="00801B78">
        <w:rPr>
          <w:rFonts w:ascii="Arial" w:hAnsi="Arial" w:cs="Arial"/>
          <w:i/>
          <w:iCs/>
          <w:sz w:val="24"/>
          <w:szCs w:val="24"/>
          <w:lang w:val="es-ES_tradnl" w:eastAsia="es-ES"/>
        </w:rPr>
        <w:t xml:space="preserve">Consejo General, </w:t>
      </w:r>
      <w:r w:rsidR="00801B78">
        <w:rPr>
          <w:rFonts w:ascii="Arial" w:hAnsi="Arial" w:cs="Arial"/>
          <w:sz w:val="24"/>
          <w:szCs w:val="24"/>
          <w:lang w:val="es-ES_tradnl" w:eastAsia="es-ES"/>
        </w:rPr>
        <w:t xml:space="preserve">al emitir el </w:t>
      </w:r>
      <w:r w:rsidR="00801B78" w:rsidRPr="0095439E">
        <w:rPr>
          <w:rFonts w:ascii="Arial" w:hAnsi="Arial" w:cs="Arial"/>
          <w:i/>
          <w:iCs/>
          <w:sz w:val="24"/>
          <w:szCs w:val="24"/>
          <w:lang w:val="es-ES_tradnl" w:eastAsia="es-ES"/>
        </w:rPr>
        <w:t>Acuerdo de financiamiento anual</w:t>
      </w:r>
      <w:r>
        <w:rPr>
          <w:rFonts w:ascii="Arial" w:hAnsi="Arial" w:cs="Arial"/>
          <w:i/>
          <w:iCs/>
          <w:sz w:val="24"/>
          <w:szCs w:val="24"/>
          <w:lang w:val="es-ES_tradnl" w:eastAsia="es-ES"/>
        </w:rPr>
        <w:t>,</w:t>
      </w:r>
      <w:r w:rsidR="00EA637F" w:rsidRPr="00EA637F">
        <w:rPr>
          <w:rFonts w:ascii="Arial" w:hAnsi="Arial" w:cs="Arial"/>
          <w:sz w:val="24"/>
          <w:szCs w:val="24"/>
          <w:lang w:val="es-ES_tradnl" w:eastAsia="es-ES"/>
        </w:rPr>
        <w:t xml:space="preserve"> fue omiso en</w:t>
      </w:r>
      <w:r w:rsidR="00801B78">
        <w:rPr>
          <w:rFonts w:ascii="Arial" w:hAnsi="Arial" w:cs="Arial"/>
          <w:sz w:val="24"/>
          <w:szCs w:val="24"/>
          <w:lang w:val="es-ES_tradnl" w:eastAsia="es-ES"/>
        </w:rPr>
        <w:t xml:space="preserve"> </w:t>
      </w:r>
      <w:r w:rsidR="00EA637F" w:rsidRPr="00EA637F">
        <w:rPr>
          <w:rFonts w:ascii="Arial" w:hAnsi="Arial" w:cs="Arial"/>
          <w:sz w:val="24"/>
          <w:szCs w:val="24"/>
          <w:lang w:val="es-ES_tradnl" w:eastAsia="es-ES"/>
        </w:rPr>
        <w:t xml:space="preserve">atender a lo </w:t>
      </w:r>
      <w:r w:rsidR="000817F7">
        <w:rPr>
          <w:rFonts w:ascii="Arial" w:hAnsi="Arial" w:cs="Arial"/>
          <w:sz w:val="24"/>
          <w:szCs w:val="24"/>
          <w:lang w:val="es-ES_tradnl" w:eastAsia="es-ES"/>
        </w:rPr>
        <w:t>previsto</w:t>
      </w:r>
      <w:r w:rsidR="00EA637F" w:rsidRPr="00EA637F">
        <w:rPr>
          <w:rFonts w:ascii="Arial" w:hAnsi="Arial" w:cs="Arial"/>
          <w:sz w:val="24"/>
          <w:szCs w:val="24"/>
          <w:lang w:val="es-ES_tradnl" w:eastAsia="es-ES"/>
        </w:rPr>
        <w:t xml:space="preserve"> </w:t>
      </w:r>
      <w:r w:rsidR="00801B78">
        <w:rPr>
          <w:rFonts w:ascii="Arial" w:hAnsi="Arial" w:cs="Arial"/>
          <w:sz w:val="24"/>
          <w:szCs w:val="24"/>
          <w:lang w:val="es-ES_tradnl" w:eastAsia="es-ES"/>
        </w:rPr>
        <w:t>por</w:t>
      </w:r>
      <w:r w:rsidR="00EA637F" w:rsidRPr="00EA637F">
        <w:rPr>
          <w:rFonts w:ascii="Arial" w:hAnsi="Arial" w:cs="Arial"/>
          <w:sz w:val="24"/>
          <w:szCs w:val="24"/>
          <w:lang w:val="es-ES_tradnl" w:eastAsia="es-ES"/>
        </w:rPr>
        <w:t xml:space="preserve"> el artículo 334 de la </w:t>
      </w:r>
      <w:r w:rsidR="00801B78">
        <w:rPr>
          <w:rFonts w:ascii="Arial" w:hAnsi="Arial" w:cs="Arial"/>
          <w:i/>
          <w:iCs/>
          <w:sz w:val="24"/>
          <w:szCs w:val="24"/>
          <w:lang w:val="es-ES_tradnl" w:eastAsia="es-ES"/>
        </w:rPr>
        <w:t>Ley local,</w:t>
      </w:r>
      <w:r w:rsidR="00EA637F" w:rsidRPr="00EA637F">
        <w:rPr>
          <w:rFonts w:ascii="Arial" w:hAnsi="Arial" w:cs="Arial"/>
          <w:sz w:val="24"/>
          <w:szCs w:val="24"/>
          <w:lang w:val="es-ES_tradnl" w:eastAsia="es-ES"/>
        </w:rPr>
        <w:t xml:space="preserve"> </w:t>
      </w:r>
      <w:r w:rsidR="00801B78">
        <w:rPr>
          <w:rFonts w:ascii="Arial" w:hAnsi="Arial" w:cs="Arial"/>
          <w:sz w:val="24"/>
          <w:szCs w:val="24"/>
          <w:lang w:val="es-ES_tradnl" w:eastAsia="es-ES"/>
        </w:rPr>
        <w:t>el cual</w:t>
      </w:r>
      <w:r w:rsidR="00EA637F" w:rsidRPr="00EA637F">
        <w:rPr>
          <w:rFonts w:ascii="Arial" w:hAnsi="Arial" w:cs="Arial"/>
          <w:sz w:val="24"/>
          <w:szCs w:val="24"/>
          <w:lang w:val="es-ES_tradnl" w:eastAsia="es-ES"/>
        </w:rPr>
        <w:t xml:space="preserve"> establece como regla que la</w:t>
      </w:r>
      <w:r w:rsidR="00801B78">
        <w:rPr>
          <w:rFonts w:ascii="Arial" w:hAnsi="Arial" w:cs="Arial"/>
          <w:sz w:val="24"/>
          <w:szCs w:val="24"/>
          <w:lang w:val="es-ES_tradnl" w:eastAsia="es-ES"/>
        </w:rPr>
        <w:t xml:space="preserve"> </w:t>
      </w:r>
      <w:r w:rsidR="00EA637F" w:rsidRPr="00EA637F">
        <w:rPr>
          <w:rFonts w:ascii="Arial" w:hAnsi="Arial" w:cs="Arial"/>
          <w:sz w:val="24"/>
          <w:szCs w:val="24"/>
          <w:lang w:val="es-ES_tradnl" w:eastAsia="es-ES"/>
        </w:rPr>
        <w:t>cantidad a repartir entre la totalidad de candidaturas independientes es</w:t>
      </w:r>
      <w:r w:rsidR="00801B78">
        <w:rPr>
          <w:rFonts w:ascii="Arial" w:hAnsi="Arial" w:cs="Arial"/>
          <w:sz w:val="24"/>
          <w:szCs w:val="24"/>
          <w:lang w:val="es-ES_tradnl" w:eastAsia="es-ES"/>
        </w:rPr>
        <w:t xml:space="preserve"> </w:t>
      </w:r>
      <w:r w:rsidR="00EA637F" w:rsidRPr="00EA637F">
        <w:rPr>
          <w:rFonts w:ascii="Arial" w:hAnsi="Arial" w:cs="Arial"/>
          <w:sz w:val="24"/>
          <w:szCs w:val="24"/>
          <w:lang w:val="es-ES_tradnl" w:eastAsia="es-ES"/>
        </w:rPr>
        <w:t>la que correspondería a un partido de nuevo registro</w:t>
      </w:r>
      <w:r w:rsidR="00801B78">
        <w:rPr>
          <w:rFonts w:ascii="Arial" w:hAnsi="Arial" w:cs="Arial"/>
          <w:sz w:val="24"/>
          <w:szCs w:val="24"/>
          <w:lang w:val="es-ES_tradnl" w:eastAsia="es-ES"/>
        </w:rPr>
        <w:t>.</w:t>
      </w:r>
    </w:p>
    <w:p w14:paraId="46BCC668" w14:textId="77777777" w:rsidR="007C4D9F" w:rsidRDefault="007C4D9F" w:rsidP="007C4D9F">
      <w:pPr>
        <w:shd w:val="clear" w:color="auto" w:fill="FFFFFF" w:themeFill="background1"/>
        <w:spacing w:before="240" w:after="240" w:line="360" w:lineRule="auto"/>
        <w:jc w:val="both"/>
        <w:rPr>
          <w:rFonts w:ascii="Arial" w:hAnsi="Arial" w:cs="Arial"/>
          <w:sz w:val="24"/>
          <w:szCs w:val="24"/>
          <w:lang w:val="es-ES_tradnl" w:eastAsia="es-ES"/>
        </w:rPr>
      </w:pPr>
      <w:r>
        <w:rPr>
          <w:rFonts w:ascii="Arial" w:hAnsi="Arial" w:cs="Arial"/>
          <w:sz w:val="24"/>
          <w:szCs w:val="24"/>
          <w:lang w:val="es-ES_tradnl" w:eastAsia="es-ES"/>
        </w:rPr>
        <w:t xml:space="preserve">Lo anterior, porque en concepto del </w:t>
      </w:r>
      <w:r>
        <w:rPr>
          <w:rFonts w:ascii="Arial" w:hAnsi="Arial" w:cs="Arial"/>
          <w:i/>
          <w:iCs/>
          <w:sz w:val="24"/>
          <w:szCs w:val="24"/>
          <w:lang w:val="es-ES_tradnl" w:eastAsia="es-ES"/>
        </w:rPr>
        <w:t>Tribunal local,</w:t>
      </w:r>
      <w:r>
        <w:rPr>
          <w:rFonts w:ascii="Arial" w:hAnsi="Arial" w:cs="Arial"/>
          <w:sz w:val="24"/>
          <w:szCs w:val="24"/>
          <w:lang w:val="es-ES_tradnl" w:eastAsia="es-ES"/>
        </w:rPr>
        <w:t xml:space="preserve"> el </w:t>
      </w:r>
      <w:r>
        <w:rPr>
          <w:rFonts w:ascii="Arial" w:hAnsi="Arial" w:cs="Arial"/>
          <w:i/>
          <w:iCs/>
          <w:sz w:val="24"/>
          <w:szCs w:val="24"/>
          <w:lang w:val="es-ES_tradnl" w:eastAsia="es-ES"/>
        </w:rPr>
        <w:t>Consejo General,</w:t>
      </w:r>
      <w:r w:rsidRPr="007C4D9F">
        <w:rPr>
          <w:rFonts w:ascii="Arial" w:hAnsi="Arial" w:cs="Arial"/>
          <w:sz w:val="24"/>
          <w:szCs w:val="24"/>
          <w:lang w:val="es-ES_tradnl" w:eastAsia="es-ES"/>
        </w:rPr>
        <w:t xml:space="preserve"> al momento de fijar el monto que para cada candidatura</w:t>
      </w:r>
      <w:r>
        <w:rPr>
          <w:rFonts w:ascii="Arial" w:hAnsi="Arial" w:cs="Arial"/>
          <w:sz w:val="24"/>
          <w:szCs w:val="24"/>
          <w:lang w:val="es-ES_tradnl" w:eastAsia="es-ES"/>
        </w:rPr>
        <w:t xml:space="preserve"> </w:t>
      </w:r>
      <w:r w:rsidRPr="007C4D9F">
        <w:rPr>
          <w:rFonts w:ascii="Arial" w:hAnsi="Arial" w:cs="Arial"/>
          <w:sz w:val="24"/>
          <w:szCs w:val="24"/>
          <w:lang w:val="es-ES_tradnl" w:eastAsia="es-ES"/>
        </w:rPr>
        <w:t xml:space="preserve">correspondía atendiendo a los criterios señalados en el </w:t>
      </w:r>
      <w:r w:rsidR="000817F7">
        <w:rPr>
          <w:rFonts w:ascii="Arial" w:hAnsi="Arial" w:cs="Arial"/>
          <w:sz w:val="24"/>
          <w:szCs w:val="24"/>
          <w:lang w:val="es-ES_tradnl" w:eastAsia="es-ES"/>
        </w:rPr>
        <w:t>segundo párrafo</w:t>
      </w:r>
      <w:r>
        <w:rPr>
          <w:rFonts w:ascii="Arial" w:hAnsi="Arial" w:cs="Arial"/>
          <w:sz w:val="24"/>
          <w:szCs w:val="24"/>
          <w:lang w:val="es-ES_tradnl" w:eastAsia="es-ES"/>
        </w:rPr>
        <w:t xml:space="preserve"> </w:t>
      </w:r>
      <w:r w:rsidRPr="007C4D9F">
        <w:rPr>
          <w:rFonts w:ascii="Arial" w:hAnsi="Arial" w:cs="Arial"/>
          <w:sz w:val="24"/>
          <w:szCs w:val="24"/>
          <w:lang w:val="es-ES_tradnl" w:eastAsia="es-ES"/>
        </w:rPr>
        <w:t>del numeral señalado, debió tomar como base para el prorrateo de los</w:t>
      </w:r>
      <w:r>
        <w:rPr>
          <w:rFonts w:ascii="Arial" w:hAnsi="Arial" w:cs="Arial"/>
          <w:sz w:val="24"/>
          <w:szCs w:val="24"/>
          <w:lang w:val="es-ES_tradnl" w:eastAsia="es-ES"/>
        </w:rPr>
        <w:t xml:space="preserve"> </w:t>
      </w:r>
      <w:r w:rsidRPr="007C4D9F">
        <w:rPr>
          <w:rFonts w:ascii="Arial" w:hAnsi="Arial" w:cs="Arial"/>
          <w:sz w:val="24"/>
          <w:szCs w:val="24"/>
          <w:lang w:val="es-ES_tradnl" w:eastAsia="es-ES"/>
        </w:rPr>
        <w:t>recursos</w:t>
      </w:r>
      <w:r w:rsidR="004608C7">
        <w:rPr>
          <w:rFonts w:ascii="Arial" w:hAnsi="Arial" w:cs="Arial"/>
          <w:sz w:val="24"/>
          <w:szCs w:val="24"/>
          <w:lang w:val="es-ES_tradnl" w:eastAsia="es-ES"/>
        </w:rPr>
        <w:t>,</w:t>
      </w:r>
      <w:r w:rsidRPr="007C4D9F">
        <w:rPr>
          <w:rFonts w:ascii="Arial" w:hAnsi="Arial" w:cs="Arial"/>
          <w:sz w:val="24"/>
          <w:szCs w:val="24"/>
          <w:lang w:val="es-ES_tradnl" w:eastAsia="es-ES"/>
        </w:rPr>
        <w:t xml:space="preserve"> el correspondiente al financiamiento público </w:t>
      </w:r>
      <w:r w:rsidRPr="00D11E82">
        <w:rPr>
          <w:rFonts w:ascii="Arial" w:hAnsi="Arial" w:cs="Arial"/>
          <w:b/>
          <w:bCs/>
          <w:sz w:val="24"/>
          <w:szCs w:val="24"/>
          <w:lang w:val="es-ES_tradnl" w:eastAsia="es-ES"/>
        </w:rPr>
        <w:t>(que se compone de la suma de los rubros de: gastos ordinarios, gastos de campaña y el de actividades específicas)</w:t>
      </w:r>
      <w:r w:rsidRPr="007C4D9F">
        <w:rPr>
          <w:rFonts w:ascii="Arial" w:hAnsi="Arial" w:cs="Arial"/>
          <w:sz w:val="24"/>
          <w:szCs w:val="24"/>
          <w:lang w:val="es-ES_tradnl" w:eastAsia="es-ES"/>
        </w:rPr>
        <w:t xml:space="preserve"> de conformidad con lo establecido en la </w:t>
      </w:r>
      <w:r>
        <w:rPr>
          <w:rFonts w:ascii="Arial" w:hAnsi="Arial" w:cs="Arial"/>
          <w:i/>
          <w:iCs/>
          <w:sz w:val="24"/>
          <w:szCs w:val="24"/>
          <w:lang w:val="es-ES_tradnl" w:eastAsia="es-ES"/>
        </w:rPr>
        <w:t>Ley local</w:t>
      </w:r>
      <w:r w:rsidRPr="007C4D9F">
        <w:rPr>
          <w:rFonts w:ascii="Arial" w:hAnsi="Arial" w:cs="Arial"/>
          <w:sz w:val="24"/>
          <w:szCs w:val="24"/>
          <w:lang w:val="es-ES_tradnl" w:eastAsia="es-ES"/>
        </w:rPr>
        <w:t>.</w:t>
      </w:r>
    </w:p>
    <w:p w14:paraId="531462F0" w14:textId="77777777" w:rsidR="00B829B1" w:rsidRDefault="007C4D9F" w:rsidP="007C4D9F">
      <w:pPr>
        <w:shd w:val="clear" w:color="auto" w:fill="FFFFFF" w:themeFill="background1"/>
        <w:spacing w:before="240" w:after="240" w:line="360" w:lineRule="auto"/>
        <w:jc w:val="both"/>
        <w:rPr>
          <w:rFonts w:ascii="Arial" w:hAnsi="Arial" w:cs="Arial"/>
          <w:sz w:val="24"/>
          <w:szCs w:val="24"/>
          <w:lang w:val="es-ES_tradnl" w:eastAsia="es-ES"/>
        </w:rPr>
      </w:pPr>
      <w:r w:rsidRPr="00B04DB8">
        <w:rPr>
          <w:rFonts w:ascii="Arial" w:hAnsi="Arial" w:cs="Arial"/>
          <w:sz w:val="24"/>
          <w:szCs w:val="24"/>
          <w:lang w:val="es-ES_tradnl" w:eastAsia="es-ES"/>
        </w:rPr>
        <w:t>Situación que también resulta</w:t>
      </w:r>
      <w:r w:rsidR="00A123F1" w:rsidRPr="00B04DB8">
        <w:rPr>
          <w:rFonts w:ascii="Arial" w:hAnsi="Arial" w:cs="Arial"/>
          <w:sz w:val="24"/>
          <w:szCs w:val="24"/>
          <w:lang w:val="es-ES_tradnl" w:eastAsia="es-ES"/>
        </w:rPr>
        <w:t>ba</w:t>
      </w:r>
      <w:r w:rsidRPr="00B04DB8">
        <w:rPr>
          <w:rFonts w:ascii="Arial" w:hAnsi="Arial" w:cs="Arial"/>
          <w:sz w:val="24"/>
          <w:szCs w:val="24"/>
          <w:lang w:val="es-ES_tradnl" w:eastAsia="es-ES"/>
        </w:rPr>
        <w:t xml:space="preserve"> contraria a lo ya establecido por </w:t>
      </w:r>
      <w:r w:rsidR="00A123F1" w:rsidRPr="00B04DB8">
        <w:rPr>
          <w:rFonts w:ascii="Arial" w:hAnsi="Arial" w:cs="Arial"/>
          <w:sz w:val="24"/>
          <w:szCs w:val="24"/>
          <w:lang w:val="es-ES_tradnl" w:eastAsia="es-ES"/>
        </w:rPr>
        <w:t>la propia</w:t>
      </w:r>
      <w:r w:rsidR="00A123F1">
        <w:rPr>
          <w:rFonts w:ascii="Arial" w:hAnsi="Arial" w:cs="Arial"/>
          <w:sz w:val="24"/>
          <w:szCs w:val="24"/>
          <w:lang w:val="es-ES_tradnl" w:eastAsia="es-ES"/>
        </w:rPr>
        <w:t xml:space="preserve"> autoridad administrativa electoral</w:t>
      </w:r>
      <w:r w:rsidRPr="007C4D9F">
        <w:rPr>
          <w:rFonts w:ascii="Arial" w:hAnsi="Arial" w:cs="Arial"/>
          <w:sz w:val="24"/>
          <w:szCs w:val="24"/>
          <w:lang w:val="es-ES_tradnl" w:eastAsia="es-ES"/>
        </w:rPr>
        <w:t xml:space="preserve"> al emitir el acuerdo CGIEEG/191/2018</w:t>
      </w:r>
      <w:r w:rsidR="004608C7">
        <w:rPr>
          <w:rFonts w:ascii="Arial" w:hAnsi="Arial" w:cs="Arial"/>
          <w:sz w:val="24"/>
          <w:szCs w:val="24"/>
          <w:lang w:val="es-ES_tradnl" w:eastAsia="es-ES"/>
        </w:rPr>
        <w:t xml:space="preserve">, así como </w:t>
      </w:r>
      <w:r w:rsidR="00A123F1">
        <w:rPr>
          <w:rFonts w:ascii="Arial" w:hAnsi="Arial" w:cs="Arial"/>
          <w:sz w:val="24"/>
          <w:szCs w:val="24"/>
          <w:lang w:val="es-ES_tradnl" w:eastAsia="es-ES"/>
        </w:rPr>
        <w:t xml:space="preserve">lo resuelto por el propio </w:t>
      </w:r>
      <w:r w:rsidR="00A123F1">
        <w:rPr>
          <w:rFonts w:ascii="Arial" w:hAnsi="Arial" w:cs="Arial"/>
          <w:i/>
          <w:iCs/>
          <w:sz w:val="24"/>
          <w:szCs w:val="24"/>
          <w:lang w:val="es-ES_tradnl" w:eastAsia="es-ES"/>
        </w:rPr>
        <w:t>Tribunal local</w:t>
      </w:r>
      <w:r w:rsidRPr="007C4D9F">
        <w:rPr>
          <w:rFonts w:ascii="Arial" w:hAnsi="Arial" w:cs="Arial"/>
          <w:sz w:val="24"/>
          <w:szCs w:val="24"/>
          <w:lang w:val="es-ES_tradnl" w:eastAsia="es-ES"/>
        </w:rPr>
        <w:t xml:space="preserve"> </w:t>
      </w:r>
      <w:r w:rsidR="00A123F1">
        <w:rPr>
          <w:rFonts w:ascii="Arial" w:hAnsi="Arial" w:cs="Arial"/>
          <w:sz w:val="24"/>
          <w:szCs w:val="24"/>
          <w:lang w:val="es-ES_tradnl" w:eastAsia="es-ES"/>
        </w:rPr>
        <w:t xml:space="preserve">en </w:t>
      </w:r>
      <w:r w:rsidRPr="007C4D9F">
        <w:rPr>
          <w:rFonts w:ascii="Arial" w:hAnsi="Arial" w:cs="Arial"/>
          <w:sz w:val="24"/>
          <w:szCs w:val="24"/>
          <w:lang w:val="es-ES_tradnl" w:eastAsia="es-ES"/>
        </w:rPr>
        <w:t>el expediente TEEG-REV-28/2018 y sus</w:t>
      </w:r>
      <w:r w:rsidR="00A123F1">
        <w:rPr>
          <w:rFonts w:ascii="Arial" w:hAnsi="Arial" w:cs="Arial"/>
          <w:sz w:val="24"/>
          <w:szCs w:val="24"/>
          <w:lang w:val="es-ES_tradnl" w:eastAsia="es-ES"/>
        </w:rPr>
        <w:t xml:space="preserve"> </w:t>
      </w:r>
      <w:r w:rsidRPr="007C4D9F">
        <w:rPr>
          <w:rFonts w:ascii="Arial" w:hAnsi="Arial" w:cs="Arial"/>
          <w:sz w:val="24"/>
          <w:szCs w:val="24"/>
          <w:lang w:val="es-ES_tradnl" w:eastAsia="es-ES"/>
        </w:rPr>
        <w:t>acumulados</w:t>
      </w:r>
      <w:r w:rsidR="00F71E50" w:rsidRPr="003864A2">
        <w:rPr>
          <w:rFonts w:ascii="Arial" w:hAnsi="Arial" w:cs="Arial"/>
          <w:sz w:val="24"/>
          <w:szCs w:val="24"/>
          <w:lang w:val="es-ES_tradnl" w:eastAsia="es-ES"/>
        </w:rPr>
        <w:t>.</w:t>
      </w:r>
    </w:p>
    <w:p w14:paraId="50248540" w14:textId="11DF833E" w:rsidR="00A123F1" w:rsidRPr="00A123F1" w:rsidRDefault="00A123F1" w:rsidP="00A123F1">
      <w:pPr>
        <w:shd w:val="clear" w:color="auto" w:fill="FFFFFF" w:themeFill="background1"/>
        <w:spacing w:before="240" w:after="240" w:line="360" w:lineRule="auto"/>
        <w:jc w:val="both"/>
        <w:rPr>
          <w:rFonts w:ascii="Arial" w:hAnsi="Arial" w:cs="Arial"/>
          <w:sz w:val="24"/>
          <w:szCs w:val="24"/>
          <w:lang w:val="es-ES_tradnl" w:eastAsia="es-ES"/>
        </w:rPr>
      </w:pPr>
      <w:r>
        <w:rPr>
          <w:rFonts w:ascii="Arial" w:hAnsi="Arial" w:cs="Arial"/>
          <w:sz w:val="24"/>
          <w:szCs w:val="24"/>
          <w:lang w:val="es-ES_tradnl" w:eastAsia="es-ES"/>
        </w:rPr>
        <w:t>Así, en concepto del tribunal responsable</w:t>
      </w:r>
      <w:r w:rsidRPr="00A123F1">
        <w:rPr>
          <w:rFonts w:ascii="Arial" w:hAnsi="Arial" w:cs="Arial"/>
          <w:sz w:val="24"/>
          <w:szCs w:val="24"/>
          <w:lang w:val="es-ES_tradnl" w:eastAsia="es-ES"/>
        </w:rPr>
        <w:t xml:space="preserve">, el </w:t>
      </w:r>
      <w:r w:rsidRPr="00A123F1">
        <w:rPr>
          <w:rFonts w:ascii="Arial" w:hAnsi="Arial" w:cs="Arial"/>
          <w:i/>
          <w:iCs/>
          <w:sz w:val="24"/>
          <w:szCs w:val="24"/>
          <w:lang w:val="es-ES_tradnl" w:eastAsia="es-ES"/>
        </w:rPr>
        <w:t>Consejo General</w:t>
      </w:r>
      <w:r>
        <w:rPr>
          <w:rFonts w:ascii="Arial" w:hAnsi="Arial" w:cs="Arial"/>
          <w:i/>
          <w:iCs/>
          <w:sz w:val="24"/>
          <w:szCs w:val="24"/>
          <w:lang w:val="es-ES_tradnl" w:eastAsia="es-ES"/>
        </w:rPr>
        <w:t>,</w:t>
      </w:r>
      <w:r w:rsidRPr="00A123F1">
        <w:rPr>
          <w:rFonts w:ascii="Arial" w:hAnsi="Arial" w:cs="Arial"/>
          <w:sz w:val="24"/>
          <w:szCs w:val="24"/>
          <w:lang w:val="es-ES_tradnl" w:eastAsia="es-ES"/>
        </w:rPr>
        <w:t xml:space="preserve"> al realizar el cálculo del monto para el</w:t>
      </w:r>
      <w:r>
        <w:rPr>
          <w:rFonts w:ascii="Arial" w:hAnsi="Arial" w:cs="Arial"/>
          <w:sz w:val="24"/>
          <w:szCs w:val="24"/>
          <w:lang w:val="es-ES_tradnl" w:eastAsia="es-ES"/>
        </w:rPr>
        <w:t xml:space="preserve"> </w:t>
      </w:r>
      <w:r w:rsidRPr="00A123F1">
        <w:rPr>
          <w:rFonts w:ascii="Arial" w:hAnsi="Arial" w:cs="Arial"/>
          <w:sz w:val="24"/>
          <w:szCs w:val="24"/>
          <w:lang w:val="es-ES_tradnl" w:eastAsia="es-ES"/>
        </w:rPr>
        <w:t>financiamiento público que correspondía a las candidaturas</w:t>
      </w:r>
      <w:r>
        <w:rPr>
          <w:rFonts w:ascii="Arial" w:hAnsi="Arial" w:cs="Arial"/>
          <w:sz w:val="24"/>
          <w:szCs w:val="24"/>
          <w:lang w:val="es-ES_tradnl" w:eastAsia="es-ES"/>
        </w:rPr>
        <w:t xml:space="preserve"> </w:t>
      </w:r>
      <w:r w:rsidRPr="00A123F1">
        <w:rPr>
          <w:rFonts w:ascii="Arial" w:hAnsi="Arial" w:cs="Arial"/>
          <w:sz w:val="24"/>
          <w:szCs w:val="24"/>
          <w:lang w:val="es-ES_tradnl" w:eastAsia="es-ES"/>
        </w:rPr>
        <w:t>independientes en su conjunto, debió considerar los tres rubros que lo</w:t>
      </w:r>
      <w:r>
        <w:rPr>
          <w:rFonts w:ascii="Arial" w:hAnsi="Arial" w:cs="Arial"/>
          <w:sz w:val="24"/>
          <w:szCs w:val="24"/>
          <w:lang w:val="es-ES_tradnl" w:eastAsia="es-ES"/>
        </w:rPr>
        <w:t xml:space="preserve"> </w:t>
      </w:r>
      <w:r w:rsidRPr="00A123F1">
        <w:rPr>
          <w:rFonts w:ascii="Arial" w:hAnsi="Arial" w:cs="Arial"/>
          <w:sz w:val="24"/>
          <w:szCs w:val="24"/>
          <w:lang w:val="es-ES_tradnl" w:eastAsia="es-ES"/>
        </w:rPr>
        <w:t>componen</w:t>
      </w:r>
      <w:r>
        <w:rPr>
          <w:rFonts w:ascii="Arial" w:hAnsi="Arial" w:cs="Arial"/>
          <w:sz w:val="24"/>
          <w:szCs w:val="24"/>
          <w:lang w:val="es-ES_tradnl" w:eastAsia="es-ES"/>
        </w:rPr>
        <w:t xml:space="preserve">: </w:t>
      </w:r>
      <w:r w:rsidRPr="00A123F1">
        <w:rPr>
          <w:rFonts w:ascii="Arial" w:hAnsi="Arial" w:cs="Arial"/>
          <w:b/>
          <w:bCs/>
          <w:sz w:val="24"/>
          <w:szCs w:val="24"/>
          <w:lang w:val="es-ES_tradnl" w:eastAsia="es-ES"/>
        </w:rPr>
        <w:t>i.</w:t>
      </w:r>
      <w:r>
        <w:rPr>
          <w:rFonts w:ascii="Arial" w:hAnsi="Arial" w:cs="Arial"/>
          <w:sz w:val="24"/>
          <w:szCs w:val="24"/>
          <w:lang w:val="es-ES_tradnl" w:eastAsia="es-ES"/>
        </w:rPr>
        <w:t xml:space="preserve"> </w:t>
      </w:r>
      <w:r w:rsidR="001026ED">
        <w:rPr>
          <w:rFonts w:ascii="Arial" w:hAnsi="Arial" w:cs="Arial"/>
          <w:sz w:val="24"/>
          <w:szCs w:val="24"/>
          <w:lang w:val="es-ES_tradnl" w:eastAsia="es-ES"/>
        </w:rPr>
        <w:t>actividades</w:t>
      </w:r>
      <w:r w:rsidRPr="00A123F1">
        <w:rPr>
          <w:rFonts w:ascii="Arial" w:hAnsi="Arial" w:cs="Arial"/>
          <w:sz w:val="24"/>
          <w:szCs w:val="24"/>
          <w:lang w:val="es-ES_tradnl" w:eastAsia="es-ES"/>
        </w:rPr>
        <w:t xml:space="preserve"> ordinari</w:t>
      </w:r>
      <w:r w:rsidR="001026ED">
        <w:rPr>
          <w:rFonts w:ascii="Arial" w:hAnsi="Arial" w:cs="Arial"/>
          <w:sz w:val="24"/>
          <w:szCs w:val="24"/>
          <w:lang w:val="es-ES_tradnl" w:eastAsia="es-ES"/>
        </w:rPr>
        <w:t>a</w:t>
      </w:r>
      <w:r w:rsidRPr="00A123F1">
        <w:rPr>
          <w:rFonts w:ascii="Arial" w:hAnsi="Arial" w:cs="Arial"/>
          <w:sz w:val="24"/>
          <w:szCs w:val="24"/>
          <w:lang w:val="es-ES_tradnl" w:eastAsia="es-ES"/>
        </w:rPr>
        <w:t>s,</w:t>
      </w:r>
      <w:r>
        <w:rPr>
          <w:rFonts w:ascii="Arial" w:hAnsi="Arial" w:cs="Arial"/>
          <w:sz w:val="24"/>
          <w:szCs w:val="24"/>
          <w:lang w:val="es-ES_tradnl" w:eastAsia="es-ES"/>
        </w:rPr>
        <w:t xml:space="preserve"> </w:t>
      </w:r>
      <w:r w:rsidRPr="00A123F1">
        <w:rPr>
          <w:rFonts w:ascii="Arial" w:hAnsi="Arial" w:cs="Arial"/>
          <w:b/>
          <w:bCs/>
          <w:sz w:val="24"/>
          <w:szCs w:val="24"/>
          <w:lang w:val="es-ES_tradnl" w:eastAsia="es-ES"/>
        </w:rPr>
        <w:t>ii.</w:t>
      </w:r>
      <w:r w:rsidRPr="00A123F1">
        <w:rPr>
          <w:rFonts w:ascii="Arial" w:hAnsi="Arial" w:cs="Arial"/>
          <w:sz w:val="24"/>
          <w:szCs w:val="24"/>
          <w:lang w:val="es-ES_tradnl" w:eastAsia="es-ES"/>
        </w:rPr>
        <w:t xml:space="preserve"> gastos de campaña, y</w:t>
      </w:r>
      <w:r>
        <w:rPr>
          <w:rFonts w:ascii="Arial" w:hAnsi="Arial" w:cs="Arial"/>
          <w:sz w:val="24"/>
          <w:szCs w:val="24"/>
          <w:lang w:val="es-ES_tradnl" w:eastAsia="es-ES"/>
        </w:rPr>
        <w:t xml:space="preserve">, </w:t>
      </w:r>
      <w:proofErr w:type="spellStart"/>
      <w:r w:rsidRPr="00A123F1">
        <w:rPr>
          <w:rFonts w:ascii="Arial" w:hAnsi="Arial" w:cs="Arial"/>
          <w:b/>
          <w:bCs/>
          <w:sz w:val="24"/>
          <w:szCs w:val="24"/>
          <w:lang w:val="es-ES_tradnl" w:eastAsia="es-ES"/>
        </w:rPr>
        <w:t>iii</w:t>
      </w:r>
      <w:proofErr w:type="spellEnd"/>
      <w:r w:rsidRPr="00A123F1">
        <w:rPr>
          <w:rFonts w:ascii="Arial" w:hAnsi="Arial" w:cs="Arial"/>
          <w:b/>
          <w:bCs/>
          <w:sz w:val="24"/>
          <w:szCs w:val="24"/>
          <w:lang w:val="es-ES_tradnl" w:eastAsia="es-ES"/>
        </w:rPr>
        <w:t>.</w:t>
      </w:r>
      <w:r>
        <w:rPr>
          <w:rFonts w:ascii="Arial" w:hAnsi="Arial" w:cs="Arial"/>
          <w:sz w:val="24"/>
          <w:szCs w:val="24"/>
          <w:lang w:val="es-ES_tradnl" w:eastAsia="es-ES"/>
        </w:rPr>
        <w:t xml:space="preserve"> </w:t>
      </w:r>
      <w:r w:rsidRPr="00A123F1">
        <w:rPr>
          <w:rFonts w:ascii="Arial" w:hAnsi="Arial" w:cs="Arial"/>
          <w:sz w:val="24"/>
          <w:szCs w:val="24"/>
          <w:lang w:val="es-ES_tradnl" w:eastAsia="es-ES"/>
        </w:rPr>
        <w:t xml:space="preserve">actividades </w:t>
      </w:r>
      <w:r w:rsidR="002632CF" w:rsidRPr="00A123F1">
        <w:rPr>
          <w:rFonts w:ascii="Arial" w:hAnsi="Arial" w:cs="Arial"/>
          <w:sz w:val="24"/>
          <w:szCs w:val="24"/>
          <w:lang w:val="es-ES_tradnl" w:eastAsia="es-ES"/>
        </w:rPr>
        <w:t>específicas</w:t>
      </w:r>
      <w:r w:rsidR="002D7BD4">
        <w:rPr>
          <w:rFonts w:ascii="Arial" w:hAnsi="Arial" w:cs="Arial"/>
          <w:sz w:val="24"/>
          <w:szCs w:val="24"/>
          <w:lang w:val="es-ES_tradnl" w:eastAsia="es-ES"/>
        </w:rPr>
        <w:t>.</w:t>
      </w:r>
    </w:p>
    <w:p w14:paraId="2418CFF4" w14:textId="60BA6D02" w:rsidR="00A123F1" w:rsidRPr="00A123F1" w:rsidRDefault="00A123F1" w:rsidP="00A123F1">
      <w:pPr>
        <w:shd w:val="clear" w:color="auto" w:fill="FFFFFF" w:themeFill="background1"/>
        <w:spacing w:before="240" w:after="240" w:line="360" w:lineRule="auto"/>
        <w:jc w:val="both"/>
        <w:rPr>
          <w:rFonts w:ascii="Arial" w:hAnsi="Arial" w:cs="Arial"/>
          <w:sz w:val="24"/>
          <w:szCs w:val="24"/>
          <w:lang w:val="es-ES_tradnl" w:eastAsia="es-ES"/>
        </w:rPr>
      </w:pPr>
      <w:r w:rsidRPr="00A123F1">
        <w:rPr>
          <w:rFonts w:ascii="Arial" w:hAnsi="Arial" w:cs="Arial"/>
          <w:sz w:val="24"/>
          <w:szCs w:val="24"/>
          <w:lang w:val="es-ES_tradnl" w:eastAsia="es-ES"/>
        </w:rPr>
        <w:t>Lo anterior</w:t>
      </w:r>
      <w:r w:rsidR="00F61382">
        <w:rPr>
          <w:rFonts w:ascii="Arial" w:hAnsi="Arial" w:cs="Arial"/>
          <w:sz w:val="24"/>
          <w:szCs w:val="24"/>
          <w:lang w:val="es-ES_tradnl" w:eastAsia="es-ES"/>
        </w:rPr>
        <w:t>,</w:t>
      </w:r>
      <w:r w:rsidRPr="00A123F1">
        <w:rPr>
          <w:rFonts w:ascii="Arial" w:hAnsi="Arial" w:cs="Arial"/>
          <w:sz w:val="24"/>
          <w:szCs w:val="24"/>
          <w:lang w:val="es-ES_tradnl" w:eastAsia="es-ES"/>
        </w:rPr>
        <w:t xml:space="preserve"> porque</w:t>
      </w:r>
      <w:r>
        <w:rPr>
          <w:rFonts w:ascii="Arial" w:hAnsi="Arial" w:cs="Arial"/>
          <w:sz w:val="24"/>
          <w:szCs w:val="24"/>
          <w:lang w:val="es-ES_tradnl" w:eastAsia="es-ES"/>
        </w:rPr>
        <w:t xml:space="preserve"> a decir del </w:t>
      </w:r>
      <w:r>
        <w:rPr>
          <w:rFonts w:ascii="Arial" w:hAnsi="Arial" w:cs="Arial"/>
          <w:i/>
          <w:iCs/>
          <w:sz w:val="24"/>
          <w:szCs w:val="24"/>
          <w:lang w:val="es-ES_tradnl" w:eastAsia="es-ES"/>
        </w:rPr>
        <w:t>Tribunal local,</w:t>
      </w:r>
      <w:r w:rsidRPr="00A123F1">
        <w:rPr>
          <w:rFonts w:ascii="Arial" w:hAnsi="Arial" w:cs="Arial"/>
          <w:sz w:val="24"/>
          <w:szCs w:val="24"/>
          <w:lang w:val="es-ES_tradnl" w:eastAsia="es-ES"/>
        </w:rPr>
        <w:t xml:space="preserve"> una interpretación distinta conllevaría a</w:t>
      </w:r>
      <w:r>
        <w:rPr>
          <w:rFonts w:ascii="Arial" w:hAnsi="Arial" w:cs="Arial"/>
          <w:sz w:val="24"/>
          <w:szCs w:val="24"/>
          <w:lang w:val="es-ES_tradnl" w:eastAsia="es-ES"/>
        </w:rPr>
        <w:t xml:space="preserve"> </w:t>
      </w:r>
      <w:r w:rsidRPr="00A123F1">
        <w:rPr>
          <w:rFonts w:ascii="Arial" w:hAnsi="Arial" w:cs="Arial"/>
          <w:sz w:val="24"/>
          <w:szCs w:val="24"/>
          <w:lang w:val="es-ES_tradnl" w:eastAsia="es-ES"/>
        </w:rPr>
        <w:t>materializar un acto diferenciado a todos aquellos sujetos que se ubican</w:t>
      </w:r>
      <w:r>
        <w:rPr>
          <w:rFonts w:ascii="Arial" w:hAnsi="Arial" w:cs="Arial"/>
          <w:sz w:val="24"/>
          <w:szCs w:val="24"/>
          <w:lang w:val="es-ES_tradnl" w:eastAsia="es-ES"/>
        </w:rPr>
        <w:t xml:space="preserve"> </w:t>
      </w:r>
      <w:r w:rsidRPr="00A123F1">
        <w:rPr>
          <w:rFonts w:ascii="Arial" w:hAnsi="Arial" w:cs="Arial"/>
          <w:sz w:val="24"/>
          <w:szCs w:val="24"/>
          <w:lang w:val="es-ES_tradnl" w:eastAsia="es-ES"/>
        </w:rPr>
        <w:t xml:space="preserve">en una misma posición jurídica y fáctica dentro de la contienda </w:t>
      </w:r>
      <w:r w:rsidRPr="00A123F1">
        <w:rPr>
          <w:rFonts w:ascii="Arial" w:hAnsi="Arial" w:cs="Arial"/>
          <w:sz w:val="24"/>
          <w:szCs w:val="24"/>
          <w:lang w:val="es-ES_tradnl" w:eastAsia="es-ES"/>
        </w:rPr>
        <w:lastRenderedPageBreak/>
        <w:t>electoral,</w:t>
      </w:r>
      <w:r>
        <w:rPr>
          <w:rFonts w:ascii="Arial" w:hAnsi="Arial" w:cs="Arial"/>
          <w:sz w:val="24"/>
          <w:szCs w:val="24"/>
          <w:lang w:val="es-ES_tradnl" w:eastAsia="es-ES"/>
        </w:rPr>
        <w:t xml:space="preserve"> </w:t>
      </w:r>
      <w:r w:rsidRPr="00A123F1">
        <w:rPr>
          <w:rFonts w:ascii="Arial" w:hAnsi="Arial" w:cs="Arial"/>
          <w:sz w:val="24"/>
          <w:szCs w:val="24"/>
          <w:lang w:val="es-ES_tradnl" w:eastAsia="es-ES"/>
        </w:rPr>
        <w:t>lo que podría implicar una ruptura al principio de igualdad y certeza</w:t>
      </w:r>
      <w:r>
        <w:rPr>
          <w:rFonts w:ascii="Arial" w:hAnsi="Arial" w:cs="Arial"/>
          <w:sz w:val="24"/>
          <w:szCs w:val="24"/>
          <w:lang w:val="es-ES_tradnl" w:eastAsia="es-ES"/>
        </w:rPr>
        <w:t xml:space="preserve"> </w:t>
      </w:r>
      <w:r w:rsidRPr="00A123F1">
        <w:rPr>
          <w:rFonts w:ascii="Arial" w:hAnsi="Arial" w:cs="Arial"/>
          <w:sz w:val="24"/>
          <w:szCs w:val="24"/>
          <w:lang w:val="es-ES_tradnl" w:eastAsia="es-ES"/>
        </w:rPr>
        <w:t>jurídica.</w:t>
      </w:r>
    </w:p>
    <w:p w14:paraId="66EE861A" w14:textId="6AF4D67E" w:rsidR="00797476" w:rsidRPr="003864A2" w:rsidRDefault="00A123F1" w:rsidP="00A123F1">
      <w:pPr>
        <w:shd w:val="clear" w:color="auto" w:fill="FFFFFF" w:themeFill="background1"/>
        <w:spacing w:before="240" w:after="240" w:line="360" w:lineRule="auto"/>
        <w:jc w:val="both"/>
        <w:rPr>
          <w:rFonts w:ascii="Arial" w:hAnsi="Arial" w:cs="Arial"/>
          <w:sz w:val="24"/>
          <w:szCs w:val="24"/>
          <w:lang w:val="es-ES_tradnl" w:eastAsia="es-ES"/>
        </w:rPr>
      </w:pPr>
      <w:r>
        <w:rPr>
          <w:rFonts w:ascii="Arial" w:hAnsi="Arial" w:cs="Arial"/>
          <w:sz w:val="24"/>
          <w:szCs w:val="24"/>
          <w:lang w:val="es-ES_tradnl" w:eastAsia="es-ES"/>
        </w:rPr>
        <w:t xml:space="preserve">Por tanto, ante lo que para el tribunal responsable significó una </w:t>
      </w:r>
      <w:r w:rsidRPr="00A123F1">
        <w:rPr>
          <w:rFonts w:ascii="Arial" w:hAnsi="Arial" w:cs="Arial"/>
          <w:sz w:val="24"/>
          <w:szCs w:val="24"/>
          <w:lang w:val="es-ES_tradnl" w:eastAsia="es-ES"/>
        </w:rPr>
        <w:t xml:space="preserve">forma indebida </w:t>
      </w:r>
      <w:r>
        <w:rPr>
          <w:rFonts w:ascii="Arial" w:hAnsi="Arial" w:cs="Arial"/>
          <w:sz w:val="24"/>
          <w:szCs w:val="24"/>
          <w:lang w:val="es-ES_tradnl" w:eastAsia="es-ES"/>
        </w:rPr>
        <w:t>de aplicar la</w:t>
      </w:r>
      <w:r w:rsidRPr="00A123F1">
        <w:rPr>
          <w:rFonts w:ascii="Arial" w:hAnsi="Arial" w:cs="Arial"/>
          <w:sz w:val="24"/>
          <w:szCs w:val="24"/>
          <w:lang w:val="es-ES_tradnl" w:eastAsia="es-ES"/>
        </w:rPr>
        <w:t xml:space="preserve"> </w:t>
      </w:r>
      <w:r>
        <w:rPr>
          <w:rFonts w:ascii="Arial" w:hAnsi="Arial" w:cs="Arial"/>
          <w:i/>
          <w:iCs/>
          <w:sz w:val="24"/>
          <w:szCs w:val="24"/>
          <w:lang w:val="es-ES_tradnl" w:eastAsia="es-ES"/>
        </w:rPr>
        <w:t>Ley local</w:t>
      </w:r>
      <w:r w:rsidRPr="00A123F1">
        <w:rPr>
          <w:rFonts w:ascii="Arial" w:hAnsi="Arial" w:cs="Arial"/>
          <w:sz w:val="24"/>
          <w:szCs w:val="24"/>
          <w:lang w:val="es-ES_tradnl" w:eastAsia="es-ES"/>
        </w:rPr>
        <w:t xml:space="preserve"> respecto al financiamiento público</w:t>
      </w:r>
      <w:r>
        <w:rPr>
          <w:rFonts w:ascii="Arial" w:hAnsi="Arial" w:cs="Arial"/>
          <w:sz w:val="24"/>
          <w:szCs w:val="24"/>
          <w:lang w:val="es-ES_tradnl" w:eastAsia="es-ES"/>
        </w:rPr>
        <w:t xml:space="preserve"> </w:t>
      </w:r>
      <w:r w:rsidRPr="00A123F1">
        <w:rPr>
          <w:rFonts w:ascii="Arial" w:hAnsi="Arial" w:cs="Arial"/>
          <w:sz w:val="24"/>
          <w:szCs w:val="24"/>
          <w:lang w:val="es-ES_tradnl" w:eastAsia="es-ES"/>
        </w:rPr>
        <w:t>que corresponde a las candidaturas independientes en su conjunto y</w:t>
      </w:r>
      <w:r>
        <w:rPr>
          <w:rFonts w:ascii="Arial" w:hAnsi="Arial" w:cs="Arial"/>
          <w:sz w:val="24"/>
          <w:szCs w:val="24"/>
          <w:lang w:val="es-ES_tradnl" w:eastAsia="es-ES"/>
        </w:rPr>
        <w:t xml:space="preserve">, </w:t>
      </w:r>
      <w:r w:rsidRPr="00A123F1">
        <w:rPr>
          <w:rFonts w:ascii="Arial" w:hAnsi="Arial" w:cs="Arial"/>
          <w:sz w:val="24"/>
          <w:szCs w:val="24"/>
          <w:lang w:val="es-ES_tradnl" w:eastAsia="es-ES"/>
        </w:rPr>
        <w:t xml:space="preserve">posteriormente en lo individual, </w:t>
      </w:r>
      <w:r>
        <w:rPr>
          <w:rFonts w:ascii="Arial" w:hAnsi="Arial" w:cs="Arial"/>
          <w:sz w:val="24"/>
          <w:szCs w:val="24"/>
          <w:lang w:val="es-ES_tradnl" w:eastAsia="es-ES"/>
        </w:rPr>
        <w:t xml:space="preserve">determinó </w:t>
      </w:r>
      <w:r w:rsidRPr="00A123F1">
        <w:rPr>
          <w:rFonts w:ascii="Arial" w:hAnsi="Arial" w:cs="Arial"/>
          <w:b/>
          <w:bCs/>
          <w:sz w:val="24"/>
          <w:szCs w:val="24"/>
          <w:lang w:val="es-ES_tradnl" w:eastAsia="es-ES"/>
        </w:rPr>
        <w:t>revocar</w:t>
      </w:r>
      <w:r w:rsidRPr="00A123F1">
        <w:rPr>
          <w:rFonts w:ascii="Arial" w:hAnsi="Arial" w:cs="Arial"/>
          <w:sz w:val="24"/>
          <w:szCs w:val="24"/>
          <w:lang w:val="es-ES_tradnl" w:eastAsia="es-ES"/>
        </w:rPr>
        <w:t xml:space="preserve"> el </w:t>
      </w:r>
      <w:r w:rsidRPr="00A123F1">
        <w:rPr>
          <w:rFonts w:ascii="Arial" w:hAnsi="Arial" w:cs="Arial"/>
          <w:i/>
          <w:iCs/>
          <w:sz w:val="24"/>
          <w:szCs w:val="24"/>
          <w:lang w:val="es-ES_tradnl" w:eastAsia="es-ES"/>
        </w:rPr>
        <w:t>Acuerdo de financiamiento para independientes</w:t>
      </w:r>
      <w:r w:rsidRPr="00A123F1">
        <w:rPr>
          <w:rFonts w:ascii="Arial" w:hAnsi="Arial" w:cs="Arial"/>
          <w:sz w:val="24"/>
          <w:szCs w:val="24"/>
          <w:lang w:val="es-ES_tradnl" w:eastAsia="es-ES"/>
        </w:rPr>
        <w:t>.</w:t>
      </w:r>
    </w:p>
    <w:p w14:paraId="679B71B4" w14:textId="77777777" w:rsidR="0038757E" w:rsidRPr="003864A2" w:rsidRDefault="00CA5A57" w:rsidP="003864A2">
      <w:pPr>
        <w:pStyle w:val="Ttulo2"/>
        <w:spacing w:before="240" w:after="240" w:line="360" w:lineRule="auto"/>
        <w:rPr>
          <w:rFonts w:ascii="Arial" w:eastAsia="Calibri" w:hAnsi="Arial" w:cs="Arial"/>
          <w:b/>
          <w:bCs/>
          <w:color w:val="auto"/>
          <w:sz w:val="24"/>
          <w:szCs w:val="24"/>
          <w:lang w:val="es-ES_tradnl"/>
        </w:rPr>
      </w:pPr>
      <w:bookmarkStart w:id="30" w:name="_Toc71932158"/>
      <w:r w:rsidRPr="003864A2">
        <w:rPr>
          <w:rFonts w:ascii="Arial" w:eastAsia="Calibri" w:hAnsi="Arial" w:cs="Arial"/>
          <w:b/>
          <w:bCs/>
          <w:color w:val="auto"/>
          <w:sz w:val="24"/>
          <w:szCs w:val="24"/>
          <w:lang w:val="es-ES_tradnl"/>
        </w:rPr>
        <w:t>4</w:t>
      </w:r>
      <w:r w:rsidR="0038757E" w:rsidRPr="003864A2">
        <w:rPr>
          <w:rFonts w:ascii="Arial" w:eastAsia="Calibri" w:hAnsi="Arial" w:cs="Arial"/>
          <w:b/>
          <w:bCs/>
          <w:color w:val="auto"/>
          <w:sz w:val="24"/>
          <w:szCs w:val="24"/>
          <w:lang w:val="es-ES_tradnl"/>
        </w:rPr>
        <w:t>.1.2. Planteamiento ante esta Sala</w:t>
      </w:r>
      <w:bookmarkEnd w:id="30"/>
    </w:p>
    <w:p w14:paraId="5165F38F" w14:textId="77777777" w:rsidR="004608C7" w:rsidRDefault="004608C7" w:rsidP="004608C7">
      <w:pPr>
        <w:shd w:val="clear" w:color="auto" w:fill="FFFFFF" w:themeFill="background1"/>
        <w:spacing w:before="240" w:after="240" w:line="360" w:lineRule="auto"/>
        <w:jc w:val="both"/>
        <w:rPr>
          <w:rFonts w:ascii="Arial" w:hAnsi="Arial" w:cs="Arial"/>
          <w:sz w:val="24"/>
          <w:szCs w:val="24"/>
          <w:lang w:val="es-ES_tradnl"/>
        </w:rPr>
      </w:pPr>
      <w:bookmarkStart w:id="31" w:name="_Hlk69379255"/>
      <w:r>
        <w:rPr>
          <w:rFonts w:ascii="Arial" w:hAnsi="Arial" w:cs="Arial"/>
          <w:sz w:val="24"/>
          <w:szCs w:val="24"/>
          <w:lang w:val="es-ES_tradnl"/>
        </w:rPr>
        <w:t xml:space="preserve">El </w:t>
      </w:r>
      <w:r>
        <w:rPr>
          <w:rFonts w:ascii="Arial" w:hAnsi="Arial" w:cs="Arial"/>
          <w:i/>
          <w:iCs/>
          <w:sz w:val="24"/>
          <w:szCs w:val="24"/>
          <w:lang w:val="es-ES_tradnl"/>
        </w:rPr>
        <w:t>PAN</w:t>
      </w:r>
      <w:r>
        <w:rPr>
          <w:rFonts w:ascii="Arial" w:hAnsi="Arial" w:cs="Arial"/>
          <w:sz w:val="24"/>
          <w:szCs w:val="24"/>
          <w:lang w:val="es-ES_tradnl"/>
        </w:rPr>
        <w:t xml:space="preserve"> pretende se revoque la sentencia impugnada, y para ello, hace valer como agravios que:</w:t>
      </w:r>
    </w:p>
    <w:p w14:paraId="4F3DA7BD" w14:textId="09C9837F" w:rsidR="004608C7" w:rsidRDefault="004608C7" w:rsidP="004608C7">
      <w:pPr>
        <w:pStyle w:val="Prrafodelista"/>
        <w:numPr>
          <w:ilvl w:val="0"/>
          <w:numId w:val="25"/>
        </w:numPr>
        <w:spacing w:before="240" w:after="240" w:line="360" w:lineRule="auto"/>
        <w:jc w:val="both"/>
        <w:rPr>
          <w:rFonts w:ascii="Arial" w:hAnsi="Arial" w:cs="Arial"/>
          <w:sz w:val="24"/>
          <w:szCs w:val="24"/>
          <w:lang w:val="es-ES_tradnl" w:eastAsia="es-ES"/>
        </w:rPr>
      </w:pPr>
      <w:r>
        <w:rPr>
          <w:rFonts w:ascii="Arial" w:hAnsi="Arial" w:cs="Arial"/>
          <w:sz w:val="24"/>
          <w:szCs w:val="24"/>
          <w:lang w:val="es-ES_tradnl" w:eastAsia="es-ES"/>
        </w:rPr>
        <w:t xml:space="preserve">Se </w:t>
      </w:r>
      <w:bookmarkStart w:id="32" w:name="_Hlk71670694"/>
      <w:r>
        <w:rPr>
          <w:rFonts w:ascii="Arial" w:hAnsi="Arial" w:cs="Arial"/>
          <w:sz w:val="24"/>
          <w:szCs w:val="24"/>
          <w:lang w:val="es-ES_tradnl" w:eastAsia="es-ES"/>
        </w:rPr>
        <w:t xml:space="preserve">realizó una indebida interpretación por parte del </w:t>
      </w:r>
      <w:r>
        <w:rPr>
          <w:rFonts w:ascii="Arial" w:hAnsi="Arial" w:cs="Arial"/>
          <w:i/>
          <w:iCs/>
          <w:sz w:val="24"/>
          <w:szCs w:val="24"/>
          <w:lang w:val="es-ES_tradnl" w:eastAsia="es-ES"/>
        </w:rPr>
        <w:t>Tribunal local</w:t>
      </w:r>
      <w:r>
        <w:rPr>
          <w:rFonts w:ascii="Arial" w:hAnsi="Arial" w:cs="Arial"/>
          <w:sz w:val="24"/>
          <w:szCs w:val="24"/>
          <w:lang w:val="es-ES_tradnl" w:eastAsia="es-ES"/>
        </w:rPr>
        <w:t xml:space="preserve"> respecto de los artículos 333 y 334 de la</w:t>
      </w:r>
      <w:r>
        <w:rPr>
          <w:rFonts w:ascii="Arial" w:hAnsi="Arial" w:cs="Arial"/>
          <w:i/>
          <w:iCs/>
          <w:sz w:val="24"/>
          <w:szCs w:val="24"/>
          <w:lang w:val="es-ES_tradnl" w:eastAsia="es-ES"/>
        </w:rPr>
        <w:t xml:space="preserve"> Ley local</w:t>
      </w:r>
      <w:r>
        <w:rPr>
          <w:rFonts w:ascii="Arial" w:hAnsi="Arial" w:cs="Arial"/>
          <w:sz w:val="24"/>
          <w:szCs w:val="24"/>
          <w:lang w:val="es-ES_tradnl" w:eastAsia="es-ES"/>
        </w:rPr>
        <w:t xml:space="preserve">, pues </w:t>
      </w:r>
      <w:r w:rsidR="00F104A2">
        <w:rPr>
          <w:rFonts w:ascii="Arial" w:hAnsi="Arial" w:cs="Arial"/>
          <w:sz w:val="24"/>
          <w:szCs w:val="24"/>
          <w:lang w:val="es-ES_tradnl" w:eastAsia="es-ES"/>
        </w:rPr>
        <w:t>si bien es cierto que las candidaturas independientes se consideran como un partido político de nuevo registro, ello es sólo para el efecto de recibir financiamiento para gastos de campaña</w:t>
      </w:r>
      <w:bookmarkEnd w:id="32"/>
      <w:r w:rsidR="00753C52">
        <w:rPr>
          <w:rFonts w:ascii="Arial" w:hAnsi="Arial" w:cs="Arial"/>
          <w:sz w:val="24"/>
          <w:szCs w:val="24"/>
          <w:lang w:val="es-ES_tradnl" w:eastAsia="es-ES"/>
        </w:rPr>
        <w:t>, por lo que el tribunal responsable se encontraba impedido para otorgar el financiamiento público a que tienen derecho los partidos políticos de nueva creación por concepto de actividades ordinarias y específicas, en virtud de la naturaleza jurídica de estas.</w:t>
      </w:r>
    </w:p>
    <w:p w14:paraId="0B58E1FE" w14:textId="77777777" w:rsidR="004608C7" w:rsidRDefault="004608C7" w:rsidP="004608C7">
      <w:pPr>
        <w:pStyle w:val="Prrafodelista"/>
        <w:spacing w:before="240" w:after="240" w:line="360" w:lineRule="auto"/>
        <w:jc w:val="both"/>
        <w:rPr>
          <w:rFonts w:ascii="Arial" w:hAnsi="Arial" w:cs="Arial"/>
          <w:sz w:val="24"/>
          <w:szCs w:val="24"/>
          <w:lang w:val="es-ES_tradnl" w:eastAsia="es-ES"/>
        </w:rPr>
      </w:pPr>
    </w:p>
    <w:p w14:paraId="6BE28910" w14:textId="615E55C5" w:rsidR="004608C7" w:rsidRPr="00637CAE" w:rsidRDefault="004608C7" w:rsidP="004608C7">
      <w:pPr>
        <w:pStyle w:val="Prrafodelista"/>
        <w:numPr>
          <w:ilvl w:val="0"/>
          <w:numId w:val="25"/>
        </w:numPr>
        <w:spacing w:before="240" w:after="240" w:line="360" w:lineRule="auto"/>
        <w:jc w:val="both"/>
        <w:rPr>
          <w:rFonts w:ascii="Arial" w:hAnsi="Arial" w:cs="Arial"/>
          <w:sz w:val="24"/>
          <w:szCs w:val="24"/>
          <w:lang w:val="es-ES_tradnl" w:eastAsia="es-ES"/>
        </w:rPr>
      </w:pPr>
      <w:r>
        <w:rPr>
          <w:rFonts w:ascii="Arial" w:hAnsi="Arial" w:cs="Arial"/>
          <w:sz w:val="24"/>
          <w:szCs w:val="24"/>
          <w:lang w:val="es-ES_tradnl" w:eastAsia="es-ES"/>
        </w:rPr>
        <w:t xml:space="preserve">El escrito presentado por aquí actor, en el que se alegó: </w:t>
      </w:r>
      <w:r w:rsidRPr="004608C7">
        <w:rPr>
          <w:rFonts w:ascii="Arial" w:hAnsi="Arial" w:cs="Arial"/>
          <w:b/>
          <w:bCs/>
          <w:sz w:val="24"/>
          <w:szCs w:val="24"/>
          <w:lang w:val="es-ES_tradnl" w:eastAsia="es-ES"/>
        </w:rPr>
        <w:t>i.</w:t>
      </w:r>
      <w:r>
        <w:rPr>
          <w:rFonts w:ascii="Arial" w:hAnsi="Arial" w:cs="Arial"/>
          <w:sz w:val="24"/>
          <w:szCs w:val="24"/>
          <w:lang w:val="es-ES_tradnl" w:eastAsia="es-ES"/>
        </w:rPr>
        <w:t xml:space="preserve"> la extemporaneidad </w:t>
      </w:r>
      <w:r w:rsidR="00637CAE">
        <w:rPr>
          <w:rFonts w:ascii="Arial" w:hAnsi="Arial" w:cs="Arial"/>
          <w:sz w:val="24"/>
          <w:szCs w:val="24"/>
          <w:lang w:val="es-ES_tradnl" w:eastAsia="es-ES"/>
        </w:rPr>
        <w:t>del recurso interpuesto</w:t>
      </w:r>
      <w:r>
        <w:rPr>
          <w:rFonts w:ascii="Arial" w:hAnsi="Arial" w:cs="Arial"/>
          <w:sz w:val="24"/>
          <w:szCs w:val="24"/>
          <w:lang w:val="es-ES_tradnl" w:eastAsia="es-ES"/>
        </w:rPr>
        <w:t xml:space="preserve"> por </w:t>
      </w:r>
      <w:r w:rsidR="00327581">
        <w:rPr>
          <w:rFonts w:ascii="Arial" w:hAnsi="Arial" w:cs="Arial"/>
          <w:sz w:val="24"/>
          <w:szCs w:val="24"/>
          <w:lang w:val="es-ES_tradnl" w:eastAsia="es-ES"/>
        </w:rPr>
        <w:t>José Julio González Landeros</w:t>
      </w:r>
      <w:r>
        <w:rPr>
          <w:rFonts w:ascii="Arial" w:hAnsi="Arial" w:cs="Arial"/>
          <w:sz w:val="24"/>
          <w:szCs w:val="24"/>
          <w:lang w:val="es-ES_tradnl" w:eastAsia="es-ES"/>
        </w:rPr>
        <w:t xml:space="preserve">; </w:t>
      </w:r>
      <w:r w:rsidRPr="004608C7">
        <w:rPr>
          <w:rFonts w:ascii="Arial" w:hAnsi="Arial" w:cs="Arial"/>
          <w:b/>
          <w:bCs/>
          <w:sz w:val="24"/>
          <w:szCs w:val="24"/>
          <w:lang w:val="es-ES_tradnl" w:eastAsia="es-ES"/>
        </w:rPr>
        <w:t>ii.</w:t>
      </w:r>
      <w:r>
        <w:rPr>
          <w:rFonts w:ascii="Arial" w:hAnsi="Arial" w:cs="Arial"/>
          <w:b/>
          <w:bCs/>
          <w:sz w:val="24"/>
          <w:szCs w:val="24"/>
          <w:lang w:val="es-ES_tradnl" w:eastAsia="es-ES"/>
        </w:rPr>
        <w:t xml:space="preserve"> </w:t>
      </w:r>
      <w:r>
        <w:rPr>
          <w:rFonts w:ascii="Arial" w:hAnsi="Arial" w:cs="Arial"/>
          <w:sz w:val="24"/>
          <w:szCs w:val="24"/>
          <w:lang w:val="es-ES_tradnl" w:eastAsia="es-ES"/>
        </w:rPr>
        <w:t xml:space="preserve">la indebida admisión del recurso local contra el </w:t>
      </w:r>
      <w:r w:rsidRPr="0095439E">
        <w:rPr>
          <w:rFonts w:ascii="Arial" w:hAnsi="Arial" w:cs="Arial"/>
          <w:i/>
          <w:iCs/>
          <w:sz w:val="24"/>
          <w:szCs w:val="24"/>
          <w:lang w:val="es-ES_tradnl" w:eastAsia="es-ES"/>
        </w:rPr>
        <w:t>Acuerdo de financiamiento anual</w:t>
      </w:r>
      <w:r>
        <w:rPr>
          <w:rFonts w:ascii="Arial" w:hAnsi="Arial" w:cs="Arial"/>
          <w:sz w:val="24"/>
          <w:szCs w:val="24"/>
          <w:lang w:val="es-ES_tradnl" w:eastAsia="es-ES"/>
        </w:rPr>
        <w:t xml:space="preserve"> cuando los promoventes sólo impugnaron el </w:t>
      </w:r>
      <w:r w:rsidRPr="0054413E">
        <w:rPr>
          <w:rFonts w:ascii="Arial" w:hAnsi="Arial" w:cs="Arial"/>
          <w:i/>
          <w:iCs/>
          <w:sz w:val="24"/>
          <w:szCs w:val="24"/>
          <w:lang w:val="es-ES_tradnl" w:eastAsia="es-ES"/>
        </w:rPr>
        <w:t>Acuerdo de financiamiento para independientes</w:t>
      </w:r>
      <w:r>
        <w:rPr>
          <w:rFonts w:ascii="Arial" w:hAnsi="Arial" w:cs="Arial"/>
          <w:i/>
          <w:iCs/>
          <w:sz w:val="24"/>
          <w:szCs w:val="24"/>
          <w:lang w:val="es-ES_tradnl" w:eastAsia="es-ES"/>
        </w:rPr>
        <w:t>;</w:t>
      </w:r>
      <w:r w:rsidR="00941F49">
        <w:rPr>
          <w:rFonts w:ascii="Arial" w:hAnsi="Arial" w:cs="Arial"/>
          <w:sz w:val="24"/>
          <w:szCs w:val="24"/>
          <w:lang w:val="es-ES_tradnl" w:eastAsia="es-ES"/>
        </w:rPr>
        <w:t xml:space="preserve"> y,</w:t>
      </w:r>
      <w:r>
        <w:rPr>
          <w:rFonts w:ascii="Arial" w:hAnsi="Arial" w:cs="Arial"/>
          <w:sz w:val="24"/>
          <w:szCs w:val="24"/>
          <w:lang w:val="es-ES_tradnl" w:eastAsia="es-ES"/>
        </w:rPr>
        <w:t xml:space="preserve"> </w:t>
      </w:r>
      <w:proofErr w:type="spellStart"/>
      <w:r w:rsidRPr="004608C7">
        <w:rPr>
          <w:rFonts w:ascii="Arial" w:hAnsi="Arial" w:cs="Arial"/>
          <w:b/>
          <w:bCs/>
          <w:sz w:val="24"/>
          <w:szCs w:val="24"/>
          <w:lang w:val="es-ES_tradnl" w:eastAsia="es-ES"/>
        </w:rPr>
        <w:t>iii</w:t>
      </w:r>
      <w:proofErr w:type="spellEnd"/>
      <w:r w:rsidRPr="004608C7">
        <w:rPr>
          <w:rFonts w:ascii="Arial" w:hAnsi="Arial" w:cs="Arial"/>
          <w:b/>
          <w:bCs/>
          <w:sz w:val="24"/>
          <w:szCs w:val="24"/>
          <w:lang w:val="es-ES_tradnl" w:eastAsia="es-ES"/>
        </w:rPr>
        <w:t>.</w:t>
      </w:r>
      <w:r>
        <w:rPr>
          <w:rFonts w:ascii="Arial" w:hAnsi="Arial" w:cs="Arial"/>
          <w:b/>
          <w:bCs/>
          <w:sz w:val="24"/>
          <w:szCs w:val="24"/>
          <w:lang w:val="es-ES_tradnl" w:eastAsia="es-ES"/>
        </w:rPr>
        <w:t xml:space="preserve"> </w:t>
      </w:r>
      <w:r w:rsidR="00637CAE">
        <w:rPr>
          <w:rFonts w:ascii="Arial" w:hAnsi="Arial" w:cs="Arial"/>
          <w:sz w:val="24"/>
          <w:szCs w:val="24"/>
          <w:lang w:val="es-ES_tradnl" w:eastAsia="es-ES"/>
        </w:rPr>
        <w:t xml:space="preserve">la legalidad del </w:t>
      </w:r>
      <w:r w:rsidR="00637CAE" w:rsidRPr="0054413E">
        <w:rPr>
          <w:rFonts w:ascii="Arial" w:hAnsi="Arial" w:cs="Arial"/>
          <w:i/>
          <w:iCs/>
          <w:sz w:val="24"/>
          <w:szCs w:val="24"/>
          <w:lang w:val="es-ES_tradnl" w:eastAsia="es-ES"/>
        </w:rPr>
        <w:t xml:space="preserve">Acuerdo de financiamiento para </w:t>
      </w:r>
      <w:proofErr w:type="gramStart"/>
      <w:r w:rsidR="008C20DD" w:rsidRPr="0054413E">
        <w:rPr>
          <w:rFonts w:ascii="Arial" w:hAnsi="Arial" w:cs="Arial"/>
          <w:i/>
          <w:iCs/>
          <w:sz w:val="24"/>
          <w:szCs w:val="24"/>
          <w:lang w:val="es-ES_tradnl" w:eastAsia="es-ES"/>
        </w:rPr>
        <w:t>independientes</w:t>
      </w:r>
      <w:r w:rsidR="00F61382">
        <w:rPr>
          <w:rFonts w:ascii="Arial" w:hAnsi="Arial" w:cs="Arial"/>
          <w:i/>
          <w:iCs/>
          <w:sz w:val="24"/>
          <w:szCs w:val="24"/>
          <w:lang w:val="es-ES_tradnl" w:eastAsia="es-ES"/>
        </w:rPr>
        <w:t>,</w:t>
      </w:r>
      <w:proofErr w:type="gramEnd"/>
      <w:r w:rsidR="00941F49">
        <w:rPr>
          <w:rFonts w:ascii="Arial" w:hAnsi="Arial" w:cs="Arial"/>
          <w:i/>
          <w:iCs/>
          <w:sz w:val="24"/>
          <w:szCs w:val="24"/>
          <w:lang w:val="es-ES_tradnl" w:eastAsia="es-ES"/>
        </w:rPr>
        <w:t xml:space="preserve"> </w:t>
      </w:r>
      <w:r w:rsidR="00941F49">
        <w:rPr>
          <w:rFonts w:ascii="Arial" w:hAnsi="Arial" w:cs="Arial"/>
          <w:sz w:val="24"/>
          <w:szCs w:val="24"/>
          <w:lang w:val="es-ES_tradnl" w:eastAsia="es-ES"/>
        </w:rPr>
        <w:t xml:space="preserve">no fue </w:t>
      </w:r>
      <w:r w:rsidR="008C20DD">
        <w:rPr>
          <w:rFonts w:ascii="Arial" w:hAnsi="Arial" w:cs="Arial"/>
          <w:sz w:val="24"/>
          <w:szCs w:val="24"/>
          <w:lang w:val="es-ES_tradnl" w:eastAsia="es-ES"/>
        </w:rPr>
        <w:t>analizado</w:t>
      </w:r>
      <w:r w:rsidR="00941F49">
        <w:rPr>
          <w:rFonts w:ascii="Arial" w:hAnsi="Arial" w:cs="Arial"/>
          <w:sz w:val="24"/>
          <w:szCs w:val="24"/>
          <w:lang w:val="es-ES_tradnl" w:eastAsia="es-ES"/>
        </w:rPr>
        <w:t xml:space="preserve"> por el </w:t>
      </w:r>
      <w:r w:rsidR="00941F49">
        <w:rPr>
          <w:rFonts w:ascii="Arial" w:hAnsi="Arial" w:cs="Arial"/>
          <w:i/>
          <w:iCs/>
          <w:sz w:val="24"/>
          <w:szCs w:val="24"/>
          <w:lang w:val="es-ES_tradnl" w:eastAsia="es-ES"/>
        </w:rPr>
        <w:t>Tribunal local.</w:t>
      </w:r>
    </w:p>
    <w:p w14:paraId="6CB12910" w14:textId="77777777" w:rsidR="00637CAE" w:rsidRPr="00637CAE" w:rsidRDefault="00637CAE" w:rsidP="00B04DB8">
      <w:pPr>
        <w:pStyle w:val="Prrafodelista"/>
        <w:spacing w:line="360" w:lineRule="auto"/>
        <w:rPr>
          <w:rFonts w:ascii="Arial" w:hAnsi="Arial" w:cs="Arial"/>
          <w:sz w:val="24"/>
          <w:szCs w:val="24"/>
          <w:lang w:val="es-ES_tradnl" w:eastAsia="es-ES"/>
        </w:rPr>
      </w:pPr>
    </w:p>
    <w:p w14:paraId="63814D8F" w14:textId="77777777" w:rsidR="00637CAE" w:rsidRPr="00637CAE" w:rsidRDefault="00637CAE" w:rsidP="004608C7">
      <w:pPr>
        <w:pStyle w:val="Prrafodelista"/>
        <w:numPr>
          <w:ilvl w:val="0"/>
          <w:numId w:val="25"/>
        </w:numPr>
        <w:spacing w:before="240" w:after="240" w:line="360" w:lineRule="auto"/>
        <w:jc w:val="both"/>
        <w:rPr>
          <w:rFonts w:ascii="Arial" w:hAnsi="Arial" w:cs="Arial"/>
          <w:sz w:val="24"/>
          <w:szCs w:val="24"/>
          <w:lang w:val="es-ES_tradnl" w:eastAsia="es-ES"/>
        </w:rPr>
      </w:pPr>
      <w:r>
        <w:rPr>
          <w:rFonts w:ascii="Arial" w:hAnsi="Arial" w:cs="Arial"/>
          <w:sz w:val="24"/>
          <w:szCs w:val="24"/>
          <w:lang w:val="es-ES_tradnl" w:eastAsia="es-ES"/>
        </w:rPr>
        <w:t xml:space="preserve">La autoridad indebidamente analiza el </w:t>
      </w:r>
      <w:r w:rsidRPr="0054413E">
        <w:rPr>
          <w:rFonts w:ascii="Arial" w:hAnsi="Arial" w:cs="Arial"/>
          <w:i/>
          <w:iCs/>
          <w:sz w:val="24"/>
          <w:szCs w:val="24"/>
          <w:lang w:val="es-ES_tradnl" w:eastAsia="es-ES"/>
        </w:rPr>
        <w:t>Acuerdo de financiamiento para independientes</w:t>
      </w:r>
      <w:r>
        <w:rPr>
          <w:rFonts w:ascii="Arial" w:hAnsi="Arial" w:cs="Arial"/>
          <w:i/>
          <w:iCs/>
          <w:sz w:val="24"/>
          <w:szCs w:val="24"/>
          <w:lang w:val="es-ES_tradnl" w:eastAsia="es-ES"/>
        </w:rPr>
        <w:t xml:space="preserve"> </w:t>
      </w:r>
      <w:r>
        <w:rPr>
          <w:rFonts w:ascii="Arial" w:hAnsi="Arial" w:cs="Arial"/>
          <w:sz w:val="24"/>
          <w:szCs w:val="24"/>
          <w:lang w:val="es-ES_tradnl" w:eastAsia="es-ES"/>
        </w:rPr>
        <w:t xml:space="preserve">en virtud de que se trata de una consecuencia del </w:t>
      </w:r>
      <w:r w:rsidRPr="0095439E">
        <w:rPr>
          <w:rFonts w:ascii="Arial" w:hAnsi="Arial" w:cs="Arial"/>
          <w:i/>
          <w:iCs/>
          <w:sz w:val="24"/>
          <w:szCs w:val="24"/>
          <w:lang w:val="es-ES_tradnl" w:eastAsia="es-ES"/>
        </w:rPr>
        <w:t>Acuerdo de financiamiento anual</w:t>
      </w:r>
      <w:r>
        <w:rPr>
          <w:rFonts w:ascii="Arial" w:hAnsi="Arial" w:cs="Arial"/>
          <w:i/>
          <w:iCs/>
          <w:sz w:val="24"/>
          <w:szCs w:val="24"/>
          <w:lang w:val="es-ES_tradnl" w:eastAsia="es-ES"/>
        </w:rPr>
        <w:t xml:space="preserve"> </w:t>
      </w:r>
      <w:r>
        <w:rPr>
          <w:rFonts w:ascii="Arial" w:hAnsi="Arial" w:cs="Arial"/>
          <w:sz w:val="24"/>
          <w:szCs w:val="24"/>
          <w:lang w:val="es-ES_tradnl" w:eastAsia="es-ES"/>
        </w:rPr>
        <w:t>que no fue impugnado por los ahí recurrentes al momento de su emisión o cuando les pudo haber ocasionado algún perjuicio, además de que omite exponer por qué revoca el primero de los</w:t>
      </w:r>
      <w:r w:rsidR="008C20DD">
        <w:rPr>
          <w:rFonts w:ascii="Arial" w:hAnsi="Arial" w:cs="Arial"/>
          <w:sz w:val="24"/>
          <w:szCs w:val="24"/>
          <w:lang w:val="es-ES_tradnl" w:eastAsia="es-ES"/>
        </w:rPr>
        <w:t xml:space="preserve"> </w:t>
      </w:r>
      <w:r>
        <w:rPr>
          <w:rFonts w:ascii="Arial" w:hAnsi="Arial" w:cs="Arial"/>
          <w:sz w:val="24"/>
          <w:szCs w:val="24"/>
          <w:lang w:val="es-ES_tradnl" w:eastAsia="es-ES"/>
        </w:rPr>
        <w:t>mencionados acuerdos sin modificar el último</w:t>
      </w:r>
      <w:r w:rsidR="005725EA">
        <w:rPr>
          <w:rFonts w:ascii="Arial" w:hAnsi="Arial" w:cs="Arial"/>
          <w:sz w:val="24"/>
          <w:szCs w:val="24"/>
          <w:lang w:val="es-ES_tradnl" w:eastAsia="es-ES"/>
        </w:rPr>
        <w:t xml:space="preserve"> referido</w:t>
      </w:r>
      <w:r>
        <w:rPr>
          <w:rFonts w:ascii="Arial" w:hAnsi="Arial" w:cs="Arial"/>
          <w:i/>
          <w:iCs/>
          <w:sz w:val="24"/>
          <w:szCs w:val="24"/>
          <w:lang w:val="es-ES_tradnl" w:eastAsia="es-ES"/>
        </w:rPr>
        <w:t>.</w:t>
      </w:r>
    </w:p>
    <w:p w14:paraId="728965CD" w14:textId="77777777" w:rsidR="00637CAE" w:rsidRPr="00637CAE" w:rsidRDefault="00637CAE" w:rsidP="00637CAE">
      <w:pPr>
        <w:pStyle w:val="Prrafodelista"/>
        <w:rPr>
          <w:rFonts w:ascii="Arial" w:hAnsi="Arial" w:cs="Arial"/>
          <w:sz w:val="24"/>
          <w:szCs w:val="24"/>
          <w:lang w:val="es-ES_tradnl" w:eastAsia="es-ES"/>
        </w:rPr>
      </w:pPr>
    </w:p>
    <w:p w14:paraId="1C13572C" w14:textId="1643457C" w:rsidR="00637CAE" w:rsidRDefault="00637CAE" w:rsidP="004608C7">
      <w:pPr>
        <w:pStyle w:val="Prrafodelista"/>
        <w:numPr>
          <w:ilvl w:val="0"/>
          <w:numId w:val="25"/>
        </w:numPr>
        <w:spacing w:before="240" w:after="240" w:line="360" w:lineRule="auto"/>
        <w:jc w:val="both"/>
        <w:rPr>
          <w:rFonts w:ascii="Arial" w:hAnsi="Arial" w:cs="Arial"/>
          <w:sz w:val="24"/>
          <w:szCs w:val="24"/>
          <w:lang w:val="es-ES_tradnl" w:eastAsia="es-ES"/>
        </w:rPr>
      </w:pPr>
      <w:r>
        <w:rPr>
          <w:rFonts w:ascii="Arial" w:hAnsi="Arial" w:cs="Arial"/>
          <w:sz w:val="24"/>
          <w:szCs w:val="24"/>
          <w:lang w:val="es-ES_tradnl" w:eastAsia="es-ES"/>
        </w:rPr>
        <w:lastRenderedPageBreak/>
        <w:t xml:space="preserve">Que el recurso interpuesto por </w:t>
      </w:r>
      <w:r w:rsidR="009C332C">
        <w:rPr>
          <w:rFonts w:ascii="Arial" w:hAnsi="Arial" w:cs="Arial"/>
          <w:sz w:val="24"/>
          <w:szCs w:val="24"/>
          <w:lang w:val="es-ES_tradnl" w:eastAsia="es-ES"/>
        </w:rPr>
        <w:t>José Julio González Landeros</w:t>
      </w:r>
      <w:r>
        <w:rPr>
          <w:rFonts w:ascii="Arial" w:hAnsi="Arial" w:cs="Arial"/>
          <w:sz w:val="24"/>
          <w:szCs w:val="24"/>
          <w:lang w:val="es-ES_tradnl" w:eastAsia="es-ES"/>
        </w:rPr>
        <w:t xml:space="preserve"> es extemporáneo </w:t>
      </w:r>
      <w:r w:rsidR="00A0053D">
        <w:rPr>
          <w:rFonts w:ascii="Arial" w:hAnsi="Arial" w:cs="Arial"/>
          <w:sz w:val="24"/>
          <w:szCs w:val="24"/>
          <w:lang w:val="es-ES_tradnl" w:eastAsia="es-ES"/>
        </w:rPr>
        <w:t xml:space="preserve">pues </w:t>
      </w:r>
      <w:r>
        <w:rPr>
          <w:rFonts w:ascii="Arial" w:hAnsi="Arial" w:cs="Arial"/>
          <w:sz w:val="24"/>
          <w:szCs w:val="24"/>
          <w:lang w:val="es-ES_tradnl" w:eastAsia="es-ES"/>
        </w:rPr>
        <w:t>tuvo conocimiento</w:t>
      </w:r>
      <w:r w:rsidR="002D7BD4">
        <w:rPr>
          <w:rFonts w:ascii="Arial" w:hAnsi="Arial" w:cs="Arial"/>
          <w:sz w:val="24"/>
          <w:szCs w:val="24"/>
          <w:lang w:val="es-ES_tradnl" w:eastAsia="es-ES"/>
        </w:rPr>
        <w:t xml:space="preserve"> del </w:t>
      </w:r>
      <w:r w:rsidR="002D7BD4" w:rsidRPr="0054413E">
        <w:rPr>
          <w:rFonts w:ascii="Arial" w:hAnsi="Arial" w:cs="Arial"/>
          <w:i/>
          <w:iCs/>
          <w:sz w:val="24"/>
          <w:szCs w:val="24"/>
          <w:lang w:val="es-ES_tradnl" w:eastAsia="es-ES"/>
        </w:rPr>
        <w:t>Acuerdo de financiamiento para independientes</w:t>
      </w:r>
      <w:r w:rsidR="002D7BD4">
        <w:rPr>
          <w:rFonts w:ascii="Arial" w:hAnsi="Arial" w:cs="Arial"/>
          <w:sz w:val="24"/>
          <w:szCs w:val="24"/>
          <w:lang w:val="es-ES_tradnl" w:eastAsia="es-ES"/>
        </w:rPr>
        <w:t xml:space="preserve"> el cinco de abril, al haber estado pendiente de la sesión del </w:t>
      </w:r>
      <w:r w:rsidR="002D7BD4">
        <w:rPr>
          <w:rFonts w:ascii="Arial" w:hAnsi="Arial" w:cs="Arial"/>
          <w:i/>
          <w:iCs/>
          <w:sz w:val="24"/>
          <w:szCs w:val="24"/>
          <w:lang w:val="es-ES_tradnl" w:eastAsia="es-ES"/>
        </w:rPr>
        <w:t>Consejo General</w:t>
      </w:r>
      <w:r w:rsidR="002D7BD4">
        <w:rPr>
          <w:rFonts w:ascii="Arial" w:hAnsi="Arial" w:cs="Arial"/>
          <w:sz w:val="24"/>
          <w:szCs w:val="24"/>
          <w:lang w:val="es-ES_tradnl" w:eastAsia="es-ES"/>
        </w:rPr>
        <w:t xml:space="preserve"> en la cual, además de haberse emitido dicho acuerdo, se aprobó su registro como candidato independiente.</w:t>
      </w:r>
    </w:p>
    <w:p w14:paraId="2DCD66F0" w14:textId="7B6AFBCE" w:rsidR="006F6344" w:rsidRPr="006F6344" w:rsidRDefault="006F6344" w:rsidP="006F6344">
      <w:pPr>
        <w:spacing w:before="240" w:after="240" w:line="360" w:lineRule="auto"/>
        <w:jc w:val="both"/>
        <w:rPr>
          <w:rFonts w:ascii="Arial" w:hAnsi="Arial" w:cs="Arial"/>
          <w:sz w:val="24"/>
          <w:szCs w:val="24"/>
          <w:lang w:val="es-ES_tradnl" w:eastAsia="es-ES"/>
        </w:rPr>
      </w:pPr>
      <w:r>
        <w:rPr>
          <w:rFonts w:ascii="Arial" w:hAnsi="Arial" w:cs="Arial"/>
          <w:sz w:val="24"/>
          <w:szCs w:val="24"/>
          <w:lang w:val="es-ES_tradnl"/>
        </w:rPr>
        <w:t xml:space="preserve">Tomando en cuenta que en el motivo de inconformidad identificado con el inciso </w:t>
      </w:r>
      <w:r w:rsidRPr="006F6344">
        <w:rPr>
          <w:rFonts w:ascii="Arial" w:hAnsi="Arial" w:cs="Arial"/>
          <w:b/>
          <w:bCs/>
          <w:sz w:val="24"/>
          <w:szCs w:val="24"/>
          <w:lang w:val="es-ES_tradnl"/>
        </w:rPr>
        <w:t>a)</w:t>
      </w:r>
      <w:r>
        <w:rPr>
          <w:rFonts w:ascii="Arial" w:hAnsi="Arial" w:cs="Arial"/>
          <w:sz w:val="24"/>
          <w:szCs w:val="24"/>
          <w:lang w:val="es-ES_tradnl"/>
        </w:rPr>
        <w:t xml:space="preserve">, se alega una indebida interpretación de los artículos </w:t>
      </w:r>
      <w:r>
        <w:rPr>
          <w:rFonts w:ascii="Arial" w:hAnsi="Arial" w:cs="Arial"/>
          <w:sz w:val="24"/>
          <w:szCs w:val="24"/>
          <w:lang w:val="es-ES_tradnl" w:eastAsia="es-ES"/>
        </w:rPr>
        <w:t>333 y 334 de la</w:t>
      </w:r>
      <w:r>
        <w:rPr>
          <w:rFonts w:ascii="Arial" w:hAnsi="Arial" w:cs="Arial"/>
          <w:i/>
          <w:iCs/>
          <w:sz w:val="24"/>
          <w:szCs w:val="24"/>
          <w:lang w:val="es-ES_tradnl" w:eastAsia="es-ES"/>
        </w:rPr>
        <w:t xml:space="preserve"> Ley local</w:t>
      </w:r>
      <w:r>
        <w:rPr>
          <w:rFonts w:ascii="Arial" w:hAnsi="Arial" w:cs="Arial"/>
          <w:sz w:val="24"/>
          <w:szCs w:val="24"/>
          <w:lang w:val="es-ES_tradnl"/>
        </w:rPr>
        <w:t>, por cuestión metodológica, dada su entidad, y que, de resultar fundado, alcanzaría su pretensión el accionante, se analizará en primer orden dicho agravio, y en su caso, de ser necesario los restantes</w:t>
      </w:r>
      <w:r w:rsidRPr="007D573A">
        <w:rPr>
          <w:rStyle w:val="Refdenotaalpie"/>
          <w:rFonts w:ascii="Arial" w:hAnsi="Arial"/>
          <w:sz w:val="24"/>
          <w:szCs w:val="24"/>
        </w:rPr>
        <w:footnoteReference w:id="2"/>
      </w:r>
      <w:r w:rsidRPr="007D573A">
        <w:rPr>
          <w:rFonts w:ascii="Arial" w:hAnsi="Arial" w:cs="Arial"/>
          <w:sz w:val="24"/>
          <w:szCs w:val="24"/>
          <w:lang w:val="es-ES_tradnl"/>
        </w:rPr>
        <w:t>.</w:t>
      </w:r>
    </w:p>
    <w:p w14:paraId="2D03E377" w14:textId="25749B3A" w:rsidR="0038757E" w:rsidRPr="003864A2" w:rsidRDefault="00CA5A57" w:rsidP="003864A2">
      <w:pPr>
        <w:tabs>
          <w:tab w:val="left" w:pos="2646"/>
        </w:tabs>
        <w:spacing w:before="240" w:after="240" w:line="360" w:lineRule="auto"/>
        <w:jc w:val="both"/>
        <w:outlineLvl w:val="1"/>
        <w:rPr>
          <w:rFonts w:ascii="Arial" w:eastAsia="Calibri" w:hAnsi="Arial" w:cs="Arial"/>
          <w:b/>
          <w:bCs/>
          <w:sz w:val="24"/>
          <w:szCs w:val="24"/>
          <w:lang w:val="es-ES_tradnl"/>
        </w:rPr>
      </w:pPr>
      <w:bookmarkStart w:id="33" w:name="_Toc71932159"/>
      <w:bookmarkEnd w:id="31"/>
      <w:r w:rsidRPr="003864A2">
        <w:rPr>
          <w:rFonts w:ascii="Arial" w:eastAsia="Calibri" w:hAnsi="Arial" w:cs="Arial"/>
          <w:b/>
          <w:bCs/>
          <w:sz w:val="24"/>
          <w:szCs w:val="24"/>
          <w:lang w:val="es-ES_tradnl"/>
        </w:rPr>
        <w:t>4</w:t>
      </w:r>
      <w:r w:rsidR="0038757E" w:rsidRPr="003864A2">
        <w:rPr>
          <w:rFonts w:ascii="Arial" w:eastAsia="Calibri" w:hAnsi="Arial" w:cs="Arial"/>
          <w:b/>
          <w:bCs/>
          <w:sz w:val="24"/>
          <w:szCs w:val="24"/>
          <w:lang w:val="es-ES_tradnl"/>
        </w:rPr>
        <w:t xml:space="preserve">.2. </w:t>
      </w:r>
      <w:proofErr w:type="gramStart"/>
      <w:r w:rsidR="0038757E" w:rsidRPr="003864A2">
        <w:rPr>
          <w:rFonts w:ascii="Arial" w:eastAsia="Calibri" w:hAnsi="Arial" w:cs="Arial"/>
          <w:b/>
          <w:bCs/>
          <w:sz w:val="24"/>
          <w:szCs w:val="24"/>
          <w:lang w:val="es-ES_tradnl"/>
        </w:rPr>
        <w:t>Cuestión a resolver</w:t>
      </w:r>
      <w:bookmarkEnd w:id="33"/>
      <w:proofErr w:type="gramEnd"/>
    </w:p>
    <w:p w14:paraId="093A13B7" w14:textId="77777777" w:rsidR="00B37E00" w:rsidRPr="003864A2" w:rsidRDefault="002D7BD4" w:rsidP="003864A2">
      <w:pPr>
        <w:tabs>
          <w:tab w:val="left" w:pos="851"/>
          <w:tab w:val="left" w:pos="2646"/>
        </w:tabs>
        <w:spacing w:before="240" w:after="240" w:line="360" w:lineRule="auto"/>
        <w:jc w:val="both"/>
        <w:rPr>
          <w:rFonts w:ascii="Arial" w:eastAsia="Calibri" w:hAnsi="Arial" w:cs="Arial"/>
          <w:bCs/>
          <w:sz w:val="24"/>
          <w:szCs w:val="24"/>
          <w:lang w:val="es-ES_tradnl"/>
        </w:rPr>
      </w:pPr>
      <w:r>
        <w:rPr>
          <w:rFonts w:ascii="Arial" w:hAnsi="Arial" w:cs="Arial"/>
          <w:sz w:val="24"/>
          <w:szCs w:val="24"/>
        </w:rPr>
        <w:t xml:space="preserve">Esta Sala Regional habrá de analizar los planteamientos expuestos, a fin de responder si fue correcto o no que el </w:t>
      </w:r>
      <w:r>
        <w:rPr>
          <w:rFonts w:ascii="Arial" w:hAnsi="Arial" w:cs="Arial"/>
          <w:i/>
          <w:sz w:val="24"/>
          <w:szCs w:val="24"/>
        </w:rPr>
        <w:t>Tribunal local</w:t>
      </w:r>
      <w:r>
        <w:rPr>
          <w:rFonts w:ascii="Arial" w:hAnsi="Arial" w:cs="Arial"/>
          <w:sz w:val="24"/>
          <w:szCs w:val="24"/>
        </w:rPr>
        <w:t xml:space="preserve"> revocara el </w:t>
      </w:r>
      <w:r w:rsidRPr="0054413E">
        <w:rPr>
          <w:rFonts w:ascii="Arial" w:hAnsi="Arial" w:cs="Arial"/>
          <w:i/>
          <w:iCs/>
          <w:sz w:val="24"/>
          <w:szCs w:val="24"/>
          <w:lang w:val="es-ES_tradnl" w:eastAsia="es-ES"/>
        </w:rPr>
        <w:t>Acuerdo de financiamiento para independientes</w:t>
      </w:r>
      <w:r>
        <w:rPr>
          <w:rFonts w:ascii="Arial" w:hAnsi="Arial" w:cs="Arial"/>
          <w:sz w:val="24"/>
          <w:szCs w:val="24"/>
        </w:rPr>
        <w:t>.</w:t>
      </w:r>
    </w:p>
    <w:p w14:paraId="141311E6" w14:textId="77777777" w:rsidR="0038757E" w:rsidRPr="003864A2" w:rsidRDefault="00CA5A57" w:rsidP="003864A2">
      <w:pPr>
        <w:tabs>
          <w:tab w:val="left" w:pos="2646"/>
        </w:tabs>
        <w:spacing w:before="240" w:after="240" w:line="360" w:lineRule="auto"/>
        <w:jc w:val="both"/>
        <w:outlineLvl w:val="1"/>
        <w:rPr>
          <w:rFonts w:ascii="Arial" w:eastAsia="Calibri" w:hAnsi="Arial" w:cs="Arial"/>
          <w:b/>
          <w:bCs/>
          <w:sz w:val="24"/>
          <w:szCs w:val="24"/>
          <w:lang w:val="es-ES_tradnl"/>
        </w:rPr>
      </w:pPr>
      <w:bookmarkStart w:id="34" w:name="_Toc71932160"/>
      <w:r w:rsidRPr="003864A2">
        <w:rPr>
          <w:rFonts w:ascii="Arial" w:eastAsia="Calibri" w:hAnsi="Arial" w:cs="Arial"/>
          <w:b/>
          <w:bCs/>
          <w:sz w:val="24"/>
          <w:szCs w:val="24"/>
          <w:lang w:val="es-ES_tradnl"/>
        </w:rPr>
        <w:t>4</w:t>
      </w:r>
      <w:r w:rsidR="0038757E" w:rsidRPr="003864A2">
        <w:rPr>
          <w:rFonts w:ascii="Arial" w:eastAsia="Calibri" w:hAnsi="Arial" w:cs="Arial"/>
          <w:b/>
          <w:bCs/>
          <w:sz w:val="24"/>
          <w:szCs w:val="24"/>
          <w:lang w:val="es-ES_tradnl"/>
        </w:rPr>
        <w:t>.3. Decisión</w:t>
      </w:r>
      <w:bookmarkEnd w:id="34"/>
      <w:r w:rsidR="0038757E" w:rsidRPr="003864A2">
        <w:rPr>
          <w:rFonts w:ascii="Arial" w:eastAsia="Calibri" w:hAnsi="Arial" w:cs="Arial"/>
          <w:b/>
          <w:bCs/>
          <w:sz w:val="24"/>
          <w:szCs w:val="24"/>
          <w:lang w:val="es-ES_tradnl"/>
        </w:rPr>
        <w:t xml:space="preserve"> </w:t>
      </w:r>
    </w:p>
    <w:p w14:paraId="3AA263CB" w14:textId="5DA08F77" w:rsidR="006C0050" w:rsidRPr="00F61382" w:rsidRDefault="002D7BD4" w:rsidP="003864A2">
      <w:pPr>
        <w:spacing w:before="240" w:after="240" w:line="360" w:lineRule="auto"/>
        <w:jc w:val="both"/>
        <w:rPr>
          <w:rFonts w:ascii="Arial" w:eastAsia="Calibri" w:hAnsi="Arial" w:cs="Arial"/>
          <w:sz w:val="24"/>
          <w:szCs w:val="24"/>
          <w:lang w:val="es-ES_tradnl"/>
        </w:rPr>
      </w:pPr>
      <w:r w:rsidRPr="00F5042C">
        <w:rPr>
          <w:rFonts w:ascii="Arial" w:hAnsi="Arial" w:cs="Arial"/>
          <w:sz w:val="24"/>
          <w:szCs w:val="24"/>
        </w:rPr>
        <w:t xml:space="preserve">Debe </w:t>
      </w:r>
      <w:r w:rsidR="00783D1B" w:rsidRPr="00F5042C">
        <w:rPr>
          <w:rFonts w:ascii="Arial" w:hAnsi="Arial" w:cs="Arial"/>
          <w:b/>
          <w:sz w:val="24"/>
          <w:szCs w:val="24"/>
        </w:rPr>
        <w:t>revocarse</w:t>
      </w:r>
      <w:r w:rsidRPr="00F5042C">
        <w:rPr>
          <w:rFonts w:ascii="Arial" w:hAnsi="Arial" w:cs="Arial"/>
          <w:bCs/>
          <w:sz w:val="24"/>
          <w:szCs w:val="24"/>
          <w:lang w:val="es-ES"/>
        </w:rPr>
        <w:t xml:space="preserve"> </w:t>
      </w:r>
      <w:r w:rsidRPr="00F5042C">
        <w:rPr>
          <w:rFonts w:ascii="Arial" w:hAnsi="Arial" w:cs="Arial"/>
          <w:sz w:val="24"/>
          <w:szCs w:val="24"/>
        </w:rPr>
        <w:t>la resolución controvertida porque</w:t>
      </w:r>
      <w:r w:rsidR="007B21F5" w:rsidRPr="00F5042C">
        <w:rPr>
          <w:rFonts w:ascii="Arial" w:hAnsi="Arial" w:cs="Arial"/>
          <w:sz w:val="24"/>
          <w:szCs w:val="24"/>
        </w:rPr>
        <w:t>,</w:t>
      </w:r>
      <w:r w:rsidR="00783D1B" w:rsidRPr="00F5042C">
        <w:rPr>
          <w:rFonts w:ascii="Arial" w:hAnsi="Arial" w:cs="Arial"/>
          <w:sz w:val="24"/>
          <w:szCs w:val="24"/>
        </w:rPr>
        <w:t xml:space="preserve"> </w:t>
      </w:r>
      <w:r w:rsidR="007B21F5" w:rsidRPr="00F5042C">
        <w:rPr>
          <w:rFonts w:ascii="Arial" w:hAnsi="Arial" w:cs="Arial"/>
          <w:sz w:val="24"/>
          <w:szCs w:val="24"/>
        </w:rPr>
        <w:t xml:space="preserve">contrario a lo que determinó el </w:t>
      </w:r>
      <w:r w:rsidR="007B21F5" w:rsidRPr="00F5042C">
        <w:rPr>
          <w:rFonts w:ascii="Arial" w:hAnsi="Arial" w:cs="Arial"/>
          <w:i/>
          <w:iCs/>
          <w:sz w:val="24"/>
          <w:szCs w:val="24"/>
        </w:rPr>
        <w:t xml:space="preserve">Tribunal local </w:t>
      </w:r>
      <w:r w:rsidR="007B21F5" w:rsidRPr="00F5042C">
        <w:rPr>
          <w:rFonts w:ascii="Arial" w:hAnsi="Arial" w:cs="Arial"/>
          <w:sz w:val="24"/>
          <w:szCs w:val="24"/>
        </w:rPr>
        <w:t xml:space="preserve">derivado de su interpretación de los artículos </w:t>
      </w:r>
      <w:r w:rsidR="007B21F5" w:rsidRPr="00F5042C">
        <w:rPr>
          <w:rFonts w:ascii="Arial" w:hAnsi="Arial" w:cs="Arial"/>
          <w:sz w:val="24"/>
          <w:szCs w:val="24"/>
          <w:lang w:val="es-ES_tradnl" w:eastAsia="es-ES"/>
        </w:rPr>
        <w:t>333 y 334 de la</w:t>
      </w:r>
      <w:r w:rsidR="007B21F5" w:rsidRPr="00F5042C">
        <w:rPr>
          <w:rFonts w:ascii="Arial" w:hAnsi="Arial" w:cs="Arial"/>
          <w:i/>
          <w:iCs/>
          <w:sz w:val="24"/>
          <w:szCs w:val="24"/>
          <w:lang w:val="es-ES_tradnl" w:eastAsia="es-ES"/>
        </w:rPr>
        <w:t xml:space="preserve"> Ley local</w:t>
      </w:r>
      <w:r w:rsidR="007B21F5" w:rsidRPr="00F5042C">
        <w:rPr>
          <w:rFonts w:ascii="Arial" w:hAnsi="Arial" w:cs="Arial"/>
          <w:sz w:val="24"/>
          <w:szCs w:val="24"/>
          <w:lang w:val="es-ES_tradnl"/>
        </w:rPr>
        <w:t>,</w:t>
      </w:r>
      <w:r w:rsidR="007B21F5" w:rsidRPr="00F5042C">
        <w:rPr>
          <w:rFonts w:ascii="Arial" w:hAnsi="Arial" w:cs="Arial"/>
          <w:sz w:val="24"/>
          <w:szCs w:val="24"/>
        </w:rPr>
        <w:t xml:space="preserve"> </w:t>
      </w:r>
      <w:r w:rsidR="00783D1B" w:rsidRPr="00F5042C">
        <w:rPr>
          <w:rFonts w:ascii="Arial" w:hAnsi="Arial" w:cs="Arial"/>
          <w:sz w:val="24"/>
          <w:szCs w:val="24"/>
        </w:rPr>
        <w:t>las candidaturas independientes en el Estado de Guanajuato sólo tienen derecho</w:t>
      </w:r>
      <w:r w:rsidR="00783D1B" w:rsidRPr="00941F49">
        <w:rPr>
          <w:rFonts w:ascii="Arial" w:hAnsi="Arial" w:cs="Arial"/>
          <w:sz w:val="24"/>
          <w:szCs w:val="24"/>
        </w:rPr>
        <w:t xml:space="preserve"> a que se le</w:t>
      </w:r>
      <w:r w:rsidR="00783D1B">
        <w:rPr>
          <w:rFonts w:ascii="Arial" w:hAnsi="Arial" w:cs="Arial"/>
          <w:sz w:val="24"/>
          <w:szCs w:val="24"/>
        </w:rPr>
        <w:t>s</w:t>
      </w:r>
      <w:r w:rsidR="00783D1B" w:rsidRPr="00941F49">
        <w:rPr>
          <w:rFonts w:ascii="Arial" w:hAnsi="Arial" w:cs="Arial"/>
          <w:sz w:val="24"/>
          <w:szCs w:val="24"/>
        </w:rPr>
        <w:t xml:space="preserve"> </w:t>
      </w:r>
      <w:r w:rsidR="00783D1B">
        <w:rPr>
          <w:rFonts w:ascii="Arial" w:hAnsi="Arial" w:cs="Arial"/>
          <w:sz w:val="24"/>
          <w:szCs w:val="24"/>
        </w:rPr>
        <w:t>otorgue, para gastos de campaña,</w:t>
      </w:r>
      <w:r w:rsidR="00783D1B" w:rsidRPr="000221C6">
        <w:rPr>
          <w:rFonts w:ascii="Arial" w:hAnsi="Arial" w:cs="Arial"/>
          <w:sz w:val="24"/>
          <w:szCs w:val="24"/>
        </w:rPr>
        <w:t xml:space="preserve"> </w:t>
      </w:r>
      <w:r w:rsidR="00783D1B" w:rsidRPr="008554D7">
        <w:rPr>
          <w:rFonts w:ascii="Arial" w:hAnsi="Arial" w:cs="Arial"/>
          <w:sz w:val="24"/>
          <w:szCs w:val="24"/>
        </w:rPr>
        <w:t>el monto que</w:t>
      </w:r>
      <w:r w:rsidR="000D7600">
        <w:rPr>
          <w:rFonts w:ascii="Arial" w:hAnsi="Arial" w:cs="Arial"/>
          <w:sz w:val="24"/>
          <w:szCs w:val="24"/>
        </w:rPr>
        <w:t xml:space="preserve"> para dicho rubro</w:t>
      </w:r>
      <w:r w:rsidR="00783D1B" w:rsidRPr="008554D7">
        <w:rPr>
          <w:rFonts w:ascii="Arial" w:hAnsi="Arial" w:cs="Arial"/>
          <w:sz w:val="24"/>
          <w:szCs w:val="24"/>
        </w:rPr>
        <w:t xml:space="preserve"> se asigna a un partido político de nueva creación</w:t>
      </w:r>
      <w:r w:rsidR="00F61382">
        <w:rPr>
          <w:rFonts w:ascii="Arial" w:eastAsia="Calibri" w:hAnsi="Arial" w:cs="Arial"/>
          <w:sz w:val="24"/>
          <w:szCs w:val="24"/>
          <w:lang w:val="es-ES_tradnl"/>
        </w:rPr>
        <w:t>.</w:t>
      </w:r>
    </w:p>
    <w:p w14:paraId="02DB4847" w14:textId="73125726" w:rsidR="00315B8C" w:rsidRDefault="00CA5A57" w:rsidP="003864A2">
      <w:pPr>
        <w:tabs>
          <w:tab w:val="left" w:pos="2646"/>
        </w:tabs>
        <w:spacing w:before="240" w:after="240" w:line="360" w:lineRule="auto"/>
        <w:jc w:val="both"/>
        <w:outlineLvl w:val="1"/>
        <w:rPr>
          <w:rFonts w:ascii="Arial" w:eastAsia="Calibri" w:hAnsi="Arial" w:cs="Arial"/>
          <w:b/>
          <w:bCs/>
          <w:sz w:val="24"/>
          <w:szCs w:val="24"/>
          <w:lang w:val="es-ES_tradnl"/>
        </w:rPr>
      </w:pPr>
      <w:bookmarkStart w:id="35" w:name="_Toc71932161"/>
      <w:bookmarkStart w:id="36" w:name="_Hlk11789240"/>
      <w:r w:rsidRPr="003864A2">
        <w:rPr>
          <w:rFonts w:ascii="Arial" w:eastAsia="Calibri" w:hAnsi="Arial" w:cs="Arial"/>
          <w:b/>
          <w:bCs/>
          <w:sz w:val="24"/>
          <w:szCs w:val="24"/>
          <w:lang w:val="es-ES_tradnl"/>
        </w:rPr>
        <w:t>4</w:t>
      </w:r>
      <w:r w:rsidR="0038757E" w:rsidRPr="003864A2">
        <w:rPr>
          <w:rFonts w:ascii="Arial" w:eastAsia="Calibri" w:hAnsi="Arial" w:cs="Arial"/>
          <w:b/>
          <w:bCs/>
          <w:sz w:val="24"/>
          <w:szCs w:val="24"/>
          <w:lang w:val="es-ES_tradnl"/>
        </w:rPr>
        <w:t>.4. Justificación de la decisión</w:t>
      </w:r>
      <w:bookmarkEnd w:id="35"/>
    </w:p>
    <w:p w14:paraId="21A654BA" w14:textId="3E3880AD" w:rsidR="006F6344" w:rsidRDefault="006F6344" w:rsidP="006F6344">
      <w:pPr>
        <w:rPr>
          <w:rFonts w:ascii="Arial" w:hAnsi="Arial" w:cs="Arial"/>
          <w:b/>
          <w:bCs/>
          <w:sz w:val="24"/>
          <w:szCs w:val="24"/>
          <w:lang w:val="es-ES_tradnl"/>
        </w:rPr>
      </w:pPr>
      <w:r w:rsidRPr="006F6344">
        <w:rPr>
          <w:rFonts w:ascii="Arial" w:hAnsi="Arial" w:cs="Arial"/>
          <w:b/>
          <w:bCs/>
          <w:sz w:val="24"/>
          <w:szCs w:val="24"/>
          <w:lang w:val="es-ES_tradnl"/>
        </w:rPr>
        <w:t>Marco normativo</w:t>
      </w:r>
    </w:p>
    <w:p w14:paraId="1C966111" w14:textId="3CE8965B" w:rsidR="00A04089" w:rsidRPr="00895A4F" w:rsidRDefault="00A04089" w:rsidP="00A04089">
      <w:pPr>
        <w:tabs>
          <w:tab w:val="left" w:pos="5461"/>
        </w:tabs>
        <w:spacing w:before="240" w:after="24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E</w:t>
      </w:r>
      <w:r w:rsidRPr="00895A4F">
        <w:rPr>
          <w:rFonts w:ascii="Arial" w:eastAsia="Times New Roman" w:hAnsi="Arial" w:cs="Arial"/>
          <w:sz w:val="24"/>
          <w:szCs w:val="24"/>
          <w:lang w:eastAsia="es-MX"/>
        </w:rPr>
        <w:t xml:space="preserve">l artículo 116, base IV, incisos k) y p), </w:t>
      </w:r>
      <w:r>
        <w:rPr>
          <w:rFonts w:ascii="Arial" w:eastAsia="Times New Roman" w:hAnsi="Arial" w:cs="Arial"/>
          <w:sz w:val="24"/>
          <w:szCs w:val="24"/>
          <w:lang w:eastAsia="es-MX"/>
        </w:rPr>
        <w:t xml:space="preserve">de la </w:t>
      </w:r>
      <w:r>
        <w:rPr>
          <w:rFonts w:ascii="Arial" w:eastAsia="Times New Roman" w:hAnsi="Arial" w:cs="Arial"/>
          <w:i/>
          <w:iCs/>
          <w:sz w:val="24"/>
          <w:szCs w:val="24"/>
          <w:lang w:eastAsia="es-MX"/>
        </w:rPr>
        <w:t>Constitución Federal,</w:t>
      </w:r>
      <w:r w:rsidRPr="00895A4F">
        <w:rPr>
          <w:rFonts w:ascii="Arial" w:eastAsia="Times New Roman" w:hAnsi="Arial" w:cs="Arial"/>
          <w:sz w:val="24"/>
          <w:szCs w:val="24"/>
          <w:lang w:eastAsia="es-MX"/>
        </w:rPr>
        <w:t xml:space="preserve"> establece que en las constituciones y Leyes de los Estados en materia electoral se garantizará, de conformidad con la referida </w:t>
      </w:r>
      <w:r w:rsidR="00374D0D">
        <w:rPr>
          <w:rFonts w:ascii="Arial" w:eastAsia="Times New Roman" w:hAnsi="Arial" w:cs="Arial"/>
          <w:sz w:val="24"/>
          <w:szCs w:val="24"/>
          <w:lang w:eastAsia="es-MX"/>
        </w:rPr>
        <w:t>ley suprema</w:t>
      </w:r>
      <w:r w:rsidRPr="00895A4F">
        <w:rPr>
          <w:rFonts w:ascii="Arial" w:eastAsia="Times New Roman" w:hAnsi="Arial" w:cs="Arial"/>
          <w:sz w:val="24"/>
          <w:szCs w:val="24"/>
          <w:lang w:eastAsia="es-MX"/>
        </w:rPr>
        <w:t xml:space="preserve"> y las leyes generales en la materia, que se fijen las bases y requisitos para que en las elecciones los ciudadanos soliciten su registro como candidatos para poder ser votados en forma independiente a todos los cargos de elección popular, a partir de lo </w:t>
      </w:r>
      <w:r w:rsidRPr="00895A4F">
        <w:rPr>
          <w:rFonts w:ascii="Arial" w:eastAsia="Times New Roman" w:hAnsi="Arial" w:cs="Arial"/>
          <w:sz w:val="24"/>
          <w:szCs w:val="24"/>
          <w:lang w:eastAsia="es-MX"/>
        </w:rPr>
        <w:lastRenderedPageBreak/>
        <w:t xml:space="preserve">dispuesto en el artículo 35 </w:t>
      </w:r>
      <w:r>
        <w:rPr>
          <w:rFonts w:ascii="Arial" w:eastAsia="Times New Roman" w:hAnsi="Arial" w:cs="Arial"/>
          <w:sz w:val="24"/>
          <w:szCs w:val="24"/>
          <w:lang w:eastAsia="es-MX"/>
        </w:rPr>
        <w:t>c</w:t>
      </w:r>
      <w:r w:rsidRPr="00895A4F">
        <w:rPr>
          <w:rFonts w:ascii="Arial" w:eastAsia="Times New Roman" w:hAnsi="Arial" w:cs="Arial"/>
          <w:sz w:val="24"/>
          <w:szCs w:val="24"/>
          <w:lang w:eastAsia="es-MX"/>
        </w:rPr>
        <w:t>onstitucional, aunado a que también se debe regular el régimen aplicable a la postulación, registro, derechos y obligaciones de los candidatos independientes, garantizando su derecho al financiamiento público y al acceso a la radio y la televisión.</w:t>
      </w:r>
    </w:p>
    <w:p w14:paraId="50168BDC" w14:textId="77777777" w:rsidR="00A04089" w:rsidRPr="00895A4F" w:rsidRDefault="00A04089" w:rsidP="00A04089">
      <w:pPr>
        <w:tabs>
          <w:tab w:val="left" w:pos="5461"/>
        </w:tabs>
        <w:spacing w:before="240" w:after="240" w:line="360" w:lineRule="auto"/>
        <w:jc w:val="both"/>
        <w:rPr>
          <w:rFonts w:ascii="Arial" w:eastAsia="Times New Roman" w:hAnsi="Arial" w:cs="Arial"/>
          <w:sz w:val="24"/>
          <w:szCs w:val="24"/>
          <w:lang w:eastAsia="es-MX"/>
        </w:rPr>
      </w:pPr>
      <w:r w:rsidRPr="00895A4F">
        <w:rPr>
          <w:rFonts w:ascii="Arial" w:eastAsia="Times New Roman" w:hAnsi="Arial" w:cs="Arial"/>
          <w:sz w:val="24"/>
          <w:szCs w:val="24"/>
          <w:lang w:eastAsia="es-MX"/>
        </w:rPr>
        <w:t>En ese sentido, la regulación de los procesos electorales locales, así como el establecimiento de las bases y requisitos para que los ciudadanos puedan participar como candidatos independientes en esos procesos electivos, se reservó por el constituyente a las entidades federativas, con la acotación de que la normativa correspondiente debe ser acorde con las disposiciones constitucionales y las establecidas en las leyes generales.</w:t>
      </w:r>
    </w:p>
    <w:p w14:paraId="0C006A17" w14:textId="77B93504" w:rsidR="00A04089" w:rsidRPr="00895A4F" w:rsidRDefault="00A04089" w:rsidP="00A04089">
      <w:pPr>
        <w:tabs>
          <w:tab w:val="left" w:pos="5461"/>
        </w:tabs>
        <w:spacing w:before="240" w:after="240" w:line="360" w:lineRule="auto"/>
        <w:jc w:val="both"/>
        <w:rPr>
          <w:rFonts w:ascii="Arial" w:eastAsia="Times New Roman" w:hAnsi="Arial" w:cs="Arial"/>
          <w:sz w:val="24"/>
          <w:szCs w:val="24"/>
          <w:lang w:eastAsia="es-MX"/>
        </w:rPr>
      </w:pPr>
      <w:r w:rsidRPr="00895A4F">
        <w:rPr>
          <w:rFonts w:ascii="Arial" w:eastAsia="Times New Roman" w:hAnsi="Arial" w:cs="Arial"/>
          <w:sz w:val="24"/>
          <w:szCs w:val="24"/>
          <w:lang w:eastAsia="es-MX"/>
        </w:rPr>
        <w:t xml:space="preserve">Por lo que hace al financiamiento público para los candidatos independientes, a fin de generar las condiciones más favorables y equitativas para todos los contendientes, tanto </w:t>
      </w:r>
      <w:r>
        <w:rPr>
          <w:rFonts w:ascii="Arial" w:eastAsia="Times New Roman" w:hAnsi="Arial" w:cs="Arial"/>
          <w:sz w:val="24"/>
          <w:szCs w:val="24"/>
          <w:lang w:eastAsia="es-MX"/>
        </w:rPr>
        <w:t>la legislatura federal como estatal,</w:t>
      </w:r>
      <w:r w:rsidRPr="00895A4F">
        <w:rPr>
          <w:rFonts w:ascii="Arial" w:eastAsia="Times New Roman" w:hAnsi="Arial" w:cs="Arial"/>
          <w:sz w:val="24"/>
          <w:szCs w:val="24"/>
          <w:lang w:eastAsia="es-MX"/>
        </w:rPr>
        <w:t xml:space="preserve"> consideraron conveniente, para efectos de acceder al fina</w:t>
      </w:r>
      <w:r w:rsidRPr="00A04089">
        <w:rPr>
          <w:rFonts w:ascii="Arial" w:eastAsia="Times New Roman" w:hAnsi="Arial" w:cs="Arial"/>
          <w:sz w:val="24"/>
          <w:szCs w:val="24"/>
          <w:lang w:eastAsia="es-MX"/>
        </w:rPr>
        <w:t>nciamiento público, equiparar al conjunto de todos los candidatos independientes que obtengan su registro a un partido político de reciente creación.</w:t>
      </w:r>
    </w:p>
    <w:p w14:paraId="06F2AECE" w14:textId="77777777" w:rsidR="00A04089" w:rsidRDefault="00A04089" w:rsidP="00A04089">
      <w:pPr>
        <w:tabs>
          <w:tab w:val="left" w:pos="5461"/>
        </w:tabs>
        <w:spacing w:before="240" w:after="24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Lo anterior</w:t>
      </w:r>
      <w:r w:rsidRPr="00895A4F">
        <w:rPr>
          <w:rFonts w:ascii="Arial" w:eastAsia="Times New Roman" w:hAnsi="Arial" w:cs="Arial"/>
          <w:sz w:val="24"/>
          <w:szCs w:val="24"/>
          <w:lang w:eastAsia="es-MX"/>
        </w:rPr>
        <w:t>, buscando generar mayores condiciones de equidad al conjunto de candidaturas independientes, en especial, al permitirles acceder a un monto de financiamiento público que garantiza un parámetro mínimo para participar en condiciones generales de igualdad, ya que el asimilarlos a un partido político de reciente creación, atiende a las condiciones específicas en que se encuentran, pues el registro conducente se limita al propio proceso electoral, en tanto que los partidos políticos de reciente creación participan, por primera ocasión, y su eventual subsistencia se encuentra condicionada a alcanzar los porcentajes de votación establecidos en las leyes.</w:t>
      </w:r>
    </w:p>
    <w:p w14:paraId="18AD4737" w14:textId="2728BC06" w:rsidR="006F6344" w:rsidRDefault="00A04089" w:rsidP="00A04089">
      <w:pPr>
        <w:spacing w:before="240" w:after="240" w:line="360" w:lineRule="auto"/>
        <w:jc w:val="both"/>
        <w:rPr>
          <w:rFonts w:ascii="Arial" w:hAnsi="Arial" w:cs="Arial"/>
          <w:b/>
          <w:bCs/>
          <w:sz w:val="24"/>
          <w:szCs w:val="24"/>
          <w:lang w:val="es-ES_tradnl"/>
        </w:rPr>
      </w:pPr>
      <w:r w:rsidRPr="00895A4F">
        <w:rPr>
          <w:rFonts w:ascii="Arial" w:eastAsia="Times New Roman" w:hAnsi="Arial" w:cs="Arial"/>
          <w:sz w:val="24"/>
          <w:szCs w:val="24"/>
          <w:lang w:eastAsia="es-MX"/>
        </w:rPr>
        <w:t xml:space="preserve">De la equiparación anterior subyace que, en ambos casos, se trata del derecho de participar en un proceso electivo local, a partir de haber demostrado el cumplimiento de los requisitos establecidos en la </w:t>
      </w:r>
      <w:r>
        <w:rPr>
          <w:rFonts w:ascii="Arial" w:eastAsia="Times New Roman" w:hAnsi="Arial" w:cs="Arial"/>
          <w:sz w:val="24"/>
          <w:szCs w:val="24"/>
          <w:lang w:eastAsia="es-MX"/>
        </w:rPr>
        <w:t>l</w:t>
      </w:r>
      <w:r w:rsidRPr="00895A4F">
        <w:rPr>
          <w:rFonts w:ascii="Arial" w:eastAsia="Times New Roman" w:hAnsi="Arial" w:cs="Arial"/>
          <w:sz w:val="24"/>
          <w:szCs w:val="24"/>
          <w:lang w:eastAsia="es-MX"/>
        </w:rPr>
        <w:t>ey, en el que no se cuenta con elementos previos para determinar si les corresponde o no asignarles un financiamiento público mayor, ya que en ambos casos, su participación deriva de haber acreditado cumplir con los requisitos mínimos para ello, y no de haber demostrado en procesos electorales previos, contar con el mínimo de representatividad ciudadana prevista en la Ley, y expresada en las urnas</w:t>
      </w:r>
      <w:r>
        <w:rPr>
          <w:rStyle w:val="Refdenotaalpie"/>
          <w:rFonts w:ascii="Arial" w:eastAsia="Times New Roman" w:hAnsi="Arial" w:cs="Arial"/>
          <w:sz w:val="24"/>
          <w:szCs w:val="24"/>
          <w:lang w:eastAsia="es-MX"/>
        </w:rPr>
        <w:footnoteReference w:id="3"/>
      </w:r>
      <w:r w:rsidRPr="00895A4F">
        <w:rPr>
          <w:rFonts w:ascii="Arial" w:eastAsia="Times New Roman" w:hAnsi="Arial" w:cs="Arial"/>
          <w:sz w:val="24"/>
          <w:szCs w:val="24"/>
          <w:lang w:eastAsia="es-MX"/>
        </w:rPr>
        <w:t>.</w:t>
      </w:r>
    </w:p>
    <w:p w14:paraId="6CB71FF7" w14:textId="6DF0CA9B" w:rsidR="00A04089" w:rsidRPr="00A04089" w:rsidRDefault="00A04089" w:rsidP="00A04089">
      <w:pPr>
        <w:spacing w:before="240" w:after="240" w:line="360" w:lineRule="auto"/>
        <w:jc w:val="both"/>
        <w:rPr>
          <w:rFonts w:ascii="Arial" w:hAnsi="Arial" w:cs="Arial"/>
          <w:sz w:val="24"/>
          <w:szCs w:val="24"/>
          <w:lang w:eastAsia="es-MX"/>
        </w:rPr>
      </w:pPr>
      <w:r w:rsidRPr="00A04089">
        <w:rPr>
          <w:rFonts w:ascii="Arial" w:hAnsi="Arial" w:cs="Arial"/>
          <w:sz w:val="24"/>
          <w:szCs w:val="24"/>
          <w:lang w:eastAsia="es-MX"/>
        </w:rPr>
        <w:lastRenderedPageBreak/>
        <w:t>Por otro lado, la Suprema Corte</w:t>
      </w:r>
      <w:r w:rsidR="000D7600">
        <w:rPr>
          <w:rFonts w:ascii="Arial" w:hAnsi="Arial" w:cs="Arial"/>
          <w:sz w:val="24"/>
          <w:szCs w:val="24"/>
          <w:lang w:eastAsia="es-MX"/>
        </w:rPr>
        <w:t xml:space="preserve"> de Justicia de la Nación</w:t>
      </w:r>
      <w:r w:rsidRPr="00A04089">
        <w:rPr>
          <w:rFonts w:ascii="Arial" w:hAnsi="Arial" w:cs="Arial"/>
          <w:sz w:val="24"/>
          <w:szCs w:val="24"/>
          <w:lang w:eastAsia="es-MX"/>
        </w:rPr>
        <w:t xml:space="preserve"> se ha pronunciado en cuanto al tema relativo al financiamiento público y a su asignación diferenciada tratándose de partidos políticos y candidaturas independientes, al resolver la acción de inconstitucionalidad 22/2014 y sus acumuladas 26/2014, 28/2014 y 30/2014</w:t>
      </w:r>
      <w:r w:rsidRPr="00A04089">
        <w:rPr>
          <w:rFonts w:ascii="Arial" w:hAnsi="Arial" w:cs="Arial"/>
          <w:sz w:val="24"/>
          <w:szCs w:val="24"/>
          <w:vertAlign w:val="superscript"/>
          <w:lang w:eastAsia="es-MX"/>
        </w:rPr>
        <w:footnoteReference w:id="4"/>
      </w:r>
      <w:r w:rsidRPr="00A04089">
        <w:rPr>
          <w:rFonts w:ascii="Arial" w:hAnsi="Arial" w:cs="Arial"/>
          <w:sz w:val="24"/>
          <w:szCs w:val="24"/>
          <w:lang w:eastAsia="es-MX"/>
        </w:rPr>
        <w:t xml:space="preserve">, en donde entre otras cuestiones, se impugnaron, por considerarse violatorios del principio de equidad, los artículos 407, numeral 1 y 408 de la Ley General de Instituciones y Procedimientos Electorales, los cuales establecen la regla consistente en que, para efectos de la distribución del financiamiento público a que tienen derecho los candidatos independientes, éstos serán considerados en su conjunto como un partido político de nuevo registro; y que el monto que le correspondería a un partido de nuevo registro se distribuirá entre todos los candidatos independientes de la siguiente manera: </w:t>
      </w:r>
    </w:p>
    <w:p w14:paraId="141C972B" w14:textId="77777777" w:rsidR="00A04089" w:rsidRPr="00A04089" w:rsidRDefault="00A04089" w:rsidP="00A04089">
      <w:pPr>
        <w:pStyle w:val="Prrafodelista"/>
        <w:numPr>
          <w:ilvl w:val="0"/>
          <w:numId w:val="30"/>
        </w:numPr>
        <w:spacing w:before="240" w:after="240" w:line="360" w:lineRule="auto"/>
        <w:jc w:val="both"/>
        <w:rPr>
          <w:rFonts w:ascii="Arial" w:hAnsi="Arial" w:cs="Arial"/>
          <w:sz w:val="24"/>
          <w:szCs w:val="24"/>
          <w:lang w:eastAsia="es-MX"/>
        </w:rPr>
      </w:pPr>
      <w:r w:rsidRPr="00A04089">
        <w:rPr>
          <w:rFonts w:ascii="Arial" w:hAnsi="Arial" w:cs="Arial"/>
          <w:sz w:val="24"/>
          <w:szCs w:val="24"/>
          <w:lang w:eastAsia="es-MX"/>
        </w:rPr>
        <w:t>un 33.3% que se distribuirá de manera igualitaria entre todos los candidatos independientes al cargo de Presidente de los Estados Unidos Mexicanos.</w:t>
      </w:r>
    </w:p>
    <w:p w14:paraId="27E00438" w14:textId="7E30DCE9" w:rsidR="00A04089" w:rsidRPr="00A04089" w:rsidRDefault="00A04089" w:rsidP="00A04089">
      <w:pPr>
        <w:pStyle w:val="Prrafodelista"/>
        <w:numPr>
          <w:ilvl w:val="0"/>
          <w:numId w:val="30"/>
        </w:numPr>
        <w:spacing w:before="240" w:after="240" w:line="360" w:lineRule="auto"/>
        <w:jc w:val="both"/>
        <w:rPr>
          <w:rFonts w:ascii="Arial" w:hAnsi="Arial" w:cs="Arial"/>
          <w:sz w:val="24"/>
          <w:szCs w:val="24"/>
          <w:lang w:eastAsia="es-MX"/>
        </w:rPr>
      </w:pPr>
      <w:r w:rsidRPr="00A04089">
        <w:rPr>
          <w:rFonts w:ascii="Arial" w:hAnsi="Arial" w:cs="Arial"/>
          <w:sz w:val="24"/>
          <w:szCs w:val="24"/>
          <w:lang w:eastAsia="es-MX"/>
        </w:rPr>
        <w:t xml:space="preserve">un 33.3% que se distribuirá de manera igualitaria entre todas las fórmulas de candidatos independientes al cargo de senador; y </w:t>
      </w:r>
    </w:p>
    <w:p w14:paraId="580EA9A4" w14:textId="15FCED71" w:rsidR="00A04089" w:rsidRPr="00A04089" w:rsidRDefault="00A04089" w:rsidP="00A04089">
      <w:pPr>
        <w:pStyle w:val="Prrafodelista"/>
        <w:numPr>
          <w:ilvl w:val="0"/>
          <w:numId w:val="30"/>
        </w:numPr>
        <w:spacing w:before="240" w:after="240" w:line="360" w:lineRule="auto"/>
        <w:jc w:val="both"/>
        <w:rPr>
          <w:rFonts w:ascii="Arial" w:hAnsi="Arial" w:cs="Arial"/>
          <w:sz w:val="24"/>
          <w:szCs w:val="24"/>
          <w:lang w:eastAsia="es-MX"/>
        </w:rPr>
      </w:pPr>
      <w:r w:rsidRPr="00A04089">
        <w:rPr>
          <w:rFonts w:ascii="Arial" w:hAnsi="Arial" w:cs="Arial"/>
          <w:sz w:val="24"/>
          <w:szCs w:val="24"/>
          <w:lang w:eastAsia="es-MX"/>
        </w:rPr>
        <w:t>un 33.3% que se distribuirá de manera igualitaria entre todas las fórmulas de candidatos independientes.</w:t>
      </w:r>
    </w:p>
    <w:p w14:paraId="13A0FF3E" w14:textId="1431F707" w:rsidR="00A04089" w:rsidRPr="00A04089" w:rsidRDefault="00A04089" w:rsidP="00A04089">
      <w:pPr>
        <w:spacing w:before="240" w:after="240" w:line="360" w:lineRule="auto"/>
        <w:jc w:val="both"/>
        <w:rPr>
          <w:rFonts w:ascii="Arial" w:hAnsi="Arial" w:cs="Arial"/>
          <w:b/>
          <w:sz w:val="24"/>
          <w:szCs w:val="24"/>
        </w:rPr>
      </w:pPr>
      <w:r w:rsidRPr="00A04089">
        <w:rPr>
          <w:rFonts w:ascii="Arial" w:hAnsi="Arial" w:cs="Arial"/>
          <w:sz w:val="24"/>
          <w:szCs w:val="24"/>
          <w:lang w:eastAsia="es-MX"/>
        </w:rPr>
        <w:t xml:space="preserve">Al respecto, </w:t>
      </w:r>
      <w:r w:rsidR="000D7600">
        <w:rPr>
          <w:rFonts w:ascii="Arial" w:hAnsi="Arial" w:cs="Arial"/>
          <w:sz w:val="24"/>
          <w:szCs w:val="24"/>
          <w:lang w:eastAsia="es-MX"/>
        </w:rPr>
        <w:t>el Alto Tribunal</w:t>
      </w:r>
      <w:r w:rsidRPr="00A04089">
        <w:rPr>
          <w:rFonts w:ascii="Arial" w:hAnsi="Arial" w:cs="Arial"/>
          <w:sz w:val="24"/>
          <w:szCs w:val="24"/>
          <w:lang w:eastAsia="es-MX"/>
        </w:rPr>
        <w:t xml:space="preserve"> señaló</w:t>
      </w:r>
      <w:r w:rsidR="00A330A3">
        <w:rPr>
          <w:rFonts w:ascii="Arial" w:hAnsi="Arial" w:cs="Arial"/>
          <w:sz w:val="24"/>
          <w:szCs w:val="24"/>
          <w:lang w:eastAsia="es-MX"/>
        </w:rPr>
        <w:t>,</w:t>
      </w:r>
      <w:r w:rsidRPr="00A04089">
        <w:rPr>
          <w:rFonts w:ascii="Arial" w:hAnsi="Arial" w:cs="Arial"/>
          <w:sz w:val="24"/>
          <w:szCs w:val="24"/>
          <w:lang w:eastAsia="es-MX"/>
        </w:rPr>
        <w:t xml:space="preserve"> en lo que aquí interesa, </w:t>
      </w:r>
      <w:r w:rsidRPr="00A04089">
        <w:rPr>
          <w:rFonts w:ascii="Arial" w:hAnsi="Arial" w:cs="Arial"/>
          <w:sz w:val="24"/>
          <w:szCs w:val="24"/>
        </w:rPr>
        <w:t xml:space="preserve">que la propia </w:t>
      </w:r>
      <w:r w:rsidRPr="000D7600">
        <w:rPr>
          <w:rFonts w:ascii="Arial" w:hAnsi="Arial" w:cs="Arial"/>
          <w:i/>
          <w:iCs/>
          <w:sz w:val="24"/>
          <w:szCs w:val="24"/>
        </w:rPr>
        <w:t>Constitución Federal</w:t>
      </w:r>
      <w:r w:rsidRPr="00A04089">
        <w:rPr>
          <w:rFonts w:ascii="Arial" w:hAnsi="Arial" w:cs="Arial"/>
          <w:sz w:val="24"/>
          <w:szCs w:val="24"/>
        </w:rPr>
        <w:t xml:space="preserve"> fue la que estableció un trato diferenciado para asignar, por ejemplo, los tiempos en radio y televisión en conjunto a todas las candidaturas independientes, como si fueran un solo partido de nueva creación, y por ello no hay violación alguna al principio de equidad por parte del legislador secundario al introducir una regla análoga, en el caso, respecto del financiamiento público, pues con ella únicamente se reiteró el modelo diseñado por el Constituyente Permanente, conforme al cual las candidaturas independientes pueden dividir equitativamente entre ellas las prerrogativas que les correspondan.</w:t>
      </w:r>
      <w:r w:rsidRPr="00A04089">
        <w:rPr>
          <w:rFonts w:ascii="Arial" w:hAnsi="Arial" w:cs="Arial"/>
          <w:b/>
          <w:sz w:val="24"/>
          <w:szCs w:val="24"/>
        </w:rPr>
        <w:t xml:space="preserve"> </w:t>
      </w:r>
    </w:p>
    <w:p w14:paraId="3FC4C801" w14:textId="77777777" w:rsidR="00A04089" w:rsidRPr="00A04089" w:rsidRDefault="00A04089" w:rsidP="00A04089">
      <w:pPr>
        <w:spacing w:before="240" w:after="240" w:line="360" w:lineRule="auto"/>
        <w:jc w:val="both"/>
        <w:rPr>
          <w:rFonts w:ascii="Arial" w:hAnsi="Arial" w:cs="Arial"/>
          <w:sz w:val="24"/>
          <w:szCs w:val="24"/>
        </w:rPr>
      </w:pPr>
      <w:r w:rsidRPr="00A04089">
        <w:rPr>
          <w:rFonts w:ascii="Arial" w:hAnsi="Arial" w:cs="Arial"/>
          <w:sz w:val="24"/>
          <w:szCs w:val="24"/>
        </w:rPr>
        <w:t xml:space="preserve">También sostuvo que lo anterior obedece a que, conforme los párrafos primero y segundo de la fracción I del artículo 41 de la </w:t>
      </w:r>
      <w:r w:rsidRPr="00A04089">
        <w:rPr>
          <w:rFonts w:ascii="Arial" w:hAnsi="Arial" w:cs="Arial"/>
          <w:i/>
          <w:iCs/>
          <w:sz w:val="24"/>
          <w:szCs w:val="24"/>
        </w:rPr>
        <w:t>Constitución Federal</w:t>
      </w:r>
      <w:r w:rsidRPr="00A04089">
        <w:rPr>
          <w:rFonts w:ascii="Arial" w:hAnsi="Arial" w:cs="Arial"/>
          <w:sz w:val="24"/>
          <w:szCs w:val="24"/>
        </w:rPr>
        <w:t xml:space="preserve">, los partidos políticos son las entidades de interés público que tienen como fin: 1) promover la participación del pueblo en la vida democrática; 2) contribuir a la integración de los órganos de representación política; y, 3) hacer posible el </w:t>
      </w:r>
      <w:r w:rsidRPr="00A04089">
        <w:rPr>
          <w:rFonts w:ascii="Arial" w:hAnsi="Arial" w:cs="Arial"/>
          <w:sz w:val="24"/>
          <w:szCs w:val="24"/>
        </w:rPr>
        <w:lastRenderedPageBreak/>
        <w:t xml:space="preserve">acceso de éstos al ejercicio del poder público, de acuerdo con los programas, principios e ideas que postulan. </w:t>
      </w:r>
    </w:p>
    <w:p w14:paraId="6D360D3A" w14:textId="74B801FB" w:rsidR="00A04089" w:rsidRPr="00A04089" w:rsidRDefault="00A04089" w:rsidP="00A04089">
      <w:pPr>
        <w:spacing w:before="240" w:after="240" w:line="360" w:lineRule="auto"/>
        <w:jc w:val="both"/>
        <w:rPr>
          <w:rFonts w:ascii="Arial" w:hAnsi="Arial" w:cs="Arial"/>
          <w:b/>
          <w:sz w:val="24"/>
          <w:szCs w:val="24"/>
        </w:rPr>
      </w:pPr>
      <w:r w:rsidRPr="00A04089">
        <w:rPr>
          <w:rFonts w:ascii="Arial" w:hAnsi="Arial" w:cs="Arial"/>
          <w:sz w:val="24"/>
          <w:szCs w:val="24"/>
        </w:rPr>
        <w:t xml:space="preserve">En cambio, se sostuvo que </w:t>
      </w:r>
      <w:r>
        <w:rPr>
          <w:rFonts w:ascii="Arial" w:hAnsi="Arial" w:cs="Arial"/>
          <w:sz w:val="24"/>
          <w:szCs w:val="24"/>
        </w:rPr>
        <w:t>las candidaturas independientes</w:t>
      </w:r>
      <w:r w:rsidRPr="00A04089">
        <w:rPr>
          <w:rFonts w:ascii="Arial" w:hAnsi="Arial" w:cs="Arial"/>
          <w:sz w:val="24"/>
          <w:szCs w:val="24"/>
        </w:rPr>
        <w:t xml:space="preserve">, de acuerdo con la fracción II del artículo 35, también de la </w:t>
      </w:r>
      <w:r w:rsidRPr="00A04089">
        <w:rPr>
          <w:rFonts w:ascii="Arial" w:hAnsi="Arial" w:cs="Arial"/>
          <w:i/>
          <w:iCs/>
          <w:sz w:val="24"/>
          <w:szCs w:val="24"/>
        </w:rPr>
        <w:t>Constitución Federal</w:t>
      </w:r>
      <w:r w:rsidRPr="00A04089">
        <w:rPr>
          <w:rFonts w:ascii="Arial" w:hAnsi="Arial" w:cs="Arial"/>
          <w:sz w:val="24"/>
          <w:szCs w:val="24"/>
        </w:rPr>
        <w:t xml:space="preserve">, ejercen un derecho ciudadano para solicitar su registro como tales ante la autoridad electoral, cuando cumplan con los requisitos, condiciones y términos que determine la legislación, pero sin pretender adquirir la permanencia que sí tiene un partido, </w:t>
      </w:r>
      <w:r w:rsidRPr="00A04089">
        <w:rPr>
          <w:rFonts w:ascii="Arial" w:hAnsi="Arial" w:cs="Arial"/>
          <w:b/>
          <w:sz w:val="24"/>
          <w:szCs w:val="24"/>
        </w:rPr>
        <w:t>por lo que a dich</w:t>
      </w:r>
      <w:r>
        <w:rPr>
          <w:rFonts w:ascii="Arial" w:hAnsi="Arial" w:cs="Arial"/>
          <w:b/>
          <w:sz w:val="24"/>
          <w:szCs w:val="24"/>
        </w:rPr>
        <w:t xml:space="preserve">as candidaturas </w:t>
      </w:r>
      <w:r w:rsidRPr="00A04089">
        <w:rPr>
          <w:rFonts w:ascii="Arial" w:hAnsi="Arial" w:cs="Arial"/>
          <w:b/>
          <w:sz w:val="24"/>
          <w:szCs w:val="24"/>
        </w:rPr>
        <w:t xml:space="preserve">no puede atenderse en un sentido de equivalencia con los partidos políticos, cuya naturaleza constitucionalmente cumple con el fin específico de integrar la representación nacional, erigiéndose como la regla general para el acceso al poder público, y solo como excepción, puede prescindirse de su existencia mediante la postulación ciudadana individual. </w:t>
      </w:r>
    </w:p>
    <w:p w14:paraId="7F9C06F9" w14:textId="19BA6C84" w:rsidR="00A04089" w:rsidRPr="00A04089" w:rsidRDefault="00A04089" w:rsidP="00A04089">
      <w:pPr>
        <w:spacing w:before="240" w:after="240" w:line="360" w:lineRule="auto"/>
        <w:jc w:val="both"/>
        <w:rPr>
          <w:rFonts w:ascii="Arial" w:hAnsi="Arial" w:cs="Arial"/>
          <w:b/>
          <w:sz w:val="24"/>
          <w:szCs w:val="24"/>
        </w:rPr>
      </w:pPr>
      <w:r w:rsidRPr="00A04089">
        <w:rPr>
          <w:rFonts w:ascii="Arial" w:hAnsi="Arial" w:cs="Arial"/>
          <w:sz w:val="24"/>
          <w:szCs w:val="24"/>
        </w:rPr>
        <w:t xml:space="preserve">Finalmente, se estableció que conforme al modelo constitucional que se </w:t>
      </w:r>
      <w:r w:rsidR="008906E2" w:rsidRPr="00A04089">
        <w:rPr>
          <w:rFonts w:ascii="Arial" w:hAnsi="Arial" w:cs="Arial"/>
          <w:sz w:val="24"/>
          <w:szCs w:val="24"/>
        </w:rPr>
        <w:t>instituye</w:t>
      </w:r>
      <w:r w:rsidRPr="00A04089">
        <w:rPr>
          <w:rFonts w:ascii="Arial" w:hAnsi="Arial" w:cs="Arial"/>
          <w:sz w:val="24"/>
          <w:szCs w:val="24"/>
        </w:rPr>
        <w:t xml:space="preserve"> a partir de la reforma, las candidaturas independientes que se registren motivarán el prorrateo de las prerrogativas que les correspondan en su conjunto, de forma tal que entre más postulaciones de esta naturaleza se registren, en la misma proporción el apoyo económico estatal se reducirá.</w:t>
      </w:r>
      <w:r w:rsidRPr="00A04089">
        <w:rPr>
          <w:rFonts w:ascii="Arial" w:hAnsi="Arial" w:cs="Arial"/>
          <w:b/>
          <w:sz w:val="24"/>
          <w:szCs w:val="24"/>
        </w:rPr>
        <w:t xml:space="preserve"> </w:t>
      </w:r>
    </w:p>
    <w:p w14:paraId="3814B81B" w14:textId="61399554" w:rsidR="006F6344" w:rsidRPr="006F6344" w:rsidRDefault="006F6344" w:rsidP="006F6344">
      <w:pPr>
        <w:rPr>
          <w:rFonts w:ascii="Arial" w:hAnsi="Arial" w:cs="Arial"/>
          <w:b/>
          <w:bCs/>
          <w:sz w:val="24"/>
          <w:szCs w:val="24"/>
          <w:lang w:val="es-ES_tradnl"/>
        </w:rPr>
      </w:pPr>
      <w:r w:rsidRPr="006F6344">
        <w:rPr>
          <w:rFonts w:ascii="Arial" w:hAnsi="Arial" w:cs="Arial"/>
          <w:b/>
          <w:bCs/>
          <w:sz w:val="24"/>
          <w:szCs w:val="24"/>
          <w:lang w:val="es-ES_tradnl"/>
        </w:rPr>
        <w:t>Caso concreto</w:t>
      </w:r>
    </w:p>
    <w:p w14:paraId="44846398" w14:textId="39F43B8F" w:rsidR="000C4D39" w:rsidRPr="003864A2" w:rsidRDefault="000C4D39" w:rsidP="000C4D39">
      <w:pPr>
        <w:tabs>
          <w:tab w:val="left" w:pos="5461"/>
        </w:tabs>
        <w:spacing w:before="240" w:after="240" w:line="360" w:lineRule="auto"/>
        <w:jc w:val="both"/>
        <w:rPr>
          <w:rFonts w:ascii="Arial" w:eastAsiaTheme="minorEastAsia" w:hAnsi="Arial" w:cs="Arial"/>
          <w:b/>
          <w:sz w:val="24"/>
          <w:szCs w:val="24"/>
          <w:lang w:val="es-ES_tradnl" w:eastAsia="es-MX"/>
        </w:rPr>
      </w:pPr>
      <w:r>
        <w:rPr>
          <w:rFonts w:ascii="Arial" w:eastAsiaTheme="minorEastAsia" w:hAnsi="Arial" w:cs="Arial"/>
          <w:sz w:val="24"/>
          <w:szCs w:val="24"/>
          <w:lang w:val="es-ES_tradnl" w:eastAsia="es-MX"/>
        </w:rPr>
        <w:t xml:space="preserve">El </w:t>
      </w:r>
      <w:r>
        <w:rPr>
          <w:rFonts w:ascii="Arial" w:eastAsiaTheme="minorEastAsia" w:hAnsi="Arial" w:cs="Arial"/>
          <w:i/>
          <w:iCs/>
          <w:sz w:val="24"/>
          <w:szCs w:val="24"/>
          <w:lang w:val="es-ES_tradnl" w:eastAsia="es-MX"/>
        </w:rPr>
        <w:t>PAN</w:t>
      </w:r>
      <w:r>
        <w:rPr>
          <w:rFonts w:ascii="Arial" w:eastAsiaTheme="minorEastAsia" w:hAnsi="Arial" w:cs="Arial"/>
          <w:sz w:val="24"/>
          <w:szCs w:val="24"/>
          <w:lang w:val="es-ES_tradnl" w:eastAsia="es-MX"/>
        </w:rPr>
        <w:t xml:space="preserve"> sostiene que se</w:t>
      </w:r>
      <w:r w:rsidRPr="00895A4F">
        <w:rPr>
          <w:rFonts w:ascii="Arial" w:eastAsiaTheme="minorEastAsia" w:hAnsi="Arial" w:cs="Arial"/>
          <w:sz w:val="24"/>
          <w:szCs w:val="24"/>
          <w:lang w:val="es-ES_tradnl" w:eastAsia="es-MX"/>
        </w:rPr>
        <w:t xml:space="preserve"> </w:t>
      </w:r>
      <w:r w:rsidR="00753C52">
        <w:rPr>
          <w:rFonts w:ascii="Arial" w:hAnsi="Arial" w:cs="Arial"/>
          <w:sz w:val="24"/>
          <w:szCs w:val="24"/>
          <w:lang w:val="es-ES_tradnl" w:eastAsia="es-ES"/>
        </w:rPr>
        <w:t xml:space="preserve">realizó una indebida interpretación por parte del </w:t>
      </w:r>
      <w:r w:rsidR="00753C52">
        <w:rPr>
          <w:rFonts w:ascii="Arial" w:hAnsi="Arial" w:cs="Arial"/>
          <w:i/>
          <w:iCs/>
          <w:sz w:val="24"/>
          <w:szCs w:val="24"/>
          <w:lang w:val="es-ES_tradnl" w:eastAsia="es-ES"/>
        </w:rPr>
        <w:t>Tribunal local</w:t>
      </w:r>
      <w:r w:rsidR="00753C52">
        <w:rPr>
          <w:rFonts w:ascii="Arial" w:hAnsi="Arial" w:cs="Arial"/>
          <w:sz w:val="24"/>
          <w:szCs w:val="24"/>
          <w:lang w:val="es-ES_tradnl" w:eastAsia="es-ES"/>
        </w:rPr>
        <w:t xml:space="preserve"> respecto de los artículos 333 y 334 de la</w:t>
      </w:r>
      <w:r w:rsidR="00753C52">
        <w:rPr>
          <w:rFonts w:ascii="Arial" w:hAnsi="Arial" w:cs="Arial"/>
          <w:i/>
          <w:iCs/>
          <w:sz w:val="24"/>
          <w:szCs w:val="24"/>
          <w:lang w:val="es-ES_tradnl" w:eastAsia="es-ES"/>
        </w:rPr>
        <w:t xml:space="preserve"> Ley local</w:t>
      </w:r>
      <w:r w:rsidR="00753C52">
        <w:rPr>
          <w:rFonts w:ascii="Arial" w:hAnsi="Arial" w:cs="Arial"/>
          <w:sz w:val="24"/>
          <w:szCs w:val="24"/>
          <w:lang w:val="es-ES_tradnl" w:eastAsia="es-ES"/>
        </w:rPr>
        <w:t xml:space="preserve">, pues si bien es cierto que las candidaturas independientes se consideran como un partido político de nuevo registro, ello es sólo para el efecto de recibir financiamiento para gastos de campaña, por lo que el tribunal responsable se encontraba impedido para otorgar el financiamiento público a que tienen derecho los partidos políticos de nueva creación por concepto de actividades ordinarias y específicas, en virtud de la naturaleza jurídica de </w:t>
      </w:r>
      <w:r w:rsidR="000D7600">
        <w:rPr>
          <w:rFonts w:ascii="Arial" w:hAnsi="Arial" w:cs="Arial"/>
          <w:sz w:val="24"/>
          <w:szCs w:val="24"/>
          <w:lang w:val="es-ES_tradnl" w:eastAsia="es-ES"/>
        </w:rPr>
        <w:t>é</w:t>
      </w:r>
      <w:r w:rsidR="00753C52">
        <w:rPr>
          <w:rFonts w:ascii="Arial" w:hAnsi="Arial" w:cs="Arial"/>
          <w:sz w:val="24"/>
          <w:szCs w:val="24"/>
          <w:lang w:val="es-ES_tradnl" w:eastAsia="es-ES"/>
        </w:rPr>
        <w:t>stas</w:t>
      </w:r>
      <w:r w:rsidRPr="003864A2">
        <w:rPr>
          <w:rFonts w:ascii="Arial" w:hAnsi="Arial" w:cs="Arial"/>
          <w:sz w:val="24"/>
          <w:szCs w:val="24"/>
          <w:lang w:val="es-ES_tradnl" w:eastAsia="es-ES"/>
        </w:rPr>
        <w:t>.</w:t>
      </w:r>
    </w:p>
    <w:p w14:paraId="0FEDFEDA" w14:textId="605A399B" w:rsidR="00194FC3" w:rsidRDefault="00A04089" w:rsidP="00194FC3">
      <w:pPr>
        <w:tabs>
          <w:tab w:val="left" w:pos="5461"/>
        </w:tabs>
        <w:spacing w:before="240" w:after="240" w:line="360" w:lineRule="auto"/>
        <w:jc w:val="both"/>
        <w:rPr>
          <w:rFonts w:ascii="Arial" w:eastAsia="Calibri" w:hAnsi="Arial" w:cs="Arial"/>
          <w:sz w:val="24"/>
          <w:szCs w:val="24"/>
        </w:rPr>
      </w:pPr>
      <w:r w:rsidRPr="00E1785E">
        <w:rPr>
          <w:rFonts w:ascii="Arial" w:hAnsi="Arial" w:cs="Arial"/>
          <w:b/>
          <w:bCs/>
          <w:sz w:val="24"/>
          <w:szCs w:val="24"/>
          <w:lang w:val="es-ES_tradnl"/>
        </w:rPr>
        <w:t>Asiste</w:t>
      </w:r>
      <w:r>
        <w:rPr>
          <w:rFonts w:ascii="Arial" w:hAnsi="Arial" w:cs="Arial"/>
          <w:sz w:val="24"/>
          <w:szCs w:val="24"/>
          <w:lang w:val="es-ES_tradnl"/>
        </w:rPr>
        <w:t xml:space="preserve"> razón al promovente, </w:t>
      </w:r>
      <w:r w:rsidR="007E5F10">
        <w:rPr>
          <w:rFonts w:ascii="Arial" w:eastAsia="Calibri" w:hAnsi="Arial" w:cs="Arial"/>
          <w:sz w:val="24"/>
          <w:szCs w:val="24"/>
        </w:rPr>
        <w:t>pues</w:t>
      </w:r>
      <w:r w:rsidR="00194FC3" w:rsidRPr="00194FC3">
        <w:rPr>
          <w:rFonts w:ascii="Arial" w:eastAsia="Calibri" w:hAnsi="Arial" w:cs="Arial"/>
          <w:sz w:val="24"/>
          <w:szCs w:val="24"/>
        </w:rPr>
        <w:t xml:space="preserve"> </w:t>
      </w:r>
      <w:r w:rsidR="00194FC3">
        <w:rPr>
          <w:rFonts w:ascii="Arial" w:eastAsia="Calibri" w:hAnsi="Arial" w:cs="Arial"/>
          <w:sz w:val="24"/>
          <w:szCs w:val="24"/>
        </w:rPr>
        <w:t>el</w:t>
      </w:r>
      <w:r w:rsidR="00194FC3">
        <w:rPr>
          <w:rFonts w:ascii="Arial" w:eastAsia="Calibri" w:hAnsi="Arial" w:cs="Arial"/>
          <w:i/>
          <w:iCs/>
          <w:sz w:val="24"/>
          <w:szCs w:val="24"/>
        </w:rPr>
        <w:t xml:space="preserve"> Tribunal local</w:t>
      </w:r>
      <w:r w:rsidR="00194FC3">
        <w:rPr>
          <w:rFonts w:ascii="Arial" w:eastAsia="Calibri" w:hAnsi="Arial" w:cs="Arial"/>
          <w:sz w:val="24"/>
          <w:szCs w:val="24"/>
        </w:rPr>
        <w:t xml:space="preserve"> pasó por alto</w:t>
      </w:r>
      <w:r w:rsidR="00194FC3" w:rsidRPr="00194FC3">
        <w:rPr>
          <w:rFonts w:ascii="Arial" w:eastAsia="Calibri" w:hAnsi="Arial" w:cs="Arial"/>
          <w:sz w:val="24"/>
          <w:szCs w:val="24"/>
        </w:rPr>
        <w:t xml:space="preserve"> </w:t>
      </w:r>
      <w:r w:rsidR="007E5F10" w:rsidRPr="00194FC3">
        <w:rPr>
          <w:rFonts w:ascii="Arial" w:eastAsia="Calibri" w:hAnsi="Arial" w:cs="Arial"/>
          <w:sz w:val="24"/>
          <w:szCs w:val="24"/>
        </w:rPr>
        <w:t>que,</w:t>
      </w:r>
      <w:r w:rsidR="00194FC3" w:rsidRPr="00194FC3">
        <w:rPr>
          <w:rFonts w:ascii="Arial" w:eastAsia="Calibri" w:hAnsi="Arial" w:cs="Arial"/>
          <w:sz w:val="24"/>
          <w:szCs w:val="24"/>
        </w:rPr>
        <w:t xml:space="preserve"> </w:t>
      </w:r>
      <w:bookmarkStart w:id="37" w:name="_Hlk512938909"/>
      <w:r w:rsidR="00194FC3">
        <w:rPr>
          <w:rFonts w:ascii="Arial" w:eastAsia="Calibri" w:hAnsi="Arial" w:cs="Arial"/>
          <w:sz w:val="24"/>
          <w:szCs w:val="24"/>
        </w:rPr>
        <w:t xml:space="preserve">de </w:t>
      </w:r>
      <w:r w:rsidR="00194FC3" w:rsidRPr="00194FC3">
        <w:rPr>
          <w:rFonts w:ascii="Arial" w:eastAsia="Calibri" w:hAnsi="Arial" w:cs="Arial"/>
          <w:sz w:val="24"/>
          <w:szCs w:val="24"/>
        </w:rPr>
        <w:t xml:space="preserve">las disposiciones electorales aplicables </w:t>
      </w:r>
      <w:r w:rsidR="00194FC3">
        <w:rPr>
          <w:rFonts w:ascii="Arial" w:eastAsia="Calibri" w:hAnsi="Arial" w:cs="Arial"/>
          <w:sz w:val="24"/>
          <w:szCs w:val="24"/>
        </w:rPr>
        <w:t>en el Estado de Guanajuato, se desprend</w:t>
      </w:r>
      <w:r w:rsidR="000D7600">
        <w:rPr>
          <w:rFonts w:ascii="Arial" w:eastAsia="Calibri" w:hAnsi="Arial" w:cs="Arial"/>
          <w:sz w:val="24"/>
          <w:szCs w:val="24"/>
        </w:rPr>
        <w:t>e</w:t>
      </w:r>
      <w:r w:rsidR="00194FC3">
        <w:rPr>
          <w:rFonts w:ascii="Arial" w:eastAsia="Calibri" w:hAnsi="Arial" w:cs="Arial"/>
          <w:sz w:val="24"/>
          <w:szCs w:val="24"/>
        </w:rPr>
        <w:t xml:space="preserve"> que</w:t>
      </w:r>
      <w:r w:rsidR="000D7600">
        <w:rPr>
          <w:rFonts w:ascii="Arial" w:eastAsia="Calibri" w:hAnsi="Arial" w:cs="Arial"/>
          <w:sz w:val="24"/>
          <w:szCs w:val="24"/>
        </w:rPr>
        <w:t>,</w:t>
      </w:r>
      <w:bookmarkEnd w:id="37"/>
      <w:r w:rsidR="00194FC3">
        <w:rPr>
          <w:rFonts w:ascii="Arial" w:eastAsia="Calibri" w:hAnsi="Arial" w:cs="Arial"/>
          <w:sz w:val="24"/>
          <w:szCs w:val="24"/>
        </w:rPr>
        <w:t xml:space="preserve"> el financiamiento público de gastos de campaña de las candidaturas independientes se integra s</w:t>
      </w:r>
      <w:r w:rsidR="000D7600">
        <w:rPr>
          <w:rFonts w:ascii="Arial" w:eastAsia="Calibri" w:hAnsi="Arial" w:cs="Arial"/>
          <w:sz w:val="24"/>
          <w:szCs w:val="24"/>
        </w:rPr>
        <w:t>ó</w:t>
      </w:r>
      <w:r w:rsidR="00194FC3">
        <w:rPr>
          <w:rFonts w:ascii="Arial" w:eastAsia="Calibri" w:hAnsi="Arial" w:cs="Arial"/>
          <w:sz w:val="24"/>
          <w:szCs w:val="24"/>
        </w:rPr>
        <w:t>lo por el monto destinado para dicho rubro en relación con un partido político de nueva creación</w:t>
      </w:r>
      <w:r w:rsidR="00194FC3" w:rsidRPr="00194FC3">
        <w:rPr>
          <w:rFonts w:ascii="Arial" w:eastAsia="Calibri" w:hAnsi="Arial" w:cs="Arial"/>
          <w:sz w:val="24"/>
          <w:szCs w:val="24"/>
        </w:rPr>
        <w:t>.</w:t>
      </w:r>
    </w:p>
    <w:p w14:paraId="73748274" w14:textId="2E3D8FA2" w:rsidR="00194FC3" w:rsidRDefault="00194FC3" w:rsidP="00194FC3">
      <w:pPr>
        <w:tabs>
          <w:tab w:val="left" w:pos="5461"/>
        </w:tabs>
        <w:spacing w:before="240" w:after="240" w:line="360" w:lineRule="auto"/>
        <w:jc w:val="both"/>
        <w:rPr>
          <w:rFonts w:ascii="Arial" w:eastAsia="Calibri" w:hAnsi="Arial" w:cs="Arial"/>
          <w:sz w:val="24"/>
          <w:szCs w:val="24"/>
        </w:rPr>
      </w:pPr>
      <w:r>
        <w:rPr>
          <w:rFonts w:ascii="Arial" w:eastAsia="Calibri" w:hAnsi="Arial" w:cs="Arial"/>
          <w:sz w:val="24"/>
          <w:szCs w:val="24"/>
        </w:rPr>
        <w:t xml:space="preserve">En primer término, debe precisarse que conforme al artículo 321, fracción V de la </w:t>
      </w:r>
      <w:r>
        <w:rPr>
          <w:rFonts w:ascii="Arial" w:eastAsia="Calibri" w:hAnsi="Arial" w:cs="Arial"/>
          <w:i/>
          <w:iCs/>
          <w:sz w:val="24"/>
          <w:szCs w:val="24"/>
        </w:rPr>
        <w:t xml:space="preserve">Ley local, </w:t>
      </w:r>
      <w:r w:rsidRPr="00194FC3">
        <w:rPr>
          <w:rFonts w:ascii="Arial" w:eastAsia="Calibri" w:hAnsi="Arial" w:cs="Arial"/>
          <w:sz w:val="24"/>
          <w:szCs w:val="24"/>
        </w:rPr>
        <w:t xml:space="preserve">es obligación de las candidaturas independientes registradas </w:t>
      </w:r>
      <w:r w:rsidRPr="00194FC3">
        <w:rPr>
          <w:rFonts w:ascii="Arial" w:eastAsia="Calibri" w:hAnsi="Arial" w:cs="Arial"/>
          <w:sz w:val="24"/>
          <w:szCs w:val="24"/>
        </w:rPr>
        <w:lastRenderedPageBreak/>
        <w:t>ejercer las prerrogativas y aplicar el financiamiento exclusivamente para los gastos de campaña</w:t>
      </w:r>
      <w:r>
        <w:rPr>
          <w:rStyle w:val="Refdenotaalpie"/>
          <w:rFonts w:ascii="Arial" w:eastAsia="Calibri" w:hAnsi="Arial" w:cs="Arial"/>
          <w:sz w:val="24"/>
          <w:szCs w:val="24"/>
        </w:rPr>
        <w:footnoteReference w:id="5"/>
      </w:r>
      <w:r>
        <w:rPr>
          <w:rFonts w:ascii="Arial" w:eastAsia="Calibri" w:hAnsi="Arial" w:cs="Arial"/>
          <w:sz w:val="24"/>
          <w:szCs w:val="24"/>
        </w:rPr>
        <w:t>.</w:t>
      </w:r>
    </w:p>
    <w:p w14:paraId="0ABBFE90" w14:textId="4C3DD6C4" w:rsidR="00194FC3" w:rsidRDefault="00194FC3" w:rsidP="00194FC3">
      <w:pPr>
        <w:tabs>
          <w:tab w:val="left" w:pos="5461"/>
        </w:tabs>
        <w:spacing w:before="240" w:after="240" w:line="360" w:lineRule="auto"/>
        <w:jc w:val="both"/>
        <w:rPr>
          <w:rFonts w:ascii="Arial" w:eastAsia="Calibri" w:hAnsi="Arial" w:cs="Arial"/>
          <w:sz w:val="24"/>
          <w:szCs w:val="24"/>
        </w:rPr>
      </w:pPr>
      <w:r>
        <w:rPr>
          <w:rFonts w:ascii="Arial" w:eastAsia="Calibri" w:hAnsi="Arial" w:cs="Arial"/>
          <w:sz w:val="24"/>
          <w:szCs w:val="24"/>
        </w:rPr>
        <w:t>Por su parte, e</w:t>
      </w:r>
      <w:r w:rsidRPr="00194FC3">
        <w:rPr>
          <w:rFonts w:ascii="Arial" w:eastAsia="Calibri" w:hAnsi="Arial" w:cs="Arial"/>
          <w:sz w:val="24"/>
          <w:szCs w:val="24"/>
        </w:rPr>
        <w:t xml:space="preserve">l artículo 333 </w:t>
      </w:r>
      <w:r>
        <w:rPr>
          <w:rFonts w:ascii="Arial" w:eastAsia="Calibri" w:hAnsi="Arial" w:cs="Arial"/>
          <w:sz w:val="24"/>
          <w:szCs w:val="24"/>
        </w:rPr>
        <w:t>del ordenamiento legal en cita</w:t>
      </w:r>
      <w:r w:rsidRPr="00194FC3">
        <w:rPr>
          <w:rFonts w:ascii="Arial" w:eastAsia="Calibri" w:hAnsi="Arial" w:cs="Arial"/>
          <w:sz w:val="24"/>
          <w:szCs w:val="24"/>
        </w:rPr>
        <w:t xml:space="preserve"> establece que las candidaturas independientes tendrán derecho a recibir financiamiento público para gastos de campaña y que para efectos de su distribución serán consideradas, en su conjunto, como un partido político de nuevo registro</w:t>
      </w:r>
      <w:r>
        <w:rPr>
          <w:rStyle w:val="Refdenotaalpie"/>
          <w:rFonts w:ascii="Arial" w:eastAsia="Calibri" w:hAnsi="Arial" w:cs="Arial"/>
          <w:sz w:val="24"/>
          <w:szCs w:val="24"/>
        </w:rPr>
        <w:footnoteReference w:id="6"/>
      </w:r>
      <w:r w:rsidRPr="00194FC3">
        <w:rPr>
          <w:rFonts w:ascii="Arial" w:eastAsia="Calibri" w:hAnsi="Arial" w:cs="Arial"/>
          <w:sz w:val="24"/>
          <w:szCs w:val="24"/>
        </w:rPr>
        <w:t>.</w:t>
      </w:r>
    </w:p>
    <w:p w14:paraId="7B65092C" w14:textId="3CC2C08C" w:rsidR="00194FC3" w:rsidRDefault="00194FC3" w:rsidP="00194FC3">
      <w:pPr>
        <w:tabs>
          <w:tab w:val="left" w:pos="5461"/>
        </w:tabs>
        <w:spacing w:before="240" w:after="240" w:line="360" w:lineRule="auto"/>
        <w:jc w:val="both"/>
        <w:rPr>
          <w:rFonts w:ascii="Arial" w:hAnsi="Arial" w:cs="Arial"/>
          <w:sz w:val="24"/>
          <w:szCs w:val="24"/>
        </w:rPr>
      </w:pPr>
      <w:r w:rsidRPr="00C90E78">
        <w:rPr>
          <w:rFonts w:ascii="Arial" w:hAnsi="Arial" w:cs="Arial"/>
          <w:sz w:val="24"/>
          <w:szCs w:val="24"/>
        </w:rPr>
        <w:t xml:space="preserve">Al respecto, el artículo 48 de la </w:t>
      </w:r>
      <w:r w:rsidR="00C90E78">
        <w:rPr>
          <w:rFonts w:ascii="Arial" w:hAnsi="Arial" w:cs="Arial"/>
          <w:i/>
          <w:iCs/>
          <w:sz w:val="24"/>
          <w:szCs w:val="24"/>
        </w:rPr>
        <w:t>Ley local</w:t>
      </w:r>
      <w:r w:rsidRPr="00C90E78">
        <w:rPr>
          <w:rFonts w:ascii="Arial" w:hAnsi="Arial" w:cs="Arial"/>
          <w:sz w:val="24"/>
          <w:szCs w:val="24"/>
        </w:rPr>
        <w:t>, dispone que los partidos políticos nacionales y estatales que hubieren obtenido su registro con fecha posterior a la última elección, tendrán derecho a que se les otorgue financiamiento público conforme a las bases siguientes:</w:t>
      </w:r>
    </w:p>
    <w:p w14:paraId="5731A8C5" w14:textId="259DABE3" w:rsidR="00C90E78" w:rsidRDefault="00C90E78" w:rsidP="00C90E78">
      <w:pPr>
        <w:pStyle w:val="Prrafodelista"/>
        <w:numPr>
          <w:ilvl w:val="0"/>
          <w:numId w:val="33"/>
        </w:numPr>
        <w:tabs>
          <w:tab w:val="left" w:pos="5461"/>
        </w:tabs>
        <w:spacing w:before="240" w:after="240" w:line="360" w:lineRule="auto"/>
        <w:jc w:val="both"/>
        <w:rPr>
          <w:rFonts w:ascii="Arial" w:eastAsia="Calibri" w:hAnsi="Arial" w:cs="Arial"/>
          <w:sz w:val="24"/>
          <w:szCs w:val="24"/>
        </w:rPr>
      </w:pPr>
      <w:r w:rsidRPr="00C90E78">
        <w:rPr>
          <w:rFonts w:ascii="Arial" w:eastAsia="Calibri" w:hAnsi="Arial" w:cs="Arial"/>
          <w:sz w:val="24"/>
          <w:szCs w:val="24"/>
        </w:rPr>
        <w:t>Se le otorgará a cada partido político el dos por ciento del monto que por financiamiento total les corresponda a los partidos políticos para el sostenimiento de sus actividades ordinarias permanentes a que se refiere este artículo, así como, en el año de la elección de que se trate, el financiamiento para gastos de campaña que corresponda con base en lo dispuesto en la fracción II del referido artículo, y</w:t>
      </w:r>
    </w:p>
    <w:p w14:paraId="2CD7E900" w14:textId="77777777" w:rsidR="00C90E78" w:rsidRPr="00C90E78" w:rsidRDefault="00C90E78" w:rsidP="00C90E78">
      <w:pPr>
        <w:pStyle w:val="Prrafodelista"/>
        <w:tabs>
          <w:tab w:val="left" w:pos="5461"/>
        </w:tabs>
        <w:spacing w:before="240" w:after="240" w:line="360" w:lineRule="auto"/>
        <w:jc w:val="both"/>
        <w:rPr>
          <w:rFonts w:ascii="Arial" w:eastAsia="Calibri" w:hAnsi="Arial" w:cs="Arial"/>
          <w:sz w:val="24"/>
          <w:szCs w:val="24"/>
        </w:rPr>
      </w:pPr>
    </w:p>
    <w:p w14:paraId="166190CE" w14:textId="72126E0D" w:rsidR="00C90E78" w:rsidRPr="00C90E78" w:rsidRDefault="00C90E78" w:rsidP="00C90E78">
      <w:pPr>
        <w:pStyle w:val="Prrafodelista"/>
        <w:numPr>
          <w:ilvl w:val="0"/>
          <w:numId w:val="33"/>
        </w:numPr>
        <w:tabs>
          <w:tab w:val="left" w:pos="5461"/>
        </w:tabs>
        <w:spacing w:before="240" w:after="240" w:line="360" w:lineRule="auto"/>
        <w:jc w:val="both"/>
        <w:rPr>
          <w:rFonts w:ascii="Arial" w:eastAsia="Calibri" w:hAnsi="Arial" w:cs="Arial"/>
          <w:sz w:val="24"/>
          <w:szCs w:val="24"/>
        </w:rPr>
      </w:pPr>
      <w:r w:rsidRPr="00C90E78">
        <w:rPr>
          <w:rFonts w:ascii="Arial" w:eastAsia="Calibri" w:hAnsi="Arial" w:cs="Arial"/>
          <w:sz w:val="24"/>
          <w:szCs w:val="24"/>
        </w:rPr>
        <w:t>Participarán del referido para actividades específicas como entidades de interés público sólo en la parte que se distribuya en forma igualitaria.</w:t>
      </w:r>
      <w:r>
        <w:rPr>
          <w:rStyle w:val="Refdenotaalpie"/>
          <w:rFonts w:ascii="Arial" w:eastAsia="Calibri" w:hAnsi="Arial" w:cs="Arial"/>
          <w:sz w:val="24"/>
          <w:szCs w:val="24"/>
        </w:rPr>
        <w:footnoteReference w:id="7"/>
      </w:r>
    </w:p>
    <w:p w14:paraId="20B4EA90" w14:textId="742E2518" w:rsidR="00C90E78" w:rsidRDefault="00C90E78" w:rsidP="00C90E78">
      <w:pPr>
        <w:tabs>
          <w:tab w:val="left" w:pos="5461"/>
        </w:tabs>
        <w:spacing w:before="240" w:after="240" w:line="360" w:lineRule="auto"/>
        <w:jc w:val="both"/>
        <w:rPr>
          <w:rFonts w:ascii="Arial" w:eastAsia="Calibri" w:hAnsi="Arial" w:cs="Arial"/>
          <w:sz w:val="24"/>
          <w:szCs w:val="24"/>
        </w:rPr>
      </w:pPr>
      <w:r>
        <w:rPr>
          <w:rFonts w:ascii="Arial" w:eastAsia="Calibri" w:hAnsi="Arial" w:cs="Arial"/>
          <w:sz w:val="24"/>
          <w:szCs w:val="24"/>
        </w:rPr>
        <w:t xml:space="preserve">Atendiendo a lo previsto por el mencionado artículo 48, en relación con el diverso 47 de la </w:t>
      </w:r>
      <w:r>
        <w:rPr>
          <w:rFonts w:ascii="Arial" w:eastAsia="Calibri" w:hAnsi="Arial" w:cs="Arial"/>
          <w:i/>
          <w:iCs/>
          <w:sz w:val="24"/>
          <w:szCs w:val="24"/>
        </w:rPr>
        <w:t xml:space="preserve">Ley local, </w:t>
      </w:r>
      <w:r>
        <w:rPr>
          <w:rFonts w:ascii="Arial" w:eastAsia="Calibri" w:hAnsi="Arial" w:cs="Arial"/>
          <w:sz w:val="24"/>
          <w:szCs w:val="24"/>
        </w:rPr>
        <w:t>p</w:t>
      </w:r>
      <w:r w:rsidRPr="00C90E78">
        <w:rPr>
          <w:rFonts w:ascii="Arial" w:eastAsia="Calibri" w:hAnsi="Arial" w:cs="Arial"/>
          <w:sz w:val="24"/>
          <w:szCs w:val="24"/>
        </w:rPr>
        <w:t>ara gastos de campaña</w:t>
      </w:r>
      <w:r>
        <w:rPr>
          <w:rFonts w:ascii="Arial" w:eastAsia="Calibri" w:hAnsi="Arial" w:cs="Arial"/>
          <w:sz w:val="24"/>
          <w:szCs w:val="24"/>
        </w:rPr>
        <w:t xml:space="preserve">, en caso del presente proceso electoral local 2020-2021, en el que sólo se renovarán ayuntamientos </w:t>
      </w:r>
      <w:r>
        <w:rPr>
          <w:rFonts w:ascii="Arial" w:eastAsia="Calibri" w:hAnsi="Arial" w:cs="Arial"/>
          <w:sz w:val="24"/>
          <w:szCs w:val="24"/>
        </w:rPr>
        <w:lastRenderedPageBreak/>
        <w:t>y diputaciones en el Estado de Guanajuato, a los partidos políticos</w:t>
      </w:r>
      <w:r w:rsidR="00700A5B">
        <w:rPr>
          <w:rFonts w:ascii="Arial" w:eastAsia="Calibri" w:hAnsi="Arial" w:cs="Arial"/>
          <w:sz w:val="24"/>
          <w:szCs w:val="24"/>
        </w:rPr>
        <w:t xml:space="preserve"> de nueva creación</w:t>
      </w:r>
      <w:r>
        <w:rPr>
          <w:rFonts w:ascii="Arial" w:eastAsia="Calibri" w:hAnsi="Arial" w:cs="Arial"/>
          <w:sz w:val="24"/>
          <w:szCs w:val="24"/>
        </w:rPr>
        <w:t xml:space="preserve"> </w:t>
      </w:r>
      <w:r w:rsidRPr="00C90E78">
        <w:rPr>
          <w:rFonts w:ascii="Arial" w:eastAsia="Calibri" w:hAnsi="Arial" w:cs="Arial"/>
          <w:sz w:val="24"/>
          <w:szCs w:val="24"/>
        </w:rPr>
        <w:t>se le</w:t>
      </w:r>
      <w:r w:rsidR="00700A5B">
        <w:rPr>
          <w:rFonts w:ascii="Arial" w:eastAsia="Calibri" w:hAnsi="Arial" w:cs="Arial"/>
          <w:sz w:val="24"/>
          <w:szCs w:val="24"/>
        </w:rPr>
        <w:t>s</w:t>
      </w:r>
      <w:r w:rsidRPr="00C90E78">
        <w:rPr>
          <w:rFonts w:ascii="Arial" w:eastAsia="Calibri" w:hAnsi="Arial" w:cs="Arial"/>
          <w:sz w:val="24"/>
          <w:szCs w:val="24"/>
        </w:rPr>
        <w:t xml:space="preserve"> otorgará para gastos de campaña un monto equivalente al treinta por ciento del financiamiento público que para el sostenimiento de sus actividades ordinarias permanentes le corresponda en ese año</w:t>
      </w:r>
      <w:r>
        <w:rPr>
          <w:rStyle w:val="Refdenotaalpie"/>
          <w:rFonts w:ascii="Arial" w:eastAsia="Calibri" w:hAnsi="Arial" w:cs="Arial"/>
          <w:sz w:val="24"/>
          <w:szCs w:val="24"/>
        </w:rPr>
        <w:footnoteReference w:id="8"/>
      </w:r>
      <w:r w:rsidR="0075253B">
        <w:rPr>
          <w:rFonts w:ascii="Arial" w:eastAsia="Calibri" w:hAnsi="Arial" w:cs="Arial"/>
          <w:sz w:val="24"/>
          <w:szCs w:val="24"/>
        </w:rPr>
        <w:t>, conforme a lo siguiente.</w:t>
      </w:r>
    </w:p>
    <w:tbl>
      <w:tblPr>
        <w:tblStyle w:val="Tablaconcuadrcula"/>
        <w:tblW w:w="7256" w:type="dxa"/>
        <w:jc w:val="center"/>
        <w:tblLook w:val="04A0" w:firstRow="1" w:lastRow="0" w:firstColumn="1" w:lastColumn="0" w:noHBand="0" w:noVBand="1"/>
      </w:tblPr>
      <w:tblGrid>
        <w:gridCol w:w="2418"/>
        <w:gridCol w:w="2418"/>
        <w:gridCol w:w="2420"/>
      </w:tblGrid>
      <w:tr w:rsidR="0075253B" w14:paraId="509B128D" w14:textId="77777777" w:rsidTr="00EE4B51">
        <w:trPr>
          <w:trHeight w:val="1451"/>
          <w:jc w:val="center"/>
        </w:trPr>
        <w:tc>
          <w:tcPr>
            <w:tcW w:w="2418" w:type="dxa"/>
            <w:shd w:val="clear" w:color="auto" w:fill="AEAAAA" w:themeFill="background2" w:themeFillShade="BF"/>
          </w:tcPr>
          <w:p w14:paraId="3114FEC4" w14:textId="77777777" w:rsidR="0075253B" w:rsidRPr="00EE4B51" w:rsidRDefault="0075253B" w:rsidP="009055D9">
            <w:pPr>
              <w:tabs>
                <w:tab w:val="left" w:pos="5461"/>
              </w:tabs>
              <w:jc w:val="center"/>
              <w:rPr>
                <w:rFonts w:ascii="Arial" w:eastAsia="Calibri" w:hAnsi="Arial" w:cs="Arial"/>
                <w:b/>
                <w:bCs/>
                <w:sz w:val="18"/>
                <w:szCs w:val="18"/>
              </w:rPr>
            </w:pPr>
            <w:r w:rsidRPr="00EE4B51">
              <w:rPr>
                <w:rFonts w:ascii="Arial" w:eastAsia="Calibri" w:hAnsi="Arial" w:cs="Arial"/>
                <w:b/>
                <w:bCs/>
                <w:sz w:val="18"/>
                <w:szCs w:val="18"/>
              </w:rPr>
              <w:t>Financiamiento</w:t>
            </w:r>
          </w:p>
          <w:p w14:paraId="0D7E63D9" w14:textId="77777777" w:rsidR="0075253B" w:rsidRPr="00EE4B51" w:rsidRDefault="0075253B" w:rsidP="009055D9">
            <w:pPr>
              <w:tabs>
                <w:tab w:val="left" w:pos="5461"/>
              </w:tabs>
              <w:jc w:val="center"/>
              <w:rPr>
                <w:rFonts w:ascii="Arial" w:eastAsia="Calibri" w:hAnsi="Arial" w:cs="Arial"/>
                <w:b/>
                <w:bCs/>
                <w:sz w:val="18"/>
                <w:szCs w:val="18"/>
              </w:rPr>
            </w:pPr>
            <w:r w:rsidRPr="00EE4B51">
              <w:rPr>
                <w:rFonts w:ascii="Arial" w:eastAsia="Calibri" w:hAnsi="Arial" w:cs="Arial"/>
                <w:b/>
                <w:bCs/>
                <w:sz w:val="18"/>
                <w:szCs w:val="18"/>
              </w:rPr>
              <w:t>público anual para el</w:t>
            </w:r>
          </w:p>
          <w:p w14:paraId="44C9299D" w14:textId="77777777" w:rsidR="0075253B" w:rsidRPr="00EE4B51" w:rsidRDefault="0075253B" w:rsidP="009055D9">
            <w:pPr>
              <w:tabs>
                <w:tab w:val="left" w:pos="5461"/>
              </w:tabs>
              <w:jc w:val="center"/>
              <w:rPr>
                <w:rFonts w:ascii="Arial" w:eastAsia="Calibri" w:hAnsi="Arial" w:cs="Arial"/>
                <w:b/>
                <w:bCs/>
                <w:sz w:val="18"/>
                <w:szCs w:val="18"/>
              </w:rPr>
            </w:pPr>
            <w:r w:rsidRPr="00EE4B51">
              <w:rPr>
                <w:rFonts w:ascii="Arial" w:eastAsia="Calibri" w:hAnsi="Arial" w:cs="Arial"/>
                <w:b/>
                <w:bCs/>
                <w:sz w:val="18"/>
                <w:szCs w:val="18"/>
              </w:rPr>
              <w:t>sostenimiento</w:t>
            </w:r>
          </w:p>
          <w:p w14:paraId="744E4532" w14:textId="77777777" w:rsidR="0075253B" w:rsidRPr="00EE4B51" w:rsidRDefault="0075253B" w:rsidP="009055D9">
            <w:pPr>
              <w:tabs>
                <w:tab w:val="left" w:pos="5461"/>
              </w:tabs>
              <w:jc w:val="center"/>
              <w:rPr>
                <w:rFonts w:ascii="Arial" w:eastAsia="Calibri" w:hAnsi="Arial" w:cs="Arial"/>
                <w:b/>
                <w:bCs/>
                <w:sz w:val="18"/>
                <w:szCs w:val="18"/>
              </w:rPr>
            </w:pPr>
            <w:r w:rsidRPr="00EE4B51">
              <w:rPr>
                <w:rFonts w:ascii="Arial" w:eastAsia="Calibri" w:hAnsi="Arial" w:cs="Arial"/>
                <w:b/>
                <w:bCs/>
                <w:sz w:val="18"/>
                <w:szCs w:val="18"/>
              </w:rPr>
              <w:t>de Actividades</w:t>
            </w:r>
          </w:p>
          <w:p w14:paraId="79C19535" w14:textId="77777777" w:rsidR="0075253B" w:rsidRPr="00EE4B51" w:rsidRDefault="0075253B" w:rsidP="009055D9">
            <w:pPr>
              <w:tabs>
                <w:tab w:val="left" w:pos="5461"/>
              </w:tabs>
              <w:jc w:val="center"/>
              <w:rPr>
                <w:rFonts w:ascii="Arial" w:eastAsia="Calibri" w:hAnsi="Arial" w:cs="Arial"/>
                <w:b/>
                <w:bCs/>
                <w:sz w:val="18"/>
                <w:szCs w:val="18"/>
              </w:rPr>
            </w:pPr>
            <w:r w:rsidRPr="00EE4B51">
              <w:rPr>
                <w:rFonts w:ascii="Arial" w:eastAsia="Calibri" w:hAnsi="Arial" w:cs="Arial"/>
                <w:b/>
                <w:bCs/>
                <w:sz w:val="18"/>
                <w:szCs w:val="18"/>
              </w:rPr>
              <w:t>Ordinarias</w:t>
            </w:r>
          </w:p>
          <w:p w14:paraId="128610D0" w14:textId="77777777" w:rsidR="0075253B" w:rsidRPr="00EE4B51" w:rsidRDefault="0075253B" w:rsidP="009055D9">
            <w:pPr>
              <w:tabs>
                <w:tab w:val="left" w:pos="5461"/>
              </w:tabs>
              <w:jc w:val="center"/>
              <w:rPr>
                <w:rFonts w:ascii="Arial" w:eastAsia="Calibri" w:hAnsi="Arial" w:cs="Arial"/>
                <w:b/>
                <w:bCs/>
                <w:sz w:val="18"/>
                <w:szCs w:val="18"/>
              </w:rPr>
            </w:pPr>
            <w:r w:rsidRPr="00EE4B51">
              <w:rPr>
                <w:rFonts w:ascii="Arial" w:eastAsia="Calibri" w:hAnsi="Arial" w:cs="Arial"/>
                <w:b/>
                <w:bCs/>
                <w:sz w:val="18"/>
                <w:szCs w:val="18"/>
              </w:rPr>
              <w:t>Permanentes para</w:t>
            </w:r>
          </w:p>
          <w:p w14:paraId="22D640EA" w14:textId="3DBA7DB7" w:rsidR="0075253B" w:rsidRPr="00EE4B51" w:rsidRDefault="009055D9" w:rsidP="009055D9">
            <w:pPr>
              <w:tabs>
                <w:tab w:val="left" w:pos="5461"/>
              </w:tabs>
              <w:jc w:val="center"/>
              <w:rPr>
                <w:rFonts w:ascii="Arial" w:eastAsia="Calibri" w:hAnsi="Arial" w:cs="Arial"/>
                <w:b/>
                <w:bCs/>
                <w:sz w:val="18"/>
                <w:szCs w:val="18"/>
              </w:rPr>
            </w:pPr>
            <w:r w:rsidRPr="00EE4B51">
              <w:rPr>
                <w:rFonts w:ascii="Arial" w:eastAsia="Calibri" w:hAnsi="Arial" w:cs="Arial"/>
                <w:b/>
                <w:bCs/>
                <w:sz w:val="18"/>
                <w:szCs w:val="18"/>
              </w:rPr>
              <w:t>2021 en el Estado de Guanajuato</w:t>
            </w:r>
          </w:p>
        </w:tc>
        <w:tc>
          <w:tcPr>
            <w:tcW w:w="2418" w:type="dxa"/>
            <w:shd w:val="clear" w:color="auto" w:fill="AEAAAA" w:themeFill="background2" w:themeFillShade="BF"/>
          </w:tcPr>
          <w:p w14:paraId="108511F9" w14:textId="795A1497" w:rsidR="0075253B" w:rsidRPr="00EE4B51" w:rsidRDefault="009055D9" w:rsidP="009055D9">
            <w:pPr>
              <w:tabs>
                <w:tab w:val="left" w:pos="5461"/>
              </w:tabs>
              <w:jc w:val="center"/>
              <w:rPr>
                <w:rFonts w:ascii="Arial" w:eastAsia="Calibri" w:hAnsi="Arial" w:cs="Arial"/>
                <w:b/>
                <w:bCs/>
                <w:sz w:val="18"/>
                <w:szCs w:val="18"/>
              </w:rPr>
            </w:pPr>
            <w:r w:rsidRPr="00EE4B51">
              <w:rPr>
                <w:rFonts w:ascii="Arial" w:hAnsi="Arial" w:cs="Arial"/>
                <w:b/>
                <w:bCs/>
                <w:sz w:val="18"/>
                <w:szCs w:val="18"/>
              </w:rPr>
              <w:t>2% del financiamiento para Actividades Ordinarias</w:t>
            </w:r>
          </w:p>
        </w:tc>
        <w:tc>
          <w:tcPr>
            <w:tcW w:w="2420" w:type="dxa"/>
            <w:shd w:val="clear" w:color="auto" w:fill="AEAAAA" w:themeFill="background2" w:themeFillShade="BF"/>
          </w:tcPr>
          <w:p w14:paraId="5C0F4370" w14:textId="2E403ACF" w:rsidR="0075253B" w:rsidRPr="00EE4B51" w:rsidRDefault="009055D9" w:rsidP="009055D9">
            <w:pPr>
              <w:tabs>
                <w:tab w:val="left" w:pos="5461"/>
              </w:tabs>
              <w:jc w:val="center"/>
              <w:rPr>
                <w:rFonts w:ascii="Arial" w:eastAsia="Calibri" w:hAnsi="Arial" w:cs="Arial"/>
                <w:b/>
                <w:bCs/>
                <w:sz w:val="18"/>
                <w:szCs w:val="18"/>
              </w:rPr>
            </w:pPr>
            <w:r w:rsidRPr="00EE4B51">
              <w:rPr>
                <w:rFonts w:ascii="Arial" w:hAnsi="Arial" w:cs="Arial"/>
                <w:b/>
                <w:bCs/>
                <w:sz w:val="18"/>
                <w:szCs w:val="18"/>
              </w:rPr>
              <w:t xml:space="preserve">Financiamiento para gastos de campaña </w:t>
            </w:r>
            <w:r w:rsidR="00AB59E9">
              <w:rPr>
                <w:rFonts w:ascii="Arial" w:hAnsi="Arial" w:cs="Arial"/>
                <w:b/>
                <w:bCs/>
                <w:sz w:val="18"/>
                <w:szCs w:val="18"/>
              </w:rPr>
              <w:t xml:space="preserve">a partidos políticos de nueva creación </w:t>
            </w:r>
            <w:r w:rsidRPr="00EE4B51">
              <w:rPr>
                <w:rFonts w:ascii="Arial" w:hAnsi="Arial" w:cs="Arial"/>
                <w:b/>
                <w:bCs/>
                <w:sz w:val="18"/>
                <w:szCs w:val="18"/>
              </w:rPr>
              <w:t>(30% del financiamiento para Actividades Ordinarias)</w:t>
            </w:r>
          </w:p>
        </w:tc>
      </w:tr>
      <w:tr w:rsidR="0075253B" w14:paraId="0B785429" w14:textId="77777777" w:rsidTr="00EE4B51">
        <w:trPr>
          <w:trHeight w:val="482"/>
          <w:jc w:val="center"/>
        </w:trPr>
        <w:tc>
          <w:tcPr>
            <w:tcW w:w="2418" w:type="dxa"/>
          </w:tcPr>
          <w:p w14:paraId="4C672B57" w14:textId="77777777" w:rsidR="009055D9" w:rsidRPr="009055D9" w:rsidRDefault="009055D9" w:rsidP="009055D9">
            <w:pPr>
              <w:pStyle w:val="Default"/>
              <w:jc w:val="center"/>
              <w:rPr>
                <w:sz w:val="19"/>
                <w:szCs w:val="19"/>
              </w:rPr>
            </w:pPr>
          </w:p>
          <w:p w14:paraId="68239685" w14:textId="290EB7FC" w:rsidR="0075253B" w:rsidRPr="009055D9" w:rsidRDefault="009055D9" w:rsidP="009055D9">
            <w:pPr>
              <w:pStyle w:val="Default"/>
              <w:jc w:val="center"/>
              <w:rPr>
                <w:sz w:val="19"/>
                <w:szCs w:val="19"/>
              </w:rPr>
            </w:pPr>
            <w:r w:rsidRPr="009055D9">
              <w:rPr>
                <w:sz w:val="19"/>
                <w:szCs w:val="19"/>
              </w:rPr>
              <w:t xml:space="preserve">$ </w:t>
            </w:r>
            <w:r w:rsidR="0075253B" w:rsidRPr="009055D9">
              <w:rPr>
                <w:sz w:val="19"/>
                <w:szCs w:val="19"/>
              </w:rPr>
              <w:t>159,635,570.88</w:t>
            </w:r>
          </w:p>
        </w:tc>
        <w:tc>
          <w:tcPr>
            <w:tcW w:w="2418" w:type="dxa"/>
          </w:tcPr>
          <w:p w14:paraId="05F1B85E" w14:textId="77777777" w:rsidR="009055D9" w:rsidRPr="009055D9" w:rsidRDefault="009055D9" w:rsidP="009055D9">
            <w:pPr>
              <w:pStyle w:val="Default"/>
              <w:jc w:val="center"/>
              <w:rPr>
                <w:sz w:val="19"/>
                <w:szCs w:val="19"/>
              </w:rPr>
            </w:pPr>
          </w:p>
          <w:p w14:paraId="38524A5A" w14:textId="161DE25A" w:rsidR="0075253B" w:rsidRPr="00EE4B51" w:rsidRDefault="009055D9" w:rsidP="00EE4B51">
            <w:pPr>
              <w:pStyle w:val="Default"/>
              <w:jc w:val="center"/>
              <w:rPr>
                <w:sz w:val="19"/>
                <w:szCs w:val="19"/>
              </w:rPr>
            </w:pPr>
            <w:r w:rsidRPr="009055D9">
              <w:rPr>
                <w:sz w:val="19"/>
                <w:szCs w:val="19"/>
              </w:rPr>
              <w:t>$ 3,192,711.41</w:t>
            </w:r>
          </w:p>
        </w:tc>
        <w:tc>
          <w:tcPr>
            <w:tcW w:w="2420" w:type="dxa"/>
          </w:tcPr>
          <w:p w14:paraId="57347354" w14:textId="77777777" w:rsidR="009055D9" w:rsidRPr="009055D9" w:rsidRDefault="009055D9" w:rsidP="009055D9">
            <w:pPr>
              <w:pStyle w:val="Default"/>
              <w:jc w:val="center"/>
              <w:rPr>
                <w:sz w:val="19"/>
                <w:szCs w:val="19"/>
              </w:rPr>
            </w:pPr>
          </w:p>
          <w:p w14:paraId="47FB36F6" w14:textId="7107C825" w:rsidR="0075253B" w:rsidRPr="009055D9" w:rsidRDefault="009055D9" w:rsidP="00EE4B51">
            <w:pPr>
              <w:pStyle w:val="Default"/>
              <w:jc w:val="center"/>
              <w:rPr>
                <w:sz w:val="19"/>
                <w:szCs w:val="19"/>
              </w:rPr>
            </w:pPr>
            <w:r w:rsidRPr="009055D9">
              <w:rPr>
                <w:sz w:val="19"/>
                <w:szCs w:val="19"/>
              </w:rPr>
              <w:t>$ 957,813.42</w:t>
            </w:r>
          </w:p>
        </w:tc>
      </w:tr>
    </w:tbl>
    <w:p w14:paraId="23995E1D" w14:textId="17B4CEC2" w:rsidR="008906E2" w:rsidRDefault="008906E2" w:rsidP="007326A6">
      <w:pPr>
        <w:spacing w:before="240" w:after="240" w:line="360" w:lineRule="auto"/>
        <w:jc w:val="both"/>
        <w:rPr>
          <w:rFonts w:ascii="Arial" w:eastAsia="Times New Roman" w:hAnsi="Arial" w:cs="Arial"/>
          <w:sz w:val="24"/>
          <w:szCs w:val="24"/>
          <w:lang w:eastAsia="es-MX"/>
        </w:rPr>
      </w:pPr>
      <w:bookmarkStart w:id="38" w:name="_Toc71932162"/>
      <w:r>
        <w:rPr>
          <w:rFonts w:ascii="Arial" w:eastAsia="Times New Roman" w:hAnsi="Arial" w:cs="Arial"/>
          <w:sz w:val="24"/>
          <w:szCs w:val="24"/>
          <w:lang w:eastAsia="es-MX"/>
        </w:rPr>
        <w:t>Cabe destacar que dicho cálculo de distribución fue semejante al asignado a candidaturas independientes del Estado de México y, validado por la Sala Superior de este Tribunal Electoral al resolver el expediente SUP-JDC-234/2017</w:t>
      </w:r>
      <w:r>
        <w:rPr>
          <w:rStyle w:val="Refdenotaalpie"/>
          <w:rFonts w:ascii="Arial" w:eastAsia="Times New Roman" w:hAnsi="Arial" w:cs="Arial"/>
          <w:sz w:val="24"/>
          <w:szCs w:val="24"/>
          <w:lang w:eastAsia="es-MX"/>
        </w:rPr>
        <w:footnoteReference w:id="9"/>
      </w:r>
      <w:r>
        <w:rPr>
          <w:rFonts w:ascii="Arial" w:eastAsia="Times New Roman" w:hAnsi="Arial" w:cs="Arial"/>
          <w:sz w:val="24"/>
          <w:szCs w:val="24"/>
          <w:lang w:eastAsia="es-MX"/>
        </w:rPr>
        <w:t>.</w:t>
      </w:r>
    </w:p>
    <w:p w14:paraId="5804FE53" w14:textId="1D1E0458" w:rsidR="00C90E78" w:rsidRPr="008554D7" w:rsidRDefault="009055D9" w:rsidP="007326A6">
      <w:pPr>
        <w:spacing w:before="240" w:after="240" w:line="360" w:lineRule="auto"/>
        <w:jc w:val="both"/>
        <w:rPr>
          <w:rFonts w:ascii="Arial" w:eastAsia="Times New Roman" w:hAnsi="Arial" w:cs="Arial"/>
          <w:sz w:val="24"/>
          <w:szCs w:val="24"/>
          <w:lang w:val="es-ES" w:eastAsia="es-MX"/>
        </w:rPr>
      </w:pPr>
      <w:r>
        <w:rPr>
          <w:rFonts w:ascii="Arial" w:eastAsia="Times New Roman" w:hAnsi="Arial" w:cs="Arial"/>
          <w:sz w:val="24"/>
          <w:szCs w:val="24"/>
          <w:lang w:eastAsia="es-MX"/>
        </w:rPr>
        <w:t>Ahora, d</w:t>
      </w:r>
      <w:r w:rsidR="007326A6">
        <w:rPr>
          <w:rFonts w:ascii="Arial" w:eastAsia="Times New Roman" w:hAnsi="Arial" w:cs="Arial"/>
          <w:sz w:val="24"/>
          <w:szCs w:val="24"/>
          <w:lang w:eastAsia="es-MX"/>
        </w:rPr>
        <w:t>erivado de lo anteriormente expuesto, es</w:t>
      </w:r>
      <w:r w:rsidR="00C90E78" w:rsidRPr="008554D7">
        <w:rPr>
          <w:rFonts w:ascii="Arial" w:eastAsia="Times New Roman" w:hAnsi="Arial" w:cs="Arial"/>
          <w:sz w:val="24"/>
          <w:szCs w:val="24"/>
          <w:lang w:val="es-ES" w:eastAsia="es-MX"/>
        </w:rPr>
        <w:t xml:space="preserve"> dable traer a cita lo resuelto</w:t>
      </w:r>
      <w:r w:rsidR="00C61F38">
        <w:rPr>
          <w:rFonts w:ascii="Arial" w:eastAsia="Times New Roman" w:hAnsi="Arial" w:cs="Arial"/>
          <w:sz w:val="24"/>
          <w:szCs w:val="24"/>
          <w:lang w:val="es-ES" w:eastAsia="es-MX"/>
        </w:rPr>
        <w:t xml:space="preserve"> por la Suprema Corte de la Nación</w:t>
      </w:r>
      <w:r w:rsidR="00C90E78" w:rsidRPr="008554D7">
        <w:rPr>
          <w:rFonts w:ascii="Arial" w:eastAsia="Times New Roman" w:hAnsi="Arial" w:cs="Arial"/>
          <w:sz w:val="24"/>
          <w:szCs w:val="24"/>
          <w:lang w:val="es-ES" w:eastAsia="es-MX"/>
        </w:rPr>
        <w:t xml:space="preserve"> en la </w:t>
      </w:r>
      <w:r w:rsidR="00C61F38">
        <w:rPr>
          <w:rFonts w:ascii="Arial" w:eastAsia="Times New Roman" w:hAnsi="Arial" w:cs="Arial"/>
          <w:sz w:val="24"/>
          <w:szCs w:val="24"/>
          <w:lang w:val="es-ES" w:eastAsia="es-MX"/>
        </w:rPr>
        <w:t>a</w:t>
      </w:r>
      <w:r w:rsidR="00C90E78" w:rsidRPr="008554D7">
        <w:rPr>
          <w:rFonts w:ascii="Arial" w:eastAsia="Times New Roman" w:hAnsi="Arial" w:cs="Arial"/>
          <w:sz w:val="24"/>
          <w:szCs w:val="24"/>
          <w:lang w:val="es-ES" w:eastAsia="es-MX"/>
        </w:rPr>
        <w:t>cción de inconstitucionalidad 32/2014, y su acumulada 33/2014, en las que se impugnaron diversos artículos del Código Electoral de Colima</w:t>
      </w:r>
      <w:r w:rsidR="00C90E78" w:rsidRPr="008554D7">
        <w:rPr>
          <w:rFonts w:ascii="Arial" w:eastAsia="Times New Roman" w:hAnsi="Arial" w:cs="Arial"/>
          <w:sz w:val="24"/>
          <w:szCs w:val="24"/>
          <w:vertAlign w:val="superscript"/>
          <w:lang w:val="es-ES" w:eastAsia="es-MX"/>
        </w:rPr>
        <w:footnoteReference w:id="10"/>
      </w:r>
      <w:r w:rsidR="00C90E78" w:rsidRPr="008554D7">
        <w:rPr>
          <w:rFonts w:ascii="Arial" w:eastAsia="Times New Roman" w:hAnsi="Arial" w:cs="Arial"/>
          <w:sz w:val="24"/>
          <w:szCs w:val="24"/>
          <w:lang w:val="es-ES" w:eastAsia="es-MX"/>
        </w:rPr>
        <w:t xml:space="preserve">. </w:t>
      </w:r>
    </w:p>
    <w:p w14:paraId="01A6F514" w14:textId="4A19DF13" w:rsidR="00C90E78" w:rsidRPr="008554D7" w:rsidRDefault="00C90E78" w:rsidP="007326A6">
      <w:pPr>
        <w:spacing w:before="240" w:after="240" w:line="360" w:lineRule="auto"/>
        <w:jc w:val="both"/>
        <w:rPr>
          <w:rFonts w:ascii="Arial" w:eastAsia="Times New Roman" w:hAnsi="Arial" w:cs="Arial"/>
          <w:sz w:val="24"/>
          <w:szCs w:val="24"/>
          <w:lang w:val="es-ES" w:eastAsia="es-MX"/>
        </w:rPr>
      </w:pPr>
      <w:r w:rsidRPr="008554D7">
        <w:rPr>
          <w:rFonts w:ascii="Arial" w:eastAsia="Times New Roman" w:hAnsi="Arial" w:cs="Arial"/>
          <w:sz w:val="24"/>
          <w:szCs w:val="24"/>
          <w:lang w:val="es-ES" w:eastAsia="es-MX"/>
        </w:rPr>
        <w:t xml:space="preserve">En esa ejecutoria </w:t>
      </w:r>
      <w:r w:rsidR="00C61F38">
        <w:rPr>
          <w:rFonts w:ascii="Arial" w:eastAsia="Times New Roman" w:hAnsi="Arial" w:cs="Arial"/>
          <w:sz w:val="24"/>
          <w:szCs w:val="24"/>
          <w:lang w:val="es-ES" w:eastAsia="es-MX"/>
        </w:rPr>
        <w:t>el máximo tribunal del país</w:t>
      </w:r>
      <w:r w:rsidRPr="008554D7">
        <w:rPr>
          <w:rFonts w:ascii="Arial" w:eastAsia="Times New Roman" w:hAnsi="Arial" w:cs="Arial"/>
          <w:sz w:val="24"/>
          <w:szCs w:val="24"/>
          <w:lang w:val="es-ES" w:eastAsia="es-MX"/>
        </w:rPr>
        <w:t xml:space="preserve"> argumentó que </w:t>
      </w:r>
      <w:r w:rsidRPr="008554D7">
        <w:rPr>
          <w:rFonts w:ascii="Arial" w:eastAsia="Times New Roman" w:hAnsi="Arial" w:cs="Arial"/>
          <w:b/>
          <w:sz w:val="24"/>
          <w:szCs w:val="24"/>
          <w:lang w:val="es-ES" w:eastAsia="es-MX"/>
        </w:rPr>
        <w:t>el financiamiento público de los candidatos independientes en los estados debe ajustarse a lo previsto en la propia Ley Fundamental,</w:t>
      </w:r>
      <w:r w:rsidRPr="008554D7">
        <w:rPr>
          <w:rFonts w:ascii="Arial" w:eastAsia="Times New Roman" w:hAnsi="Arial" w:cs="Arial"/>
          <w:sz w:val="24"/>
          <w:szCs w:val="24"/>
          <w:lang w:val="es-ES" w:eastAsia="es-MX"/>
        </w:rPr>
        <w:t xml:space="preserve"> y en ella se dispone que éste será equitativo al que reciban los partidos políticos.</w:t>
      </w:r>
    </w:p>
    <w:p w14:paraId="1ECD2B5D" w14:textId="065764AC" w:rsidR="00C90E78" w:rsidRPr="008554D7" w:rsidRDefault="00C90E78" w:rsidP="007326A6">
      <w:pPr>
        <w:spacing w:before="240" w:after="240" w:line="360" w:lineRule="auto"/>
        <w:jc w:val="both"/>
        <w:rPr>
          <w:rFonts w:ascii="Arial" w:eastAsia="Times New Roman" w:hAnsi="Arial" w:cs="Arial"/>
          <w:sz w:val="24"/>
          <w:szCs w:val="24"/>
          <w:lang w:val="es-ES" w:eastAsia="es-MX"/>
        </w:rPr>
      </w:pPr>
      <w:r w:rsidRPr="008554D7">
        <w:rPr>
          <w:rFonts w:ascii="Arial" w:eastAsia="Times New Roman" w:hAnsi="Arial" w:cs="Arial"/>
          <w:sz w:val="24"/>
          <w:szCs w:val="24"/>
          <w:lang w:val="es-ES" w:eastAsia="es-MX"/>
        </w:rPr>
        <w:t xml:space="preserve">En esta decisión </w:t>
      </w:r>
      <w:r w:rsidR="00C61F38">
        <w:rPr>
          <w:rFonts w:ascii="Arial" w:eastAsia="Times New Roman" w:hAnsi="Arial" w:cs="Arial"/>
          <w:sz w:val="24"/>
          <w:szCs w:val="24"/>
          <w:lang w:val="es-ES" w:eastAsia="es-MX"/>
        </w:rPr>
        <w:t>el Alto Tribunal</w:t>
      </w:r>
      <w:r w:rsidRPr="008554D7">
        <w:rPr>
          <w:rFonts w:ascii="Arial" w:eastAsia="Times New Roman" w:hAnsi="Arial" w:cs="Arial"/>
          <w:sz w:val="24"/>
          <w:szCs w:val="24"/>
          <w:lang w:val="es-ES" w:eastAsia="es-MX"/>
        </w:rPr>
        <w:t xml:space="preserve"> distinguió las distancias que existen entre el financiamiento para partidos, que a su vez debe tenerse presente, compiten en diferentes elecciones y reciben una bolsa que distribuirán por elección y candidatos; del que corresponde a los candidatos independientes, quienes </w:t>
      </w:r>
      <w:r w:rsidRPr="008554D7">
        <w:rPr>
          <w:rFonts w:ascii="Arial" w:eastAsia="Times New Roman" w:hAnsi="Arial" w:cs="Arial"/>
          <w:sz w:val="24"/>
          <w:szCs w:val="24"/>
          <w:lang w:val="es-ES" w:eastAsia="es-MX"/>
        </w:rPr>
        <w:lastRenderedPageBreak/>
        <w:t>como se advierte participan de una sola elección, para ser considerados, bajo el criterio de equivalencia, en lo global con el financiamiento que debería corresponder a un partido de nueva creación.</w:t>
      </w:r>
    </w:p>
    <w:p w14:paraId="24F41434" w14:textId="0F792A77" w:rsidR="00C90E78" w:rsidRPr="00C61F38" w:rsidRDefault="00C90E78" w:rsidP="007326A6">
      <w:pPr>
        <w:spacing w:before="240" w:after="240" w:line="360" w:lineRule="auto"/>
        <w:jc w:val="both"/>
        <w:rPr>
          <w:rFonts w:ascii="Arial" w:eastAsia="Times New Roman" w:hAnsi="Arial" w:cs="Arial"/>
          <w:sz w:val="24"/>
          <w:szCs w:val="24"/>
          <w:lang w:val="es-ES" w:eastAsia="es-MX"/>
        </w:rPr>
      </w:pPr>
      <w:r w:rsidRPr="007326A6">
        <w:rPr>
          <w:rFonts w:ascii="Arial" w:eastAsia="Times New Roman" w:hAnsi="Arial" w:cs="Arial"/>
          <w:sz w:val="24"/>
          <w:szCs w:val="24"/>
          <w:lang w:val="es-ES" w:eastAsia="es-MX"/>
        </w:rPr>
        <w:t>De lo que es dable concluir, en una interpretación funcional y sistemática del numeral 3</w:t>
      </w:r>
      <w:r w:rsidR="007326A6" w:rsidRPr="007326A6">
        <w:rPr>
          <w:rFonts w:ascii="Arial" w:eastAsia="Times New Roman" w:hAnsi="Arial" w:cs="Arial"/>
          <w:sz w:val="24"/>
          <w:szCs w:val="24"/>
          <w:lang w:val="es-ES" w:eastAsia="es-MX"/>
        </w:rPr>
        <w:t xml:space="preserve">33 de la </w:t>
      </w:r>
      <w:r w:rsidR="007326A6" w:rsidRPr="007326A6">
        <w:rPr>
          <w:rFonts w:ascii="Arial" w:eastAsia="Times New Roman" w:hAnsi="Arial" w:cs="Arial"/>
          <w:i/>
          <w:iCs/>
          <w:sz w:val="24"/>
          <w:szCs w:val="24"/>
          <w:lang w:val="es-ES" w:eastAsia="es-MX"/>
        </w:rPr>
        <w:t>Ley local</w:t>
      </w:r>
      <w:r w:rsidRPr="007326A6">
        <w:rPr>
          <w:rFonts w:ascii="Arial" w:eastAsia="Times New Roman" w:hAnsi="Arial" w:cs="Arial"/>
          <w:sz w:val="24"/>
          <w:szCs w:val="24"/>
          <w:lang w:val="es-ES" w:eastAsia="es-MX"/>
        </w:rPr>
        <w:t xml:space="preserve">, que la equivalencia a la que se refiere la norma al establecer respecto del </w:t>
      </w:r>
      <w:r w:rsidR="007326A6" w:rsidRPr="007326A6">
        <w:rPr>
          <w:rFonts w:ascii="Arial" w:eastAsia="Times New Roman" w:hAnsi="Arial" w:cs="Arial"/>
          <w:i/>
          <w:sz w:val="24"/>
          <w:szCs w:val="24"/>
          <w:lang w:val="es-ES" w:eastAsia="es-MX"/>
        </w:rPr>
        <w:t>financiamiento público para sus gastos de campaña</w:t>
      </w:r>
      <w:r w:rsidRPr="007326A6">
        <w:rPr>
          <w:rFonts w:ascii="Arial" w:eastAsia="Times New Roman" w:hAnsi="Arial" w:cs="Arial"/>
          <w:i/>
          <w:sz w:val="24"/>
          <w:szCs w:val="24"/>
          <w:lang w:val="es-ES" w:eastAsia="es-MX"/>
        </w:rPr>
        <w:t xml:space="preserve">, </w:t>
      </w:r>
      <w:r w:rsidR="007326A6" w:rsidRPr="007326A6">
        <w:rPr>
          <w:rFonts w:ascii="Arial" w:eastAsia="Times New Roman" w:hAnsi="Arial" w:cs="Arial"/>
          <w:sz w:val="24"/>
          <w:szCs w:val="24"/>
          <w:lang w:val="es-ES" w:eastAsia="es-MX"/>
        </w:rPr>
        <w:t>a que tendrán derecho</w:t>
      </w:r>
      <w:r w:rsidRPr="007326A6">
        <w:rPr>
          <w:rFonts w:ascii="Arial" w:eastAsia="Times New Roman" w:hAnsi="Arial" w:cs="Arial"/>
          <w:i/>
          <w:sz w:val="24"/>
          <w:szCs w:val="24"/>
          <w:lang w:val="es-ES" w:eastAsia="es-MX"/>
        </w:rPr>
        <w:t xml:space="preserve"> </w:t>
      </w:r>
      <w:r w:rsidR="007326A6" w:rsidRPr="007326A6">
        <w:rPr>
          <w:rFonts w:ascii="Arial" w:eastAsia="Times New Roman" w:hAnsi="Arial" w:cs="Arial"/>
          <w:sz w:val="24"/>
          <w:szCs w:val="24"/>
          <w:lang w:val="es-ES" w:eastAsia="es-MX"/>
        </w:rPr>
        <w:t>las candidaturas independientes</w:t>
      </w:r>
      <w:r w:rsidRPr="007326A6">
        <w:rPr>
          <w:rFonts w:ascii="Arial" w:eastAsia="Times New Roman" w:hAnsi="Arial" w:cs="Arial"/>
          <w:sz w:val="24"/>
          <w:szCs w:val="24"/>
          <w:lang w:val="es-ES" w:eastAsia="es-MX"/>
        </w:rPr>
        <w:t xml:space="preserve"> ve a la recepción de financiamiento público, el cual se otorga a partidos de nueva creación, para garantizar en ambos casos su competitividad, pero reconociendo</w:t>
      </w:r>
      <w:r w:rsidR="007326A6">
        <w:rPr>
          <w:rFonts w:ascii="Arial" w:eastAsia="Times New Roman" w:hAnsi="Arial" w:cs="Arial"/>
          <w:sz w:val="24"/>
          <w:szCs w:val="24"/>
          <w:lang w:val="es-ES" w:eastAsia="es-MX"/>
        </w:rPr>
        <w:t xml:space="preserve"> también,</w:t>
      </w:r>
      <w:r w:rsidRPr="007326A6">
        <w:rPr>
          <w:rFonts w:ascii="Arial" w:eastAsia="Times New Roman" w:hAnsi="Arial" w:cs="Arial"/>
          <w:sz w:val="24"/>
          <w:szCs w:val="24"/>
          <w:lang w:val="es-ES" w:eastAsia="es-MX"/>
        </w:rPr>
        <w:t xml:space="preserve"> en </w:t>
      </w:r>
      <w:r w:rsidR="007326A6" w:rsidRPr="007326A6">
        <w:rPr>
          <w:rFonts w:ascii="Arial" w:eastAsia="Times New Roman" w:hAnsi="Arial" w:cs="Arial"/>
          <w:sz w:val="24"/>
          <w:szCs w:val="24"/>
          <w:lang w:val="es-ES" w:eastAsia="es-MX"/>
        </w:rPr>
        <w:t>el diverso artículo 320, fracción III</w:t>
      </w:r>
      <w:r w:rsidRPr="007326A6">
        <w:rPr>
          <w:rFonts w:ascii="Arial" w:eastAsia="Times New Roman" w:hAnsi="Arial" w:cs="Arial"/>
          <w:sz w:val="24"/>
          <w:szCs w:val="24"/>
          <w:lang w:val="es-ES" w:eastAsia="es-MX"/>
        </w:rPr>
        <w:t>, el derecho a recibir financiamiento</w:t>
      </w:r>
      <w:r w:rsidR="007326A6" w:rsidRPr="007326A6">
        <w:rPr>
          <w:rFonts w:ascii="Arial" w:eastAsia="Times New Roman" w:hAnsi="Arial" w:cs="Arial"/>
          <w:sz w:val="24"/>
          <w:szCs w:val="24"/>
          <w:lang w:val="es-ES" w:eastAsia="es-MX"/>
        </w:rPr>
        <w:t xml:space="preserve"> </w:t>
      </w:r>
      <w:r w:rsidRPr="007326A6">
        <w:rPr>
          <w:rFonts w:ascii="Arial" w:eastAsia="Times New Roman" w:hAnsi="Arial" w:cs="Arial"/>
          <w:sz w:val="24"/>
          <w:szCs w:val="24"/>
          <w:lang w:val="es-ES" w:eastAsia="es-MX"/>
        </w:rPr>
        <w:t xml:space="preserve">de </w:t>
      </w:r>
      <w:r w:rsidRPr="00C61F38">
        <w:rPr>
          <w:rFonts w:ascii="Arial" w:eastAsia="Times New Roman" w:hAnsi="Arial" w:cs="Arial"/>
          <w:sz w:val="24"/>
          <w:szCs w:val="24"/>
          <w:lang w:val="es-ES" w:eastAsia="es-MX"/>
        </w:rPr>
        <w:t>fuentes privadas</w:t>
      </w:r>
      <w:r w:rsidR="007326A6" w:rsidRPr="00C61F38">
        <w:rPr>
          <w:rStyle w:val="Refdenotaalpie"/>
          <w:rFonts w:ascii="Arial" w:eastAsia="Times New Roman" w:hAnsi="Arial" w:cs="Arial"/>
          <w:sz w:val="24"/>
          <w:szCs w:val="24"/>
          <w:lang w:val="es-ES" w:eastAsia="es-MX"/>
        </w:rPr>
        <w:footnoteReference w:id="11"/>
      </w:r>
      <w:r w:rsidRPr="00C61F38">
        <w:rPr>
          <w:rFonts w:ascii="Arial" w:eastAsia="Times New Roman" w:hAnsi="Arial" w:cs="Arial"/>
          <w:sz w:val="24"/>
          <w:szCs w:val="24"/>
          <w:lang w:val="es-ES" w:eastAsia="es-MX"/>
        </w:rPr>
        <w:t>.</w:t>
      </w:r>
    </w:p>
    <w:p w14:paraId="217141C0" w14:textId="6E8A00D8" w:rsidR="00C90E78" w:rsidRPr="008554D7" w:rsidRDefault="00C90E78" w:rsidP="00C61F38">
      <w:pPr>
        <w:spacing w:before="240" w:after="240" w:line="360" w:lineRule="auto"/>
        <w:jc w:val="both"/>
        <w:rPr>
          <w:rFonts w:ascii="Arial" w:eastAsia="Times New Roman" w:hAnsi="Arial" w:cs="Arial"/>
          <w:sz w:val="24"/>
          <w:szCs w:val="24"/>
          <w:lang w:val="es-ES" w:eastAsia="es-MX"/>
        </w:rPr>
      </w:pPr>
      <w:r w:rsidRPr="00C61F38">
        <w:rPr>
          <w:rFonts w:ascii="Arial" w:eastAsia="Times New Roman" w:hAnsi="Arial" w:cs="Arial"/>
          <w:sz w:val="24"/>
          <w:szCs w:val="24"/>
          <w:lang w:val="es-ES" w:eastAsia="es-MX"/>
        </w:rPr>
        <w:t xml:space="preserve">Así las cosas, </w:t>
      </w:r>
      <w:r w:rsidR="00C61F38" w:rsidRPr="00C61F38">
        <w:rPr>
          <w:rFonts w:ascii="Arial" w:eastAsia="Times New Roman" w:hAnsi="Arial" w:cs="Arial"/>
          <w:sz w:val="24"/>
          <w:szCs w:val="24"/>
          <w:lang w:val="es-ES" w:eastAsia="es-MX"/>
        </w:rPr>
        <w:t>retomando la línea interpretativa de la Suprema Corte de Justicia de la Nación</w:t>
      </w:r>
      <w:r w:rsidRPr="00C61F38">
        <w:rPr>
          <w:rFonts w:ascii="Arial" w:eastAsia="Times New Roman" w:hAnsi="Arial" w:cs="Arial"/>
          <w:sz w:val="24"/>
          <w:szCs w:val="24"/>
          <w:lang w:val="es-ES" w:eastAsia="es-MX"/>
        </w:rPr>
        <w:t xml:space="preserve">, se tiene que en ejercicio de la libertad de configuración con la que cuentan los </w:t>
      </w:r>
      <w:r w:rsidR="007E5F10">
        <w:rPr>
          <w:rFonts w:ascii="Arial" w:eastAsia="Times New Roman" w:hAnsi="Arial" w:cs="Arial"/>
          <w:sz w:val="24"/>
          <w:szCs w:val="24"/>
          <w:lang w:val="es-ES" w:eastAsia="es-MX"/>
        </w:rPr>
        <w:t>E</w:t>
      </w:r>
      <w:r w:rsidRPr="00C61F38">
        <w:rPr>
          <w:rFonts w:ascii="Arial" w:eastAsia="Times New Roman" w:hAnsi="Arial" w:cs="Arial"/>
          <w:sz w:val="24"/>
          <w:szCs w:val="24"/>
          <w:lang w:val="es-ES" w:eastAsia="es-MX"/>
        </w:rPr>
        <w:t xml:space="preserve">stados, al no indicarse en el propio texto de la Ley Suprema un parámetro concreto, el legislador local consideró que la manera más adecuada de garantizar la equidad referida fue equiparar a los candidatos independientes con los partidos de nueva creación para estos efectos y, por tanto, sujetarlos a las reglas </w:t>
      </w:r>
      <w:r w:rsidR="00197D76" w:rsidRPr="00C61F38">
        <w:rPr>
          <w:rFonts w:ascii="Arial" w:eastAsia="Times New Roman" w:hAnsi="Arial" w:cs="Arial"/>
          <w:sz w:val="24"/>
          <w:szCs w:val="24"/>
          <w:lang w:val="es-ES" w:eastAsia="es-MX"/>
        </w:rPr>
        <w:t>previ</w:t>
      </w:r>
      <w:r w:rsidR="00197D76">
        <w:rPr>
          <w:rFonts w:ascii="Arial" w:eastAsia="Times New Roman" w:hAnsi="Arial" w:cs="Arial"/>
          <w:sz w:val="24"/>
          <w:szCs w:val="24"/>
          <w:lang w:val="es-ES" w:eastAsia="es-MX"/>
        </w:rPr>
        <w:t>st</w:t>
      </w:r>
      <w:r w:rsidR="00197D76" w:rsidRPr="00C61F38">
        <w:rPr>
          <w:rFonts w:ascii="Arial" w:eastAsia="Times New Roman" w:hAnsi="Arial" w:cs="Arial"/>
          <w:sz w:val="24"/>
          <w:szCs w:val="24"/>
          <w:lang w:val="es-ES" w:eastAsia="es-MX"/>
        </w:rPr>
        <w:t>as</w:t>
      </w:r>
      <w:r w:rsidRPr="00C61F38">
        <w:rPr>
          <w:rFonts w:ascii="Arial" w:eastAsia="Times New Roman" w:hAnsi="Arial" w:cs="Arial"/>
          <w:sz w:val="24"/>
          <w:szCs w:val="24"/>
          <w:lang w:val="es-ES" w:eastAsia="es-MX"/>
        </w:rPr>
        <w:t xml:space="preserve"> para ellos.</w:t>
      </w:r>
    </w:p>
    <w:p w14:paraId="4B0E20CD" w14:textId="29C7C16E" w:rsidR="00C61F38" w:rsidRPr="008554D7" w:rsidRDefault="00C61F38" w:rsidP="00C61F38">
      <w:pPr>
        <w:spacing w:before="240" w:after="240" w:line="360" w:lineRule="auto"/>
        <w:jc w:val="both"/>
        <w:rPr>
          <w:rFonts w:ascii="Arial" w:eastAsia="Times New Roman" w:hAnsi="Arial" w:cs="Arial"/>
          <w:sz w:val="24"/>
          <w:szCs w:val="24"/>
          <w:lang w:val="es-ES" w:eastAsia="es-MX"/>
        </w:rPr>
      </w:pPr>
      <w:r w:rsidRPr="00C61F38">
        <w:rPr>
          <w:rFonts w:ascii="Arial" w:eastAsia="Times New Roman" w:hAnsi="Arial" w:cs="Arial"/>
          <w:sz w:val="24"/>
          <w:szCs w:val="24"/>
          <w:lang w:val="es-ES" w:eastAsia="es-MX"/>
        </w:rPr>
        <w:t>En consecuencia, en el caso, la asimilación realizada en la legislación local entre partidos y candidatos independientes para efectos de la distribución del financiamiento público deberá entenderse de frente a</w:t>
      </w:r>
      <w:r w:rsidR="000D7600">
        <w:rPr>
          <w:rFonts w:ascii="Arial" w:eastAsia="Times New Roman" w:hAnsi="Arial" w:cs="Arial"/>
          <w:sz w:val="24"/>
          <w:szCs w:val="24"/>
          <w:lang w:val="es-ES" w:eastAsia="es-MX"/>
        </w:rPr>
        <w:t>l monto que para gastos de campaña se otorga a</w:t>
      </w:r>
      <w:r w:rsidRPr="00C61F38">
        <w:rPr>
          <w:rFonts w:ascii="Arial" w:eastAsia="Times New Roman" w:hAnsi="Arial" w:cs="Arial"/>
          <w:sz w:val="24"/>
          <w:szCs w:val="24"/>
          <w:lang w:val="es-ES" w:eastAsia="es-MX"/>
        </w:rPr>
        <w:t xml:space="preserve"> los partidos de nueva creación, </w:t>
      </w:r>
      <w:r w:rsidR="000D7600">
        <w:rPr>
          <w:rFonts w:ascii="Arial" w:eastAsia="Times New Roman" w:hAnsi="Arial" w:cs="Arial"/>
          <w:sz w:val="24"/>
          <w:szCs w:val="24"/>
          <w:lang w:val="es-ES" w:eastAsia="es-MX"/>
        </w:rPr>
        <w:t>sin que</w:t>
      </w:r>
      <w:r w:rsidRPr="00C61F38">
        <w:rPr>
          <w:rFonts w:ascii="Arial" w:eastAsia="Times New Roman" w:hAnsi="Arial" w:cs="Arial"/>
          <w:sz w:val="24"/>
          <w:szCs w:val="24"/>
          <w:lang w:val="es-ES" w:eastAsia="es-MX"/>
        </w:rPr>
        <w:t xml:space="preserve"> se </w:t>
      </w:r>
      <w:r w:rsidR="000D7600">
        <w:rPr>
          <w:rFonts w:ascii="Arial" w:eastAsia="Times New Roman" w:hAnsi="Arial" w:cs="Arial"/>
          <w:sz w:val="24"/>
          <w:szCs w:val="24"/>
          <w:lang w:val="es-ES" w:eastAsia="es-MX"/>
        </w:rPr>
        <w:t>vulnere</w:t>
      </w:r>
      <w:r w:rsidRPr="00C61F38">
        <w:rPr>
          <w:rFonts w:ascii="Arial" w:eastAsia="Times New Roman" w:hAnsi="Arial" w:cs="Arial"/>
          <w:sz w:val="24"/>
          <w:szCs w:val="24"/>
          <w:lang w:val="es-ES" w:eastAsia="es-MX"/>
        </w:rPr>
        <w:t xml:space="preserve"> el principio de equidad contenido en el artículo 116 de la </w:t>
      </w:r>
      <w:r w:rsidRPr="000D7600">
        <w:rPr>
          <w:rFonts w:ascii="Arial" w:eastAsia="Times New Roman" w:hAnsi="Arial" w:cs="Arial"/>
          <w:i/>
          <w:iCs/>
          <w:sz w:val="24"/>
          <w:szCs w:val="24"/>
          <w:lang w:val="es-ES" w:eastAsia="es-MX"/>
        </w:rPr>
        <w:t>Constitución Federal</w:t>
      </w:r>
      <w:r w:rsidRPr="00C61F38">
        <w:rPr>
          <w:rFonts w:ascii="Arial" w:eastAsia="Times New Roman" w:hAnsi="Arial" w:cs="Arial"/>
          <w:sz w:val="24"/>
          <w:szCs w:val="24"/>
          <w:lang w:val="es-ES" w:eastAsia="es-MX"/>
        </w:rPr>
        <w:t>.</w:t>
      </w:r>
    </w:p>
    <w:p w14:paraId="2AFFD361" w14:textId="5F5967F0" w:rsidR="00C61F38" w:rsidRPr="008554D7" w:rsidRDefault="00C61F38" w:rsidP="00C61F38">
      <w:pPr>
        <w:spacing w:before="240" w:after="240" w:line="360" w:lineRule="auto"/>
        <w:jc w:val="both"/>
        <w:rPr>
          <w:rFonts w:ascii="Arial" w:eastAsia="Times New Roman" w:hAnsi="Arial" w:cs="Arial"/>
          <w:sz w:val="24"/>
          <w:szCs w:val="24"/>
          <w:lang w:val="es-ES" w:eastAsia="es-MX"/>
        </w:rPr>
      </w:pPr>
      <w:r w:rsidRPr="008554D7">
        <w:rPr>
          <w:rFonts w:ascii="Arial" w:eastAsia="Times New Roman" w:hAnsi="Arial" w:cs="Arial"/>
          <w:sz w:val="24"/>
          <w:szCs w:val="24"/>
          <w:lang w:val="es-ES" w:eastAsia="es-MX"/>
        </w:rPr>
        <w:t>Además, la Suprema Corte</w:t>
      </w:r>
      <w:r>
        <w:rPr>
          <w:rFonts w:ascii="Arial" w:eastAsia="Times New Roman" w:hAnsi="Arial" w:cs="Arial"/>
          <w:sz w:val="24"/>
          <w:szCs w:val="24"/>
          <w:lang w:val="es-ES" w:eastAsia="es-MX"/>
        </w:rPr>
        <w:t xml:space="preserve"> de Justicia de la Nación</w:t>
      </w:r>
      <w:r w:rsidRPr="008554D7">
        <w:rPr>
          <w:rFonts w:ascii="Arial" w:eastAsia="Times New Roman" w:hAnsi="Arial" w:cs="Arial"/>
          <w:sz w:val="24"/>
          <w:szCs w:val="24"/>
          <w:lang w:val="es-ES" w:eastAsia="es-MX"/>
        </w:rPr>
        <w:t xml:space="preserve"> consideró que no hallaba inconveniente alguno en que, conforme al modelo normativo establecido, las candidaturas independientes prorrateen entre sí las prerrogativas que les correspondan en conjunto, de forma que entre más postulaciones se registren, será menor el apoyo económico, por lo que</w:t>
      </w:r>
      <w:r w:rsidRPr="008554D7">
        <w:rPr>
          <w:rFonts w:ascii="Arial" w:eastAsia="Times New Roman" w:hAnsi="Arial" w:cs="Arial"/>
          <w:b/>
          <w:sz w:val="24"/>
          <w:szCs w:val="24"/>
          <w:lang w:val="es-ES" w:eastAsia="es-MX"/>
        </w:rPr>
        <w:t xml:space="preserve"> </w:t>
      </w:r>
      <w:r w:rsidRPr="008554D7">
        <w:rPr>
          <w:rFonts w:ascii="Arial" w:eastAsia="Times New Roman" w:hAnsi="Arial" w:cs="Arial"/>
          <w:sz w:val="24"/>
          <w:szCs w:val="24"/>
          <w:lang w:val="es-ES" w:eastAsia="es-MX"/>
        </w:rPr>
        <w:t>tampoco por esta razón se vulnera el principio de equidad previsto en sede constitucional.</w:t>
      </w:r>
    </w:p>
    <w:p w14:paraId="2A8DE4E2" w14:textId="7AA02CF3" w:rsidR="000D7600" w:rsidRDefault="00C61F38" w:rsidP="00C61F38">
      <w:pPr>
        <w:spacing w:before="240" w:after="240" w:line="360" w:lineRule="auto"/>
        <w:jc w:val="both"/>
        <w:rPr>
          <w:rFonts w:ascii="Arial" w:hAnsi="Arial" w:cs="Arial"/>
          <w:sz w:val="24"/>
          <w:szCs w:val="24"/>
        </w:rPr>
      </w:pPr>
      <w:r w:rsidRPr="008554D7">
        <w:rPr>
          <w:rFonts w:ascii="Arial" w:hAnsi="Arial" w:cs="Arial"/>
          <w:sz w:val="24"/>
          <w:szCs w:val="24"/>
        </w:rPr>
        <w:t xml:space="preserve">Consecuentemente, el sistema validado por </w:t>
      </w:r>
      <w:r w:rsidR="00B06B15">
        <w:rPr>
          <w:rFonts w:ascii="Arial" w:hAnsi="Arial" w:cs="Arial"/>
          <w:sz w:val="24"/>
          <w:szCs w:val="24"/>
        </w:rPr>
        <w:t>Suprema Corte</w:t>
      </w:r>
      <w:r w:rsidRPr="008554D7">
        <w:rPr>
          <w:rFonts w:ascii="Arial" w:hAnsi="Arial" w:cs="Arial"/>
          <w:sz w:val="24"/>
          <w:szCs w:val="24"/>
        </w:rPr>
        <w:t xml:space="preserve">, consistente en la asignación del financiamiento público para candidatos independientes que se programó conforme la directriz que el Constituyente configuró para dividir entre ellos las prerrogativas gubernamentales, para que quienes opten por esta </w:t>
      </w:r>
      <w:r w:rsidRPr="008554D7">
        <w:rPr>
          <w:rFonts w:ascii="Arial" w:hAnsi="Arial" w:cs="Arial"/>
          <w:sz w:val="24"/>
          <w:szCs w:val="24"/>
        </w:rPr>
        <w:lastRenderedPageBreak/>
        <w:t>forma de participación política exclusivamente reciban a prorrata los recursos estatales</w:t>
      </w:r>
      <w:r w:rsidR="000D7600">
        <w:rPr>
          <w:rFonts w:ascii="Arial" w:hAnsi="Arial" w:cs="Arial"/>
          <w:sz w:val="24"/>
          <w:szCs w:val="24"/>
        </w:rPr>
        <w:t>.</w:t>
      </w:r>
    </w:p>
    <w:p w14:paraId="0E452D65" w14:textId="2924E061" w:rsidR="00C61F38" w:rsidRPr="008554D7" w:rsidRDefault="00A330A3" w:rsidP="00C61F38">
      <w:pPr>
        <w:spacing w:before="240" w:after="240" w:line="360" w:lineRule="auto"/>
        <w:jc w:val="both"/>
        <w:rPr>
          <w:rFonts w:ascii="Arial" w:hAnsi="Arial" w:cs="Arial"/>
          <w:sz w:val="24"/>
          <w:szCs w:val="24"/>
        </w:rPr>
      </w:pPr>
      <w:r>
        <w:rPr>
          <w:rFonts w:ascii="Arial" w:hAnsi="Arial" w:cs="Arial"/>
          <w:sz w:val="24"/>
          <w:szCs w:val="24"/>
        </w:rPr>
        <w:t>Expuesto lo anterior</w:t>
      </w:r>
      <w:r w:rsidR="000D7600">
        <w:rPr>
          <w:rFonts w:ascii="Arial" w:hAnsi="Arial" w:cs="Arial"/>
          <w:sz w:val="24"/>
          <w:szCs w:val="24"/>
        </w:rPr>
        <w:t>, esta Sala Regional estima que</w:t>
      </w:r>
      <w:r>
        <w:rPr>
          <w:rFonts w:ascii="Arial" w:hAnsi="Arial" w:cs="Arial"/>
          <w:sz w:val="24"/>
          <w:szCs w:val="24"/>
        </w:rPr>
        <w:t>, en el caso concreto,</w:t>
      </w:r>
      <w:r w:rsidR="00C61F38" w:rsidRPr="008554D7">
        <w:rPr>
          <w:rFonts w:ascii="Arial" w:hAnsi="Arial" w:cs="Arial"/>
          <w:sz w:val="24"/>
          <w:szCs w:val="24"/>
        </w:rPr>
        <w:t xml:space="preserve"> </w:t>
      </w:r>
      <w:r w:rsidR="00AB59E9">
        <w:rPr>
          <w:rFonts w:ascii="Arial" w:hAnsi="Arial" w:cs="Arial"/>
          <w:sz w:val="24"/>
          <w:szCs w:val="24"/>
        </w:rPr>
        <w:t>era</w:t>
      </w:r>
      <w:r w:rsidR="00C61F38" w:rsidRPr="008554D7">
        <w:rPr>
          <w:rFonts w:ascii="Arial" w:hAnsi="Arial" w:cs="Arial"/>
          <w:sz w:val="24"/>
          <w:szCs w:val="24"/>
        </w:rPr>
        <w:t xml:space="preserve"> congruente la interpretación y aplicación, </w:t>
      </w:r>
      <w:r w:rsidR="00C61F38">
        <w:rPr>
          <w:rFonts w:ascii="Arial" w:hAnsi="Arial" w:cs="Arial"/>
          <w:sz w:val="24"/>
          <w:szCs w:val="24"/>
        </w:rPr>
        <w:t>que llev</w:t>
      </w:r>
      <w:r w:rsidR="000D7600">
        <w:rPr>
          <w:rFonts w:ascii="Arial" w:hAnsi="Arial" w:cs="Arial"/>
          <w:sz w:val="24"/>
          <w:szCs w:val="24"/>
        </w:rPr>
        <w:t>ó</w:t>
      </w:r>
      <w:r w:rsidR="00C61F38">
        <w:rPr>
          <w:rFonts w:ascii="Arial" w:hAnsi="Arial" w:cs="Arial"/>
          <w:sz w:val="24"/>
          <w:szCs w:val="24"/>
        </w:rPr>
        <w:t xml:space="preserve"> a cabo el </w:t>
      </w:r>
      <w:r w:rsidR="00C61F38">
        <w:rPr>
          <w:rFonts w:ascii="Arial" w:hAnsi="Arial" w:cs="Arial"/>
          <w:i/>
          <w:iCs/>
          <w:sz w:val="24"/>
          <w:szCs w:val="24"/>
        </w:rPr>
        <w:t>Consejo General</w:t>
      </w:r>
      <w:r w:rsidR="00C61F38" w:rsidRPr="008554D7">
        <w:rPr>
          <w:rFonts w:ascii="Arial" w:hAnsi="Arial" w:cs="Arial"/>
          <w:sz w:val="24"/>
          <w:szCs w:val="24"/>
        </w:rPr>
        <w:t xml:space="preserve"> del artículo </w:t>
      </w:r>
      <w:r w:rsidR="00C61F38">
        <w:rPr>
          <w:rFonts w:ascii="Arial" w:hAnsi="Arial" w:cs="Arial"/>
          <w:sz w:val="24"/>
          <w:szCs w:val="24"/>
        </w:rPr>
        <w:t xml:space="preserve">333 de la </w:t>
      </w:r>
      <w:r w:rsidR="00C61F38">
        <w:rPr>
          <w:rFonts w:ascii="Arial" w:hAnsi="Arial" w:cs="Arial"/>
          <w:i/>
          <w:iCs/>
          <w:sz w:val="24"/>
          <w:szCs w:val="24"/>
        </w:rPr>
        <w:t>Ley local,</w:t>
      </w:r>
      <w:r w:rsidR="00C61F38">
        <w:rPr>
          <w:rFonts w:ascii="Arial" w:hAnsi="Arial" w:cs="Arial"/>
          <w:sz w:val="24"/>
          <w:szCs w:val="24"/>
        </w:rPr>
        <w:t xml:space="preserve"> en relación con los diversos </w:t>
      </w:r>
      <w:r w:rsidR="003D2D8A">
        <w:rPr>
          <w:rFonts w:ascii="Arial" w:hAnsi="Arial" w:cs="Arial"/>
          <w:sz w:val="24"/>
          <w:szCs w:val="24"/>
        </w:rPr>
        <w:t xml:space="preserve">47, fracción II, inciso b), 48, </w:t>
      </w:r>
      <w:r w:rsidR="00C61F38">
        <w:rPr>
          <w:rFonts w:ascii="Arial" w:hAnsi="Arial" w:cs="Arial"/>
          <w:sz w:val="24"/>
          <w:szCs w:val="24"/>
        </w:rPr>
        <w:t>320, fracción III</w:t>
      </w:r>
      <w:r w:rsidR="003D2D8A">
        <w:rPr>
          <w:rFonts w:ascii="Arial" w:hAnsi="Arial" w:cs="Arial"/>
          <w:sz w:val="24"/>
          <w:szCs w:val="24"/>
        </w:rPr>
        <w:t xml:space="preserve"> y</w:t>
      </w:r>
      <w:r w:rsidR="00C61F38">
        <w:rPr>
          <w:rFonts w:ascii="Arial" w:hAnsi="Arial" w:cs="Arial"/>
          <w:sz w:val="24"/>
          <w:szCs w:val="24"/>
        </w:rPr>
        <w:t xml:space="preserve"> 321, fracción V del ordenamiento legal en cita</w:t>
      </w:r>
      <w:r w:rsidR="00C61F38" w:rsidRPr="008554D7">
        <w:rPr>
          <w:rFonts w:ascii="Arial" w:hAnsi="Arial" w:cs="Arial"/>
          <w:sz w:val="24"/>
          <w:szCs w:val="24"/>
        </w:rPr>
        <w:t xml:space="preserve">, </w:t>
      </w:r>
      <w:r w:rsidR="007E5F10">
        <w:rPr>
          <w:rFonts w:ascii="Arial" w:hAnsi="Arial" w:cs="Arial"/>
          <w:sz w:val="24"/>
          <w:szCs w:val="24"/>
        </w:rPr>
        <w:t>al emitir</w:t>
      </w:r>
      <w:r w:rsidR="00C61F38" w:rsidRPr="008554D7">
        <w:rPr>
          <w:rFonts w:ascii="Arial" w:hAnsi="Arial" w:cs="Arial"/>
          <w:sz w:val="24"/>
          <w:szCs w:val="24"/>
        </w:rPr>
        <w:t xml:space="preserve"> el </w:t>
      </w:r>
      <w:r w:rsidR="007E5F10" w:rsidRPr="007E5F10">
        <w:rPr>
          <w:rFonts w:ascii="Arial" w:hAnsi="Arial" w:cs="Arial"/>
          <w:i/>
          <w:iCs/>
          <w:sz w:val="24"/>
          <w:szCs w:val="24"/>
        </w:rPr>
        <w:t>Acuerdo de financiamiento anual</w:t>
      </w:r>
      <w:r w:rsidR="007E5F10">
        <w:rPr>
          <w:rFonts w:ascii="Arial" w:hAnsi="Arial" w:cs="Arial"/>
          <w:sz w:val="24"/>
          <w:szCs w:val="24"/>
        </w:rPr>
        <w:t>, así como el diverso</w:t>
      </w:r>
      <w:r w:rsidR="007E5F10" w:rsidRPr="007E5F10">
        <w:rPr>
          <w:rFonts w:ascii="Arial" w:hAnsi="Arial" w:cs="Arial"/>
          <w:i/>
          <w:iCs/>
          <w:sz w:val="24"/>
          <w:szCs w:val="24"/>
        </w:rPr>
        <w:t xml:space="preserve"> </w:t>
      </w:r>
      <w:r w:rsidR="003D2D8A" w:rsidRPr="003D2D8A">
        <w:rPr>
          <w:rFonts w:ascii="Arial" w:hAnsi="Arial" w:cs="Arial"/>
          <w:i/>
          <w:iCs/>
          <w:sz w:val="24"/>
          <w:szCs w:val="24"/>
        </w:rPr>
        <w:t>Acuerdo de financiamiento para independientes</w:t>
      </w:r>
      <w:r w:rsidR="00C61F38" w:rsidRPr="008554D7">
        <w:rPr>
          <w:rFonts w:ascii="Arial" w:hAnsi="Arial" w:cs="Arial"/>
          <w:bCs/>
          <w:spacing w:val="-3"/>
          <w:sz w:val="24"/>
          <w:szCs w:val="24"/>
          <w:lang w:eastAsia="es-ES"/>
        </w:rPr>
        <w:t>, pues</w:t>
      </w:r>
      <w:r w:rsidR="003D2D8A">
        <w:rPr>
          <w:rFonts w:ascii="Arial" w:hAnsi="Arial" w:cs="Arial"/>
          <w:bCs/>
          <w:spacing w:val="-3"/>
          <w:sz w:val="24"/>
          <w:szCs w:val="24"/>
          <w:lang w:eastAsia="es-ES"/>
        </w:rPr>
        <w:t xml:space="preserve"> de</w:t>
      </w:r>
      <w:r w:rsidR="00C61F38" w:rsidRPr="008554D7">
        <w:rPr>
          <w:rFonts w:ascii="Arial" w:hAnsi="Arial" w:cs="Arial"/>
          <w:bCs/>
          <w:spacing w:val="-3"/>
          <w:sz w:val="24"/>
          <w:szCs w:val="24"/>
          <w:lang w:eastAsia="es-ES"/>
        </w:rPr>
        <w:t xml:space="preserve"> dicho</w:t>
      </w:r>
      <w:r w:rsidR="003D2D8A">
        <w:rPr>
          <w:rFonts w:ascii="Arial" w:hAnsi="Arial" w:cs="Arial"/>
          <w:bCs/>
          <w:spacing w:val="-3"/>
          <w:sz w:val="24"/>
          <w:szCs w:val="24"/>
          <w:lang w:eastAsia="es-ES"/>
        </w:rPr>
        <w:t>s</w:t>
      </w:r>
      <w:r w:rsidR="00C61F38" w:rsidRPr="008554D7">
        <w:rPr>
          <w:rFonts w:ascii="Arial" w:hAnsi="Arial" w:cs="Arial"/>
          <w:bCs/>
          <w:spacing w:val="-3"/>
          <w:sz w:val="24"/>
          <w:szCs w:val="24"/>
          <w:lang w:eastAsia="es-ES"/>
        </w:rPr>
        <w:t xml:space="preserve"> dispositivo</w:t>
      </w:r>
      <w:r w:rsidR="003D2D8A">
        <w:rPr>
          <w:rFonts w:ascii="Arial" w:hAnsi="Arial" w:cs="Arial"/>
          <w:bCs/>
          <w:spacing w:val="-3"/>
          <w:sz w:val="24"/>
          <w:szCs w:val="24"/>
          <w:lang w:eastAsia="es-ES"/>
        </w:rPr>
        <w:t>s</w:t>
      </w:r>
      <w:r w:rsidR="00C61F38" w:rsidRPr="008554D7">
        <w:rPr>
          <w:rFonts w:ascii="Arial" w:hAnsi="Arial" w:cs="Arial"/>
          <w:bCs/>
          <w:spacing w:val="-3"/>
          <w:sz w:val="24"/>
          <w:szCs w:val="24"/>
          <w:lang w:eastAsia="es-ES"/>
        </w:rPr>
        <w:t xml:space="preserve"> legal</w:t>
      </w:r>
      <w:r w:rsidR="003D2D8A">
        <w:rPr>
          <w:rFonts w:ascii="Arial" w:hAnsi="Arial" w:cs="Arial"/>
          <w:bCs/>
          <w:spacing w:val="-3"/>
          <w:sz w:val="24"/>
          <w:szCs w:val="24"/>
          <w:lang w:eastAsia="es-ES"/>
        </w:rPr>
        <w:t>es</w:t>
      </w:r>
      <w:r w:rsidR="00C61F38" w:rsidRPr="008554D7">
        <w:rPr>
          <w:rFonts w:ascii="Arial" w:hAnsi="Arial" w:cs="Arial"/>
          <w:bCs/>
          <w:spacing w:val="-3"/>
          <w:sz w:val="24"/>
          <w:szCs w:val="24"/>
          <w:lang w:eastAsia="es-ES"/>
        </w:rPr>
        <w:t xml:space="preserve"> </w:t>
      </w:r>
      <w:r w:rsidR="003D2D8A">
        <w:rPr>
          <w:rFonts w:ascii="Arial" w:hAnsi="Arial" w:cs="Arial"/>
          <w:sz w:val="24"/>
          <w:szCs w:val="24"/>
        </w:rPr>
        <w:t>se desprende</w:t>
      </w:r>
      <w:r w:rsidR="00C61F38" w:rsidRPr="008554D7">
        <w:rPr>
          <w:rFonts w:ascii="Arial" w:hAnsi="Arial" w:cs="Arial"/>
          <w:sz w:val="24"/>
          <w:szCs w:val="24"/>
        </w:rPr>
        <w:t xml:space="preserve"> que a </w:t>
      </w:r>
      <w:r w:rsidR="003D2D8A">
        <w:rPr>
          <w:rFonts w:ascii="Arial" w:hAnsi="Arial" w:cs="Arial"/>
          <w:sz w:val="24"/>
          <w:szCs w:val="24"/>
        </w:rPr>
        <w:t>las candidaturas</w:t>
      </w:r>
      <w:r w:rsidR="00C61F38" w:rsidRPr="008554D7">
        <w:rPr>
          <w:rFonts w:ascii="Arial" w:hAnsi="Arial" w:cs="Arial"/>
          <w:sz w:val="24"/>
          <w:szCs w:val="24"/>
        </w:rPr>
        <w:t xml:space="preserve"> independientes</w:t>
      </w:r>
      <w:r w:rsidR="003D2D8A">
        <w:rPr>
          <w:rFonts w:ascii="Arial" w:hAnsi="Arial" w:cs="Arial"/>
          <w:sz w:val="24"/>
          <w:szCs w:val="24"/>
        </w:rPr>
        <w:t>,</w:t>
      </w:r>
      <w:r w:rsidR="00C61F38" w:rsidRPr="008554D7">
        <w:rPr>
          <w:rFonts w:ascii="Arial" w:hAnsi="Arial" w:cs="Arial"/>
          <w:sz w:val="24"/>
          <w:szCs w:val="24"/>
        </w:rPr>
        <w:t xml:space="preserve"> para gastos de campaña, se les otorgará </w:t>
      </w:r>
      <w:bookmarkStart w:id="39" w:name="_Hlk71920224"/>
      <w:r w:rsidR="00C61F38" w:rsidRPr="008554D7">
        <w:rPr>
          <w:rFonts w:ascii="Arial" w:hAnsi="Arial" w:cs="Arial"/>
          <w:sz w:val="24"/>
          <w:szCs w:val="24"/>
        </w:rPr>
        <w:t>el monto que se asigna a un partido político de nueva creación</w:t>
      </w:r>
      <w:bookmarkEnd w:id="39"/>
      <w:r w:rsidR="002C116F">
        <w:rPr>
          <w:rStyle w:val="Refdenotaalpie"/>
          <w:rFonts w:ascii="Arial" w:hAnsi="Arial" w:cs="Arial"/>
          <w:sz w:val="24"/>
          <w:szCs w:val="24"/>
        </w:rPr>
        <w:footnoteReference w:id="12"/>
      </w:r>
      <w:r w:rsidR="003D2D8A">
        <w:rPr>
          <w:rFonts w:ascii="Arial" w:hAnsi="Arial" w:cs="Arial"/>
          <w:sz w:val="24"/>
          <w:szCs w:val="24"/>
        </w:rPr>
        <w:t>, sin considerar los rubros de actividades ordinarias ni específicas</w:t>
      </w:r>
      <w:r w:rsidR="002C116F">
        <w:rPr>
          <w:rFonts w:ascii="Arial" w:hAnsi="Arial" w:cs="Arial"/>
          <w:sz w:val="24"/>
          <w:szCs w:val="24"/>
        </w:rPr>
        <w:t xml:space="preserve"> que se asignan a los partidos políticos.</w:t>
      </w:r>
    </w:p>
    <w:p w14:paraId="2722393A" w14:textId="770AAAB5" w:rsidR="00462CEE" w:rsidRPr="00462CEE" w:rsidRDefault="00462CEE" w:rsidP="00462CEE">
      <w:pPr>
        <w:spacing w:before="240" w:after="240" w:line="360" w:lineRule="auto"/>
        <w:jc w:val="both"/>
        <w:rPr>
          <w:rFonts w:ascii="Arial" w:hAnsi="Arial" w:cs="Arial"/>
          <w:sz w:val="24"/>
          <w:szCs w:val="24"/>
        </w:rPr>
      </w:pPr>
      <w:r>
        <w:rPr>
          <w:rFonts w:ascii="Arial" w:hAnsi="Arial" w:cs="Arial"/>
          <w:sz w:val="24"/>
          <w:szCs w:val="24"/>
        </w:rPr>
        <w:t>Lo anterior, porque co</w:t>
      </w:r>
      <w:r w:rsidRPr="00462CEE">
        <w:rPr>
          <w:rFonts w:ascii="Arial" w:hAnsi="Arial" w:cs="Arial"/>
          <w:sz w:val="24"/>
          <w:szCs w:val="24"/>
        </w:rPr>
        <w:t xml:space="preserve">mo ha reconocido </w:t>
      </w:r>
      <w:r>
        <w:rPr>
          <w:rFonts w:ascii="Arial" w:hAnsi="Arial" w:cs="Arial"/>
          <w:sz w:val="24"/>
          <w:szCs w:val="24"/>
        </w:rPr>
        <w:t>este Tribunal Electoral</w:t>
      </w:r>
      <w:r>
        <w:rPr>
          <w:rStyle w:val="Refdenotaalpie"/>
          <w:rFonts w:ascii="Arial" w:hAnsi="Arial" w:cs="Arial"/>
          <w:sz w:val="24"/>
          <w:szCs w:val="24"/>
        </w:rPr>
        <w:footnoteReference w:id="13"/>
      </w:r>
      <w:r w:rsidRPr="00462CEE">
        <w:rPr>
          <w:rFonts w:ascii="Arial" w:hAnsi="Arial" w:cs="Arial"/>
          <w:sz w:val="24"/>
          <w:szCs w:val="24"/>
        </w:rPr>
        <w:t>, el financiamiento público se encuentra conformado por los recursos económicos, bienes y servicios que el Estado otorga a los partidos políticos para que realicen las funciones y cumplan con los fines que la ley establece; y puede darse de manera directa, mediante la entrega de recursos para la realización de actividades ordinarias, gastos de campaña y actividades específicas; o indirecta, mediante el otorgamiento de franquicias postales o telegráficas, o la exención de impuestos, entre otras.</w:t>
      </w:r>
    </w:p>
    <w:p w14:paraId="341B42D2" w14:textId="367FCF47" w:rsidR="00462CEE" w:rsidRPr="00462CEE" w:rsidRDefault="00462CEE" w:rsidP="00462CEE">
      <w:pPr>
        <w:spacing w:before="240" w:after="240" w:line="360" w:lineRule="auto"/>
        <w:jc w:val="both"/>
        <w:rPr>
          <w:rFonts w:ascii="Arial" w:eastAsia="Calibri" w:hAnsi="Arial" w:cs="Arial"/>
          <w:sz w:val="24"/>
          <w:szCs w:val="24"/>
        </w:rPr>
      </w:pPr>
      <w:r w:rsidRPr="00462CEE">
        <w:rPr>
          <w:rFonts w:ascii="Arial" w:eastAsia="Calibri" w:hAnsi="Arial" w:cs="Arial"/>
          <w:sz w:val="24"/>
          <w:szCs w:val="24"/>
        </w:rPr>
        <w:t>Así, esta Sala Regional estima que para efectos de gastos de campaña,</w:t>
      </w:r>
      <w:r w:rsidR="00295900">
        <w:rPr>
          <w:rFonts w:ascii="Arial" w:eastAsia="Calibri" w:hAnsi="Arial" w:cs="Arial"/>
          <w:sz w:val="24"/>
          <w:szCs w:val="24"/>
        </w:rPr>
        <w:t xml:space="preserve"> conforme a la </w:t>
      </w:r>
      <w:r w:rsidR="00295900">
        <w:rPr>
          <w:rFonts w:ascii="Arial" w:eastAsia="Calibri" w:hAnsi="Arial" w:cs="Arial"/>
          <w:i/>
          <w:iCs/>
          <w:sz w:val="24"/>
          <w:szCs w:val="24"/>
        </w:rPr>
        <w:t>Ley local,</w:t>
      </w:r>
      <w:r w:rsidRPr="00462CEE">
        <w:rPr>
          <w:rFonts w:ascii="Arial" w:eastAsia="Calibri" w:hAnsi="Arial" w:cs="Arial"/>
          <w:sz w:val="24"/>
          <w:szCs w:val="24"/>
        </w:rPr>
        <w:t xml:space="preserve"> el financiamiento público que se otorga a las candidaturas independientes en el Estado de Guanajuato,</w:t>
      </w:r>
      <w:r w:rsidR="00F5042C">
        <w:rPr>
          <w:rFonts w:ascii="Arial" w:eastAsia="Calibri" w:hAnsi="Arial" w:cs="Arial"/>
          <w:sz w:val="24"/>
          <w:szCs w:val="24"/>
        </w:rPr>
        <w:t xml:space="preserve"> en este proceso electoral,</w:t>
      </w:r>
      <w:r w:rsidRPr="00462CEE">
        <w:rPr>
          <w:rFonts w:ascii="Arial" w:eastAsia="Calibri" w:hAnsi="Arial" w:cs="Arial"/>
          <w:sz w:val="24"/>
          <w:szCs w:val="24"/>
        </w:rPr>
        <w:t xml:space="preserve"> está únicamente constituido por el treinta por ciento del financiamiento público que para el sostenimiento de actividades ordinarias permanentes le corresponda a un partido político de nueva creación, pues la propia </w:t>
      </w:r>
      <w:r w:rsidRPr="00462CEE">
        <w:rPr>
          <w:rFonts w:ascii="Arial" w:eastAsia="Calibri" w:hAnsi="Arial" w:cs="Arial"/>
          <w:i/>
          <w:iCs/>
          <w:sz w:val="24"/>
          <w:szCs w:val="24"/>
        </w:rPr>
        <w:t>Constitución Federal</w:t>
      </w:r>
      <w:r w:rsidRPr="00462CEE">
        <w:rPr>
          <w:rFonts w:ascii="Arial" w:eastAsia="Calibri" w:hAnsi="Arial" w:cs="Arial"/>
          <w:sz w:val="24"/>
          <w:szCs w:val="24"/>
        </w:rPr>
        <w:t xml:space="preserve"> contempla un trato diferenciado en la participación en los procesos comiciales de los partidos políticos frente a las candidaturas independientes, como en el caso de la asignación de tiempos en radio y televisión, respecto de la cual se prevé una distribución en conjunto para éstas, como si se tratara de un partido político de nueva creación.</w:t>
      </w:r>
    </w:p>
    <w:p w14:paraId="14DF2EAF" w14:textId="6DA7A269" w:rsidR="00462CEE" w:rsidRPr="00462CEE" w:rsidRDefault="00462CEE" w:rsidP="00462CEE">
      <w:pPr>
        <w:spacing w:before="240" w:after="240" w:line="360" w:lineRule="auto"/>
        <w:jc w:val="both"/>
        <w:rPr>
          <w:rFonts w:ascii="Arial" w:eastAsia="Calibri" w:hAnsi="Arial" w:cs="Arial"/>
          <w:sz w:val="24"/>
          <w:szCs w:val="24"/>
        </w:rPr>
      </w:pPr>
      <w:r>
        <w:rPr>
          <w:rFonts w:ascii="Arial" w:eastAsia="Calibri" w:hAnsi="Arial" w:cs="Arial"/>
          <w:sz w:val="24"/>
          <w:szCs w:val="24"/>
        </w:rPr>
        <w:t>Lo anterior</w:t>
      </w:r>
      <w:r w:rsidRPr="00462CEE">
        <w:rPr>
          <w:rFonts w:ascii="Arial" w:eastAsia="Calibri" w:hAnsi="Arial" w:cs="Arial"/>
          <w:sz w:val="24"/>
          <w:szCs w:val="24"/>
        </w:rPr>
        <w:t xml:space="preserve"> encuentra justificación en la naturaleza y función que reconoce el texto constitucional a los partidos políticos y a las candidaturas independientes, pues mientras que a los primeros los reconoce como </w:t>
      </w:r>
      <w:r w:rsidRPr="00462CEE">
        <w:rPr>
          <w:rFonts w:ascii="Arial" w:eastAsia="Calibri" w:hAnsi="Arial" w:cs="Arial"/>
          <w:sz w:val="24"/>
          <w:szCs w:val="24"/>
        </w:rPr>
        <w:lastRenderedPageBreak/>
        <w:t>entidades de interés público, cuyos fines, entre otros, son los de promover la participación del pueblo en la vida democrática; contribuir a la integración de los órganos de representación política, y hacer posible el acceso de los ciudadanos al ejercicio del poder público, conforme a los programas, principios e ideas que postulan; el derecho a participar en una candidatura independiente, constituye una prerrogativa ciudadana exigible frente a la autoridad siempre que se cumplan con los requisitos, condiciones y términos exigidos por las leyes respectivas</w:t>
      </w:r>
      <w:r>
        <w:rPr>
          <w:rStyle w:val="Refdenotaalpie"/>
          <w:rFonts w:ascii="Arial" w:eastAsia="Calibri" w:hAnsi="Arial" w:cs="Arial"/>
          <w:sz w:val="24"/>
          <w:szCs w:val="24"/>
        </w:rPr>
        <w:footnoteReference w:id="14"/>
      </w:r>
      <w:r w:rsidRPr="00462CEE">
        <w:rPr>
          <w:rFonts w:ascii="Arial" w:eastAsia="Calibri" w:hAnsi="Arial" w:cs="Arial"/>
          <w:sz w:val="24"/>
          <w:szCs w:val="24"/>
        </w:rPr>
        <w:t>.</w:t>
      </w:r>
    </w:p>
    <w:p w14:paraId="510EB27C" w14:textId="49C19014" w:rsidR="00462CEE" w:rsidRPr="00462CEE" w:rsidRDefault="00462CEE" w:rsidP="00462CEE">
      <w:pPr>
        <w:spacing w:before="240" w:after="240" w:line="360" w:lineRule="auto"/>
        <w:jc w:val="both"/>
        <w:rPr>
          <w:rFonts w:ascii="Arial" w:eastAsia="Calibri" w:hAnsi="Arial" w:cs="Arial"/>
          <w:sz w:val="24"/>
          <w:szCs w:val="24"/>
        </w:rPr>
      </w:pPr>
      <w:r w:rsidRPr="00462CEE">
        <w:rPr>
          <w:rFonts w:ascii="Arial" w:eastAsia="Calibri" w:hAnsi="Arial" w:cs="Arial"/>
          <w:sz w:val="24"/>
          <w:szCs w:val="24"/>
        </w:rPr>
        <w:t>Es decir, a diferencia de que la naturaleza constitucional de integrar la representación proporcional, y el carácter permanente, erige a los partidos políticos como el medio y la regla general para el acceso al poder público; las candidaturas independientes constituyen el medio excepcional para que la ciudadanía acceda a los cargos de elección popular</w:t>
      </w:r>
      <w:r w:rsidR="007E5F10" w:rsidRPr="00462CEE">
        <w:rPr>
          <w:rStyle w:val="Refdenotaalpie"/>
          <w:rFonts w:ascii="Arial" w:eastAsia="Calibri" w:hAnsi="Arial" w:cs="Arial"/>
          <w:sz w:val="24"/>
          <w:szCs w:val="24"/>
        </w:rPr>
        <w:footnoteReference w:id="15"/>
      </w:r>
      <w:r w:rsidRPr="00462CEE">
        <w:rPr>
          <w:rFonts w:ascii="Arial" w:eastAsia="Calibri" w:hAnsi="Arial" w:cs="Arial"/>
          <w:sz w:val="24"/>
          <w:szCs w:val="24"/>
        </w:rPr>
        <w:t>.</w:t>
      </w:r>
    </w:p>
    <w:p w14:paraId="31D8A5F6" w14:textId="6BF37D0A" w:rsidR="00462CEE" w:rsidRPr="00462CEE" w:rsidRDefault="007E5F10" w:rsidP="00462CEE">
      <w:pPr>
        <w:spacing w:before="240" w:after="240" w:line="360" w:lineRule="auto"/>
        <w:jc w:val="both"/>
        <w:rPr>
          <w:rFonts w:ascii="Arial" w:eastAsia="Calibri" w:hAnsi="Arial" w:cs="Arial"/>
          <w:sz w:val="24"/>
          <w:szCs w:val="24"/>
        </w:rPr>
      </w:pPr>
      <w:r>
        <w:rPr>
          <w:rFonts w:ascii="Arial" w:eastAsia="Calibri" w:hAnsi="Arial" w:cs="Arial"/>
          <w:sz w:val="24"/>
          <w:szCs w:val="24"/>
        </w:rPr>
        <w:t xml:space="preserve">Lo anterior porque </w:t>
      </w:r>
      <w:r w:rsidR="00462CEE" w:rsidRPr="00462CEE">
        <w:rPr>
          <w:rFonts w:ascii="Arial" w:eastAsia="Calibri" w:hAnsi="Arial" w:cs="Arial"/>
          <w:sz w:val="24"/>
          <w:szCs w:val="24"/>
        </w:rPr>
        <w:t>como se ha señalado, atendiendo a las condiciones bajo las que participan, y considerando que sólo obtienen su registro para un proceso electoral, al asignarles esos recursos, se les coloca en un plano de equidad pues, para esos efectos, se le homologa a una fuerza política que deberá distribuir esos recursos entre todas las candidaturas que postule; pero además,</w:t>
      </w:r>
      <w:r w:rsidR="00700A5B">
        <w:rPr>
          <w:rFonts w:ascii="Arial" w:eastAsia="Calibri" w:hAnsi="Arial" w:cs="Arial"/>
          <w:sz w:val="24"/>
          <w:szCs w:val="24"/>
        </w:rPr>
        <w:t xml:space="preserve"> como se estableció,</w:t>
      </w:r>
      <w:r w:rsidR="00462CEE" w:rsidRPr="00462CEE">
        <w:rPr>
          <w:rFonts w:ascii="Arial" w:eastAsia="Calibri" w:hAnsi="Arial" w:cs="Arial"/>
          <w:sz w:val="24"/>
          <w:szCs w:val="24"/>
        </w:rPr>
        <w:t xml:space="preserve"> es</w:t>
      </w:r>
      <w:r w:rsidR="00295900">
        <w:rPr>
          <w:rFonts w:ascii="Arial" w:eastAsia="Calibri" w:hAnsi="Arial" w:cs="Arial"/>
          <w:sz w:val="24"/>
          <w:szCs w:val="24"/>
        </w:rPr>
        <w:t xml:space="preserve">as </w:t>
      </w:r>
      <w:r w:rsidR="00462CEE" w:rsidRPr="00462CEE">
        <w:rPr>
          <w:rFonts w:ascii="Arial" w:eastAsia="Calibri" w:hAnsi="Arial" w:cs="Arial"/>
          <w:sz w:val="24"/>
          <w:szCs w:val="24"/>
        </w:rPr>
        <w:t>candidat</w:t>
      </w:r>
      <w:r w:rsidR="00295900">
        <w:rPr>
          <w:rFonts w:ascii="Arial" w:eastAsia="Calibri" w:hAnsi="Arial" w:cs="Arial"/>
          <w:sz w:val="24"/>
          <w:szCs w:val="24"/>
        </w:rPr>
        <w:t>ura</w:t>
      </w:r>
      <w:r w:rsidR="00462CEE" w:rsidRPr="00462CEE">
        <w:rPr>
          <w:rFonts w:ascii="Arial" w:eastAsia="Calibri" w:hAnsi="Arial" w:cs="Arial"/>
          <w:sz w:val="24"/>
          <w:szCs w:val="24"/>
        </w:rPr>
        <w:t>s ciudadan</w:t>
      </w:r>
      <w:r w:rsidR="00295900">
        <w:rPr>
          <w:rFonts w:ascii="Arial" w:eastAsia="Calibri" w:hAnsi="Arial" w:cs="Arial"/>
          <w:sz w:val="24"/>
          <w:szCs w:val="24"/>
        </w:rPr>
        <w:t>a</w:t>
      </w:r>
      <w:r w:rsidR="00462CEE" w:rsidRPr="00462CEE">
        <w:rPr>
          <w:rFonts w:ascii="Arial" w:eastAsia="Calibri" w:hAnsi="Arial" w:cs="Arial"/>
          <w:sz w:val="24"/>
          <w:szCs w:val="24"/>
        </w:rPr>
        <w:t>s cuentan con otras medidas compensatorias en razón de no estar sujetos al principio de prevalencia del financiamiento público sobre el privado, de tal manera que se encuentran en condiciones de allegarse de un monto mayor de recursos de origen privado, a fin de garantizar su derecho a participar en condiciones que les permitan obtener el triunfo en la contienda.</w:t>
      </w:r>
    </w:p>
    <w:p w14:paraId="0D52A9C4" w14:textId="3D7600E6" w:rsidR="00462CEE" w:rsidRPr="0010079D" w:rsidRDefault="007E5F10" w:rsidP="00462CEE">
      <w:pPr>
        <w:spacing w:before="240" w:after="240" w:line="360" w:lineRule="auto"/>
        <w:jc w:val="both"/>
        <w:rPr>
          <w:rFonts w:ascii="Arial" w:eastAsia="Calibri" w:hAnsi="Arial" w:cs="Arial"/>
          <w:sz w:val="24"/>
          <w:szCs w:val="24"/>
        </w:rPr>
      </w:pPr>
      <w:r>
        <w:rPr>
          <w:rFonts w:ascii="Arial" w:eastAsia="Calibri" w:hAnsi="Arial" w:cs="Arial"/>
          <w:sz w:val="24"/>
          <w:szCs w:val="24"/>
        </w:rPr>
        <w:t>Además</w:t>
      </w:r>
      <w:r w:rsidR="00295900">
        <w:rPr>
          <w:rFonts w:ascii="Arial" w:eastAsia="Calibri" w:hAnsi="Arial" w:cs="Arial"/>
          <w:sz w:val="24"/>
          <w:szCs w:val="24"/>
        </w:rPr>
        <w:t>,</w:t>
      </w:r>
      <w:r w:rsidR="00462CEE" w:rsidRPr="00462CEE">
        <w:rPr>
          <w:rFonts w:ascii="Arial" w:eastAsia="Calibri" w:hAnsi="Arial" w:cs="Arial"/>
          <w:sz w:val="24"/>
          <w:szCs w:val="24"/>
        </w:rPr>
        <w:t xml:space="preserve"> la facultad que deriva del artículo 116 de la </w:t>
      </w:r>
      <w:r w:rsidR="00295900">
        <w:rPr>
          <w:rFonts w:ascii="Arial" w:eastAsia="Calibri" w:hAnsi="Arial" w:cs="Arial"/>
          <w:i/>
          <w:iCs/>
          <w:sz w:val="24"/>
          <w:szCs w:val="24"/>
        </w:rPr>
        <w:t>Constitución Federal</w:t>
      </w:r>
      <w:r w:rsidR="00462CEE" w:rsidRPr="00462CEE">
        <w:rPr>
          <w:rFonts w:ascii="Arial" w:eastAsia="Calibri" w:hAnsi="Arial" w:cs="Arial"/>
          <w:sz w:val="24"/>
          <w:szCs w:val="24"/>
        </w:rPr>
        <w:t xml:space="preserve"> para las legislaturas de las entidades federativas, no encuentra limitación alguna para establecer, como es el caso, que el financiamiento público que corresponde a </w:t>
      </w:r>
      <w:r w:rsidR="00295900">
        <w:rPr>
          <w:rFonts w:ascii="Arial" w:eastAsia="Calibri" w:hAnsi="Arial" w:cs="Arial"/>
          <w:sz w:val="24"/>
          <w:szCs w:val="24"/>
        </w:rPr>
        <w:t>las candidaturas</w:t>
      </w:r>
      <w:r w:rsidR="00462CEE" w:rsidRPr="00462CEE">
        <w:rPr>
          <w:rFonts w:ascii="Arial" w:eastAsia="Calibri" w:hAnsi="Arial" w:cs="Arial"/>
          <w:sz w:val="24"/>
          <w:szCs w:val="24"/>
        </w:rPr>
        <w:t xml:space="preserve"> sin partido, debe destinarse únicamente para </w:t>
      </w:r>
      <w:r w:rsidR="00462CEE" w:rsidRPr="0010079D">
        <w:rPr>
          <w:rFonts w:ascii="Arial" w:eastAsia="Calibri" w:hAnsi="Arial" w:cs="Arial"/>
          <w:sz w:val="24"/>
          <w:szCs w:val="24"/>
        </w:rPr>
        <w:t xml:space="preserve">campañas electorales, y que dicho monto debe equipararse a los recursos de campaña que se destinen </w:t>
      </w:r>
      <w:r w:rsidR="00295900" w:rsidRPr="0010079D">
        <w:rPr>
          <w:rFonts w:ascii="Arial" w:eastAsia="Calibri" w:hAnsi="Arial" w:cs="Arial"/>
          <w:sz w:val="24"/>
          <w:szCs w:val="24"/>
        </w:rPr>
        <w:t>a partidos políticos de nueva creación</w:t>
      </w:r>
      <w:r w:rsidR="00462CEE" w:rsidRPr="0010079D">
        <w:rPr>
          <w:rFonts w:ascii="Arial" w:eastAsia="Calibri" w:hAnsi="Arial" w:cs="Arial"/>
          <w:sz w:val="24"/>
          <w:szCs w:val="24"/>
        </w:rPr>
        <w:t xml:space="preserve">, toda vez que </w:t>
      </w:r>
      <w:r w:rsidR="00462CEE" w:rsidRPr="0010079D">
        <w:rPr>
          <w:rFonts w:ascii="Arial" w:eastAsia="Calibri" w:hAnsi="Arial" w:cs="Arial"/>
          <w:sz w:val="24"/>
          <w:szCs w:val="24"/>
        </w:rPr>
        <w:lastRenderedPageBreak/>
        <w:t xml:space="preserve">ante la falta de parámetros objetivos que permitan determinar el monto de recursos que deben recibir </w:t>
      </w:r>
      <w:r w:rsidR="00295900" w:rsidRPr="0010079D">
        <w:rPr>
          <w:rFonts w:ascii="Arial" w:eastAsia="Calibri" w:hAnsi="Arial" w:cs="Arial"/>
          <w:sz w:val="24"/>
          <w:szCs w:val="24"/>
        </w:rPr>
        <w:t>las candidaturas independientes</w:t>
      </w:r>
      <w:r w:rsidR="00462CEE" w:rsidRPr="0010079D">
        <w:rPr>
          <w:rFonts w:ascii="Arial" w:eastAsia="Calibri" w:hAnsi="Arial" w:cs="Arial"/>
          <w:sz w:val="24"/>
          <w:szCs w:val="24"/>
        </w:rPr>
        <w:t>, el legislador es libre para fijarlo, observando al efecto los principios de razonabilidad y eficiencia presupuestaria.</w:t>
      </w:r>
    </w:p>
    <w:p w14:paraId="4BE6BE76" w14:textId="517E6A02" w:rsidR="00462CEE" w:rsidRPr="0010079D" w:rsidRDefault="00462CEE" w:rsidP="00462CEE">
      <w:pPr>
        <w:spacing w:before="240" w:after="240" w:line="360" w:lineRule="auto"/>
        <w:jc w:val="both"/>
        <w:rPr>
          <w:rFonts w:ascii="Arial" w:eastAsia="Calibri" w:hAnsi="Arial" w:cs="Arial"/>
          <w:sz w:val="24"/>
          <w:szCs w:val="24"/>
        </w:rPr>
      </w:pPr>
      <w:r w:rsidRPr="0010079D">
        <w:rPr>
          <w:rFonts w:ascii="Arial" w:eastAsia="Calibri" w:hAnsi="Arial" w:cs="Arial"/>
          <w:sz w:val="24"/>
          <w:szCs w:val="24"/>
        </w:rPr>
        <w:t>Por lo anterior,</w:t>
      </w:r>
      <w:r w:rsidR="00BF3879">
        <w:rPr>
          <w:rFonts w:ascii="Arial" w:eastAsia="Calibri" w:hAnsi="Arial" w:cs="Arial"/>
          <w:sz w:val="24"/>
          <w:szCs w:val="24"/>
        </w:rPr>
        <w:t xml:space="preserve"> el hecho de que el </w:t>
      </w:r>
      <w:r w:rsidR="00BF3879">
        <w:rPr>
          <w:rFonts w:ascii="Arial" w:eastAsia="Calibri" w:hAnsi="Arial" w:cs="Arial"/>
          <w:i/>
          <w:iCs/>
          <w:sz w:val="24"/>
          <w:szCs w:val="24"/>
        </w:rPr>
        <w:t>Tribunal local</w:t>
      </w:r>
      <w:r w:rsidR="00BF3879">
        <w:rPr>
          <w:rFonts w:ascii="Arial" w:eastAsia="Calibri" w:hAnsi="Arial" w:cs="Arial"/>
          <w:sz w:val="24"/>
          <w:szCs w:val="24"/>
        </w:rPr>
        <w:t xml:space="preserve"> considerara</w:t>
      </w:r>
      <w:r w:rsidRPr="0010079D">
        <w:rPr>
          <w:rFonts w:ascii="Arial" w:eastAsia="Calibri" w:hAnsi="Arial" w:cs="Arial"/>
          <w:sz w:val="24"/>
          <w:szCs w:val="24"/>
        </w:rPr>
        <w:t xml:space="preserve"> </w:t>
      </w:r>
      <w:r w:rsidR="00295900" w:rsidRPr="0010079D">
        <w:rPr>
          <w:rFonts w:ascii="Arial" w:eastAsia="Calibri" w:hAnsi="Arial" w:cs="Arial"/>
          <w:sz w:val="24"/>
          <w:szCs w:val="24"/>
        </w:rPr>
        <w:t xml:space="preserve">que en el monto a </w:t>
      </w:r>
      <w:r w:rsidR="00A330A3">
        <w:rPr>
          <w:rFonts w:ascii="Arial" w:eastAsia="Calibri" w:hAnsi="Arial" w:cs="Arial"/>
          <w:sz w:val="24"/>
          <w:szCs w:val="24"/>
        </w:rPr>
        <w:t>distribuir</w:t>
      </w:r>
      <w:r w:rsidR="00BF3879">
        <w:rPr>
          <w:rFonts w:ascii="Arial" w:eastAsia="Calibri" w:hAnsi="Arial" w:cs="Arial"/>
          <w:sz w:val="24"/>
          <w:szCs w:val="24"/>
        </w:rPr>
        <w:t xml:space="preserve"> para gastos de campañas de candidaturas independientes en el Estado de Guanajuato,</w:t>
      </w:r>
      <w:r w:rsidR="00295900" w:rsidRPr="0010079D">
        <w:rPr>
          <w:rFonts w:ascii="Arial" w:eastAsia="Calibri" w:hAnsi="Arial" w:cs="Arial"/>
          <w:sz w:val="24"/>
          <w:szCs w:val="24"/>
        </w:rPr>
        <w:t xml:space="preserve"> deben considerarse los rubros de actividades ordinarias y específicas</w:t>
      </w:r>
      <w:r w:rsidRPr="0010079D">
        <w:rPr>
          <w:rFonts w:ascii="Arial" w:eastAsia="Calibri" w:hAnsi="Arial" w:cs="Arial"/>
          <w:sz w:val="24"/>
          <w:szCs w:val="24"/>
        </w:rPr>
        <w:t xml:space="preserve">, </w:t>
      </w:r>
      <w:r w:rsidR="00295900" w:rsidRPr="0010079D">
        <w:rPr>
          <w:rFonts w:ascii="Arial" w:eastAsia="Calibri" w:hAnsi="Arial" w:cs="Arial"/>
          <w:sz w:val="24"/>
          <w:szCs w:val="24"/>
        </w:rPr>
        <w:t>es contrario a Derecho</w:t>
      </w:r>
      <w:r w:rsidRPr="0010079D">
        <w:rPr>
          <w:rFonts w:ascii="Arial" w:eastAsia="Calibri" w:hAnsi="Arial" w:cs="Arial"/>
          <w:sz w:val="24"/>
          <w:szCs w:val="24"/>
        </w:rPr>
        <w:t>, en virtud de que la distribución de los recursos económicos prevista en</w:t>
      </w:r>
      <w:r w:rsidR="00295900" w:rsidRPr="0010079D">
        <w:rPr>
          <w:rFonts w:ascii="Arial" w:eastAsia="Calibri" w:hAnsi="Arial" w:cs="Arial"/>
          <w:sz w:val="24"/>
          <w:szCs w:val="24"/>
        </w:rPr>
        <w:t xml:space="preserve"> la </w:t>
      </w:r>
      <w:r w:rsidR="00295900" w:rsidRPr="0010079D">
        <w:rPr>
          <w:rFonts w:ascii="Arial" w:eastAsia="Calibri" w:hAnsi="Arial" w:cs="Arial"/>
          <w:i/>
          <w:iCs/>
          <w:sz w:val="24"/>
          <w:szCs w:val="24"/>
        </w:rPr>
        <w:t>Ley local</w:t>
      </w:r>
      <w:r w:rsidRPr="0010079D">
        <w:rPr>
          <w:rFonts w:ascii="Arial" w:eastAsia="Calibri" w:hAnsi="Arial" w:cs="Arial"/>
          <w:sz w:val="24"/>
          <w:szCs w:val="24"/>
        </w:rPr>
        <w:t xml:space="preserve"> atiende a las condiciones bajo las cuales participan en los comicios</w:t>
      </w:r>
      <w:r w:rsidR="00295900" w:rsidRPr="0010079D">
        <w:rPr>
          <w:rFonts w:ascii="Arial" w:eastAsia="Calibri" w:hAnsi="Arial" w:cs="Arial"/>
          <w:sz w:val="24"/>
          <w:szCs w:val="24"/>
        </w:rPr>
        <w:t xml:space="preserve"> y que únicamente comprende el monto de gastos de campaña previsto para los partidos políticos de nueva creación</w:t>
      </w:r>
      <w:r w:rsidRPr="0010079D">
        <w:rPr>
          <w:rFonts w:ascii="Arial" w:eastAsia="Calibri" w:hAnsi="Arial" w:cs="Arial"/>
          <w:sz w:val="24"/>
          <w:szCs w:val="24"/>
        </w:rPr>
        <w:t xml:space="preserve">, en el entendido de que el trato diferenciado encuentra sustento en la regulación que los partidos políticos tienen en la </w:t>
      </w:r>
      <w:r w:rsidR="00295900" w:rsidRPr="0010079D">
        <w:rPr>
          <w:rFonts w:ascii="Arial" w:eastAsia="Calibri" w:hAnsi="Arial" w:cs="Arial"/>
          <w:i/>
          <w:iCs/>
          <w:sz w:val="24"/>
          <w:szCs w:val="24"/>
        </w:rPr>
        <w:t>Constitución Federal</w:t>
      </w:r>
      <w:r w:rsidRPr="0010079D">
        <w:rPr>
          <w:rFonts w:ascii="Arial" w:eastAsia="Calibri" w:hAnsi="Arial" w:cs="Arial"/>
          <w:sz w:val="24"/>
          <w:szCs w:val="24"/>
        </w:rPr>
        <w:t xml:space="preserve"> frente a la regulación que posee el ejercicio del derecho de los ciudadanos para acceder a los cargos de elección popular de forma independiente.</w:t>
      </w:r>
    </w:p>
    <w:p w14:paraId="30C3F43B" w14:textId="77777777" w:rsidR="00462CEE" w:rsidRPr="0010079D" w:rsidRDefault="00462CEE" w:rsidP="00462CEE">
      <w:pPr>
        <w:spacing w:before="240" w:after="240" w:line="360" w:lineRule="auto"/>
        <w:jc w:val="both"/>
        <w:rPr>
          <w:rFonts w:ascii="Arial" w:eastAsia="Calibri" w:hAnsi="Arial" w:cs="Arial"/>
          <w:sz w:val="24"/>
          <w:szCs w:val="24"/>
        </w:rPr>
      </w:pPr>
      <w:r w:rsidRPr="0010079D">
        <w:rPr>
          <w:rFonts w:ascii="Arial" w:eastAsia="Calibri" w:hAnsi="Arial" w:cs="Arial"/>
          <w:sz w:val="24"/>
          <w:szCs w:val="24"/>
        </w:rPr>
        <w:t>En efecto, el principio de equidad en las contiendas electorales tiene por objeto la tutela del derecho de los participantes a contar con idéntica oportunidad de obtener el voto ciudadano, de manera que dicho principio impone la obligación a las autoridades de generar las condiciones para que todos los contendientes, sin importar si se encuentran afiliados a algún partido o no, cuenten con la posibilidad real de presentarse ante los electores, de divulgar su plataforma electoral, sus propuestas de gobierno, de participar por conducto de sus representantes en los órganos electorales y de promover ante las autoridades judiciales todos los recursos que estimen pertinentes por considerar que se ha afectado negativamente el proceso electoral en que están contendiendo.</w:t>
      </w:r>
    </w:p>
    <w:p w14:paraId="291548EF" w14:textId="47ECB3C7" w:rsidR="00462CEE" w:rsidRPr="00C502DD" w:rsidRDefault="00462CEE" w:rsidP="00462CEE">
      <w:pPr>
        <w:spacing w:before="240" w:after="240" w:line="360" w:lineRule="auto"/>
        <w:jc w:val="both"/>
        <w:rPr>
          <w:rFonts w:ascii="Arial" w:eastAsia="Calibri" w:hAnsi="Arial" w:cs="Arial"/>
          <w:i/>
          <w:iCs/>
          <w:sz w:val="24"/>
          <w:szCs w:val="24"/>
        </w:rPr>
      </w:pPr>
      <w:r w:rsidRPr="0010079D">
        <w:rPr>
          <w:rFonts w:ascii="Arial" w:eastAsia="Calibri" w:hAnsi="Arial" w:cs="Arial"/>
          <w:sz w:val="24"/>
          <w:szCs w:val="24"/>
        </w:rPr>
        <w:t xml:space="preserve">Por ello, las condiciones generales de igualdad entre los contendientes a un cargo de elección popular no implican el deber de la autoridad de asignar y entregar el mismo monto económico </w:t>
      </w:r>
      <w:r w:rsidR="00295900" w:rsidRPr="0010079D">
        <w:rPr>
          <w:rFonts w:ascii="Arial" w:eastAsia="Calibri" w:hAnsi="Arial" w:cs="Arial"/>
          <w:sz w:val="24"/>
          <w:szCs w:val="24"/>
        </w:rPr>
        <w:t xml:space="preserve">que recibe un partido político de nueva creación en relación con </w:t>
      </w:r>
      <w:r w:rsidR="00295900" w:rsidRPr="0010079D">
        <w:rPr>
          <w:rFonts w:ascii="Arial" w:hAnsi="Arial" w:cs="Arial"/>
          <w:sz w:val="24"/>
          <w:szCs w:val="24"/>
        </w:rPr>
        <w:t>actividades ordinarias, gastos de campaña y actividades específicas,</w:t>
      </w:r>
      <w:r w:rsidRPr="0010079D">
        <w:rPr>
          <w:rFonts w:ascii="Arial" w:eastAsia="Calibri" w:hAnsi="Arial" w:cs="Arial"/>
          <w:sz w:val="24"/>
          <w:szCs w:val="24"/>
        </w:rPr>
        <w:t xml:space="preserve"> pues, como se dijo, se trata de un principio por medio del cual se debe garantizar a todos los candidatos registrados la igual oportunidad de participación frente a los electores, atendiendo a las condiciones bajo las que compite, mas no de la obligación de destinarles la misma proporción de recursos financieros</w:t>
      </w:r>
      <w:r w:rsidR="00295900" w:rsidRPr="0010079D">
        <w:rPr>
          <w:rStyle w:val="Refdenotaalpie"/>
          <w:rFonts w:ascii="Arial" w:eastAsia="Calibri" w:hAnsi="Arial" w:cs="Arial"/>
          <w:sz w:val="24"/>
          <w:szCs w:val="24"/>
        </w:rPr>
        <w:footnoteReference w:id="16"/>
      </w:r>
      <w:r w:rsidR="00C502DD">
        <w:rPr>
          <w:rFonts w:ascii="Arial" w:eastAsia="Calibri" w:hAnsi="Arial" w:cs="Arial"/>
          <w:sz w:val="24"/>
          <w:szCs w:val="24"/>
        </w:rPr>
        <w:t xml:space="preserve">, de ahí lo inexacto de la decisión del </w:t>
      </w:r>
      <w:r w:rsidR="00C502DD">
        <w:rPr>
          <w:rFonts w:ascii="Arial" w:eastAsia="Calibri" w:hAnsi="Arial" w:cs="Arial"/>
          <w:i/>
          <w:iCs/>
          <w:sz w:val="24"/>
          <w:szCs w:val="24"/>
        </w:rPr>
        <w:t>Tribunal local.</w:t>
      </w:r>
    </w:p>
    <w:p w14:paraId="1181A225" w14:textId="6BC9DF8D" w:rsidR="00BF3879" w:rsidRDefault="00BF3879" w:rsidP="00BF3879">
      <w:pPr>
        <w:spacing w:before="240" w:after="240" w:line="360" w:lineRule="auto"/>
        <w:jc w:val="both"/>
        <w:rPr>
          <w:rFonts w:ascii="Arial" w:hAnsi="Arial" w:cs="Arial"/>
          <w:sz w:val="24"/>
          <w:szCs w:val="24"/>
        </w:rPr>
      </w:pPr>
      <w:r>
        <w:rPr>
          <w:rFonts w:ascii="Arial" w:eastAsia="Calibri" w:hAnsi="Arial" w:cs="Arial"/>
          <w:sz w:val="24"/>
          <w:szCs w:val="24"/>
        </w:rPr>
        <w:lastRenderedPageBreak/>
        <w:t xml:space="preserve">Lo anterior, sin que pase inadvertido el hecho de que esta Sala Regional, al resolver el expediente SM-JDC-461/2018, confirmó </w:t>
      </w:r>
      <w:r>
        <w:rPr>
          <w:rFonts w:ascii="Arial" w:hAnsi="Arial" w:cs="Arial"/>
          <w:sz w:val="24"/>
          <w:szCs w:val="24"/>
        </w:rPr>
        <w:t xml:space="preserve">la resolución </w:t>
      </w:r>
      <w:r>
        <w:rPr>
          <w:rFonts w:ascii="Arial" w:hAnsi="Arial" w:cs="Arial"/>
          <w:bCs/>
          <w:sz w:val="24"/>
          <w:szCs w:val="24"/>
          <w:lang w:val="es-ES_tradnl"/>
        </w:rPr>
        <w:t xml:space="preserve">TEEG-REV-28/2018 </w:t>
      </w:r>
      <w:r>
        <w:rPr>
          <w:rFonts w:ascii="Arial" w:hAnsi="Arial" w:cs="Arial"/>
          <w:sz w:val="24"/>
          <w:szCs w:val="24"/>
        </w:rPr>
        <w:t xml:space="preserve">del </w:t>
      </w:r>
      <w:r>
        <w:rPr>
          <w:rFonts w:ascii="Arial" w:hAnsi="Arial" w:cs="Arial"/>
          <w:i/>
          <w:iCs/>
          <w:sz w:val="24"/>
          <w:szCs w:val="24"/>
        </w:rPr>
        <w:t>Tribunal local</w:t>
      </w:r>
      <w:r>
        <w:rPr>
          <w:rFonts w:ascii="Arial" w:hAnsi="Arial" w:cs="Arial"/>
          <w:sz w:val="24"/>
          <w:szCs w:val="24"/>
        </w:rPr>
        <w:t>, que a su vez confirmó el acuerdo CGIEEG/192/2018, en el que se determinó el financiamiento público a que tenían derecho las candidaturas independientes de diputaciones locales para el proceso electoral local 2017-2018, en el cual,</w:t>
      </w:r>
      <w:r w:rsidRPr="00BF3879">
        <w:t xml:space="preserve"> </w:t>
      </w:r>
      <w:r w:rsidRPr="00BF3879">
        <w:rPr>
          <w:rFonts w:ascii="Arial" w:hAnsi="Arial" w:cs="Arial"/>
          <w:sz w:val="24"/>
          <w:szCs w:val="24"/>
        </w:rPr>
        <w:t>al realizar</w:t>
      </w:r>
      <w:r>
        <w:rPr>
          <w:rFonts w:ascii="Arial" w:hAnsi="Arial" w:cs="Arial"/>
          <w:sz w:val="24"/>
          <w:szCs w:val="24"/>
        </w:rPr>
        <w:t>se</w:t>
      </w:r>
      <w:r w:rsidRPr="00BF3879">
        <w:rPr>
          <w:rFonts w:ascii="Arial" w:hAnsi="Arial" w:cs="Arial"/>
          <w:sz w:val="24"/>
          <w:szCs w:val="24"/>
        </w:rPr>
        <w:t xml:space="preserve"> el cálculo del monto para el</w:t>
      </w:r>
      <w:r>
        <w:rPr>
          <w:rFonts w:ascii="Arial" w:hAnsi="Arial" w:cs="Arial"/>
          <w:sz w:val="24"/>
          <w:szCs w:val="24"/>
        </w:rPr>
        <w:t xml:space="preserve"> </w:t>
      </w:r>
      <w:r w:rsidRPr="00BF3879">
        <w:rPr>
          <w:rFonts w:ascii="Arial" w:hAnsi="Arial" w:cs="Arial"/>
          <w:sz w:val="24"/>
          <w:szCs w:val="24"/>
        </w:rPr>
        <w:t>financiamiento público que correspondía a las candidaturas</w:t>
      </w:r>
      <w:r>
        <w:rPr>
          <w:rFonts w:ascii="Arial" w:hAnsi="Arial" w:cs="Arial"/>
          <w:sz w:val="24"/>
          <w:szCs w:val="24"/>
        </w:rPr>
        <w:t xml:space="preserve"> </w:t>
      </w:r>
      <w:r w:rsidRPr="00BF3879">
        <w:rPr>
          <w:rFonts w:ascii="Arial" w:hAnsi="Arial" w:cs="Arial"/>
          <w:sz w:val="24"/>
          <w:szCs w:val="24"/>
        </w:rPr>
        <w:t>independientes en su conjunto</w:t>
      </w:r>
      <w:r>
        <w:rPr>
          <w:rFonts w:ascii="Arial" w:hAnsi="Arial" w:cs="Arial"/>
          <w:sz w:val="24"/>
          <w:szCs w:val="24"/>
        </w:rPr>
        <w:t xml:space="preserve">, se consideraron los rubros de </w:t>
      </w:r>
      <w:r w:rsidRPr="00BF3879">
        <w:rPr>
          <w:rFonts w:ascii="Arial" w:hAnsi="Arial" w:cs="Arial"/>
          <w:sz w:val="24"/>
          <w:szCs w:val="24"/>
        </w:rPr>
        <w:t>actividades ordinarias, gastos de campaña y actividades específicas</w:t>
      </w:r>
      <w:r>
        <w:rPr>
          <w:rFonts w:ascii="Arial" w:hAnsi="Arial" w:cs="Arial"/>
          <w:sz w:val="24"/>
          <w:szCs w:val="24"/>
        </w:rPr>
        <w:t>.</w:t>
      </w:r>
    </w:p>
    <w:p w14:paraId="3A92143E" w14:textId="40C059D6" w:rsidR="00BF3879" w:rsidRPr="00BF3879" w:rsidRDefault="00BF3879" w:rsidP="00BF3879">
      <w:pPr>
        <w:spacing w:before="240" w:after="240" w:line="360" w:lineRule="auto"/>
        <w:jc w:val="both"/>
        <w:rPr>
          <w:rFonts w:ascii="Arial" w:hAnsi="Arial" w:cs="Arial"/>
          <w:sz w:val="24"/>
          <w:szCs w:val="24"/>
        </w:rPr>
      </w:pPr>
      <w:r>
        <w:rPr>
          <w:rFonts w:ascii="Arial" w:hAnsi="Arial" w:cs="Arial"/>
          <w:sz w:val="24"/>
          <w:szCs w:val="24"/>
        </w:rPr>
        <w:t xml:space="preserve">No </w:t>
      </w:r>
      <w:r w:rsidR="00C502DD">
        <w:rPr>
          <w:rFonts w:ascii="Arial" w:hAnsi="Arial" w:cs="Arial"/>
          <w:sz w:val="24"/>
          <w:szCs w:val="24"/>
        </w:rPr>
        <w:t>obstante,</w:t>
      </w:r>
      <w:r>
        <w:rPr>
          <w:rFonts w:ascii="Arial" w:hAnsi="Arial" w:cs="Arial"/>
          <w:sz w:val="24"/>
          <w:szCs w:val="24"/>
        </w:rPr>
        <w:t xml:space="preserve"> en dicho asunto, la temática </w:t>
      </w:r>
      <w:r w:rsidR="00C502DD">
        <w:rPr>
          <w:rFonts w:ascii="Arial" w:hAnsi="Arial" w:cs="Arial"/>
          <w:sz w:val="24"/>
          <w:szCs w:val="24"/>
        </w:rPr>
        <w:t>analizada y confirmada por</w:t>
      </w:r>
      <w:r>
        <w:rPr>
          <w:rFonts w:ascii="Arial" w:hAnsi="Arial" w:cs="Arial"/>
          <w:sz w:val="24"/>
          <w:szCs w:val="24"/>
        </w:rPr>
        <w:t xml:space="preserve"> este órgano de control constitucional </w:t>
      </w:r>
      <w:r w:rsidR="00700A5B">
        <w:rPr>
          <w:rFonts w:ascii="Arial" w:hAnsi="Arial" w:cs="Arial"/>
          <w:sz w:val="24"/>
          <w:szCs w:val="24"/>
        </w:rPr>
        <w:t>atendió</w:t>
      </w:r>
      <w:r>
        <w:rPr>
          <w:rFonts w:ascii="Arial" w:hAnsi="Arial" w:cs="Arial"/>
          <w:sz w:val="24"/>
          <w:szCs w:val="24"/>
        </w:rPr>
        <w:t xml:space="preserve"> a </w:t>
      </w:r>
      <w:r w:rsidRPr="00BF3879">
        <w:rPr>
          <w:rFonts w:ascii="Arial" w:hAnsi="Arial" w:cs="Arial"/>
          <w:sz w:val="24"/>
          <w:szCs w:val="24"/>
        </w:rPr>
        <w:t xml:space="preserve">la distribución del financiamiento </w:t>
      </w:r>
      <w:r w:rsidR="00C502DD" w:rsidRPr="00BF3879">
        <w:rPr>
          <w:rFonts w:ascii="Arial" w:hAnsi="Arial" w:cs="Arial"/>
          <w:sz w:val="24"/>
          <w:szCs w:val="24"/>
        </w:rPr>
        <w:t>público realizada</w:t>
      </w:r>
      <w:r w:rsidRPr="00BF3879">
        <w:rPr>
          <w:rFonts w:ascii="Arial" w:hAnsi="Arial" w:cs="Arial"/>
          <w:sz w:val="24"/>
          <w:szCs w:val="24"/>
        </w:rPr>
        <w:t xml:space="preserve"> por el </w:t>
      </w:r>
      <w:r>
        <w:rPr>
          <w:rFonts w:ascii="Arial" w:hAnsi="Arial" w:cs="Arial"/>
          <w:i/>
          <w:iCs/>
          <w:sz w:val="24"/>
          <w:szCs w:val="24"/>
        </w:rPr>
        <w:t>Instituto local</w:t>
      </w:r>
      <w:r w:rsidRPr="00BF3879">
        <w:rPr>
          <w:rFonts w:ascii="Arial" w:hAnsi="Arial" w:cs="Arial"/>
          <w:sz w:val="24"/>
          <w:szCs w:val="24"/>
        </w:rPr>
        <w:t xml:space="preserve"> entre los diferentes tipos de elección</w:t>
      </w:r>
      <w:r>
        <w:rPr>
          <w:rFonts w:ascii="Arial" w:hAnsi="Arial" w:cs="Arial"/>
          <w:sz w:val="24"/>
          <w:szCs w:val="24"/>
        </w:rPr>
        <w:t>, de ahí que no exista contradicción alguna entre lo ahí decidido y las consideraciones aquí emitidas.</w:t>
      </w:r>
    </w:p>
    <w:p w14:paraId="3284BD61" w14:textId="198549A5" w:rsidR="00295900" w:rsidRPr="0010079D" w:rsidRDefault="00B06B15" w:rsidP="00295900">
      <w:pPr>
        <w:pStyle w:val="Textonotapie"/>
        <w:spacing w:before="240" w:after="240" w:line="360" w:lineRule="auto"/>
        <w:jc w:val="both"/>
        <w:rPr>
          <w:rFonts w:ascii="Arial" w:hAnsi="Arial" w:cs="Arial"/>
          <w:sz w:val="24"/>
          <w:szCs w:val="24"/>
        </w:rPr>
      </w:pPr>
      <w:r>
        <w:rPr>
          <w:rFonts w:ascii="Arial" w:hAnsi="Arial" w:cs="Arial"/>
          <w:sz w:val="24"/>
          <w:szCs w:val="24"/>
        </w:rPr>
        <w:t>Por tanto,</w:t>
      </w:r>
      <w:r w:rsidR="00295900" w:rsidRPr="0010079D">
        <w:rPr>
          <w:rFonts w:ascii="Arial" w:hAnsi="Arial" w:cs="Arial"/>
          <w:sz w:val="24"/>
          <w:szCs w:val="24"/>
        </w:rPr>
        <w:t xml:space="preserve"> al resultar </w:t>
      </w:r>
      <w:r w:rsidR="00295900" w:rsidRPr="0010079D">
        <w:rPr>
          <w:rFonts w:ascii="Arial" w:hAnsi="Arial" w:cs="Arial"/>
          <w:b/>
          <w:bCs/>
          <w:sz w:val="24"/>
          <w:szCs w:val="24"/>
        </w:rPr>
        <w:t>fundado</w:t>
      </w:r>
      <w:r w:rsidR="00295900" w:rsidRPr="0010079D">
        <w:rPr>
          <w:rFonts w:ascii="Arial" w:hAnsi="Arial" w:cs="Arial"/>
          <w:sz w:val="24"/>
          <w:szCs w:val="24"/>
        </w:rPr>
        <w:t xml:space="preserve"> el agravio hecho valer por </w:t>
      </w:r>
      <w:r w:rsidR="0010079D" w:rsidRPr="0010079D">
        <w:rPr>
          <w:rFonts w:ascii="Arial" w:hAnsi="Arial" w:cs="Arial"/>
          <w:sz w:val="24"/>
          <w:szCs w:val="24"/>
        </w:rPr>
        <w:t>el</w:t>
      </w:r>
      <w:r w:rsidR="00295900" w:rsidRPr="0010079D">
        <w:rPr>
          <w:rFonts w:ascii="Arial" w:hAnsi="Arial" w:cs="Arial"/>
          <w:sz w:val="24"/>
          <w:szCs w:val="24"/>
        </w:rPr>
        <w:t xml:space="preserve"> promovente respecto a la interpretación </w:t>
      </w:r>
      <w:r w:rsidR="0010079D" w:rsidRPr="0010079D">
        <w:rPr>
          <w:rFonts w:ascii="Arial" w:hAnsi="Arial" w:cs="Arial"/>
          <w:sz w:val="24"/>
          <w:szCs w:val="24"/>
          <w:lang w:eastAsia="es-ES"/>
        </w:rPr>
        <w:t xml:space="preserve">por parte del </w:t>
      </w:r>
      <w:r w:rsidR="0010079D" w:rsidRPr="0010079D">
        <w:rPr>
          <w:rFonts w:ascii="Arial" w:hAnsi="Arial" w:cs="Arial"/>
          <w:i/>
          <w:iCs/>
          <w:sz w:val="24"/>
          <w:szCs w:val="24"/>
          <w:lang w:eastAsia="es-ES"/>
        </w:rPr>
        <w:t>Tribunal local</w:t>
      </w:r>
      <w:r w:rsidR="0010079D" w:rsidRPr="0010079D">
        <w:rPr>
          <w:rFonts w:ascii="Arial" w:hAnsi="Arial" w:cs="Arial"/>
          <w:sz w:val="24"/>
          <w:szCs w:val="24"/>
          <w:lang w:eastAsia="es-ES"/>
        </w:rPr>
        <w:t xml:space="preserve"> respecto de los artículos 333 y 334 de la</w:t>
      </w:r>
      <w:r w:rsidR="0010079D" w:rsidRPr="0010079D">
        <w:rPr>
          <w:rFonts w:ascii="Arial" w:hAnsi="Arial" w:cs="Arial"/>
          <w:i/>
          <w:iCs/>
          <w:sz w:val="24"/>
          <w:szCs w:val="24"/>
          <w:lang w:eastAsia="es-ES"/>
        </w:rPr>
        <w:t xml:space="preserve"> Ley local</w:t>
      </w:r>
      <w:r w:rsidR="00295900" w:rsidRPr="0010079D">
        <w:rPr>
          <w:rFonts w:ascii="Arial" w:hAnsi="Arial" w:cs="Arial"/>
          <w:i/>
          <w:iCs/>
          <w:sz w:val="24"/>
          <w:szCs w:val="24"/>
        </w:rPr>
        <w:t>,</w:t>
      </w:r>
      <w:r w:rsidR="00295900" w:rsidRPr="0010079D">
        <w:rPr>
          <w:rFonts w:ascii="Arial" w:hAnsi="Arial" w:cs="Arial"/>
          <w:sz w:val="24"/>
          <w:szCs w:val="24"/>
        </w:rPr>
        <w:t xml:space="preserve"> procede </w:t>
      </w:r>
      <w:r w:rsidR="00295900" w:rsidRPr="0010079D">
        <w:rPr>
          <w:rFonts w:ascii="Arial" w:hAnsi="Arial" w:cs="Arial"/>
          <w:b/>
          <w:sz w:val="24"/>
          <w:szCs w:val="24"/>
        </w:rPr>
        <w:t>revocar</w:t>
      </w:r>
      <w:r w:rsidR="00295900" w:rsidRPr="0010079D">
        <w:rPr>
          <w:rFonts w:ascii="Arial" w:hAnsi="Arial" w:cs="Arial"/>
          <w:sz w:val="24"/>
          <w:szCs w:val="24"/>
        </w:rPr>
        <w:t xml:space="preserve"> la sentencia impugnada.</w:t>
      </w:r>
    </w:p>
    <w:p w14:paraId="29620184" w14:textId="268E65A4" w:rsidR="00295900" w:rsidRPr="0010079D" w:rsidRDefault="00295900" w:rsidP="00295900">
      <w:pPr>
        <w:pStyle w:val="Textonotapie"/>
        <w:spacing w:before="240" w:after="240" w:line="360" w:lineRule="auto"/>
        <w:jc w:val="both"/>
        <w:rPr>
          <w:rFonts w:ascii="Arial" w:hAnsi="Arial" w:cs="Arial"/>
          <w:sz w:val="24"/>
          <w:szCs w:val="24"/>
        </w:rPr>
      </w:pPr>
      <w:r w:rsidRPr="0010079D">
        <w:rPr>
          <w:rFonts w:ascii="Arial" w:hAnsi="Arial" w:cs="Arial"/>
          <w:sz w:val="24"/>
          <w:szCs w:val="24"/>
        </w:rPr>
        <w:t xml:space="preserve">En vía de consecuencia, al haberse revocado el fallo impugnado, debe quedar sin efectos el acuerdo del </w:t>
      </w:r>
      <w:r w:rsidR="0010079D" w:rsidRPr="0010079D">
        <w:rPr>
          <w:rFonts w:ascii="Arial" w:hAnsi="Arial" w:cs="Arial"/>
          <w:i/>
          <w:iCs/>
          <w:sz w:val="24"/>
          <w:szCs w:val="24"/>
        </w:rPr>
        <w:t>Instituto local</w:t>
      </w:r>
      <w:r w:rsidRPr="0010079D">
        <w:rPr>
          <w:rFonts w:ascii="Arial" w:hAnsi="Arial" w:cs="Arial"/>
          <w:sz w:val="24"/>
          <w:szCs w:val="24"/>
        </w:rPr>
        <w:t xml:space="preserve"> dictado en su cumplimiento y, </w:t>
      </w:r>
      <w:r w:rsidRPr="0010079D">
        <w:rPr>
          <w:rFonts w:ascii="Arial" w:hAnsi="Arial" w:cs="Arial"/>
          <w:b/>
          <w:bCs/>
          <w:sz w:val="24"/>
          <w:szCs w:val="24"/>
        </w:rPr>
        <w:t>prevalecer,</w:t>
      </w:r>
      <w:r w:rsidRPr="0010079D">
        <w:rPr>
          <w:rFonts w:ascii="Arial" w:hAnsi="Arial" w:cs="Arial"/>
          <w:sz w:val="24"/>
          <w:szCs w:val="24"/>
        </w:rPr>
        <w:t xml:space="preserve"> para todos los efectos, </w:t>
      </w:r>
      <w:r w:rsidR="0010079D" w:rsidRPr="0010079D">
        <w:rPr>
          <w:rFonts w:ascii="Arial" w:hAnsi="Arial" w:cs="Arial"/>
          <w:sz w:val="24"/>
          <w:szCs w:val="24"/>
        </w:rPr>
        <w:t xml:space="preserve">el </w:t>
      </w:r>
      <w:r w:rsidR="0010079D" w:rsidRPr="0010079D">
        <w:rPr>
          <w:rFonts w:ascii="Arial" w:hAnsi="Arial" w:cs="Arial"/>
          <w:i/>
          <w:iCs/>
          <w:sz w:val="24"/>
          <w:szCs w:val="24"/>
        </w:rPr>
        <w:t>Acuerdo de financiamiento para independientes</w:t>
      </w:r>
      <w:r w:rsidR="00700A5B">
        <w:rPr>
          <w:rFonts w:ascii="Arial" w:hAnsi="Arial" w:cs="Arial"/>
          <w:sz w:val="24"/>
          <w:szCs w:val="24"/>
        </w:rPr>
        <w:t xml:space="preserve"> que derivó del diverso </w:t>
      </w:r>
      <w:r w:rsidR="00700A5B" w:rsidRPr="007E5F10">
        <w:rPr>
          <w:rFonts w:ascii="Arial" w:hAnsi="Arial" w:cs="Arial"/>
          <w:i/>
          <w:iCs/>
          <w:sz w:val="24"/>
          <w:szCs w:val="24"/>
        </w:rPr>
        <w:t>Acuerdo de financiamiento anual</w:t>
      </w:r>
      <w:r w:rsidR="00700A5B">
        <w:rPr>
          <w:rFonts w:ascii="Arial" w:hAnsi="Arial" w:cs="Arial"/>
          <w:i/>
          <w:iCs/>
          <w:sz w:val="24"/>
          <w:szCs w:val="24"/>
        </w:rPr>
        <w:t>,</w:t>
      </w:r>
      <w:r w:rsidRPr="0010079D">
        <w:rPr>
          <w:rFonts w:ascii="Arial" w:hAnsi="Arial" w:cs="Arial"/>
          <w:sz w:val="24"/>
          <w:szCs w:val="24"/>
        </w:rPr>
        <w:t xml:space="preserve"> que </w:t>
      </w:r>
      <w:r w:rsidR="0010079D" w:rsidRPr="0010079D">
        <w:rPr>
          <w:rFonts w:ascii="Arial" w:hAnsi="Arial" w:cs="Arial"/>
          <w:color w:val="000000"/>
          <w:sz w:val="24"/>
          <w:szCs w:val="24"/>
        </w:rPr>
        <w:t>determinó que el monto por concepto de financiamiento público para gastos de campaña para la totalidad de las candidaturas independientes que obtuvieron su registro para contender en el proceso electoral local 2020-2021, es de $</w:t>
      </w:r>
      <w:r w:rsidR="00BF3879">
        <w:rPr>
          <w:rFonts w:ascii="Arial" w:hAnsi="Arial" w:cs="Arial"/>
          <w:color w:val="000000"/>
          <w:sz w:val="24"/>
          <w:szCs w:val="24"/>
        </w:rPr>
        <w:t xml:space="preserve"> </w:t>
      </w:r>
      <w:r w:rsidR="0010079D" w:rsidRPr="0010079D">
        <w:rPr>
          <w:rFonts w:ascii="Arial" w:hAnsi="Arial" w:cs="Arial"/>
          <w:color w:val="000000"/>
          <w:sz w:val="24"/>
          <w:szCs w:val="24"/>
        </w:rPr>
        <w:t>957,813.88 (novecientos cincuenta y siete mil ochocientos trece pesos 88/100 m.n.)</w:t>
      </w:r>
      <w:r w:rsidRPr="0010079D">
        <w:rPr>
          <w:rFonts w:ascii="Arial" w:hAnsi="Arial" w:cs="Arial"/>
          <w:sz w:val="24"/>
          <w:szCs w:val="24"/>
        </w:rPr>
        <w:t>.</w:t>
      </w:r>
    </w:p>
    <w:p w14:paraId="2FE0DF2C" w14:textId="77777777" w:rsidR="00295900" w:rsidRPr="0010079D" w:rsidRDefault="00295900" w:rsidP="00295900">
      <w:pPr>
        <w:spacing w:before="240" w:after="240" w:line="360" w:lineRule="auto"/>
        <w:jc w:val="both"/>
        <w:rPr>
          <w:rFonts w:ascii="Arial" w:hAnsi="Arial" w:cs="Arial"/>
          <w:sz w:val="24"/>
          <w:szCs w:val="24"/>
          <w:lang w:eastAsia="es-MX"/>
        </w:rPr>
      </w:pPr>
      <w:r w:rsidRPr="0010079D">
        <w:rPr>
          <w:rFonts w:ascii="Arial" w:hAnsi="Arial" w:cs="Arial"/>
          <w:sz w:val="24"/>
          <w:szCs w:val="24"/>
          <w:lang w:val="es-ES_tradnl"/>
        </w:rPr>
        <w:t>Dada la conclusión a la que se ha arribado, resulta innecesario el estudio de los agravios restantes</w:t>
      </w:r>
      <w:r w:rsidRPr="0010079D">
        <w:rPr>
          <w:rStyle w:val="Refdenotaalpie"/>
          <w:rFonts w:ascii="Arial" w:hAnsi="Arial" w:cs="Arial"/>
          <w:bCs/>
          <w:sz w:val="24"/>
        </w:rPr>
        <w:footnoteReference w:id="17"/>
      </w:r>
      <w:r w:rsidRPr="0010079D">
        <w:rPr>
          <w:rFonts w:ascii="Arial" w:hAnsi="Arial" w:cs="Arial"/>
          <w:sz w:val="24"/>
          <w:szCs w:val="24"/>
          <w:lang w:eastAsia="es-MX"/>
        </w:rPr>
        <w:t>.</w:t>
      </w:r>
    </w:p>
    <w:p w14:paraId="270FC1A4" w14:textId="515885D1" w:rsidR="00122EC8" w:rsidRDefault="00753C52" w:rsidP="00122EC8">
      <w:pPr>
        <w:tabs>
          <w:tab w:val="left" w:pos="2646"/>
        </w:tabs>
        <w:spacing w:before="240" w:after="240" w:line="360" w:lineRule="auto"/>
        <w:jc w:val="both"/>
        <w:outlineLvl w:val="1"/>
        <w:rPr>
          <w:rFonts w:ascii="Arial" w:hAnsi="Arial" w:cs="Arial"/>
          <w:b/>
          <w:bCs/>
          <w:sz w:val="24"/>
          <w:szCs w:val="24"/>
        </w:rPr>
      </w:pPr>
      <w:r>
        <w:rPr>
          <w:rFonts w:ascii="Arial" w:eastAsia="Calibri" w:hAnsi="Arial" w:cs="Arial"/>
          <w:b/>
          <w:bCs/>
          <w:sz w:val="24"/>
          <w:szCs w:val="24"/>
          <w:lang w:val="es-ES_tradnl"/>
        </w:rPr>
        <w:t>5. EFECTOS</w:t>
      </w:r>
      <w:bookmarkEnd w:id="38"/>
    </w:p>
    <w:p w14:paraId="6291B556" w14:textId="77777777" w:rsidR="00753C52" w:rsidRPr="00753C52" w:rsidRDefault="00753C52" w:rsidP="00753C52">
      <w:pPr>
        <w:spacing w:before="240" w:after="240" w:line="360" w:lineRule="auto"/>
        <w:jc w:val="both"/>
        <w:rPr>
          <w:rFonts w:ascii="Arial" w:hAnsi="Arial" w:cs="Arial"/>
          <w:color w:val="000000"/>
          <w:sz w:val="24"/>
          <w:szCs w:val="24"/>
          <w:lang w:val="es-ES_tradnl"/>
        </w:rPr>
      </w:pPr>
      <w:bookmarkStart w:id="40" w:name="_Toc45655851"/>
      <w:bookmarkEnd w:id="36"/>
      <w:r w:rsidRPr="00753C52">
        <w:rPr>
          <w:rFonts w:ascii="Arial" w:hAnsi="Arial" w:cs="Arial"/>
          <w:color w:val="000000"/>
          <w:sz w:val="24"/>
          <w:szCs w:val="24"/>
          <w:lang w:val="es-ES_tradnl"/>
        </w:rPr>
        <w:lastRenderedPageBreak/>
        <w:t>Atento a las razones dadas, lo procedente es:</w:t>
      </w:r>
    </w:p>
    <w:p w14:paraId="0AE69277" w14:textId="5B298CD6" w:rsidR="00753C52" w:rsidRPr="00753C52" w:rsidRDefault="00753C52" w:rsidP="00753C52">
      <w:pPr>
        <w:spacing w:before="240" w:after="240" w:line="360" w:lineRule="auto"/>
        <w:jc w:val="both"/>
        <w:rPr>
          <w:rFonts w:ascii="Arial" w:hAnsi="Arial" w:cs="Arial"/>
          <w:sz w:val="24"/>
          <w:szCs w:val="24"/>
          <w:lang w:eastAsia="es-MX"/>
        </w:rPr>
      </w:pPr>
      <w:r w:rsidRPr="00F5042C">
        <w:rPr>
          <w:rFonts w:ascii="Arial" w:hAnsi="Arial" w:cs="Arial"/>
          <w:b/>
          <w:bCs/>
          <w:color w:val="000000"/>
          <w:sz w:val="24"/>
          <w:szCs w:val="24"/>
          <w:lang w:val="es-ES_tradnl"/>
        </w:rPr>
        <w:t>5.1. Revocar</w:t>
      </w:r>
      <w:r w:rsidRPr="00F5042C">
        <w:rPr>
          <w:rFonts w:ascii="Arial" w:hAnsi="Arial" w:cs="Arial"/>
          <w:bCs/>
          <w:color w:val="000000"/>
          <w:sz w:val="24"/>
          <w:szCs w:val="24"/>
          <w:lang w:val="es-ES_tradnl"/>
        </w:rPr>
        <w:t xml:space="preserve"> la resolución dictada en el juicio electoral </w:t>
      </w:r>
      <w:r w:rsidRPr="00F5042C">
        <w:rPr>
          <w:rFonts w:ascii="Arial" w:hAnsi="Arial" w:cs="Arial"/>
          <w:b/>
          <w:bCs/>
          <w:sz w:val="24"/>
          <w:szCs w:val="24"/>
          <w:lang w:val="es-ES_tradnl"/>
        </w:rPr>
        <w:t>TEEG-REV-16/2021 y acumulado</w:t>
      </w:r>
      <w:r w:rsidRPr="00F5042C">
        <w:rPr>
          <w:rFonts w:ascii="Arial" w:hAnsi="Arial" w:cs="Arial"/>
          <w:sz w:val="24"/>
          <w:szCs w:val="24"/>
          <w:lang w:val="es-ES_tradnl"/>
        </w:rPr>
        <w:t>,</w:t>
      </w:r>
      <w:r w:rsidRPr="00F5042C">
        <w:rPr>
          <w:rFonts w:ascii="Arial" w:hAnsi="Arial" w:cs="Arial"/>
          <w:b/>
          <w:bCs/>
          <w:sz w:val="24"/>
          <w:szCs w:val="24"/>
          <w:lang w:val="es-ES_tradnl"/>
        </w:rPr>
        <w:t xml:space="preserve"> </w:t>
      </w:r>
      <w:r w:rsidRPr="00F5042C">
        <w:rPr>
          <w:rFonts w:ascii="Arial" w:hAnsi="Arial" w:cs="Arial"/>
          <w:bCs/>
          <w:sz w:val="24"/>
          <w:szCs w:val="24"/>
          <w:lang w:val="es-ES_tradnl"/>
        </w:rPr>
        <w:t xml:space="preserve">y, en vía de consecuencia, </w:t>
      </w:r>
      <w:r w:rsidRPr="00F5042C">
        <w:rPr>
          <w:rFonts w:ascii="Arial" w:hAnsi="Arial" w:cs="Arial"/>
          <w:sz w:val="24"/>
          <w:szCs w:val="24"/>
          <w:lang w:val="es-ES_tradnl"/>
        </w:rPr>
        <w:t xml:space="preserve">dejar sin efectos el diverso acuerdo dictado en su cumplimiento, sobre el cual </w:t>
      </w:r>
      <w:r w:rsidRPr="00F5042C">
        <w:rPr>
          <w:rFonts w:ascii="Arial" w:hAnsi="Arial" w:cs="Arial"/>
          <w:b/>
          <w:bCs/>
          <w:sz w:val="24"/>
          <w:szCs w:val="24"/>
          <w:lang w:val="es-ES_tradnl"/>
        </w:rPr>
        <w:t>prevalece</w:t>
      </w:r>
      <w:r w:rsidRPr="00F5042C">
        <w:rPr>
          <w:rFonts w:ascii="Arial" w:hAnsi="Arial" w:cs="Arial"/>
          <w:sz w:val="24"/>
          <w:szCs w:val="24"/>
          <w:lang w:val="es-ES_tradnl"/>
        </w:rPr>
        <w:t xml:space="preserve"> para todos los efectos legales el </w:t>
      </w:r>
      <w:r w:rsidR="00F5042C" w:rsidRPr="00F5042C">
        <w:rPr>
          <w:rFonts w:ascii="Arial" w:hAnsi="Arial" w:cs="Arial"/>
          <w:sz w:val="24"/>
          <w:szCs w:val="24"/>
          <w:lang w:val="es-ES_tradnl"/>
        </w:rPr>
        <w:t>acuerdo CGIEEG/120/2021,</w:t>
      </w:r>
      <w:r w:rsidR="00F5042C" w:rsidRPr="00F5042C">
        <w:rPr>
          <w:rFonts w:ascii="Arial" w:hAnsi="Arial" w:cs="Arial"/>
          <w:i/>
          <w:iCs/>
          <w:sz w:val="24"/>
          <w:szCs w:val="24"/>
          <w:lang w:val="es-ES_tradnl"/>
        </w:rPr>
        <w:t xml:space="preserve"> </w:t>
      </w:r>
      <w:r w:rsidR="00700A5B" w:rsidRPr="00F5042C">
        <w:rPr>
          <w:rFonts w:ascii="Arial" w:hAnsi="Arial" w:cs="Arial"/>
          <w:sz w:val="24"/>
          <w:szCs w:val="24"/>
        </w:rPr>
        <w:t xml:space="preserve">que derivó del diverso </w:t>
      </w:r>
      <w:r w:rsidR="00F5042C" w:rsidRPr="00F5042C">
        <w:rPr>
          <w:rFonts w:ascii="Arial" w:hAnsi="Arial" w:cs="Arial"/>
          <w:sz w:val="24"/>
          <w:szCs w:val="24"/>
        </w:rPr>
        <w:t>CGIEEG/039/2020</w:t>
      </w:r>
      <w:r w:rsidRPr="00F5042C">
        <w:rPr>
          <w:rFonts w:ascii="Arial" w:hAnsi="Arial" w:cs="Arial"/>
          <w:bCs/>
          <w:sz w:val="24"/>
          <w:szCs w:val="24"/>
          <w:lang w:val="es-ES_tradnl"/>
        </w:rPr>
        <w:t>, el</w:t>
      </w:r>
      <w:r w:rsidRPr="00F5042C">
        <w:rPr>
          <w:rFonts w:ascii="Arial" w:hAnsi="Arial" w:cs="Arial"/>
          <w:bCs/>
          <w:iCs/>
          <w:sz w:val="24"/>
          <w:szCs w:val="24"/>
          <w:lang w:val="es-ES_tradnl"/>
        </w:rPr>
        <w:t xml:space="preserve"> cual </w:t>
      </w:r>
      <w:r w:rsidRPr="00F5042C">
        <w:rPr>
          <w:rFonts w:ascii="Arial" w:hAnsi="Arial" w:cs="Arial"/>
          <w:color w:val="000000"/>
          <w:sz w:val="24"/>
          <w:szCs w:val="24"/>
        </w:rPr>
        <w:t>determinó que el monto por concepto de financiamiento público para gastos de campaña para</w:t>
      </w:r>
      <w:r w:rsidRPr="00783D1B">
        <w:rPr>
          <w:rFonts w:ascii="Arial" w:hAnsi="Arial" w:cs="Arial"/>
          <w:color w:val="000000"/>
          <w:sz w:val="24"/>
          <w:szCs w:val="24"/>
        </w:rPr>
        <w:t xml:space="preserve"> la totalidad de las candidaturas independientes que o</w:t>
      </w:r>
      <w:r>
        <w:rPr>
          <w:rFonts w:ascii="Arial" w:hAnsi="Arial" w:cs="Arial"/>
          <w:color w:val="000000"/>
          <w:sz w:val="24"/>
          <w:szCs w:val="24"/>
        </w:rPr>
        <w:t>btuvieron</w:t>
      </w:r>
      <w:r w:rsidRPr="00783D1B">
        <w:rPr>
          <w:rFonts w:ascii="Arial" w:hAnsi="Arial" w:cs="Arial"/>
          <w:color w:val="000000"/>
          <w:sz w:val="24"/>
          <w:szCs w:val="24"/>
        </w:rPr>
        <w:t xml:space="preserve"> su registro</w:t>
      </w:r>
      <w:r>
        <w:rPr>
          <w:rFonts w:ascii="Arial" w:hAnsi="Arial" w:cs="Arial"/>
          <w:color w:val="000000"/>
          <w:sz w:val="24"/>
          <w:szCs w:val="24"/>
        </w:rPr>
        <w:t xml:space="preserve"> para contender en el proceso electoral local 2020-2021,</w:t>
      </w:r>
      <w:r w:rsidRPr="00783D1B">
        <w:rPr>
          <w:rFonts w:ascii="Arial" w:hAnsi="Arial" w:cs="Arial"/>
          <w:color w:val="000000"/>
          <w:sz w:val="24"/>
          <w:szCs w:val="24"/>
        </w:rPr>
        <w:t xml:space="preserve"> </w:t>
      </w:r>
      <w:r>
        <w:rPr>
          <w:rFonts w:ascii="Arial" w:hAnsi="Arial" w:cs="Arial"/>
          <w:color w:val="000000"/>
          <w:sz w:val="24"/>
          <w:szCs w:val="24"/>
        </w:rPr>
        <w:t>es</w:t>
      </w:r>
      <w:r w:rsidRPr="00783D1B">
        <w:rPr>
          <w:rFonts w:ascii="Arial" w:hAnsi="Arial" w:cs="Arial"/>
          <w:color w:val="000000"/>
          <w:sz w:val="24"/>
          <w:szCs w:val="24"/>
        </w:rPr>
        <w:t xml:space="preserve"> de $</w:t>
      </w:r>
      <w:r w:rsidR="00BF3879">
        <w:rPr>
          <w:rFonts w:ascii="Arial" w:hAnsi="Arial" w:cs="Arial"/>
          <w:color w:val="000000"/>
          <w:sz w:val="24"/>
          <w:szCs w:val="24"/>
        </w:rPr>
        <w:t xml:space="preserve"> </w:t>
      </w:r>
      <w:r w:rsidRPr="00783D1B">
        <w:rPr>
          <w:rFonts w:ascii="Arial" w:hAnsi="Arial" w:cs="Arial"/>
          <w:color w:val="000000"/>
          <w:sz w:val="24"/>
          <w:szCs w:val="24"/>
        </w:rPr>
        <w:t xml:space="preserve">957,813.88 </w:t>
      </w:r>
      <w:r w:rsidRPr="00293D7F">
        <w:rPr>
          <w:rFonts w:ascii="Arial" w:hAnsi="Arial" w:cs="Arial"/>
          <w:color w:val="000000"/>
          <w:sz w:val="24"/>
          <w:szCs w:val="24"/>
        </w:rPr>
        <w:t>(novecientos cincuenta y siete mil ochocientos trece pesos 88/100 m.n.)</w:t>
      </w:r>
      <w:r w:rsidRPr="00753C52">
        <w:rPr>
          <w:rFonts w:ascii="Arial" w:hAnsi="Arial" w:cs="Arial"/>
          <w:sz w:val="24"/>
          <w:szCs w:val="24"/>
          <w:lang w:eastAsia="es-MX"/>
        </w:rPr>
        <w:t>.</w:t>
      </w:r>
    </w:p>
    <w:p w14:paraId="4A8D9A20" w14:textId="0FAFBC0B" w:rsidR="00753C52" w:rsidRPr="00753C52" w:rsidRDefault="00753C52" w:rsidP="00753C52">
      <w:pPr>
        <w:spacing w:before="240" w:after="240" w:line="360" w:lineRule="auto"/>
        <w:jc w:val="both"/>
        <w:rPr>
          <w:rFonts w:ascii="Arial" w:hAnsi="Arial" w:cs="Arial"/>
          <w:b/>
          <w:bCs/>
          <w:color w:val="000000"/>
          <w:sz w:val="24"/>
          <w:szCs w:val="24"/>
          <w:lang w:val="es-ES_tradnl"/>
        </w:rPr>
      </w:pPr>
      <w:r>
        <w:rPr>
          <w:rFonts w:ascii="Arial" w:hAnsi="Arial" w:cs="Arial"/>
          <w:b/>
          <w:bCs/>
          <w:sz w:val="24"/>
          <w:szCs w:val="24"/>
          <w:lang w:eastAsia="es-MX"/>
        </w:rPr>
        <w:t>5</w:t>
      </w:r>
      <w:r w:rsidRPr="00753C52">
        <w:rPr>
          <w:rFonts w:ascii="Arial" w:hAnsi="Arial" w:cs="Arial"/>
          <w:b/>
          <w:bCs/>
          <w:sz w:val="24"/>
          <w:szCs w:val="24"/>
          <w:lang w:eastAsia="es-MX"/>
        </w:rPr>
        <w:t xml:space="preserve">.2. </w:t>
      </w:r>
      <w:r w:rsidR="00BB29CB">
        <w:rPr>
          <w:rFonts w:ascii="Arial" w:hAnsi="Arial" w:cs="Arial"/>
          <w:b/>
          <w:bCs/>
          <w:sz w:val="24"/>
          <w:szCs w:val="24"/>
          <w:lang w:eastAsia="es-MX"/>
        </w:rPr>
        <w:t>Se</w:t>
      </w:r>
      <w:r w:rsidRPr="00753C52">
        <w:rPr>
          <w:rFonts w:ascii="Arial" w:hAnsi="Arial" w:cs="Arial"/>
          <w:b/>
          <w:bCs/>
          <w:sz w:val="24"/>
          <w:szCs w:val="24"/>
          <w:lang w:val="es-ES_tradnl"/>
        </w:rPr>
        <w:t xml:space="preserve"> vincula e instruye</w:t>
      </w:r>
      <w:r w:rsidRPr="00753C52">
        <w:rPr>
          <w:rFonts w:ascii="Arial" w:hAnsi="Arial" w:cs="Arial"/>
          <w:bCs/>
          <w:sz w:val="24"/>
          <w:szCs w:val="24"/>
          <w:lang w:val="es-ES_tradnl"/>
        </w:rPr>
        <w:t xml:space="preserve"> </w:t>
      </w:r>
      <w:r>
        <w:rPr>
          <w:rFonts w:ascii="Arial" w:hAnsi="Arial" w:cs="Arial"/>
          <w:bCs/>
          <w:sz w:val="24"/>
          <w:szCs w:val="24"/>
          <w:lang w:val="es-ES_tradnl"/>
        </w:rPr>
        <w:t xml:space="preserve">al </w:t>
      </w:r>
      <w:r>
        <w:rPr>
          <w:rFonts w:ascii="Arial" w:hAnsi="Arial" w:cs="Arial"/>
          <w:bCs/>
          <w:i/>
          <w:iCs/>
          <w:sz w:val="24"/>
          <w:szCs w:val="24"/>
          <w:lang w:val="es-ES_tradnl"/>
        </w:rPr>
        <w:t>Instituto local</w:t>
      </w:r>
      <w:r w:rsidRPr="00753C52">
        <w:rPr>
          <w:rFonts w:ascii="Arial" w:hAnsi="Arial" w:cs="Arial"/>
          <w:bCs/>
          <w:sz w:val="24"/>
          <w:szCs w:val="24"/>
          <w:lang w:val="es-ES_tradnl"/>
        </w:rPr>
        <w:t xml:space="preserve"> para que haga del </w:t>
      </w:r>
      <w:r w:rsidR="00BB29CB">
        <w:rPr>
          <w:rFonts w:ascii="Arial" w:hAnsi="Arial" w:cs="Arial"/>
          <w:bCs/>
          <w:sz w:val="24"/>
          <w:szCs w:val="24"/>
          <w:lang w:val="es-ES_tradnl"/>
        </w:rPr>
        <w:t>conocimiento de</w:t>
      </w:r>
      <w:r>
        <w:rPr>
          <w:rFonts w:ascii="Arial" w:hAnsi="Arial" w:cs="Arial"/>
          <w:bCs/>
          <w:sz w:val="24"/>
          <w:szCs w:val="24"/>
          <w:lang w:val="es-ES_tradnl"/>
        </w:rPr>
        <w:t xml:space="preserve"> las candidaturas independientes del Estado de Guanajuato</w:t>
      </w:r>
      <w:r w:rsidRPr="00753C52">
        <w:rPr>
          <w:rFonts w:ascii="Arial" w:hAnsi="Arial" w:cs="Arial"/>
          <w:bCs/>
          <w:sz w:val="24"/>
          <w:szCs w:val="24"/>
          <w:lang w:val="es-ES_tradnl"/>
        </w:rPr>
        <w:t>, la determinación que prevalece a partir de esta decisión.</w:t>
      </w:r>
    </w:p>
    <w:p w14:paraId="05BB9250" w14:textId="77777777" w:rsidR="00753C52" w:rsidRPr="00753C52" w:rsidRDefault="00753C52" w:rsidP="00753C52">
      <w:pPr>
        <w:spacing w:before="240" w:after="240" w:line="360" w:lineRule="auto"/>
        <w:jc w:val="both"/>
        <w:rPr>
          <w:rFonts w:ascii="Arial" w:hAnsi="Arial" w:cs="Arial"/>
          <w:sz w:val="24"/>
          <w:szCs w:val="24"/>
          <w:lang w:val="es-ES_tradnl"/>
        </w:rPr>
      </w:pPr>
      <w:r w:rsidRPr="00753C52">
        <w:rPr>
          <w:rFonts w:ascii="Arial" w:hAnsi="Arial" w:cs="Arial"/>
          <w:sz w:val="24"/>
          <w:szCs w:val="24"/>
          <w:lang w:val="es-ES_tradnl"/>
        </w:rPr>
        <w:t xml:space="preserve">Realizado lo anterior, deberá informarlo a esta Sala dentro de las veinticuatro horas siguientes, primero a través del correo institucional </w:t>
      </w:r>
      <w:r w:rsidRPr="00753C52">
        <w:rPr>
          <w:rFonts w:ascii="Arial" w:hAnsi="Arial" w:cs="Arial"/>
          <w:i/>
          <w:sz w:val="24"/>
          <w:szCs w:val="24"/>
          <w:lang w:val="es-ES_tradnl"/>
        </w:rPr>
        <w:t>cumplimientos.salamonterrey@te.gob.mx</w:t>
      </w:r>
      <w:r w:rsidRPr="00753C52">
        <w:rPr>
          <w:rFonts w:ascii="Arial" w:hAnsi="Arial" w:cs="Arial"/>
          <w:sz w:val="24"/>
          <w:szCs w:val="24"/>
          <w:lang w:val="es-ES_tradnl"/>
        </w:rPr>
        <w:t>; luego, por la vía más rápida, allegando la documentación en original o copia certificada</w:t>
      </w:r>
    </w:p>
    <w:p w14:paraId="38E79824" w14:textId="14F31504" w:rsidR="008E0F72" w:rsidRPr="003864A2" w:rsidRDefault="00753C52" w:rsidP="00753C52">
      <w:pPr>
        <w:pStyle w:val="Ttulo1"/>
        <w:spacing w:after="240" w:line="360" w:lineRule="auto"/>
        <w:jc w:val="both"/>
        <w:rPr>
          <w:rFonts w:ascii="Arial" w:eastAsia="Calibri" w:hAnsi="Arial" w:cs="Arial"/>
          <w:b/>
          <w:color w:val="auto"/>
          <w:sz w:val="24"/>
          <w:szCs w:val="24"/>
          <w:lang w:val="es-ES_tradnl"/>
        </w:rPr>
      </w:pPr>
      <w:bookmarkStart w:id="41" w:name="_Toc71932163"/>
      <w:r>
        <w:rPr>
          <w:rFonts w:ascii="Arial" w:eastAsia="Calibri" w:hAnsi="Arial" w:cs="Arial"/>
          <w:b/>
          <w:color w:val="auto"/>
          <w:sz w:val="24"/>
          <w:szCs w:val="24"/>
          <w:lang w:val="es-ES_tradnl"/>
        </w:rPr>
        <w:t>6</w:t>
      </w:r>
      <w:r w:rsidR="0097282A" w:rsidRPr="003864A2">
        <w:rPr>
          <w:rFonts w:ascii="Arial" w:eastAsia="Calibri" w:hAnsi="Arial" w:cs="Arial"/>
          <w:b/>
          <w:color w:val="auto"/>
          <w:sz w:val="24"/>
          <w:szCs w:val="24"/>
          <w:lang w:val="es-ES_tradnl"/>
        </w:rPr>
        <w:t>. RESOLUTIVO</w:t>
      </w:r>
      <w:bookmarkEnd w:id="40"/>
      <w:r>
        <w:rPr>
          <w:rFonts w:ascii="Arial" w:eastAsia="Calibri" w:hAnsi="Arial" w:cs="Arial"/>
          <w:b/>
          <w:color w:val="auto"/>
          <w:sz w:val="24"/>
          <w:szCs w:val="24"/>
          <w:lang w:val="es-ES_tradnl"/>
        </w:rPr>
        <w:t>S</w:t>
      </w:r>
      <w:bookmarkEnd w:id="41"/>
    </w:p>
    <w:p w14:paraId="27C46BFB" w14:textId="7EDD2D67" w:rsidR="008E0F72" w:rsidRDefault="00753C52" w:rsidP="003864A2">
      <w:pPr>
        <w:spacing w:before="240" w:after="240" w:line="360" w:lineRule="auto"/>
        <w:jc w:val="both"/>
        <w:rPr>
          <w:rFonts w:ascii="Arial" w:eastAsia="Times New Roman" w:hAnsi="Arial" w:cs="Arial"/>
          <w:sz w:val="24"/>
          <w:szCs w:val="24"/>
          <w:lang w:val="es-ES_tradnl" w:eastAsia="es-ES"/>
        </w:rPr>
      </w:pPr>
      <w:r>
        <w:rPr>
          <w:rFonts w:ascii="Arial" w:hAnsi="Arial" w:cs="Arial"/>
          <w:b/>
          <w:sz w:val="24"/>
          <w:szCs w:val="24"/>
          <w:lang w:val="es-ES_tradnl"/>
        </w:rPr>
        <w:t>PRIMERO</w:t>
      </w:r>
      <w:r w:rsidR="008E0F72" w:rsidRPr="003864A2">
        <w:rPr>
          <w:rFonts w:ascii="Arial" w:hAnsi="Arial" w:cs="Arial"/>
          <w:b/>
          <w:sz w:val="24"/>
          <w:szCs w:val="24"/>
          <w:lang w:val="es-ES_tradnl"/>
        </w:rPr>
        <w:t>.</w:t>
      </w:r>
      <w:r w:rsidR="008E0F72" w:rsidRPr="003864A2">
        <w:rPr>
          <w:rFonts w:ascii="Arial" w:hAnsi="Arial" w:cs="Arial"/>
          <w:sz w:val="24"/>
          <w:szCs w:val="24"/>
          <w:lang w:val="es-ES_tradnl"/>
        </w:rPr>
        <w:t xml:space="preserve"> </w:t>
      </w:r>
      <w:r w:rsidR="008E0F72" w:rsidRPr="003864A2">
        <w:rPr>
          <w:rFonts w:ascii="Arial" w:hAnsi="Arial" w:cs="Arial"/>
          <w:bCs/>
          <w:sz w:val="24"/>
          <w:szCs w:val="24"/>
          <w:lang w:val="es-ES_tradnl"/>
        </w:rPr>
        <w:t>Se</w:t>
      </w:r>
      <w:r w:rsidR="008E0F72" w:rsidRPr="003864A2">
        <w:rPr>
          <w:rFonts w:ascii="Arial" w:hAnsi="Arial" w:cs="Arial"/>
          <w:sz w:val="24"/>
          <w:szCs w:val="24"/>
          <w:lang w:val="es-ES_tradnl"/>
        </w:rPr>
        <w:t xml:space="preserve"> </w:t>
      </w:r>
      <w:r>
        <w:rPr>
          <w:rFonts w:ascii="Arial" w:hAnsi="Arial" w:cs="Arial"/>
          <w:b/>
          <w:sz w:val="24"/>
          <w:szCs w:val="24"/>
          <w:lang w:val="es-ES_tradnl"/>
        </w:rPr>
        <w:t>revoca</w:t>
      </w:r>
      <w:r w:rsidR="008E0F72" w:rsidRPr="003864A2">
        <w:rPr>
          <w:rFonts w:ascii="Arial" w:eastAsia="Times New Roman" w:hAnsi="Arial" w:cs="Arial"/>
          <w:sz w:val="24"/>
          <w:szCs w:val="24"/>
          <w:lang w:val="es-ES_tradnl" w:eastAsia="es-ES"/>
        </w:rPr>
        <w:t xml:space="preserve"> la resolución impugnada.</w:t>
      </w:r>
    </w:p>
    <w:p w14:paraId="24DA38B0" w14:textId="4373B838" w:rsidR="00753C52" w:rsidRPr="003864A2" w:rsidRDefault="00753C52" w:rsidP="00753C52">
      <w:pPr>
        <w:spacing w:before="240" w:after="240" w:line="360" w:lineRule="auto"/>
        <w:jc w:val="both"/>
        <w:rPr>
          <w:rFonts w:ascii="Arial" w:eastAsia="Times New Roman" w:hAnsi="Arial" w:cs="Arial"/>
          <w:sz w:val="24"/>
          <w:szCs w:val="24"/>
          <w:lang w:val="es-ES_tradnl" w:eastAsia="es-ES"/>
        </w:rPr>
      </w:pPr>
      <w:r>
        <w:rPr>
          <w:rFonts w:ascii="Arial" w:hAnsi="Arial" w:cs="Arial"/>
          <w:b/>
          <w:sz w:val="24"/>
          <w:szCs w:val="24"/>
          <w:lang w:val="es-ES_tradnl"/>
        </w:rPr>
        <w:t>SEGUNDO</w:t>
      </w:r>
      <w:r w:rsidRPr="003864A2">
        <w:rPr>
          <w:rFonts w:ascii="Arial" w:hAnsi="Arial" w:cs="Arial"/>
          <w:b/>
          <w:sz w:val="24"/>
          <w:szCs w:val="24"/>
          <w:lang w:val="es-ES_tradnl"/>
        </w:rPr>
        <w:t>.</w:t>
      </w:r>
      <w:r w:rsidRPr="003864A2">
        <w:rPr>
          <w:rFonts w:ascii="Arial" w:hAnsi="Arial" w:cs="Arial"/>
          <w:sz w:val="24"/>
          <w:szCs w:val="24"/>
          <w:lang w:val="es-ES_tradnl"/>
        </w:rPr>
        <w:t xml:space="preserve"> </w:t>
      </w:r>
      <w:r w:rsidRPr="002B0218">
        <w:rPr>
          <w:rFonts w:ascii="Arial" w:hAnsi="Arial" w:cs="Arial"/>
          <w:sz w:val="24"/>
          <w:szCs w:val="24"/>
          <w:lang w:val="es-ES_tradnl"/>
        </w:rPr>
        <w:t xml:space="preserve">Se </w:t>
      </w:r>
      <w:r w:rsidRPr="002B0218">
        <w:rPr>
          <w:rFonts w:ascii="Arial" w:hAnsi="Arial" w:cs="Arial"/>
          <w:b/>
          <w:bCs/>
          <w:sz w:val="24"/>
          <w:szCs w:val="24"/>
          <w:lang w:val="es-ES_tradnl"/>
        </w:rPr>
        <w:t>ordena</w:t>
      </w:r>
      <w:r w:rsidRPr="002B0218">
        <w:rPr>
          <w:rFonts w:ascii="Arial" w:hAnsi="Arial" w:cs="Arial"/>
          <w:sz w:val="24"/>
          <w:szCs w:val="24"/>
          <w:lang w:val="es-ES_tradnl"/>
        </w:rPr>
        <w:t xml:space="preserve"> al </w:t>
      </w:r>
      <w:r w:rsidRPr="00753C52">
        <w:rPr>
          <w:rFonts w:ascii="Arial" w:hAnsi="Arial" w:cs="Arial"/>
          <w:sz w:val="24"/>
          <w:szCs w:val="24"/>
          <w:lang w:val="es-ES_tradnl"/>
        </w:rPr>
        <w:t>Instituto Electoral del Estado de Guanajuato</w:t>
      </w:r>
      <w:r w:rsidRPr="002B0218">
        <w:rPr>
          <w:rFonts w:ascii="Arial" w:hAnsi="Arial" w:cs="Arial"/>
          <w:sz w:val="24"/>
          <w:szCs w:val="24"/>
          <w:lang w:val="es-ES_tradnl"/>
        </w:rPr>
        <w:t xml:space="preserve"> proceda conforme al apartado de efectos del presente fallo</w:t>
      </w:r>
      <w:r w:rsidRPr="003864A2">
        <w:rPr>
          <w:rFonts w:ascii="Arial" w:eastAsia="Times New Roman" w:hAnsi="Arial" w:cs="Arial"/>
          <w:sz w:val="24"/>
          <w:szCs w:val="24"/>
          <w:lang w:val="es-ES_tradnl" w:eastAsia="es-ES"/>
        </w:rPr>
        <w:t>.</w:t>
      </w:r>
    </w:p>
    <w:p w14:paraId="356F39ED" w14:textId="77777777" w:rsidR="008E0F72" w:rsidRPr="003864A2" w:rsidRDefault="008E0F72" w:rsidP="003864A2">
      <w:pPr>
        <w:tabs>
          <w:tab w:val="left" w:pos="2646"/>
        </w:tabs>
        <w:spacing w:before="240" w:after="240" w:line="360" w:lineRule="auto"/>
        <w:jc w:val="both"/>
        <w:rPr>
          <w:rFonts w:ascii="Arial" w:eastAsia="Times New Roman" w:hAnsi="Arial" w:cs="Arial"/>
          <w:sz w:val="24"/>
          <w:szCs w:val="24"/>
          <w:lang w:val="es-ES_tradnl" w:eastAsia="es-ES"/>
        </w:rPr>
      </w:pPr>
      <w:r w:rsidRPr="003864A2">
        <w:rPr>
          <w:rFonts w:ascii="Arial" w:eastAsia="Times New Roman" w:hAnsi="Arial" w:cs="Arial"/>
          <w:sz w:val="24"/>
          <w:szCs w:val="24"/>
          <w:lang w:val="es-ES_tradnl" w:eastAsia="es-ES"/>
        </w:rPr>
        <w:t xml:space="preserve">En su oportunidad, </w:t>
      </w:r>
      <w:r w:rsidRPr="003864A2">
        <w:rPr>
          <w:rFonts w:ascii="Arial" w:eastAsia="Times New Roman" w:hAnsi="Arial" w:cs="Arial"/>
          <w:b/>
          <w:sz w:val="24"/>
          <w:szCs w:val="24"/>
          <w:lang w:val="es-ES_tradnl" w:eastAsia="es-ES"/>
        </w:rPr>
        <w:t>archívese</w:t>
      </w:r>
      <w:r w:rsidRPr="003864A2">
        <w:rPr>
          <w:rFonts w:ascii="Arial" w:eastAsia="Times New Roman" w:hAnsi="Arial" w:cs="Arial"/>
          <w:sz w:val="24"/>
          <w:szCs w:val="24"/>
          <w:lang w:val="es-ES_tradnl" w:eastAsia="es-ES"/>
        </w:rPr>
        <w:t xml:space="preserve"> el expediente como asunto concluido; en su caso, devuélvase la documentación que en original haya exhibido la responsable.</w:t>
      </w:r>
      <w:bookmarkEnd w:id="19"/>
      <w:bookmarkEnd w:id="29"/>
    </w:p>
    <w:p w14:paraId="070E065A" w14:textId="77777777" w:rsidR="0097282A" w:rsidRPr="003864A2" w:rsidRDefault="0097282A" w:rsidP="003864A2">
      <w:pPr>
        <w:tabs>
          <w:tab w:val="left" w:pos="2646"/>
        </w:tabs>
        <w:spacing w:before="240" w:after="240" w:line="360" w:lineRule="auto"/>
        <w:jc w:val="both"/>
        <w:rPr>
          <w:rFonts w:ascii="Arial" w:eastAsia="Times New Roman" w:hAnsi="Arial" w:cs="Arial"/>
          <w:sz w:val="24"/>
          <w:szCs w:val="24"/>
          <w:lang w:eastAsia="es-ES"/>
        </w:rPr>
      </w:pPr>
      <w:r w:rsidRPr="003864A2">
        <w:rPr>
          <w:rFonts w:ascii="Arial" w:eastAsia="Times New Roman" w:hAnsi="Arial" w:cs="Arial"/>
          <w:b/>
          <w:sz w:val="24"/>
          <w:szCs w:val="24"/>
          <w:lang w:eastAsia="es-ES"/>
        </w:rPr>
        <w:t>NOTIFÍQUESE.</w:t>
      </w:r>
      <w:r w:rsidRPr="003864A2">
        <w:rPr>
          <w:rFonts w:ascii="Arial" w:eastAsia="Times New Roman" w:hAnsi="Arial" w:cs="Arial"/>
          <w:sz w:val="24"/>
          <w:szCs w:val="24"/>
          <w:lang w:eastAsia="es-ES"/>
        </w:rPr>
        <w:t xml:space="preserve"> </w:t>
      </w:r>
    </w:p>
    <w:p w14:paraId="40166896" w14:textId="61B2EC63" w:rsidR="00383EBF" w:rsidRPr="003864A2" w:rsidRDefault="00383EBF" w:rsidP="003864A2">
      <w:pPr>
        <w:tabs>
          <w:tab w:val="left" w:pos="5461"/>
        </w:tabs>
        <w:spacing w:before="240" w:after="240" w:line="360" w:lineRule="auto"/>
        <w:jc w:val="both"/>
        <w:rPr>
          <w:rFonts w:ascii="Arial" w:hAnsi="Arial" w:cs="Arial"/>
          <w:sz w:val="24"/>
          <w:szCs w:val="24"/>
        </w:rPr>
      </w:pPr>
      <w:r w:rsidRPr="003864A2">
        <w:rPr>
          <w:rFonts w:ascii="Arial" w:hAnsi="Arial" w:cs="Arial"/>
          <w:sz w:val="24"/>
          <w:szCs w:val="24"/>
        </w:rPr>
        <w:t xml:space="preserve">Así lo resolvieron, por </w:t>
      </w:r>
      <w:r w:rsidR="00D911E8">
        <w:rPr>
          <w:rFonts w:ascii="Arial" w:hAnsi="Arial" w:cs="Arial"/>
          <w:b/>
          <w:sz w:val="24"/>
          <w:szCs w:val="24"/>
        </w:rPr>
        <w:t>unanimidad</w:t>
      </w:r>
      <w:r w:rsidRPr="003864A2">
        <w:rPr>
          <w:rFonts w:ascii="Arial" w:hAnsi="Arial" w:cs="Arial"/>
          <w:b/>
          <w:sz w:val="24"/>
          <w:szCs w:val="24"/>
        </w:rPr>
        <w:t xml:space="preserve"> </w:t>
      </w:r>
      <w:r w:rsidRPr="003864A2">
        <w:rPr>
          <w:rFonts w:ascii="Arial" w:hAnsi="Arial" w:cs="Arial"/>
          <w:sz w:val="24"/>
          <w:szCs w:val="24"/>
        </w:rPr>
        <w:t>de votos, la Magistrada y los Magistrados integrantes de la Sala Regional del Tribunal Electoral del Poder Judicial de la Federación, correspondiente a la Segunda Circunscripción Electoral Plurinominal, ante el Secretario General de Acuerdos, quien autoriza y da fe.</w:t>
      </w:r>
    </w:p>
    <w:p w14:paraId="36B71DAE" w14:textId="77777777" w:rsidR="00383EBF" w:rsidRPr="00560A7E" w:rsidRDefault="00383EBF" w:rsidP="00383EBF">
      <w:pPr>
        <w:tabs>
          <w:tab w:val="left" w:pos="5461"/>
        </w:tabs>
        <w:spacing w:after="0" w:line="240" w:lineRule="auto"/>
        <w:jc w:val="both"/>
        <w:rPr>
          <w:rFonts w:ascii="Arial" w:hAnsi="Arial" w:cs="Arial"/>
          <w:sz w:val="24"/>
          <w:szCs w:val="24"/>
        </w:rPr>
      </w:pPr>
      <w:r w:rsidRPr="00560A7E">
        <w:rPr>
          <w:rFonts w:ascii="Arial" w:hAnsi="Arial" w:cs="Arial"/>
          <w:i/>
          <w:sz w:val="24"/>
          <w:szCs w:val="24"/>
        </w:rPr>
        <w:t xml:space="preserve">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w:t>
      </w:r>
      <w:r w:rsidRPr="00560A7E">
        <w:rPr>
          <w:rFonts w:ascii="Arial" w:hAnsi="Arial" w:cs="Arial"/>
          <w:i/>
          <w:sz w:val="24"/>
          <w:szCs w:val="24"/>
        </w:rPr>
        <w:lastRenderedPageBreak/>
        <w:t>motivo del trámite, turno, sustanciación y resolución de los medios de impugnación en materia electoral.</w:t>
      </w:r>
    </w:p>
    <w:p w14:paraId="29FA7839" w14:textId="77777777" w:rsidR="004032AC" w:rsidRPr="006C0050" w:rsidRDefault="004032AC" w:rsidP="00383EBF">
      <w:pPr>
        <w:tabs>
          <w:tab w:val="left" w:pos="5461"/>
        </w:tabs>
        <w:spacing w:after="0" w:line="360" w:lineRule="auto"/>
        <w:jc w:val="both"/>
        <w:rPr>
          <w:rFonts w:ascii="Arial" w:hAnsi="Arial" w:cs="Arial"/>
          <w:sz w:val="24"/>
          <w:szCs w:val="24"/>
        </w:rPr>
      </w:pPr>
    </w:p>
    <w:sectPr w:rsidR="004032AC" w:rsidRPr="006C0050" w:rsidSect="00A81119">
      <w:headerReference w:type="even" r:id="rId8"/>
      <w:headerReference w:type="default" r:id="rId9"/>
      <w:headerReference w:type="first" r:id="rId10"/>
      <w:pgSz w:w="12242" w:h="19295" w:code="120"/>
      <w:pgMar w:top="1134" w:right="1134" w:bottom="1985" w:left="2835"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45B28" w14:textId="77777777" w:rsidR="008120AF" w:rsidRDefault="008120AF" w:rsidP="0097282A">
      <w:pPr>
        <w:spacing w:after="0" w:line="240" w:lineRule="auto"/>
      </w:pPr>
      <w:r>
        <w:separator/>
      </w:r>
    </w:p>
  </w:endnote>
  <w:endnote w:type="continuationSeparator" w:id="0">
    <w:p w14:paraId="7AC9F50B" w14:textId="77777777" w:rsidR="008120AF" w:rsidRDefault="008120AF" w:rsidP="00972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w:panose1 w:val="020B060302020203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冬青黑体简体中文"/>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冬青黑体简体中文"/>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04F4F" w14:textId="77777777" w:rsidR="008120AF" w:rsidRDefault="008120AF" w:rsidP="0097282A">
      <w:pPr>
        <w:spacing w:after="0" w:line="240" w:lineRule="auto"/>
      </w:pPr>
      <w:r>
        <w:separator/>
      </w:r>
    </w:p>
  </w:footnote>
  <w:footnote w:type="continuationSeparator" w:id="0">
    <w:p w14:paraId="439B3566" w14:textId="77777777" w:rsidR="008120AF" w:rsidRDefault="008120AF" w:rsidP="0097282A">
      <w:pPr>
        <w:spacing w:after="0" w:line="240" w:lineRule="auto"/>
      </w:pPr>
      <w:r>
        <w:continuationSeparator/>
      </w:r>
    </w:p>
  </w:footnote>
  <w:footnote w:id="1">
    <w:p w14:paraId="76C047D8" w14:textId="77777777" w:rsidR="003D2D8A" w:rsidRPr="00F5042C" w:rsidRDefault="003D2D8A" w:rsidP="00295900">
      <w:pPr>
        <w:pStyle w:val="Textonotapie"/>
        <w:jc w:val="both"/>
        <w:rPr>
          <w:rFonts w:ascii="Arial" w:hAnsi="Arial" w:cs="Arial"/>
        </w:rPr>
      </w:pPr>
      <w:r w:rsidRPr="00F5042C">
        <w:rPr>
          <w:rStyle w:val="Refdenotaalpie"/>
          <w:rFonts w:ascii="Arial" w:hAnsi="Arial" w:cs="Arial"/>
        </w:rPr>
        <w:footnoteRef/>
      </w:r>
      <w:r w:rsidRPr="00F5042C">
        <w:rPr>
          <w:rFonts w:ascii="Arial" w:hAnsi="Arial" w:cs="Arial"/>
        </w:rPr>
        <w:t xml:space="preserve"> El cual obra agregado en el expediente principal del juicio en que se actúa.</w:t>
      </w:r>
    </w:p>
  </w:footnote>
  <w:footnote w:id="2">
    <w:p w14:paraId="699FDC3C" w14:textId="3F671904" w:rsidR="003D2D8A" w:rsidRPr="00F5042C" w:rsidRDefault="003D2D8A" w:rsidP="00295900">
      <w:pPr>
        <w:pStyle w:val="Textonotapie"/>
        <w:jc w:val="both"/>
        <w:rPr>
          <w:rFonts w:ascii="Arial" w:hAnsi="Arial" w:cs="Arial"/>
        </w:rPr>
      </w:pPr>
      <w:r w:rsidRPr="00F5042C">
        <w:rPr>
          <w:rStyle w:val="Refdenotaalpie"/>
          <w:rFonts w:ascii="Arial" w:hAnsi="Arial" w:cs="Arial"/>
        </w:rPr>
        <w:footnoteRef/>
      </w:r>
      <w:r w:rsidRPr="00F5042C">
        <w:rPr>
          <w:rFonts w:ascii="Arial" w:hAnsi="Arial" w:cs="Arial"/>
        </w:rPr>
        <w:t xml:space="preserve"> </w:t>
      </w:r>
      <w:r w:rsidRPr="00F5042C">
        <w:rPr>
          <w:rFonts w:ascii="Arial" w:hAnsi="Arial" w:cs="Arial"/>
          <w:shd w:val="clear" w:color="auto" w:fill="FFFFFF"/>
        </w:rPr>
        <w:t xml:space="preserve">Al respecto, resulta ilustrativa la jurisprudencia I.4o.A. J/83, del Cuarto Tribunal Colegiado en Materia Administrativa del Primer Circuito, de rubro: </w:t>
      </w:r>
      <w:r w:rsidRPr="00F5042C">
        <w:rPr>
          <w:rFonts w:ascii="Arial" w:hAnsi="Arial" w:cs="Arial"/>
          <w:i/>
          <w:iCs/>
          <w:shd w:val="clear" w:color="auto" w:fill="FFFFFF"/>
        </w:rPr>
        <w:t>CONCEPTOS DE VIOLACIÓN EN AMPARO INDIRECTO. EL ESTUDIO DE LOS QUE DETERMINEN SU CONCESIÓN DEBE PREFERIR LOS RELACIONADOS CON EL FONDO DEL ASUNTO A LOS FORMALES, O BIEN, ATENDER AL PRINCIPIO DE MA</w:t>
      </w:r>
      <w:r w:rsidRPr="00F5042C">
        <w:rPr>
          <w:rFonts w:ascii="Arial" w:hAnsi="Arial" w:cs="Arial"/>
          <w:i/>
          <w:iCs/>
        </w:rPr>
        <w:t>Y</w:t>
      </w:r>
      <w:r w:rsidRPr="00F5042C">
        <w:rPr>
          <w:rFonts w:ascii="Arial" w:hAnsi="Arial" w:cs="Arial"/>
          <w:i/>
          <w:iCs/>
          <w:shd w:val="clear" w:color="auto" w:fill="FFFFFF"/>
        </w:rPr>
        <w:t>OR BENEFICIO</w:t>
      </w:r>
      <w:r w:rsidRPr="00F5042C">
        <w:rPr>
          <w:rFonts w:ascii="Arial" w:hAnsi="Arial" w:cs="Arial"/>
          <w:shd w:val="clear" w:color="auto" w:fill="FFFFFF"/>
        </w:rPr>
        <w:t>, consultable en el Semanario Judicial de la Federación </w:t>
      </w:r>
      <w:r w:rsidRPr="00F5042C">
        <w:rPr>
          <w:rFonts w:ascii="Arial" w:hAnsi="Arial" w:cs="Arial"/>
        </w:rPr>
        <w:t>y</w:t>
      </w:r>
      <w:r w:rsidRPr="00F5042C">
        <w:rPr>
          <w:rFonts w:ascii="Arial" w:hAnsi="Arial" w:cs="Arial"/>
          <w:shd w:val="clear" w:color="auto" w:fill="FFFFFF"/>
        </w:rPr>
        <w:t> su Gaceta, novena época, Tomo XXXII, Julio de 2010, página 1745, número de registro 164369.</w:t>
      </w:r>
    </w:p>
  </w:footnote>
  <w:footnote w:id="3">
    <w:p w14:paraId="60C20BF1" w14:textId="77777777" w:rsidR="003D2D8A" w:rsidRPr="00F5042C" w:rsidRDefault="003D2D8A" w:rsidP="00295900">
      <w:pPr>
        <w:pStyle w:val="Textonotapie"/>
        <w:jc w:val="both"/>
        <w:rPr>
          <w:rFonts w:ascii="Arial" w:hAnsi="Arial" w:cs="Arial"/>
          <w:lang w:val="es-MX"/>
        </w:rPr>
      </w:pPr>
      <w:r w:rsidRPr="00F5042C">
        <w:rPr>
          <w:rStyle w:val="Refdenotaalpie"/>
          <w:rFonts w:ascii="Arial" w:hAnsi="Arial" w:cs="Arial"/>
        </w:rPr>
        <w:footnoteRef/>
      </w:r>
      <w:r w:rsidRPr="00F5042C">
        <w:rPr>
          <w:rFonts w:ascii="Arial" w:hAnsi="Arial" w:cs="Arial"/>
        </w:rPr>
        <w:t xml:space="preserve"> </w:t>
      </w:r>
      <w:r w:rsidRPr="00F5042C">
        <w:rPr>
          <w:rFonts w:ascii="Arial" w:hAnsi="Arial" w:cs="Arial"/>
          <w:lang w:val="es-MX"/>
        </w:rPr>
        <w:t>Véase lo resuelto por la Sala Superior en el expediente SUP-JDC-278/2017.</w:t>
      </w:r>
    </w:p>
  </w:footnote>
  <w:footnote w:id="4">
    <w:p w14:paraId="1FC47931" w14:textId="77777777" w:rsidR="003D2D8A" w:rsidRPr="00F5042C" w:rsidRDefault="003D2D8A" w:rsidP="00295900">
      <w:pPr>
        <w:pStyle w:val="Textonotapie"/>
        <w:jc w:val="both"/>
        <w:rPr>
          <w:rFonts w:ascii="Arial" w:hAnsi="Arial" w:cs="Arial"/>
        </w:rPr>
      </w:pPr>
      <w:r w:rsidRPr="00F5042C">
        <w:rPr>
          <w:rStyle w:val="Refdenotaalpie"/>
          <w:rFonts w:ascii="Arial" w:hAnsi="Arial" w:cs="Arial"/>
        </w:rPr>
        <w:footnoteRef/>
      </w:r>
      <w:r w:rsidRPr="00F5042C">
        <w:rPr>
          <w:rFonts w:ascii="Arial" w:hAnsi="Arial" w:cs="Arial"/>
        </w:rPr>
        <w:t xml:space="preserve"> Véanse la sentencia dictada en la Acción de inconstitucionalidad </w:t>
      </w:r>
      <w:r w:rsidRPr="00F5042C">
        <w:rPr>
          <w:rFonts w:ascii="Arial" w:eastAsia="Times New Roman" w:hAnsi="Arial" w:cs="Arial"/>
          <w:lang w:eastAsia="es-MX"/>
        </w:rPr>
        <w:t>22/2014 y sus acumuladas 26/2014, 28/2014 y 30/2014, concretamente considerando trigésimo octavo.</w:t>
      </w:r>
    </w:p>
  </w:footnote>
  <w:footnote w:id="5">
    <w:p w14:paraId="4EB3C8F6" w14:textId="39C7DF2C" w:rsidR="003D2D8A" w:rsidRPr="00F5042C" w:rsidRDefault="003D2D8A" w:rsidP="00295900">
      <w:pPr>
        <w:pStyle w:val="Textonotapie"/>
        <w:jc w:val="both"/>
        <w:rPr>
          <w:rFonts w:ascii="Arial" w:hAnsi="Arial" w:cs="Arial"/>
        </w:rPr>
      </w:pPr>
      <w:r w:rsidRPr="00F5042C">
        <w:rPr>
          <w:rStyle w:val="Refdenotaalpie"/>
          <w:rFonts w:ascii="Arial" w:hAnsi="Arial" w:cs="Arial"/>
        </w:rPr>
        <w:footnoteRef/>
      </w:r>
      <w:r w:rsidRPr="00F5042C">
        <w:rPr>
          <w:rFonts w:ascii="Arial" w:hAnsi="Arial" w:cs="Arial"/>
        </w:rPr>
        <w:t xml:space="preserve"> </w:t>
      </w:r>
      <w:r w:rsidRPr="00F5042C">
        <w:rPr>
          <w:rFonts w:ascii="Arial" w:hAnsi="Arial" w:cs="Arial"/>
          <w:b/>
          <w:bCs/>
        </w:rPr>
        <w:t xml:space="preserve">Artículo 321. </w:t>
      </w:r>
      <w:r w:rsidRPr="00F5042C">
        <w:rPr>
          <w:rFonts w:ascii="Arial" w:hAnsi="Arial" w:cs="Arial"/>
        </w:rPr>
        <w:t>Son obligaciones de los candidatos independientes registrados:</w:t>
      </w:r>
    </w:p>
    <w:p w14:paraId="43C9605E" w14:textId="403A0DB0" w:rsidR="003D2D8A" w:rsidRPr="00F5042C" w:rsidRDefault="003D2D8A" w:rsidP="00295900">
      <w:pPr>
        <w:pStyle w:val="Textonotapie"/>
        <w:jc w:val="both"/>
        <w:rPr>
          <w:rFonts w:ascii="Arial" w:hAnsi="Arial" w:cs="Arial"/>
        </w:rPr>
      </w:pPr>
      <w:r w:rsidRPr="00F5042C">
        <w:rPr>
          <w:rFonts w:ascii="Arial" w:hAnsi="Arial" w:cs="Arial"/>
        </w:rPr>
        <w:t>[…]</w:t>
      </w:r>
    </w:p>
    <w:p w14:paraId="0E2BDCD3" w14:textId="182556E6" w:rsidR="003D2D8A" w:rsidRPr="00F5042C" w:rsidRDefault="003D2D8A" w:rsidP="00295900">
      <w:pPr>
        <w:autoSpaceDE w:val="0"/>
        <w:autoSpaceDN w:val="0"/>
        <w:adjustRightInd w:val="0"/>
        <w:spacing w:after="0" w:line="240" w:lineRule="auto"/>
        <w:jc w:val="both"/>
        <w:rPr>
          <w:rFonts w:ascii="Arial" w:hAnsi="Arial" w:cs="Arial"/>
          <w:sz w:val="20"/>
          <w:szCs w:val="20"/>
        </w:rPr>
      </w:pPr>
      <w:r w:rsidRPr="00F5042C">
        <w:rPr>
          <w:rFonts w:ascii="Arial" w:hAnsi="Arial" w:cs="Arial"/>
          <w:b/>
          <w:bCs/>
          <w:sz w:val="20"/>
          <w:szCs w:val="20"/>
        </w:rPr>
        <w:t xml:space="preserve">V. </w:t>
      </w:r>
      <w:r w:rsidRPr="00F5042C">
        <w:rPr>
          <w:rFonts w:ascii="Arial" w:hAnsi="Arial" w:cs="Arial"/>
          <w:sz w:val="20"/>
          <w:szCs w:val="20"/>
        </w:rPr>
        <w:t>Ejercer las prerrogativas y aplicar el financiamiento exclusivamente para los gastos de campaña;</w:t>
      </w:r>
    </w:p>
    <w:p w14:paraId="6B837BC3" w14:textId="5908C23E" w:rsidR="003D2D8A" w:rsidRPr="00F5042C" w:rsidRDefault="003D2D8A" w:rsidP="00295900">
      <w:pPr>
        <w:autoSpaceDE w:val="0"/>
        <w:autoSpaceDN w:val="0"/>
        <w:adjustRightInd w:val="0"/>
        <w:spacing w:after="0" w:line="240" w:lineRule="auto"/>
        <w:jc w:val="both"/>
        <w:rPr>
          <w:rFonts w:ascii="Arial" w:hAnsi="Arial" w:cs="Arial"/>
          <w:sz w:val="20"/>
          <w:szCs w:val="20"/>
        </w:rPr>
      </w:pPr>
      <w:r w:rsidRPr="00F5042C">
        <w:rPr>
          <w:rFonts w:ascii="Arial" w:hAnsi="Arial" w:cs="Arial"/>
          <w:sz w:val="20"/>
          <w:szCs w:val="20"/>
        </w:rPr>
        <w:t>[…]</w:t>
      </w:r>
    </w:p>
  </w:footnote>
  <w:footnote w:id="6">
    <w:p w14:paraId="7F2D40F6" w14:textId="34884132" w:rsidR="003D2D8A" w:rsidRPr="00F5042C" w:rsidRDefault="003D2D8A" w:rsidP="00295900">
      <w:pPr>
        <w:pStyle w:val="Textonotapie"/>
        <w:jc w:val="both"/>
        <w:rPr>
          <w:rFonts w:ascii="Arial" w:hAnsi="Arial" w:cs="Arial"/>
          <w:lang w:val="es-MX"/>
        </w:rPr>
      </w:pPr>
      <w:r w:rsidRPr="00F5042C">
        <w:rPr>
          <w:rStyle w:val="Refdenotaalpie"/>
          <w:rFonts w:ascii="Arial" w:hAnsi="Arial" w:cs="Arial"/>
        </w:rPr>
        <w:footnoteRef/>
      </w:r>
      <w:r w:rsidRPr="00F5042C">
        <w:rPr>
          <w:rFonts w:ascii="Arial" w:hAnsi="Arial" w:cs="Arial"/>
        </w:rPr>
        <w:t xml:space="preserve"> </w:t>
      </w:r>
      <w:r w:rsidRPr="00F5042C">
        <w:rPr>
          <w:rFonts w:ascii="Arial" w:hAnsi="Arial" w:cs="Arial"/>
          <w:b/>
          <w:bCs/>
        </w:rPr>
        <w:t xml:space="preserve">Artículo 333. </w:t>
      </w:r>
      <w:r w:rsidRPr="00F5042C">
        <w:rPr>
          <w:rFonts w:ascii="Arial" w:hAnsi="Arial" w:cs="Arial"/>
        </w:rPr>
        <w:t>Los candidatos independientes tendrán derecho a recibir financiamiento público para sus gastos de campaña. Para los efectos de la distribución del financiamiento público y prerrogativas a que tienen derecho los candidatos independientes, en su conjunto, serán considerados como un partido político de nuevo registro.</w:t>
      </w:r>
    </w:p>
  </w:footnote>
  <w:footnote w:id="7">
    <w:p w14:paraId="4814ECBF" w14:textId="0D515F63" w:rsidR="003D2D8A" w:rsidRPr="00F5042C" w:rsidRDefault="003D2D8A" w:rsidP="00295900">
      <w:pPr>
        <w:pStyle w:val="Textonotapie"/>
        <w:jc w:val="both"/>
        <w:rPr>
          <w:rFonts w:ascii="Arial" w:hAnsi="Arial" w:cs="Arial"/>
        </w:rPr>
      </w:pPr>
      <w:r w:rsidRPr="00F5042C">
        <w:rPr>
          <w:rStyle w:val="Refdenotaalpie"/>
          <w:rFonts w:ascii="Arial" w:hAnsi="Arial" w:cs="Arial"/>
        </w:rPr>
        <w:footnoteRef/>
      </w:r>
      <w:r w:rsidRPr="00F5042C">
        <w:rPr>
          <w:rFonts w:ascii="Arial" w:hAnsi="Arial" w:cs="Arial"/>
        </w:rPr>
        <w:t xml:space="preserve"> </w:t>
      </w:r>
      <w:r w:rsidRPr="00F5042C">
        <w:rPr>
          <w:rFonts w:ascii="Arial" w:hAnsi="Arial" w:cs="Arial"/>
          <w:b/>
          <w:bCs/>
        </w:rPr>
        <w:t xml:space="preserve">Artículo 48. </w:t>
      </w:r>
      <w:r w:rsidRPr="00F5042C">
        <w:rPr>
          <w:rFonts w:ascii="Arial" w:hAnsi="Arial" w:cs="Arial"/>
        </w:rPr>
        <w:t>Los partidos políticos nacionales o estatales que hubieren obtenido su registro con fecha posterior a la última elección, tendrán derecho a que se les otorgue financiamiento público conforme a las bases siguientes:</w:t>
      </w:r>
    </w:p>
    <w:p w14:paraId="7C3F801B" w14:textId="77777777" w:rsidR="003D2D8A" w:rsidRPr="00F5042C" w:rsidRDefault="003D2D8A" w:rsidP="00295900">
      <w:pPr>
        <w:pStyle w:val="Textonotapie"/>
        <w:jc w:val="both"/>
        <w:rPr>
          <w:rFonts w:ascii="Arial" w:hAnsi="Arial" w:cs="Arial"/>
          <w:lang w:val="es-MX"/>
        </w:rPr>
      </w:pPr>
      <w:r w:rsidRPr="00F5042C">
        <w:rPr>
          <w:rFonts w:ascii="Arial" w:hAnsi="Arial" w:cs="Arial"/>
          <w:b/>
          <w:bCs/>
          <w:lang w:val="es-MX"/>
        </w:rPr>
        <w:t>I.</w:t>
      </w:r>
      <w:r w:rsidRPr="00F5042C">
        <w:rPr>
          <w:rFonts w:ascii="Arial" w:hAnsi="Arial" w:cs="Arial"/>
          <w:lang w:val="es-MX"/>
        </w:rPr>
        <w:t xml:space="preserve"> Se le otorgará a cada partido político el dos por ciento del monto que por financiamiento total les corresponda a los partidos políticos para el sostenimiento de sus actividades ordinarias permanentes a que se refiere este artículo, así como, en el año de la elección de que se trate, el financiamiento para gastos de campaña que corresponda con base en lo dispuesto en la fracción II del presente artículo, y</w:t>
      </w:r>
    </w:p>
    <w:p w14:paraId="05C51AC1" w14:textId="679B9E3F" w:rsidR="003D2D8A" w:rsidRPr="00F5042C" w:rsidRDefault="003D2D8A" w:rsidP="00295900">
      <w:pPr>
        <w:pStyle w:val="Textonotapie"/>
        <w:jc w:val="both"/>
        <w:rPr>
          <w:rFonts w:ascii="Arial" w:hAnsi="Arial" w:cs="Arial"/>
          <w:lang w:val="es-MX"/>
        </w:rPr>
      </w:pPr>
      <w:r w:rsidRPr="00F5042C">
        <w:rPr>
          <w:rFonts w:ascii="Arial" w:hAnsi="Arial" w:cs="Arial"/>
          <w:b/>
          <w:bCs/>
          <w:lang w:val="es-MX"/>
        </w:rPr>
        <w:t>II.</w:t>
      </w:r>
      <w:r w:rsidRPr="00F5042C">
        <w:rPr>
          <w:rFonts w:ascii="Arial" w:hAnsi="Arial" w:cs="Arial"/>
          <w:lang w:val="es-MX"/>
        </w:rPr>
        <w:t xml:space="preserve"> Participarán del financiamiento público para actividades específicas como entidades de interés público sólo en la parte que se distribuya en forma igualitaria.</w:t>
      </w:r>
    </w:p>
    <w:p w14:paraId="6E78C71F" w14:textId="679B9E3F" w:rsidR="003D2D8A" w:rsidRPr="00F5042C" w:rsidRDefault="003D2D8A" w:rsidP="00295900">
      <w:pPr>
        <w:pStyle w:val="Textonotapie"/>
        <w:jc w:val="both"/>
        <w:rPr>
          <w:rFonts w:ascii="Arial" w:hAnsi="Arial" w:cs="Arial"/>
          <w:lang w:val="es-MX"/>
        </w:rPr>
      </w:pPr>
      <w:r w:rsidRPr="00F5042C">
        <w:rPr>
          <w:rFonts w:ascii="Arial" w:hAnsi="Arial" w:cs="Arial"/>
          <w:lang w:val="es-MX"/>
        </w:rPr>
        <w:t>Las cantidades a que se refiere la fracción I del párrafo anterior serán entregadas en la parte proporcional que corresponda a la anualidad, a partir de la fecha en que surta efectos el registro y tomando en cuenta el calendario presupuestal aprobado para el año.</w:t>
      </w:r>
    </w:p>
    <w:p w14:paraId="5812D7E9" w14:textId="2A7BDD22" w:rsidR="003D2D8A" w:rsidRPr="00F5042C" w:rsidRDefault="003D2D8A" w:rsidP="00295900">
      <w:pPr>
        <w:pStyle w:val="Textonotapie"/>
        <w:jc w:val="both"/>
        <w:rPr>
          <w:rFonts w:ascii="Arial" w:hAnsi="Arial" w:cs="Arial"/>
          <w:lang w:val="es-MX"/>
        </w:rPr>
      </w:pPr>
      <w:r w:rsidRPr="00F5042C">
        <w:rPr>
          <w:rFonts w:ascii="Arial" w:hAnsi="Arial" w:cs="Arial"/>
          <w:lang w:val="es-MX"/>
        </w:rPr>
        <w:t>Los partidos políticos nacionales que no hayan alcanzado el 3% en la elección anterior, no tendrán derecho a financiamiento y prerrogativas locales.</w:t>
      </w:r>
    </w:p>
  </w:footnote>
  <w:footnote w:id="8">
    <w:p w14:paraId="2CEE9CD1" w14:textId="5D226582" w:rsidR="003D2D8A" w:rsidRPr="00F5042C" w:rsidRDefault="003D2D8A" w:rsidP="00295900">
      <w:pPr>
        <w:pStyle w:val="Textonotapie"/>
        <w:jc w:val="both"/>
        <w:rPr>
          <w:rFonts w:ascii="Arial" w:hAnsi="Arial" w:cs="Arial"/>
        </w:rPr>
      </w:pPr>
      <w:r w:rsidRPr="00F5042C">
        <w:rPr>
          <w:rStyle w:val="Refdenotaalpie"/>
          <w:rFonts w:ascii="Arial" w:hAnsi="Arial" w:cs="Arial"/>
        </w:rPr>
        <w:footnoteRef/>
      </w:r>
      <w:r w:rsidRPr="00F5042C">
        <w:rPr>
          <w:rFonts w:ascii="Arial" w:hAnsi="Arial" w:cs="Arial"/>
        </w:rPr>
        <w:t xml:space="preserve"> </w:t>
      </w:r>
      <w:r w:rsidRPr="00F5042C">
        <w:rPr>
          <w:rFonts w:ascii="Arial" w:hAnsi="Arial" w:cs="Arial"/>
          <w:b/>
          <w:bCs/>
        </w:rPr>
        <w:t xml:space="preserve">Artículo 47. </w:t>
      </w:r>
      <w:r w:rsidRPr="00F5042C">
        <w:rPr>
          <w:rFonts w:ascii="Arial" w:hAnsi="Arial" w:cs="Arial"/>
        </w:rPr>
        <w:t>Los partidos políticos tendrán derecho al financiamiento público local de sus actividades, estructura, sueldos y salarios, independientemente de las demás prerrogativas otorgadas en esta Ley, conforme a las disposiciones siguientes:</w:t>
      </w:r>
      <w:r w:rsidR="000A169E" w:rsidRPr="00F5042C">
        <w:rPr>
          <w:rFonts w:ascii="Arial" w:hAnsi="Arial" w:cs="Arial"/>
        </w:rPr>
        <w:t xml:space="preserve"> </w:t>
      </w:r>
      <w:r w:rsidRPr="00F5042C">
        <w:rPr>
          <w:rFonts w:ascii="Arial" w:hAnsi="Arial" w:cs="Arial"/>
        </w:rPr>
        <w:t>[…]</w:t>
      </w:r>
    </w:p>
    <w:p w14:paraId="1A52A6DC" w14:textId="246E4FC9" w:rsidR="003D2D8A" w:rsidRPr="00F5042C" w:rsidRDefault="003D2D8A" w:rsidP="00295900">
      <w:pPr>
        <w:pStyle w:val="Textonotapie"/>
        <w:jc w:val="both"/>
        <w:rPr>
          <w:rFonts w:ascii="Arial" w:hAnsi="Arial" w:cs="Arial"/>
        </w:rPr>
      </w:pPr>
      <w:r w:rsidRPr="00F5042C">
        <w:rPr>
          <w:rFonts w:ascii="Arial" w:hAnsi="Arial" w:cs="Arial"/>
          <w:b/>
          <w:bCs/>
        </w:rPr>
        <w:t xml:space="preserve">II. </w:t>
      </w:r>
      <w:r w:rsidRPr="00F5042C">
        <w:rPr>
          <w:rFonts w:ascii="Arial" w:hAnsi="Arial" w:cs="Arial"/>
        </w:rPr>
        <w:t>Para gastos de campaña:</w:t>
      </w:r>
      <w:r w:rsidR="000A169E" w:rsidRPr="00F5042C">
        <w:rPr>
          <w:rFonts w:ascii="Arial" w:hAnsi="Arial" w:cs="Arial"/>
        </w:rPr>
        <w:t xml:space="preserve"> </w:t>
      </w:r>
      <w:r w:rsidRPr="00F5042C">
        <w:rPr>
          <w:rFonts w:ascii="Arial" w:hAnsi="Arial" w:cs="Arial"/>
        </w:rPr>
        <w:t>[…]</w:t>
      </w:r>
    </w:p>
    <w:p w14:paraId="1350B486" w14:textId="068321EC" w:rsidR="003D2D8A" w:rsidRPr="00F5042C" w:rsidRDefault="003D2D8A" w:rsidP="00295900">
      <w:pPr>
        <w:pStyle w:val="Textonotapie"/>
        <w:jc w:val="both"/>
        <w:rPr>
          <w:rFonts w:ascii="Arial" w:hAnsi="Arial" w:cs="Arial"/>
          <w:lang w:val="es-MX"/>
        </w:rPr>
      </w:pPr>
      <w:r w:rsidRPr="00F5042C">
        <w:rPr>
          <w:rFonts w:ascii="Arial" w:hAnsi="Arial" w:cs="Arial"/>
          <w:b/>
          <w:bCs/>
          <w:lang w:val="es-MX"/>
        </w:rPr>
        <w:t>b)</w:t>
      </w:r>
      <w:r w:rsidRPr="00F5042C">
        <w:rPr>
          <w:rFonts w:ascii="Arial" w:hAnsi="Arial" w:cs="Arial"/>
          <w:lang w:val="es-MX"/>
        </w:rPr>
        <w:t xml:space="preserve"> En el año de la elección en que se renueve solamente el Poder Legislativo y los ayuntamientos, a cada partido político se le otorgará para gastos de campaña un monto equivalente al treinta por ciento del financiamiento público que para el sostenimiento de sus actividades ordinarias permanentes le corresponda en ese año, y</w:t>
      </w:r>
    </w:p>
  </w:footnote>
  <w:footnote w:id="9">
    <w:p w14:paraId="0E6CABB1" w14:textId="51E95B62" w:rsidR="008906E2" w:rsidRPr="00F5042C" w:rsidRDefault="008906E2" w:rsidP="008906E2">
      <w:pPr>
        <w:pStyle w:val="Textonotapie"/>
        <w:jc w:val="both"/>
        <w:rPr>
          <w:rFonts w:ascii="Arial" w:hAnsi="Arial" w:cs="Arial"/>
        </w:rPr>
      </w:pPr>
      <w:r w:rsidRPr="00F5042C">
        <w:rPr>
          <w:rStyle w:val="Refdenotaalpie"/>
          <w:rFonts w:ascii="Arial" w:hAnsi="Arial" w:cs="Arial"/>
        </w:rPr>
        <w:footnoteRef/>
      </w:r>
      <w:r w:rsidRPr="00F5042C">
        <w:rPr>
          <w:rFonts w:ascii="Arial" w:hAnsi="Arial" w:cs="Arial"/>
        </w:rPr>
        <w:t xml:space="preserve"> </w:t>
      </w:r>
      <w:r w:rsidRPr="00F5042C">
        <w:rPr>
          <w:rFonts w:ascii="Arial" w:hAnsi="Arial" w:cs="Arial"/>
          <w:szCs w:val="27"/>
        </w:rPr>
        <w:t xml:space="preserve">En principio, expuso que al conjunto de candidatos independientes se les debía de considerar, para efectos del financiamiento público, como si se tratara de un partido político de reciente creación, de tal manera que el financiamiento público que les corresponde para la obtención del sufragio </w:t>
      </w:r>
      <w:r w:rsidR="00F5042C" w:rsidRPr="00F5042C">
        <w:rPr>
          <w:rFonts w:ascii="Arial" w:hAnsi="Arial" w:cs="Arial"/>
          <w:szCs w:val="27"/>
        </w:rPr>
        <w:t>ciudadano</w:t>
      </w:r>
      <w:r w:rsidRPr="00F5042C">
        <w:rPr>
          <w:rFonts w:ascii="Arial" w:hAnsi="Arial" w:cs="Arial"/>
          <w:szCs w:val="27"/>
        </w:rPr>
        <w:t xml:space="preserve"> e</w:t>
      </w:r>
      <w:r w:rsidR="00F5042C" w:rsidRPr="00F5042C">
        <w:rPr>
          <w:rFonts w:ascii="Arial" w:hAnsi="Arial" w:cs="Arial"/>
          <w:szCs w:val="27"/>
        </w:rPr>
        <w:t>ra</w:t>
      </w:r>
      <w:r w:rsidRPr="00F5042C">
        <w:rPr>
          <w:rFonts w:ascii="Arial" w:hAnsi="Arial" w:cs="Arial"/>
          <w:szCs w:val="27"/>
        </w:rPr>
        <w:t xml:space="preserve"> el equivalente al 50% del que se les debe otorgar para actividades ordinarias</w:t>
      </w:r>
      <w:r w:rsidR="00F5042C" w:rsidRPr="00F5042C">
        <w:rPr>
          <w:rFonts w:ascii="Arial" w:hAnsi="Arial" w:cs="Arial"/>
          <w:szCs w:val="27"/>
        </w:rPr>
        <w:t xml:space="preserve"> conforme dicha normativa</w:t>
      </w:r>
      <w:r w:rsidRPr="00F5042C">
        <w:rPr>
          <w:rFonts w:ascii="Arial" w:hAnsi="Arial" w:cs="Arial"/>
          <w:szCs w:val="27"/>
        </w:rPr>
        <w:t>.</w:t>
      </w:r>
    </w:p>
  </w:footnote>
  <w:footnote w:id="10">
    <w:p w14:paraId="66202B1A" w14:textId="77777777" w:rsidR="003D2D8A" w:rsidRPr="00F5042C" w:rsidRDefault="003D2D8A" w:rsidP="00295900">
      <w:pPr>
        <w:spacing w:after="0" w:line="240" w:lineRule="auto"/>
        <w:jc w:val="both"/>
        <w:rPr>
          <w:rFonts w:ascii="Arial" w:hAnsi="Arial" w:cs="Arial"/>
          <w:sz w:val="20"/>
          <w:szCs w:val="20"/>
        </w:rPr>
      </w:pPr>
      <w:r w:rsidRPr="00F5042C">
        <w:rPr>
          <w:rStyle w:val="Refdenotaalpie"/>
          <w:rFonts w:ascii="Arial" w:hAnsi="Arial" w:cs="Arial"/>
          <w:sz w:val="20"/>
          <w:szCs w:val="20"/>
        </w:rPr>
        <w:footnoteRef/>
      </w:r>
      <w:r w:rsidRPr="00F5042C">
        <w:rPr>
          <w:rFonts w:ascii="Arial" w:hAnsi="Arial" w:cs="Arial"/>
          <w:sz w:val="20"/>
          <w:szCs w:val="20"/>
        </w:rPr>
        <w:t xml:space="preserve"> Véase la acción de inconstitucionalidad 32/2014, y su acumulado</w:t>
      </w:r>
      <w:r w:rsidRPr="00F5042C">
        <w:rPr>
          <w:rFonts w:ascii="Arial" w:eastAsia="Times New Roman" w:hAnsi="Arial" w:cs="Arial"/>
          <w:sz w:val="20"/>
          <w:szCs w:val="20"/>
          <w:lang w:val="es-ES" w:eastAsia="es-MX"/>
        </w:rPr>
        <w:t xml:space="preserve"> 33/2014, específicamente</w:t>
      </w:r>
      <w:r w:rsidRPr="00F5042C">
        <w:rPr>
          <w:rFonts w:ascii="Arial" w:eastAsia="Times New Roman" w:hAnsi="Arial" w:cs="Arial"/>
          <w:sz w:val="20"/>
          <w:szCs w:val="20"/>
          <w:lang w:eastAsia="es-MX"/>
        </w:rPr>
        <w:t xml:space="preserve"> el considerando vigésimo primero.</w:t>
      </w:r>
      <w:r w:rsidRPr="00F5042C">
        <w:rPr>
          <w:rFonts w:ascii="Arial" w:eastAsia="Times New Roman" w:hAnsi="Arial" w:cs="Arial"/>
          <w:sz w:val="20"/>
          <w:szCs w:val="20"/>
          <w:lang w:val="es-ES" w:eastAsia="es-MX"/>
        </w:rPr>
        <w:t xml:space="preserve"> </w:t>
      </w:r>
    </w:p>
  </w:footnote>
  <w:footnote w:id="11">
    <w:p w14:paraId="0880A5B8" w14:textId="2B66ECF4" w:rsidR="003D2D8A" w:rsidRPr="00F5042C" w:rsidRDefault="003D2D8A" w:rsidP="00295900">
      <w:pPr>
        <w:pStyle w:val="Textonotapie"/>
        <w:jc w:val="both"/>
        <w:rPr>
          <w:rFonts w:ascii="Arial" w:hAnsi="Arial" w:cs="Arial"/>
        </w:rPr>
      </w:pPr>
      <w:r w:rsidRPr="00F5042C">
        <w:rPr>
          <w:rStyle w:val="Refdenotaalpie"/>
          <w:rFonts w:ascii="Arial" w:hAnsi="Arial" w:cs="Arial"/>
        </w:rPr>
        <w:footnoteRef/>
      </w:r>
      <w:r w:rsidRPr="00F5042C">
        <w:rPr>
          <w:rFonts w:ascii="Arial" w:hAnsi="Arial" w:cs="Arial"/>
        </w:rPr>
        <w:t xml:space="preserve"> Artículo 320. Son prerrogativas y derechos de los candidatos independientes registrados:</w:t>
      </w:r>
      <w:r w:rsidR="00B06B15" w:rsidRPr="00F5042C">
        <w:rPr>
          <w:rFonts w:ascii="Arial" w:hAnsi="Arial" w:cs="Arial"/>
        </w:rPr>
        <w:t xml:space="preserve"> </w:t>
      </w:r>
      <w:r w:rsidRPr="00F5042C">
        <w:rPr>
          <w:rFonts w:ascii="Arial" w:hAnsi="Arial" w:cs="Arial"/>
        </w:rPr>
        <w:t>[…]</w:t>
      </w:r>
    </w:p>
    <w:p w14:paraId="0011E7B4" w14:textId="731CADE8" w:rsidR="003D2D8A" w:rsidRPr="00F5042C" w:rsidRDefault="003D2D8A" w:rsidP="00295900">
      <w:pPr>
        <w:pStyle w:val="Textonotapie"/>
        <w:jc w:val="both"/>
        <w:rPr>
          <w:rFonts w:ascii="Arial" w:hAnsi="Arial" w:cs="Arial"/>
          <w:lang w:val="es-MX"/>
        </w:rPr>
      </w:pPr>
      <w:r w:rsidRPr="00F5042C">
        <w:rPr>
          <w:rFonts w:ascii="Arial" w:hAnsi="Arial" w:cs="Arial"/>
          <w:lang w:val="es-MX"/>
        </w:rPr>
        <w:t>III. Obtener financiamiento público y privado, en los términos de esta Ley;</w:t>
      </w:r>
      <w:r w:rsidR="00B06B15" w:rsidRPr="00F5042C">
        <w:rPr>
          <w:rFonts w:ascii="Arial" w:hAnsi="Arial" w:cs="Arial"/>
          <w:lang w:val="es-MX"/>
        </w:rPr>
        <w:t xml:space="preserve"> </w:t>
      </w:r>
      <w:r w:rsidRPr="00F5042C">
        <w:rPr>
          <w:rFonts w:ascii="Arial" w:hAnsi="Arial" w:cs="Arial"/>
          <w:lang w:val="es-MX"/>
        </w:rPr>
        <w:t>[…]</w:t>
      </w:r>
    </w:p>
  </w:footnote>
  <w:footnote w:id="12">
    <w:p w14:paraId="35A79ACE" w14:textId="7DB17228" w:rsidR="002C116F" w:rsidRPr="00F5042C" w:rsidRDefault="002C116F" w:rsidP="00295900">
      <w:pPr>
        <w:pStyle w:val="Textonotapie"/>
        <w:jc w:val="both"/>
        <w:rPr>
          <w:rFonts w:ascii="Arial" w:hAnsi="Arial" w:cs="Arial"/>
          <w:lang w:val="es-MX"/>
        </w:rPr>
      </w:pPr>
      <w:r w:rsidRPr="00F5042C">
        <w:rPr>
          <w:rStyle w:val="Refdenotaalpie"/>
          <w:rFonts w:ascii="Arial" w:hAnsi="Arial" w:cs="Arial"/>
        </w:rPr>
        <w:footnoteRef/>
      </w:r>
      <w:r w:rsidRPr="00F5042C">
        <w:rPr>
          <w:rFonts w:ascii="Arial" w:hAnsi="Arial" w:cs="Arial"/>
        </w:rPr>
        <w:t xml:space="preserve"> </w:t>
      </w:r>
      <w:proofErr w:type="gramStart"/>
      <w:r w:rsidRPr="00F5042C">
        <w:rPr>
          <w:rFonts w:ascii="Arial" w:hAnsi="Arial" w:cs="Arial"/>
          <w:lang w:val="es-MX"/>
        </w:rPr>
        <w:t>Similares consideraciones adoptó</w:t>
      </w:r>
      <w:proofErr w:type="gramEnd"/>
      <w:r w:rsidRPr="00F5042C">
        <w:rPr>
          <w:rFonts w:ascii="Arial" w:hAnsi="Arial" w:cs="Arial"/>
          <w:lang w:val="es-MX"/>
        </w:rPr>
        <w:t xml:space="preserve"> esta Sala Regional al resolver el expediente SM-JDC-134/2016.</w:t>
      </w:r>
    </w:p>
  </w:footnote>
  <w:footnote w:id="13">
    <w:p w14:paraId="2627EABA" w14:textId="2ED3148A" w:rsidR="00462CEE" w:rsidRPr="00F5042C" w:rsidRDefault="00462CEE" w:rsidP="00295900">
      <w:pPr>
        <w:pStyle w:val="Textonotapie"/>
        <w:jc w:val="both"/>
        <w:rPr>
          <w:rFonts w:ascii="Arial" w:hAnsi="Arial" w:cs="Arial"/>
          <w:lang w:val="es-MX"/>
        </w:rPr>
      </w:pPr>
      <w:r w:rsidRPr="00F5042C">
        <w:rPr>
          <w:rStyle w:val="Refdenotaalpie"/>
          <w:rFonts w:ascii="Arial" w:hAnsi="Arial" w:cs="Arial"/>
        </w:rPr>
        <w:footnoteRef/>
      </w:r>
      <w:r w:rsidRPr="00F5042C">
        <w:rPr>
          <w:rFonts w:ascii="Arial" w:hAnsi="Arial" w:cs="Arial"/>
        </w:rPr>
        <w:t xml:space="preserve"> Al resolver el SUP-RAP-515/2016.</w:t>
      </w:r>
    </w:p>
  </w:footnote>
  <w:footnote w:id="14">
    <w:p w14:paraId="530E8F87" w14:textId="4818A8E6" w:rsidR="00462CEE" w:rsidRPr="00F5042C" w:rsidRDefault="00462CEE" w:rsidP="00295900">
      <w:pPr>
        <w:pStyle w:val="Textonotapie"/>
        <w:jc w:val="both"/>
        <w:rPr>
          <w:rFonts w:ascii="Arial" w:hAnsi="Arial" w:cs="Arial"/>
        </w:rPr>
      </w:pPr>
      <w:r w:rsidRPr="00F5042C">
        <w:rPr>
          <w:rStyle w:val="Refdenotaalpie"/>
          <w:rFonts w:ascii="Arial" w:hAnsi="Arial" w:cs="Arial"/>
        </w:rPr>
        <w:footnoteRef/>
      </w:r>
      <w:r w:rsidRPr="00F5042C">
        <w:rPr>
          <w:rFonts w:ascii="Arial" w:hAnsi="Arial" w:cs="Arial"/>
        </w:rPr>
        <w:t xml:space="preserve"> </w:t>
      </w:r>
      <w:proofErr w:type="gramStart"/>
      <w:r w:rsidRPr="00F5042C">
        <w:rPr>
          <w:rFonts w:ascii="Arial" w:hAnsi="Arial" w:cs="Arial"/>
        </w:rPr>
        <w:t>Similares consideraciones adoptó</w:t>
      </w:r>
      <w:proofErr w:type="gramEnd"/>
      <w:r w:rsidRPr="00F5042C">
        <w:rPr>
          <w:rFonts w:ascii="Arial" w:hAnsi="Arial" w:cs="Arial"/>
        </w:rPr>
        <w:t xml:space="preserve"> la Sala Superior al resolver el expediente SUP-JDC-278/2017.</w:t>
      </w:r>
    </w:p>
  </w:footnote>
  <w:footnote w:id="15">
    <w:p w14:paraId="21C11BFF" w14:textId="77777777" w:rsidR="007E5F10" w:rsidRPr="00F5042C" w:rsidRDefault="007E5F10" w:rsidP="007E5F10">
      <w:pPr>
        <w:pStyle w:val="Textonotapie"/>
        <w:jc w:val="both"/>
        <w:rPr>
          <w:rFonts w:ascii="Arial" w:eastAsia="Times New Roman" w:hAnsi="Arial" w:cs="Arial"/>
          <w:lang w:eastAsia="es-ES"/>
        </w:rPr>
      </w:pPr>
      <w:r w:rsidRPr="00F5042C">
        <w:rPr>
          <w:rStyle w:val="Refdenotaalpie"/>
          <w:rFonts w:ascii="Arial" w:hAnsi="Arial" w:cs="Arial"/>
        </w:rPr>
        <w:footnoteRef/>
      </w:r>
      <w:r w:rsidRPr="00F5042C">
        <w:rPr>
          <w:rFonts w:ascii="Arial" w:hAnsi="Arial" w:cs="Arial"/>
        </w:rPr>
        <w:t xml:space="preserve"> Véase la ejecutoria emitida por el Pleno de la Suprema Corte de Justicia de la Nación en las acciones de inconstitucionalidad 22/2014 y sus acumuladas, 26/2014, 28/2014, y 30/2014, de nueve de septiembre de dos mil catorce, en las que se analizó la constitucionalidad de los artículos 407 y 408 de la Ley General de Instituciones y Procedimientos Electorales, relativos al financiamiento público para las candidaturas independientes en su conjunto como si fueran un partido de nueva creación, así como el prorrateo de las prerrogativas entre el conjunto de candidatas y candidatos ciudadanos (considerando Trigésimo Octavo). El cual se aprobó por unanimidad de diez votos de las y los ministros.</w:t>
      </w:r>
    </w:p>
  </w:footnote>
  <w:footnote w:id="16">
    <w:p w14:paraId="3FE27303" w14:textId="266D10C6" w:rsidR="00295900" w:rsidRPr="00F5042C" w:rsidRDefault="00295900" w:rsidP="00295900">
      <w:pPr>
        <w:pStyle w:val="Textonotapie"/>
        <w:jc w:val="both"/>
        <w:rPr>
          <w:rFonts w:ascii="Arial" w:hAnsi="Arial" w:cs="Arial"/>
          <w:lang w:val="es-MX"/>
        </w:rPr>
      </w:pPr>
      <w:r w:rsidRPr="00F5042C">
        <w:rPr>
          <w:rStyle w:val="Refdenotaalpie"/>
          <w:rFonts w:ascii="Arial" w:hAnsi="Arial" w:cs="Arial"/>
        </w:rPr>
        <w:footnoteRef/>
      </w:r>
      <w:r w:rsidRPr="00F5042C">
        <w:rPr>
          <w:rFonts w:ascii="Arial" w:hAnsi="Arial" w:cs="Arial"/>
        </w:rPr>
        <w:t xml:space="preserve"> </w:t>
      </w:r>
      <w:proofErr w:type="gramStart"/>
      <w:r w:rsidRPr="00F5042C">
        <w:rPr>
          <w:rFonts w:ascii="Arial" w:hAnsi="Arial" w:cs="Arial"/>
          <w:lang w:val="es-MX"/>
        </w:rPr>
        <w:t>Similares consideraciones adoptó</w:t>
      </w:r>
      <w:proofErr w:type="gramEnd"/>
      <w:r w:rsidRPr="00F5042C">
        <w:rPr>
          <w:rFonts w:ascii="Arial" w:hAnsi="Arial" w:cs="Arial"/>
          <w:lang w:val="es-MX"/>
        </w:rPr>
        <w:t xml:space="preserve"> la Sala Superior al resolver el SUP-JDC-272/2018.</w:t>
      </w:r>
    </w:p>
  </w:footnote>
  <w:footnote w:id="17">
    <w:p w14:paraId="60DE79FE" w14:textId="5DBDBDC2" w:rsidR="00295900" w:rsidRPr="00F5042C" w:rsidRDefault="00295900" w:rsidP="00295900">
      <w:pPr>
        <w:pStyle w:val="Textonotapie"/>
        <w:jc w:val="both"/>
        <w:rPr>
          <w:rFonts w:ascii="Arial" w:hAnsi="Arial" w:cs="Arial"/>
        </w:rPr>
      </w:pPr>
      <w:r w:rsidRPr="00F5042C">
        <w:rPr>
          <w:rStyle w:val="Refdenotaalpie"/>
          <w:rFonts w:ascii="Arial" w:hAnsi="Arial" w:cs="Arial"/>
        </w:rPr>
        <w:footnoteRef/>
      </w:r>
      <w:r w:rsidRPr="00F5042C">
        <w:rPr>
          <w:rFonts w:ascii="Arial" w:hAnsi="Arial" w:cs="Arial"/>
        </w:rPr>
        <w:t xml:space="preserve"> </w:t>
      </w:r>
      <w:r w:rsidR="0010079D" w:rsidRPr="00F5042C">
        <w:rPr>
          <w:rFonts w:ascii="Arial" w:hAnsi="Arial" w:cs="Arial"/>
          <w:shd w:val="clear" w:color="auto" w:fill="FFFFFF"/>
        </w:rPr>
        <w:t xml:space="preserve">De conformidad con la jurisprudencia P./J. 3/2005, del Pleno de la Suprema Corte de Justicia de la Nación, de rubro: </w:t>
      </w:r>
      <w:r w:rsidR="0010079D" w:rsidRPr="00F5042C">
        <w:rPr>
          <w:rFonts w:ascii="Arial" w:hAnsi="Arial" w:cs="Arial"/>
          <w:i/>
          <w:iCs/>
          <w:shd w:val="clear" w:color="auto" w:fill="FFFFFF"/>
        </w:rPr>
        <w:t xml:space="preserve">CONCEPTOS DE VIOLACIÓN EN AMPARO DIRECTO. EL ESTUDIO DE LOS QUE DETERMINEN SU CONCESIÓN DEBE ATENDER AL PRINCIPIO DE MAYOR BENEFICIO, PUDIÉNDOSE OMITIR EL DE AQUELLOS </w:t>
      </w:r>
      <w:proofErr w:type="gramStart"/>
      <w:r w:rsidR="0010079D" w:rsidRPr="00F5042C">
        <w:rPr>
          <w:rFonts w:ascii="Arial" w:hAnsi="Arial" w:cs="Arial"/>
          <w:i/>
          <w:iCs/>
          <w:shd w:val="clear" w:color="auto" w:fill="FFFFFF"/>
        </w:rPr>
        <w:t>QUE</w:t>
      </w:r>
      <w:proofErr w:type="gramEnd"/>
      <w:r w:rsidR="0010079D" w:rsidRPr="00F5042C">
        <w:rPr>
          <w:rFonts w:ascii="Arial" w:hAnsi="Arial" w:cs="Arial"/>
          <w:i/>
          <w:iCs/>
          <w:shd w:val="clear" w:color="auto" w:fill="FFFFFF"/>
        </w:rPr>
        <w:t xml:space="preserve"> AUNQUE RESULTEN FUNDADOS, NO MEJOREN LO YA ALCANZADO POR EL QUEJOSO, INCLUSIVE LOS QUE SE REFIEREN A CONSTITUCIONALIDAD DE LEYES</w:t>
      </w:r>
      <w:r w:rsidR="0010079D" w:rsidRPr="00F5042C">
        <w:rPr>
          <w:rFonts w:ascii="Arial" w:hAnsi="Arial" w:cs="Arial"/>
          <w:shd w:val="clear" w:color="auto" w:fill="FFFFFF"/>
        </w:rPr>
        <w:t>, consultable en el Semanario Judicial de la Federación </w:t>
      </w:r>
      <w:r w:rsidR="0010079D" w:rsidRPr="00F5042C">
        <w:rPr>
          <w:rFonts w:ascii="Arial" w:hAnsi="Arial" w:cs="Arial"/>
        </w:rPr>
        <w:t>y</w:t>
      </w:r>
      <w:r w:rsidR="0010079D" w:rsidRPr="00F5042C">
        <w:rPr>
          <w:rFonts w:ascii="Arial" w:hAnsi="Arial" w:cs="Arial"/>
          <w:shd w:val="clear" w:color="auto" w:fill="FFFFFF"/>
        </w:rPr>
        <w:t> su Gaceta, novena época, Tomo XXI, Febrero de 2005, página 5.</w:t>
      </w:r>
    </w:p>
    <w:p w14:paraId="51FAEB66" w14:textId="77777777" w:rsidR="00295900" w:rsidRPr="00F5042C" w:rsidRDefault="00295900" w:rsidP="00295900">
      <w:pPr>
        <w:pStyle w:val="Textonotapie"/>
        <w:jc w:val="both"/>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32B03" w14:textId="77777777" w:rsidR="003D2D8A" w:rsidRDefault="008120AF" w:rsidP="000A46EA">
    <w:pPr>
      <w:pStyle w:val="Encabezado"/>
      <w:rPr>
        <w:rFonts w:ascii="Arial" w:hAnsi="Arial" w:cs="Arial"/>
        <w:b/>
        <w:noProof/>
        <w:lang w:val="es-ES" w:eastAsia="es-ES"/>
      </w:rPr>
    </w:pPr>
    <w:sdt>
      <w:sdtPr>
        <w:rPr>
          <w:rFonts w:ascii="Arial" w:hAnsi="Arial" w:cs="Arial"/>
          <w:b/>
          <w:noProof/>
          <w:lang w:val="es-ES" w:eastAsia="es-ES"/>
        </w:rPr>
        <w:id w:val="-754968159"/>
        <w:docPartObj>
          <w:docPartGallery w:val="Page Numbers (Margins)"/>
          <w:docPartUnique/>
        </w:docPartObj>
      </w:sdtPr>
      <w:sdtEndPr/>
      <w:sdtContent>
        <w:r w:rsidR="003D2D8A" w:rsidRPr="001028E6">
          <w:rPr>
            <w:rFonts w:ascii="Arial" w:hAnsi="Arial" w:cs="Arial"/>
            <w:b/>
            <w:noProof/>
            <w:lang w:val="es-MX" w:eastAsia="es-MX"/>
          </w:rPr>
          <mc:AlternateContent>
            <mc:Choice Requires="wps">
              <w:drawing>
                <wp:anchor distT="0" distB="0" distL="114300" distR="114300" simplePos="0" relativeHeight="251660288" behindDoc="0" locked="0" layoutInCell="0" allowOverlap="1" wp14:anchorId="2398A433" wp14:editId="31DFF811">
                  <wp:simplePos x="0" y="0"/>
                  <wp:positionH relativeFrom="leftMargin">
                    <wp:align>center</wp:align>
                  </wp:positionH>
                  <wp:positionV relativeFrom="page">
                    <wp:align>center</wp:align>
                  </wp:positionV>
                  <wp:extent cx="762000" cy="895350"/>
                  <wp:effectExtent l="0" t="0" r="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alibri Light" w:eastAsia="Yu Gothic Light" w:hAnsi="Calibri Light" w:cs="Times New Roman"/>
                                  <w:sz w:val="48"/>
                                  <w:szCs w:val="48"/>
                                </w:rPr>
                                <w:id w:val="72401707"/>
                                <w:docPartObj>
                                  <w:docPartGallery w:val="Page Numbers (Margins)"/>
                                  <w:docPartUnique/>
                                </w:docPartObj>
                              </w:sdtPr>
                              <w:sdtEndPr/>
                              <w:sdtContent>
                                <w:sdt>
                                  <w:sdtPr>
                                    <w:rPr>
                                      <w:rFonts w:ascii="Calibri Light" w:eastAsia="Yu Gothic Light" w:hAnsi="Calibri Light" w:cs="Times New Roman"/>
                                      <w:sz w:val="48"/>
                                      <w:szCs w:val="48"/>
                                    </w:rPr>
                                    <w:id w:val="-1322496825"/>
                                    <w:docPartObj>
                                      <w:docPartGallery w:val="Page Numbers (Margins)"/>
                                      <w:docPartUnique/>
                                    </w:docPartObj>
                                  </w:sdtPr>
                                  <w:sdtEndPr/>
                                  <w:sdtContent>
                                    <w:p w14:paraId="65F9209B" w14:textId="77777777" w:rsidR="003D2D8A" w:rsidRPr="007017C6" w:rsidRDefault="003D2D8A">
                                      <w:pPr>
                                        <w:jc w:val="center"/>
                                        <w:rPr>
                                          <w:rFonts w:ascii="Calibri Light" w:eastAsia="Yu Gothic Light" w:hAnsi="Calibri Light" w:cs="Times New Roman"/>
                                          <w:sz w:val="48"/>
                                          <w:szCs w:val="48"/>
                                        </w:rPr>
                                      </w:pPr>
                                      <w:r w:rsidRPr="007017C6">
                                        <w:rPr>
                                          <w:rFonts w:ascii="Cambria" w:eastAsia="Yu Mincho" w:hAnsi="Cambria" w:cs="Times New Roman"/>
                                          <w:sz w:val="48"/>
                                          <w:szCs w:val="48"/>
                                        </w:rPr>
                                        <w:fldChar w:fldCharType="begin"/>
                                      </w:r>
                                      <w:r w:rsidRPr="001028E6">
                                        <w:rPr>
                                          <w:rFonts w:ascii="Cambria" w:hAnsi="Cambria"/>
                                          <w:sz w:val="48"/>
                                          <w:szCs w:val="48"/>
                                        </w:rPr>
                                        <w:instrText>PAGE   \* MERGEFORMAT</w:instrText>
                                      </w:r>
                                      <w:r w:rsidRPr="007017C6">
                                        <w:rPr>
                                          <w:rFonts w:ascii="Cambria" w:eastAsia="Yu Mincho" w:hAnsi="Cambria" w:cs="Times New Roman"/>
                                          <w:sz w:val="48"/>
                                          <w:szCs w:val="48"/>
                                        </w:rPr>
                                        <w:fldChar w:fldCharType="separate"/>
                                      </w:r>
                                      <w:r w:rsidRPr="00895343">
                                        <w:rPr>
                                          <w:rFonts w:ascii="Cambria" w:eastAsia="Yu Gothic Light" w:hAnsi="Cambria" w:cs="Times New Roman"/>
                                          <w:noProof/>
                                          <w:sz w:val="48"/>
                                          <w:szCs w:val="48"/>
                                          <w:lang w:val="es-ES"/>
                                        </w:rPr>
                                        <w:t>6</w:t>
                                      </w:r>
                                      <w:r w:rsidRPr="007017C6">
                                        <w:rPr>
                                          <w:rFonts w:ascii="Cambria" w:eastAsia="Yu Gothic Light" w:hAnsi="Cambria" w:cs="Times New Roman"/>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8A433" id="Rectángulo 9"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Kq/eS0IAgAA5wMAAA4AAAAA&#10;AAAAAAAAAAAALgIAAGRycy9lMm9Eb2MueG1sUEsBAi0AFAAGAAgAAAAhAGzVH9PZAAAABQEAAA8A&#10;AAAAAAAAAAAAAAAAYgQAAGRycy9kb3ducmV2LnhtbFBLBQYAAAAABAAEAPMAAABoBQAAAAA=&#10;" o:allowincell="f" stroked="f">
                  <v:textbox>
                    <w:txbxContent>
                      <w:sdt>
                        <w:sdtPr>
                          <w:rPr>
                            <w:rFonts w:ascii="Calibri Light" w:eastAsia="Yu Gothic Light" w:hAnsi="Calibri Light" w:cs="Times New Roman"/>
                            <w:sz w:val="48"/>
                            <w:szCs w:val="48"/>
                          </w:rPr>
                          <w:id w:val="72401707"/>
                          <w:docPartObj>
                            <w:docPartGallery w:val="Page Numbers (Margins)"/>
                            <w:docPartUnique/>
                          </w:docPartObj>
                        </w:sdtPr>
                        <w:sdtEndPr/>
                        <w:sdtContent>
                          <w:sdt>
                            <w:sdtPr>
                              <w:rPr>
                                <w:rFonts w:ascii="Calibri Light" w:eastAsia="Yu Gothic Light" w:hAnsi="Calibri Light" w:cs="Times New Roman"/>
                                <w:sz w:val="48"/>
                                <w:szCs w:val="48"/>
                              </w:rPr>
                              <w:id w:val="-1322496825"/>
                              <w:docPartObj>
                                <w:docPartGallery w:val="Page Numbers (Margins)"/>
                                <w:docPartUnique/>
                              </w:docPartObj>
                            </w:sdtPr>
                            <w:sdtEndPr/>
                            <w:sdtContent>
                              <w:p w14:paraId="65F9209B" w14:textId="77777777" w:rsidR="003D2D8A" w:rsidRPr="007017C6" w:rsidRDefault="003D2D8A">
                                <w:pPr>
                                  <w:jc w:val="center"/>
                                  <w:rPr>
                                    <w:rFonts w:ascii="Calibri Light" w:eastAsia="Yu Gothic Light" w:hAnsi="Calibri Light" w:cs="Times New Roman"/>
                                    <w:sz w:val="48"/>
                                    <w:szCs w:val="48"/>
                                  </w:rPr>
                                </w:pPr>
                                <w:r w:rsidRPr="007017C6">
                                  <w:rPr>
                                    <w:rFonts w:ascii="Cambria" w:eastAsia="Yu Mincho" w:hAnsi="Cambria" w:cs="Times New Roman"/>
                                    <w:sz w:val="48"/>
                                    <w:szCs w:val="48"/>
                                  </w:rPr>
                                  <w:fldChar w:fldCharType="begin"/>
                                </w:r>
                                <w:r w:rsidRPr="001028E6">
                                  <w:rPr>
                                    <w:rFonts w:ascii="Cambria" w:hAnsi="Cambria"/>
                                    <w:sz w:val="48"/>
                                    <w:szCs w:val="48"/>
                                  </w:rPr>
                                  <w:instrText>PAGE   \* MERGEFORMAT</w:instrText>
                                </w:r>
                                <w:r w:rsidRPr="007017C6">
                                  <w:rPr>
                                    <w:rFonts w:ascii="Cambria" w:eastAsia="Yu Mincho" w:hAnsi="Cambria" w:cs="Times New Roman"/>
                                    <w:sz w:val="48"/>
                                    <w:szCs w:val="48"/>
                                  </w:rPr>
                                  <w:fldChar w:fldCharType="separate"/>
                                </w:r>
                                <w:r w:rsidRPr="00895343">
                                  <w:rPr>
                                    <w:rFonts w:ascii="Cambria" w:eastAsia="Yu Gothic Light" w:hAnsi="Cambria" w:cs="Times New Roman"/>
                                    <w:noProof/>
                                    <w:sz w:val="48"/>
                                    <w:szCs w:val="48"/>
                                    <w:lang w:val="es-ES"/>
                                  </w:rPr>
                                  <w:t>6</w:t>
                                </w:r>
                                <w:r w:rsidRPr="007017C6">
                                  <w:rPr>
                                    <w:rFonts w:ascii="Cambria" w:eastAsia="Yu Gothic Light" w:hAnsi="Cambria" w:cs="Times New Roman"/>
                                    <w:sz w:val="48"/>
                                    <w:szCs w:val="48"/>
                                  </w:rPr>
                                  <w:fldChar w:fldCharType="end"/>
                                </w:r>
                              </w:p>
                            </w:sdtContent>
                          </w:sdt>
                        </w:sdtContent>
                      </w:sdt>
                    </w:txbxContent>
                  </v:textbox>
                  <w10:wrap anchorx="margin" anchory="page"/>
                </v:rect>
              </w:pict>
            </mc:Fallback>
          </mc:AlternateContent>
        </w:r>
      </w:sdtContent>
    </w:sdt>
    <w:r w:rsidR="003D2D8A" w:rsidRPr="00C516B5">
      <w:t xml:space="preserve"> </w:t>
    </w:r>
    <w:r w:rsidR="003D2D8A" w:rsidRPr="00C516B5">
      <w:rPr>
        <w:rFonts w:ascii="Arial" w:hAnsi="Arial" w:cs="Arial"/>
        <w:b/>
        <w:noProof/>
        <w:lang w:val="es-ES" w:eastAsia="es-ES"/>
      </w:rPr>
      <w:t>SM-J</w:t>
    </w:r>
    <w:r w:rsidR="003D2D8A">
      <w:rPr>
        <w:rFonts w:ascii="Arial" w:hAnsi="Arial" w:cs="Arial"/>
        <w:b/>
        <w:noProof/>
        <w:lang w:val="es-ES" w:eastAsia="es-ES"/>
      </w:rPr>
      <w:t>RC</w:t>
    </w:r>
    <w:r w:rsidR="003D2D8A" w:rsidRPr="00C516B5">
      <w:rPr>
        <w:rFonts w:ascii="Arial" w:hAnsi="Arial" w:cs="Arial"/>
        <w:b/>
        <w:noProof/>
        <w:lang w:val="es-ES" w:eastAsia="es-ES"/>
      </w:rPr>
      <w:t>-</w:t>
    </w:r>
    <w:r w:rsidR="003D2D8A">
      <w:rPr>
        <w:rFonts w:ascii="Arial" w:hAnsi="Arial" w:cs="Arial"/>
        <w:b/>
        <w:noProof/>
        <w:lang w:val="es-ES" w:eastAsia="es-ES"/>
      </w:rPr>
      <w:t>72</w:t>
    </w:r>
    <w:r w:rsidR="003D2D8A" w:rsidRPr="00C516B5">
      <w:rPr>
        <w:rFonts w:ascii="Arial" w:hAnsi="Arial" w:cs="Arial"/>
        <w:b/>
        <w:noProof/>
        <w:lang w:val="es-ES" w:eastAsia="es-ES"/>
      </w:rPr>
      <w:t>/20</w:t>
    </w:r>
    <w:r w:rsidR="003D2D8A">
      <w:rPr>
        <w:rFonts w:ascii="Arial" w:hAnsi="Arial" w:cs="Arial"/>
        <w:b/>
        <w:noProof/>
        <w:lang w:val="es-ES" w:eastAsia="es-ES"/>
      </w:rPr>
      <w:t>21</w:t>
    </w:r>
  </w:p>
  <w:p w14:paraId="2C95F9B8" w14:textId="77777777" w:rsidR="003D2D8A" w:rsidRPr="00A81119" w:rsidRDefault="003D2D8A" w:rsidP="000A46EA">
    <w:pPr>
      <w:pStyle w:val="Encabezado"/>
      <w:rPr>
        <w:rFonts w:ascii="Arial" w:hAnsi="Arial" w:cs="Arial"/>
        <w:b/>
        <w:noProof/>
        <w:sz w:val="36"/>
        <w:szCs w:val="32"/>
        <w:lang w:val="es-ES" w:eastAsia="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A7C7E" w14:textId="77777777" w:rsidR="003D2D8A" w:rsidRDefault="003D2D8A" w:rsidP="000A46EA">
    <w:pPr>
      <w:pStyle w:val="Encabezado"/>
      <w:jc w:val="right"/>
      <w:rPr>
        <w:rFonts w:ascii="Arial" w:hAnsi="Arial" w:cs="Arial"/>
        <w:b/>
        <w:noProof/>
        <w:lang w:val="es-ES" w:eastAsia="es-ES"/>
      </w:rPr>
    </w:pPr>
    <w:r>
      <w:rPr>
        <w:noProof/>
        <w:lang w:val="es-MX" w:eastAsia="es-MX"/>
      </w:rPr>
      <w:drawing>
        <wp:anchor distT="0" distB="0" distL="114300" distR="114300" simplePos="0" relativeHeight="251662336" behindDoc="0" locked="0" layoutInCell="1" allowOverlap="1" wp14:anchorId="783C7F36" wp14:editId="43E92F0E">
          <wp:simplePos x="0" y="0"/>
          <wp:positionH relativeFrom="column">
            <wp:posOffset>-1646555</wp:posOffset>
          </wp:positionH>
          <wp:positionV relativeFrom="paragraph">
            <wp:posOffset>-222885</wp:posOffset>
          </wp:positionV>
          <wp:extent cx="1378585" cy="1191895"/>
          <wp:effectExtent l="0" t="0" r="0" b="825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01EC">
      <w:rPr>
        <w:rFonts w:ascii="Arial" w:hAnsi="Arial" w:cs="Arial"/>
        <w:b/>
        <w:noProof/>
        <w:lang w:val="es-MX" w:eastAsia="es-MX"/>
      </w:rPr>
      <mc:AlternateContent>
        <mc:Choice Requires="wps">
          <w:drawing>
            <wp:anchor distT="0" distB="0" distL="114300" distR="114300" simplePos="0" relativeHeight="251659264" behindDoc="0" locked="0" layoutInCell="0" allowOverlap="1" wp14:anchorId="63BF106A" wp14:editId="33E594AA">
              <wp:simplePos x="0" y="0"/>
              <wp:positionH relativeFrom="page">
                <wp:posOffset>7032625</wp:posOffset>
              </wp:positionH>
              <wp:positionV relativeFrom="page">
                <wp:posOffset>5673090</wp:posOffset>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3CF5465" w14:textId="77777777" w:rsidR="003D2D8A" w:rsidRPr="009F45DC" w:rsidRDefault="003D2D8A">
                          <w:pPr>
                            <w:jc w:val="center"/>
                            <w:rPr>
                              <w:rFonts w:ascii="Cambria" w:eastAsia="MS Gothic" w:hAnsi="Cambria"/>
                              <w:sz w:val="72"/>
                              <w:szCs w:val="72"/>
                            </w:rPr>
                          </w:pPr>
                          <w:r w:rsidRPr="009F45DC">
                            <w:rPr>
                              <w:rFonts w:ascii="Calibri" w:eastAsia="MS Mincho" w:hAnsi="Calibri"/>
                            </w:rPr>
                            <w:fldChar w:fldCharType="begin"/>
                          </w:r>
                          <w:r>
                            <w:instrText>PAGE  \* MERGEFORMAT</w:instrText>
                          </w:r>
                          <w:r w:rsidRPr="009F45DC">
                            <w:rPr>
                              <w:rFonts w:ascii="Calibri" w:eastAsia="MS Mincho" w:hAnsi="Calibri"/>
                            </w:rPr>
                            <w:fldChar w:fldCharType="separate"/>
                          </w:r>
                          <w:r w:rsidRPr="00895343">
                            <w:rPr>
                              <w:rFonts w:ascii="Cambria" w:eastAsia="MS Gothic" w:hAnsi="Cambria"/>
                              <w:noProof/>
                              <w:sz w:val="48"/>
                              <w:szCs w:val="48"/>
                              <w:lang w:val="es-ES"/>
                            </w:rPr>
                            <w:t>7</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F106A" id="Rectángulo 559" o:spid="_x0000_s1027" style="position:absolute;left:0;text-align:left;margin-left:553.75pt;margin-top:446.7pt;width:60pt;height: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" o:allowincell="f" stroked="f">
              <v:textbox>
                <w:txbxContent>
                  <w:p w14:paraId="33CF5465" w14:textId="77777777" w:rsidR="003D2D8A" w:rsidRPr="009F45DC" w:rsidRDefault="003D2D8A">
                    <w:pPr>
                      <w:jc w:val="center"/>
                      <w:rPr>
                        <w:rFonts w:ascii="Cambria" w:eastAsia="MS Gothic" w:hAnsi="Cambria"/>
                        <w:sz w:val="72"/>
                        <w:szCs w:val="72"/>
                      </w:rPr>
                    </w:pPr>
                    <w:r w:rsidRPr="009F45DC">
                      <w:rPr>
                        <w:rFonts w:ascii="Calibri" w:eastAsia="MS Mincho" w:hAnsi="Calibri"/>
                      </w:rPr>
                      <w:fldChar w:fldCharType="begin"/>
                    </w:r>
                    <w:r>
                      <w:instrText>PAGE  \* MERGEFORMAT</w:instrText>
                    </w:r>
                    <w:r w:rsidRPr="009F45DC">
                      <w:rPr>
                        <w:rFonts w:ascii="Calibri" w:eastAsia="MS Mincho" w:hAnsi="Calibri"/>
                      </w:rPr>
                      <w:fldChar w:fldCharType="separate"/>
                    </w:r>
                    <w:r w:rsidRPr="00895343">
                      <w:rPr>
                        <w:rFonts w:ascii="Cambria" w:eastAsia="MS Gothic" w:hAnsi="Cambria"/>
                        <w:noProof/>
                        <w:sz w:val="48"/>
                        <w:szCs w:val="48"/>
                        <w:lang w:val="es-ES"/>
                      </w:rPr>
                      <w:t>7</w:t>
                    </w:r>
                    <w:r w:rsidRPr="009F45DC">
                      <w:rPr>
                        <w:rFonts w:ascii="Cambria" w:eastAsia="MS Gothic" w:hAnsi="Cambria"/>
                        <w:sz w:val="48"/>
                        <w:szCs w:val="48"/>
                      </w:rPr>
                      <w:fldChar w:fldCharType="end"/>
                    </w:r>
                  </w:p>
                </w:txbxContent>
              </v:textbox>
              <w10:wrap anchorx="page" anchory="page"/>
            </v:rect>
          </w:pict>
        </mc:Fallback>
      </mc:AlternateContent>
    </w:r>
    <w:r w:rsidRPr="00C516B5">
      <w:t xml:space="preserve"> </w:t>
    </w:r>
    <w:r w:rsidRPr="00C516B5">
      <w:rPr>
        <w:rFonts w:ascii="Arial" w:hAnsi="Arial" w:cs="Arial"/>
        <w:b/>
        <w:noProof/>
        <w:lang w:val="es-ES" w:eastAsia="es-ES"/>
      </w:rPr>
      <w:t>SM-J</w:t>
    </w:r>
    <w:r>
      <w:rPr>
        <w:rFonts w:ascii="Arial" w:hAnsi="Arial" w:cs="Arial"/>
        <w:b/>
        <w:noProof/>
        <w:lang w:val="es-ES" w:eastAsia="es-ES"/>
      </w:rPr>
      <w:t>RC</w:t>
    </w:r>
    <w:r w:rsidRPr="00C516B5">
      <w:rPr>
        <w:rFonts w:ascii="Arial" w:hAnsi="Arial" w:cs="Arial"/>
        <w:b/>
        <w:noProof/>
        <w:lang w:val="es-ES" w:eastAsia="es-ES"/>
      </w:rPr>
      <w:t>-</w:t>
    </w:r>
    <w:r>
      <w:rPr>
        <w:rFonts w:ascii="Arial" w:hAnsi="Arial" w:cs="Arial"/>
        <w:b/>
        <w:noProof/>
        <w:lang w:val="es-ES" w:eastAsia="es-ES"/>
      </w:rPr>
      <w:t>72</w:t>
    </w:r>
    <w:r w:rsidRPr="00C516B5">
      <w:rPr>
        <w:rFonts w:ascii="Arial" w:hAnsi="Arial" w:cs="Arial"/>
        <w:b/>
        <w:noProof/>
        <w:lang w:val="es-ES" w:eastAsia="es-ES"/>
      </w:rPr>
      <w:t>/2</w:t>
    </w:r>
    <w:r>
      <w:rPr>
        <w:rFonts w:ascii="Arial" w:hAnsi="Arial" w:cs="Arial"/>
        <w:b/>
        <w:noProof/>
        <w:lang w:val="es-ES" w:eastAsia="es-ES"/>
      </w:rPr>
      <w:t>021</w:t>
    </w:r>
  </w:p>
  <w:p w14:paraId="3FB6D673" w14:textId="77777777" w:rsidR="003D2D8A" w:rsidRPr="00A81119" w:rsidRDefault="003D2D8A" w:rsidP="000A46EA">
    <w:pPr>
      <w:pStyle w:val="Encabezado"/>
      <w:jc w:val="right"/>
      <w:rPr>
        <w:rFonts w:ascii="Arial" w:hAnsi="Arial" w:cs="Arial"/>
        <w:b/>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1F65E" w14:textId="77777777" w:rsidR="003D2D8A" w:rsidRDefault="003D2D8A">
    <w:pPr>
      <w:pStyle w:val="Encabezado"/>
    </w:pPr>
    <w:r>
      <w:rPr>
        <w:noProof/>
        <w:lang w:val="es-MX" w:eastAsia="es-MX"/>
      </w:rPr>
      <w:drawing>
        <wp:anchor distT="0" distB="0" distL="114300" distR="114300" simplePos="0" relativeHeight="251661312" behindDoc="0" locked="0" layoutInCell="1" allowOverlap="1" wp14:anchorId="098515A7" wp14:editId="519C5D9E">
          <wp:simplePos x="0" y="0"/>
          <wp:positionH relativeFrom="column">
            <wp:posOffset>-1642745</wp:posOffset>
          </wp:positionH>
          <wp:positionV relativeFrom="paragraph">
            <wp:posOffset>-249184</wp:posOffset>
          </wp:positionV>
          <wp:extent cx="1378585" cy="1191895"/>
          <wp:effectExtent l="0" t="0" r="0" b="825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864329078"/>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7A7C8EB"/>
    <w:multiLevelType w:val="hybridMultilevel"/>
    <w:tmpl w:val="CC7AA02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97952F"/>
    <w:multiLevelType w:val="multilevel"/>
    <w:tmpl w:val="0D4EB19E"/>
    <w:lvl w:ilvl="0">
      <w:start w:val="1"/>
      <w:numFmt w:val="lowerLetter"/>
      <w:lvlText w:val=""/>
      <w:lvlJc w:val="left"/>
    </w:lvl>
    <w:lvl w:ilvl="1">
      <w:start w:val="1"/>
      <w:numFmt w:val="upperRoman"/>
      <w:lvlText w:va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DE4E7A"/>
    <w:multiLevelType w:val="hybridMultilevel"/>
    <w:tmpl w:val="5AAC05BA"/>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C3E149B"/>
    <w:multiLevelType w:val="hybridMultilevel"/>
    <w:tmpl w:val="C5F24C5E"/>
    <w:lvl w:ilvl="0" w:tplc="63A415AC">
      <w:start w:val="1"/>
      <w:numFmt w:val="lowerLetter"/>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1ED7CD5"/>
    <w:multiLevelType w:val="hybridMultilevel"/>
    <w:tmpl w:val="2BE66E40"/>
    <w:lvl w:ilvl="0" w:tplc="EBC46B1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1314E5"/>
    <w:multiLevelType w:val="hybridMultilevel"/>
    <w:tmpl w:val="7172C3A2"/>
    <w:lvl w:ilvl="0" w:tplc="D0282BD8">
      <w:start w:val="1"/>
      <w:numFmt w:val="decimal"/>
      <w:lvlText w:val="%1"/>
      <w:lvlJc w:val="left"/>
      <w:pPr>
        <w:ind w:left="360" w:hanging="360"/>
      </w:pPr>
      <w:rPr>
        <w:rFonts w:ascii="Arial" w:hAnsi="Arial" w:cs="Times New Roman" w:hint="default"/>
        <w:b w:val="0"/>
        <w:i w:val="0"/>
        <w:sz w:val="2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6" w15:restartNumberingAfterBreak="0">
    <w:nsid w:val="34F421DE"/>
    <w:multiLevelType w:val="hybridMultilevel"/>
    <w:tmpl w:val="23CCA03C"/>
    <w:lvl w:ilvl="0" w:tplc="080A0017">
      <w:start w:val="1"/>
      <w:numFmt w:val="lowerLetter"/>
      <w:lvlText w:val="%1)"/>
      <w:lvlJc w:val="left"/>
      <w:pPr>
        <w:ind w:left="720" w:hanging="360"/>
      </w:pPr>
      <w:rPr>
        <w:b/>
        <w:bCs/>
      </w:rPr>
    </w:lvl>
    <w:lvl w:ilvl="1" w:tplc="080A0003">
      <w:numFmt w:val="decimal"/>
      <w:lvlText w:val="o"/>
      <w:lvlJc w:val="left"/>
      <w:pPr>
        <w:ind w:left="1440" w:hanging="360"/>
      </w:pPr>
      <w:rPr>
        <w:rFonts w:ascii="Courier New" w:hAnsi="Courier New" w:cs="Courier New" w:hint="default"/>
      </w:rPr>
    </w:lvl>
    <w:lvl w:ilvl="2" w:tplc="080A0005">
      <w:numFmt w:val="decimal"/>
      <w:lvlText w:val=""/>
      <w:lvlJc w:val="left"/>
      <w:pPr>
        <w:ind w:left="2160" w:hanging="360"/>
      </w:pPr>
      <w:rPr>
        <w:rFonts w:ascii="Wingdings" w:hAnsi="Wingdings" w:hint="default"/>
      </w:rPr>
    </w:lvl>
    <w:lvl w:ilvl="3" w:tplc="080A0001">
      <w:numFmt w:val="decimal"/>
      <w:lvlText w:val=""/>
      <w:lvlJc w:val="left"/>
      <w:pPr>
        <w:ind w:left="2880" w:hanging="360"/>
      </w:pPr>
      <w:rPr>
        <w:rFonts w:ascii="Symbol" w:hAnsi="Symbol" w:hint="default"/>
      </w:rPr>
    </w:lvl>
    <w:lvl w:ilvl="4" w:tplc="080A0003">
      <w:numFmt w:val="decimal"/>
      <w:lvlText w:val="o"/>
      <w:lvlJc w:val="left"/>
      <w:pPr>
        <w:ind w:left="3600" w:hanging="360"/>
      </w:pPr>
      <w:rPr>
        <w:rFonts w:ascii="Courier New" w:hAnsi="Courier New" w:cs="Courier New" w:hint="default"/>
      </w:rPr>
    </w:lvl>
    <w:lvl w:ilvl="5" w:tplc="080A0005">
      <w:numFmt w:val="decimal"/>
      <w:lvlText w:val=""/>
      <w:lvlJc w:val="left"/>
      <w:pPr>
        <w:ind w:left="4320" w:hanging="360"/>
      </w:pPr>
      <w:rPr>
        <w:rFonts w:ascii="Wingdings" w:hAnsi="Wingdings" w:hint="default"/>
      </w:rPr>
    </w:lvl>
    <w:lvl w:ilvl="6" w:tplc="080A0001">
      <w:numFmt w:val="decimal"/>
      <w:lvlText w:val=""/>
      <w:lvlJc w:val="left"/>
      <w:pPr>
        <w:ind w:left="5040" w:hanging="360"/>
      </w:pPr>
      <w:rPr>
        <w:rFonts w:ascii="Symbol" w:hAnsi="Symbol" w:hint="default"/>
      </w:rPr>
    </w:lvl>
    <w:lvl w:ilvl="7" w:tplc="080A0003">
      <w:numFmt w:val="decimal"/>
      <w:lvlText w:val="o"/>
      <w:lvlJc w:val="left"/>
      <w:pPr>
        <w:ind w:left="5760" w:hanging="360"/>
      </w:pPr>
      <w:rPr>
        <w:rFonts w:ascii="Courier New" w:hAnsi="Courier New" w:cs="Courier New" w:hint="default"/>
      </w:rPr>
    </w:lvl>
    <w:lvl w:ilvl="8" w:tplc="080A0005">
      <w:numFmt w:val="decimal"/>
      <w:lvlText w:val=""/>
      <w:lvlJc w:val="left"/>
      <w:pPr>
        <w:ind w:left="6480" w:hanging="360"/>
      </w:pPr>
      <w:rPr>
        <w:rFonts w:ascii="Wingdings" w:hAnsi="Wingdings" w:hint="default"/>
      </w:rPr>
    </w:lvl>
  </w:abstractNum>
  <w:abstractNum w:abstractNumId="7" w15:restartNumberingAfterBreak="0">
    <w:nsid w:val="360763B1"/>
    <w:multiLevelType w:val="hybridMultilevel"/>
    <w:tmpl w:val="BC6C18C6"/>
    <w:lvl w:ilvl="0" w:tplc="080A001B">
      <w:start w:val="1"/>
      <w:numFmt w:val="lowerRoman"/>
      <w:lvlText w:val="%1."/>
      <w:lvlJc w:val="right"/>
      <w:pPr>
        <w:ind w:left="720" w:hanging="360"/>
      </w:pPr>
      <w:rPr>
        <w:rFonts w:hint="default"/>
        <w:b/>
        <w:bC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9E41E11"/>
    <w:multiLevelType w:val="hybridMultilevel"/>
    <w:tmpl w:val="24D8C78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3B5569F7"/>
    <w:multiLevelType w:val="hybridMultilevel"/>
    <w:tmpl w:val="23CCA03C"/>
    <w:lvl w:ilvl="0" w:tplc="080A0017">
      <w:start w:val="1"/>
      <w:numFmt w:val="lowerLetter"/>
      <w:lvlText w:val="%1)"/>
      <w:lvlJc w:val="left"/>
      <w:pPr>
        <w:ind w:left="720" w:hanging="360"/>
      </w:pPr>
      <w:rPr>
        <w:b/>
        <w:bCs/>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3F5F4E52"/>
    <w:multiLevelType w:val="hybridMultilevel"/>
    <w:tmpl w:val="AC04C4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98073C"/>
    <w:multiLevelType w:val="hybridMultilevel"/>
    <w:tmpl w:val="603C6026"/>
    <w:lvl w:ilvl="0" w:tplc="9A1A7EC8">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4401C60"/>
    <w:multiLevelType w:val="hybridMultilevel"/>
    <w:tmpl w:val="C43A82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B745CD5"/>
    <w:multiLevelType w:val="hybridMultilevel"/>
    <w:tmpl w:val="A6929C08"/>
    <w:lvl w:ilvl="0" w:tplc="B0903848">
      <w:start w:val="5"/>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D090C81"/>
    <w:multiLevelType w:val="hybridMultilevel"/>
    <w:tmpl w:val="58BA62D8"/>
    <w:lvl w:ilvl="0" w:tplc="6098FECE">
      <w:start w:val="1"/>
      <w:numFmt w:val="decimal"/>
      <w:pStyle w:val="Estilo1"/>
      <w:lvlText w:val="%1."/>
      <w:lvlJc w:val="left"/>
      <w:pPr>
        <w:ind w:left="720" w:hanging="360"/>
      </w:pPr>
      <w:rPr>
        <w:rFonts w:hint="default"/>
        <w:b w:val="0"/>
        <w:i w:val="0"/>
        <w:sz w:val="26"/>
        <w:szCs w:val="26"/>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E6257D9"/>
    <w:multiLevelType w:val="hybridMultilevel"/>
    <w:tmpl w:val="0A4EB3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FA7771B"/>
    <w:multiLevelType w:val="hybridMultilevel"/>
    <w:tmpl w:val="A19ED850"/>
    <w:lvl w:ilvl="0" w:tplc="CBDAEDEA">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61FF62C"/>
    <w:multiLevelType w:val="hybridMultilevel"/>
    <w:tmpl w:val="05C3E90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88F2160"/>
    <w:multiLevelType w:val="hybridMultilevel"/>
    <w:tmpl w:val="4F7835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A165153"/>
    <w:multiLevelType w:val="multilevel"/>
    <w:tmpl w:val="C7ACC2E6"/>
    <w:lvl w:ilvl="0">
      <w:start w:val="1"/>
      <w:numFmt w:val="decimal"/>
      <w:lvlText w:val="%1."/>
      <w:lvlJc w:val="left"/>
      <w:pPr>
        <w:ind w:left="360" w:hanging="360"/>
      </w:pPr>
      <w:rPr>
        <w:rFonts w:hint="default"/>
      </w:rPr>
    </w:lvl>
    <w:lvl w:ilvl="1">
      <w:start w:val="1"/>
      <w:numFmt w:val="decimal"/>
      <w:isLgl/>
      <w:lvlText w:val="%1.%2."/>
      <w:lvlJc w:val="left"/>
      <w:pPr>
        <w:ind w:left="1713" w:hanging="720"/>
      </w:pPr>
      <w:rPr>
        <w:rFonts w:hint="default"/>
        <w:b/>
        <w:i w:val="0"/>
      </w:rPr>
    </w:lvl>
    <w:lvl w:ilvl="2">
      <w:start w:val="1"/>
      <w:numFmt w:val="decimal"/>
      <w:isLgl/>
      <w:lvlText w:val="%1.%2.%3."/>
      <w:lvlJc w:val="left"/>
      <w:pPr>
        <w:ind w:left="720" w:hanging="720"/>
      </w:pPr>
      <w:rPr>
        <w:rFonts w:hint="default"/>
        <w:b/>
        <w:i w:val="0"/>
      </w:rPr>
    </w:lvl>
    <w:lvl w:ilvl="3">
      <w:start w:val="1"/>
      <w:numFmt w:val="lowerLetter"/>
      <w:isLgl/>
      <w:lvlText w:val="%4)"/>
      <w:lvlJc w:val="left"/>
      <w:pPr>
        <w:ind w:left="1080" w:hanging="1080"/>
      </w:pPr>
      <w:rPr>
        <w:rFonts w:ascii="Arial" w:eastAsiaTheme="minorHAnsi" w:hAnsi="Arial" w:cstheme="minorBidi"/>
        <w:b/>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5AD903CD"/>
    <w:multiLevelType w:val="hybridMultilevel"/>
    <w:tmpl w:val="1932F630"/>
    <w:lvl w:ilvl="0" w:tplc="CEB22EB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627A403A"/>
    <w:multiLevelType w:val="hybridMultilevel"/>
    <w:tmpl w:val="61207D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4FF52AD"/>
    <w:multiLevelType w:val="multilevel"/>
    <w:tmpl w:val="E0BE91D2"/>
    <w:lvl w:ilvl="0">
      <w:start w:val="1"/>
      <w:numFmt w:val="decimal"/>
      <w:lvlText w:val="%1."/>
      <w:lvlJc w:val="left"/>
      <w:pPr>
        <w:ind w:left="540" w:hanging="540"/>
      </w:pPr>
      <w:rPr>
        <w:rFonts w:hint="default"/>
        <w:b/>
      </w:rPr>
    </w:lvl>
    <w:lvl w:ilvl="1">
      <w:start w:val="1"/>
      <w:numFmt w:val="decimal"/>
      <w:lvlText w:val="%1.%2."/>
      <w:lvlJc w:val="left"/>
      <w:pPr>
        <w:ind w:left="1997"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3" w15:restartNumberingAfterBreak="0">
    <w:nsid w:val="670A4233"/>
    <w:multiLevelType w:val="hybridMultilevel"/>
    <w:tmpl w:val="DDC692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9F81FEE"/>
    <w:multiLevelType w:val="hybridMultilevel"/>
    <w:tmpl w:val="BA06F0EA"/>
    <w:lvl w:ilvl="0" w:tplc="04C66274">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09E2D31"/>
    <w:multiLevelType w:val="hybridMultilevel"/>
    <w:tmpl w:val="0A4EB3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4EA0489"/>
    <w:multiLevelType w:val="hybridMultilevel"/>
    <w:tmpl w:val="709EC776"/>
    <w:lvl w:ilvl="0" w:tplc="705C14BE">
      <w:start w:val="1"/>
      <w:numFmt w:val="decimal"/>
      <w:pStyle w:val="numerados"/>
      <w:lvlText w:val="%1."/>
      <w:lvlJc w:val="left"/>
      <w:pPr>
        <w:ind w:left="502" w:hanging="360"/>
      </w:pPr>
      <w:rPr>
        <w:rFonts w:hint="default"/>
        <w:b/>
        <w:sz w:val="28"/>
        <w:szCs w:val="28"/>
      </w:rPr>
    </w:lvl>
    <w:lvl w:ilvl="1" w:tplc="E51E34C0">
      <w:start w:val="1"/>
      <w:numFmt w:val="low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BB10E78"/>
    <w:multiLevelType w:val="hybridMultilevel"/>
    <w:tmpl w:val="25C8C022"/>
    <w:lvl w:ilvl="0" w:tplc="1B2CB206">
      <w:start w:val="1"/>
      <w:numFmt w:val="lowerLetter"/>
      <w:lvlText w:val="%1)"/>
      <w:lvlJc w:val="left"/>
      <w:pPr>
        <w:ind w:left="420" w:hanging="360"/>
      </w:pPr>
      <w:rPr>
        <w:rFonts w:eastAsiaTheme="minorHAnsi"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8" w15:restartNumberingAfterBreak="0">
    <w:nsid w:val="7F57769D"/>
    <w:multiLevelType w:val="hybridMultilevel"/>
    <w:tmpl w:val="7EC2489C"/>
    <w:lvl w:ilvl="0" w:tplc="9EFCC1E2">
      <w:start w:val="1"/>
      <w:numFmt w:val="decimal"/>
      <w:lvlText w:val="%1."/>
      <w:lvlJc w:val="left"/>
      <w:pPr>
        <w:ind w:left="720" w:hanging="360"/>
      </w:pPr>
      <w:rPr>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
  </w:num>
  <w:num w:numId="5">
    <w:abstractNumId w:val="26"/>
  </w:num>
  <w:num w:numId="6">
    <w:abstractNumId w:val="22"/>
  </w:num>
  <w:num w:numId="7">
    <w:abstractNumId w:val="23"/>
  </w:num>
  <w:num w:numId="8">
    <w:abstractNumId w:val="10"/>
  </w:num>
  <w:num w:numId="9">
    <w:abstractNumId w:val="3"/>
  </w:num>
  <w:num w:numId="10">
    <w:abstractNumId w:val="13"/>
  </w:num>
  <w:num w:numId="11">
    <w:abstractNumId w:val="25"/>
  </w:num>
  <w:num w:numId="12">
    <w:abstractNumId w:val="1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9"/>
    <w:lvlOverride w:ilvl="0">
      <w:startOverride w:val="1"/>
    </w:lvlOverride>
    <w:lvlOverride w:ilvl="1"/>
    <w:lvlOverride w:ilvl="2"/>
    <w:lvlOverride w:ilvl="3"/>
    <w:lvlOverride w:ilvl="4"/>
    <w:lvlOverride w:ilvl="5"/>
    <w:lvlOverride w:ilvl="6"/>
    <w:lvlOverride w:ilvl="7"/>
    <w:lvlOverride w:ilvl="8"/>
  </w:num>
  <w:num w:numId="16">
    <w:abstractNumId w:val="7"/>
  </w:num>
  <w:num w:numId="17">
    <w:abstractNumId w:val="9"/>
  </w:num>
  <w:num w:numId="18">
    <w:abstractNumId w:val="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4"/>
  </w:num>
  <w:num w:numId="22">
    <w:abstractNumId w:val="27"/>
  </w:num>
  <w:num w:numId="23">
    <w:abstractNumId w:val="0"/>
  </w:num>
  <w:num w:numId="24">
    <w:abstractNumId w:val="17"/>
  </w:num>
  <w:num w:numId="25">
    <w:abstractNumId w:val="6"/>
  </w:num>
  <w:num w:numId="26">
    <w:abstractNumId w:val="2"/>
  </w:num>
  <w:num w:numId="27">
    <w:abstractNumId w:val="20"/>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4"/>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8"/>
  </w:num>
  <w:num w:numId="34">
    <w:abstractNumId w:val="21"/>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82A"/>
    <w:rsid w:val="0000615F"/>
    <w:rsid w:val="000061EE"/>
    <w:rsid w:val="000073FA"/>
    <w:rsid w:val="00011DE6"/>
    <w:rsid w:val="0001386B"/>
    <w:rsid w:val="00014AB4"/>
    <w:rsid w:val="000212DE"/>
    <w:rsid w:val="000221C6"/>
    <w:rsid w:val="00027195"/>
    <w:rsid w:val="00056783"/>
    <w:rsid w:val="000567A2"/>
    <w:rsid w:val="00057A58"/>
    <w:rsid w:val="00060CCE"/>
    <w:rsid w:val="00061C57"/>
    <w:rsid w:val="000640BE"/>
    <w:rsid w:val="000667B7"/>
    <w:rsid w:val="00066CE7"/>
    <w:rsid w:val="000712B8"/>
    <w:rsid w:val="00075289"/>
    <w:rsid w:val="0007733E"/>
    <w:rsid w:val="000778A8"/>
    <w:rsid w:val="00080F6B"/>
    <w:rsid w:val="000813B7"/>
    <w:rsid w:val="000817F7"/>
    <w:rsid w:val="00081A9C"/>
    <w:rsid w:val="00082DF2"/>
    <w:rsid w:val="000831E4"/>
    <w:rsid w:val="000833EC"/>
    <w:rsid w:val="000836D1"/>
    <w:rsid w:val="0009219D"/>
    <w:rsid w:val="000923B0"/>
    <w:rsid w:val="0009309A"/>
    <w:rsid w:val="000A12F2"/>
    <w:rsid w:val="000A169E"/>
    <w:rsid w:val="000A1FBC"/>
    <w:rsid w:val="000A267B"/>
    <w:rsid w:val="000A26B1"/>
    <w:rsid w:val="000A2C0A"/>
    <w:rsid w:val="000A3A8E"/>
    <w:rsid w:val="000A46EA"/>
    <w:rsid w:val="000A541D"/>
    <w:rsid w:val="000A54E2"/>
    <w:rsid w:val="000A5B3D"/>
    <w:rsid w:val="000A745D"/>
    <w:rsid w:val="000B203E"/>
    <w:rsid w:val="000B32FC"/>
    <w:rsid w:val="000B375D"/>
    <w:rsid w:val="000B3F7F"/>
    <w:rsid w:val="000C10D5"/>
    <w:rsid w:val="000C1570"/>
    <w:rsid w:val="000C4D39"/>
    <w:rsid w:val="000C5CA4"/>
    <w:rsid w:val="000D147B"/>
    <w:rsid w:val="000D2836"/>
    <w:rsid w:val="000D43AD"/>
    <w:rsid w:val="000D5B87"/>
    <w:rsid w:val="000D6D52"/>
    <w:rsid w:val="000D7033"/>
    <w:rsid w:val="000D7600"/>
    <w:rsid w:val="000E1C7F"/>
    <w:rsid w:val="000E3B6E"/>
    <w:rsid w:val="000E630E"/>
    <w:rsid w:val="000E7546"/>
    <w:rsid w:val="000F0DC9"/>
    <w:rsid w:val="000F1524"/>
    <w:rsid w:val="000F1987"/>
    <w:rsid w:val="000F2B9D"/>
    <w:rsid w:val="000F4CAF"/>
    <w:rsid w:val="000F59F8"/>
    <w:rsid w:val="000F6CB4"/>
    <w:rsid w:val="0010079D"/>
    <w:rsid w:val="001026ED"/>
    <w:rsid w:val="001048D6"/>
    <w:rsid w:val="001051F9"/>
    <w:rsid w:val="00106041"/>
    <w:rsid w:val="00116C21"/>
    <w:rsid w:val="00120AC8"/>
    <w:rsid w:val="0012196D"/>
    <w:rsid w:val="00122EC8"/>
    <w:rsid w:val="00131FAD"/>
    <w:rsid w:val="00134A7F"/>
    <w:rsid w:val="00134F5D"/>
    <w:rsid w:val="00135A8C"/>
    <w:rsid w:val="001369AB"/>
    <w:rsid w:val="00136B2C"/>
    <w:rsid w:val="0013756C"/>
    <w:rsid w:val="00142929"/>
    <w:rsid w:val="00145506"/>
    <w:rsid w:val="0014564F"/>
    <w:rsid w:val="00145F24"/>
    <w:rsid w:val="00146472"/>
    <w:rsid w:val="00147421"/>
    <w:rsid w:val="00147FDC"/>
    <w:rsid w:val="00151C6B"/>
    <w:rsid w:val="00160EAC"/>
    <w:rsid w:val="00162751"/>
    <w:rsid w:val="00165A1A"/>
    <w:rsid w:val="00173A00"/>
    <w:rsid w:val="00181294"/>
    <w:rsid w:val="00181BC8"/>
    <w:rsid w:val="00182BCB"/>
    <w:rsid w:val="0018352C"/>
    <w:rsid w:val="00183544"/>
    <w:rsid w:val="00184B7B"/>
    <w:rsid w:val="00186DF7"/>
    <w:rsid w:val="0019080B"/>
    <w:rsid w:val="00192D01"/>
    <w:rsid w:val="00193717"/>
    <w:rsid w:val="00194FC3"/>
    <w:rsid w:val="0019594F"/>
    <w:rsid w:val="00197D76"/>
    <w:rsid w:val="001A0EE2"/>
    <w:rsid w:val="001A2060"/>
    <w:rsid w:val="001A4AC8"/>
    <w:rsid w:val="001A5B3C"/>
    <w:rsid w:val="001A742F"/>
    <w:rsid w:val="001A7995"/>
    <w:rsid w:val="001B0102"/>
    <w:rsid w:val="001B54D9"/>
    <w:rsid w:val="001C43B2"/>
    <w:rsid w:val="001D0F07"/>
    <w:rsid w:val="001D7335"/>
    <w:rsid w:val="001E373E"/>
    <w:rsid w:val="001F08B1"/>
    <w:rsid w:val="001F272D"/>
    <w:rsid w:val="001F5796"/>
    <w:rsid w:val="001F5B4D"/>
    <w:rsid w:val="002006C8"/>
    <w:rsid w:val="00200AA1"/>
    <w:rsid w:val="00201AFE"/>
    <w:rsid w:val="0021596E"/>
    <w:rsid w:val="00217042"/>
    <w:rsid w:val="002212C0"/>
    <w:rsid w:val="0022163F"/>
    <w:rsid w:val="00222C23"/>
    <w:rsid w:val="00223F0F"/>
    <w:rsid w:val="00224935"/>
    <w:rsid w:val="00227597"/>
    <w:rsid w:val="00227A4B"/>
    <w:rsid w:val="00234934"/>
    <w:rsid w:val="00234CB7"/>
    <w:rsid w:val="002377CC"/>
    <w:rsid w:val="00245AF9"/>
    <w:rsid w:val="0024774E"/>
    <w:rsid w:val="00251059"/>
    <w:rsid w:val="0026040B"/>
    <w:rsid w:val="0026094C"/>
    <w:rsid w:val="002632CF"/>
    <w:rsid w:val="00264A96"/>
    <w:rsid w:val="0026653A"/>
    <w:rsid w:val="00270479"/>
    <w:rsid w:val="00271423"/>
    <w:rsid w:val="002717F3"/>
    <w:rsid w:val="00272183"/>
    <w:rsid w:val="00273F32"/>
    <w:rsid w:val="00275105"/>
    <w:rsid w:val="00275A94"/>
    <w:rsid w:val="00276AC1"/>
    <w:rsid w:val="00277A02"/>
    <w:rsid w:val="00290485"/>
    <w:rsid w:val="00292F75"/>
    <w:rsid w:val="00293D7F"/>
    <w:rsid w:val="00295900"/>
    <w:rsid w:val="00297EE7"/>
    <w:rsid w:val="002A6613"/>
    <w:rsid w:val="002B079E"/>
    <w:rsid w:val="002B0812"/>
    <w:rsid w:val="002B1C6F"/>
    <w:rsid w:val="002B3642"/>
    <w:rsid w:val="002B561C"/>
    <w:rsid w:val="002C116F"/>
    <w:rsid w:val="002C1FD3"/>
    <w:rsid w:val="002C3B2E"/>
    <w:rsid w:val="002D336D"/>
    <w:rsid w:val="002D7A98"/>
    <w:rsid w:val="002D7BD4"/>
    <w:rsid w:val="002E1B72"/>
    <w:rsid w:val="002E29F0"/>
    <w:rsid w:val="002E5333"/>
    <w:rsid w:val="002F0AE6"/>
    <w:rsid w:val="002F1A4C"/>
    <w:rsid w:val="002F1C15"/>
    <w:rsid w:val="002F649C"/>
    <w:rsid w:val="00300B98"/>
    <w:rsid w:val="00301DB9"/>
    <w:rsid w:val="00302201"/>
    <w:rsid w:val="00314A91"/>
    <w:rsid w:val="00315B8C"/>
    <w:rsid w:val="003169E7"/>
    <w:rsid w:val="00320F70"/>
    <w:rsid w:val="00322A58"/>
    <w:rsid w:val="0032437A"/>
    <w:rsid w:val="00327581"/>
    <w:rsid w:val="0033333F"/>
    <w:rsid w:val="003378A2"/>
    <w:rsid w:val="00345DBF"/>
    <w:rsid w:val="0034695D"/>
    <w:rsid w:val="00354CA5"/>
    <w:rsid w:val="003577C2"/>
    <w:rsid w:val="003578FE"/>
    <w:rsid w:val="00360208"/>
    <w:rsid w:val="00362593"/>
    <w:rsid w:val="00363D55"/>
    <w:rsid w:val="00364EC8"/>
    <w:rsid w:val="00372884"/>
    <w:rsid w:val="00374D0D"/>
    <w:rsid w:val="00376528"/>
    <w:rsid w:val="003775A5"/>
    <w:rsid w:val="00380D20"/>
    <w:rsid w:val="00381DA1"/>
    <w:rsid w:val="00383EBF"/>
    <w:rsid w:val="00385F5F"/>
    <w:rsid w:val="003864A2"/>
    <w:rsid w:val="00386DC3"/>
    <w:rsid w:val="00386E24"/>
    <w:rsid w:val="0038757E"/>
    <w:rsid w:val="003906B4"/>
    <w:rsid w:val="0039582A"/>
    <w:rsid w:val="003A24EF"/>
    <w:rsid w:val="003A6A42"/>
    <w:rsid w:val="003B131A"/>
    <w:rsid w:val="003B20E3"/>
    <w:rsid w:val="003B5934"/>
    <w:rsid w:val="003B5B8B"/>
    <w:rsid w:val="003B65A1"/>
    <w:rsid w:val="003B6A52"/>
    <w:rsid w:val="003C1E7B"/>
    <w:rsid w:val="003C2D3E"/>
    <w:rsid w:val="003C6A40"/>
    <w:rsid w:val="003D2D8A"/>
    <w:rsid w:val="003D4A48"/>
    <w:rsid w:val="003D5A3C"/>
    <w:rsid w:val="003E2357"/>
    <w:rsid w:val="003E76A4"/>
    <w:rsid w:val="004032AC"/>
    <w:rsid w:val="004056CD"/>
    <w:rsid w:val="00407A62"/>
    <w:rsid w:val="004171C0"/>
    <w:rsid w:val="00421FE5"/>
    <w:rsid w:val="004222BF"/>
    <w:rsid w:val="00422418"/>
    <w:rsid w:val="00430F47"/>
    <w:rsid w:val="00431C93"/>
    <w:rsid w:val="00435B3D"/>
    <w:rsid w:val="004360D8"/>
    <w:rsid w:val="00437102"/>
    <w:rsid w:val="0044093E"/>
    <w:rsid w:val="0044277B"/>
    <w:rsid w:val="00443374"/>
    <w:rsid w:val="004438A4"/>
    <w:rsid w:val="00443BEF"/>
    <w:rsid w:val="0044732C"/>
    <w:rsid w:val="004503EF"/>
    <w:rsid w:val="00454A52"/>
    <w:rsid w:val="00455A53"/>
    <w:rsid w:val="00456BC1"/>
    <w:rsid w:val="004608C7"/>
    <w:rsid w:val="00462CEE"/>
    <w:rsid w:val="004654FA"/>
    <w:rsid w:val="004659BC"/>
    <w:rsid w:val="004721F1"/>
    <w:rsid w:val="00473337"/>
    <w:rsid w:val="00481460"/>
    <w:rsid w:val="00482746"/>
    <w:rsid w:val="00485A19"/>
    <w:rsid w:val="004862E1"/>
    <w:rsid w:val="004912D8"/>
    <w:rsid w:val="00492859"/>
    <w:rsid w:val="00493322"/>
    <w:rsid w:val="004933ED"/>
    <w:rsid w:val="00495A51"/>
    <w:rsid w:val="004964B6"/>
    <w:rsid w:val="00496DF6"/>
    <w:rsid w:val="004A0B2F"/>
    <w:rsid w:val="004A2A7B"/>
    <w:rsid w:val="004A39C5"/>
    <w:rsid w:val="004A62BD"/>
    <w:rsid w:val="004A6DB1"/>
    <w:rsid w:val="004B0348"/>
    <w:rsid w:val="004B0EC2"/>
    <w:rsid w:val="004B531D"/>
    <w:rsid w:val="004B6E59"/>
    <w:rsid w:val="004C4FD4"/>
    <w:rsid w:val="004D01EA"/>
    <w:rsid w:val="004D134B"/>
    <w:rsid w:val="004D3C16"/>
    <w:rsid w:val="004D4BE5"/>
    <w:rsid w:val="004D6647"/>
    <w:rsid w:val="004D7B37"/>
    <w:rsid w:val="004E07D8"/>
    <w:rsid w:val="004E20CB"/>
    <w:rsid w:val="004E5E87"/>
    <w:rsid w:val="004F0DB9"/>
    <w:rsid w:val="004F2170"/>
    <w:rsid w:val="004F516F"/>
    <w:rsid w:val="004F59D6"/>
    <w:rsid w:val="004F7020"/>
    <w:rsid w:val="005038C8"/>
    <w:rsid w:val="005066AB"/>
    <w:rsid w:val="00510FCA"/>
    <w:rsid w:val="00512B5D"/>
    <w:rsid w:val="005143B9"/>
    <w:rsid w:val="00514E00"/>
    <w:rsid w:val="00515CAB"/>
    <w:rsid w:val="00516B82"/>
    <w:rsid w:val="00516D45"/>
    <w:rsid w:val="0051789A"/>
    <w:rsid w:val="00521666"/>
    <w:rsid w:val="00522332"/>
    <w:rsid w:val="00531968"/>
    <w:rsid w:val="005346DB"/>
    <w:rsid w:val="00535351"/>
    <w:rsid w:val="005366F4"/>
    <w:rsid w:val="00537890"/>
    <w:rsid w:val="0054155B"/>
    <w:rsid w:val="00541793"/>
    <w:rsid w:val="0054413E"/>
    <w:rsid w:val="0055160A"/>
    <w:rsid w:val="00551915"/>
    <w:rsid w:val="00551ADB"/>
    <w:rsid w:val="00552266"/>
    <w:rsid w:val="0055329D"/>
    <w:rsid w:val="00554355"/>
    <w:rsid w:val="0055721E"/>
    <w:rsid w:val="00563D28"/>
    <w:rsid w:val="00566D31"/>
    <w:rsid w:val="00570952"/>
    <w:rsid w:val="0057098F"/>
    <w:rsid w:val="00571FFB"/>
    <w:rsid w:val="005725EA"/>
    <w:rsid w:val="005743E4"/>
    <w:rsid w:val="005813B3"/>
    <w:rsid w:val="00581B0E"/>
    <w:rsid w:val="00585672"/>
    <w:rsid w:val="00587318"/>
    <w:rsid w:val="00587FFA"/>
    <w:rsid w:val="00591037"/>
    <w:rsid w:val="0059168F"/>
    <w:rsid w:val="005919D8"/>
    <w:rsid w:val="00596123"/>
    <w:rsid w:val="00596762"/>
    <w:rsid w:val="00596AFD"/>
    <w:rsid w:val="00597D28"/>
    <w:rsid w:val="005A076C"/>
    <w:rsid w:val="005A1687"/>
    <w:rsid w:val="005A3559"/>
    <w:rsid w:val="005A4C7B"/>
    <w:rsid w:val="005A674C"/>
    <w:rsid w:val="005A7FCD"/>
    <w:rsid w:val="005B1C36"/>
    <w:rsid w:val="005B5B59"/>
    <w:rsid w:val="005C05C5"/>
    <w:rsid w:val="005C60E4"/>
    <w:rsid w:val="005D0CC3"/>
    <w:rsid w:val="005D1A7F"/>
    <w:rsid w:val="005D1BE7"/>
    <w:rsid w:val="005D31FE"/>
    <w:rsid w:val="005D3220"/>
    <w:rsid w:val="005D45F9"/>
    <w:rsid w:val="005D46C6"/>
    <w:rsid w:val="005F141D"/>
    <w:rsid w:val="005F3DBD"/>
    <w:rsid w:val="005F6ECB"/>
    <w:rsid w:val="00600C61"/>
    <w:rsid w:val="00600D86"/>
    <w:rsid w:val="00601077"/>
    <w:rsid w:val="00603AF7"/>
    <w:rsid w:val="006077DD"/>
    <w:rsid w:val="00610520"/>
    <w:rsid w:val="00615063"/>
    <w:rsid w:val="00615A6E"/>
    <w:rsid w:val="00621037"/>
    <w:rsid w:val="00621862"/>
    <w:rsid w:val="00621C05"/>
    <w:rsid w:val="00622AF0"/>
    <w:rsid w:val="00622C53"/>
    <w:rsid w:val="00623085"/>
    <w:rsid w:val="00624BD6"/>
    <w:rsid w:val="00624BE7"/>
    <w:rsid w:val="00626FDA"/>
    <w:rsid w:val="00630FB7"/>
    <w:rsid w:val="00634E27"/>
    <w:rsid w:val="00637C05"/>
    <w:rsid w:val="00637CAE"/>
    <w:rsid w:val="00640F9B"/>
    <w:rsid w:val="00643711"/>
    <w:rsid w:val="0064517F"/>
    <w:rsid w:val="0064598E"/>
    <w:rsid w:val="006475ED"/>
    <w:rsid w:val="00647B75"/>
    <w:rsid w:val="006536C0"/>
    <w:rsid w:val="006567FF"/>
    <w:rsid w:val="00656A82"/>
    <w:rsid w:val="006578E1"/>
    <w:rsid w:val="006641B2"/>
    <w:rsid w:val="006725FB"/>
    <w:rsid w:val="00672F2B"/>
    <w:rsid w:val="0068252C"/>
    <w:rsid w:val="00683100"/>
    <w:rsid w:val="00684D2F"/>
    <w:rsid w:val="006879AE"/>
    <w:rsid w:val="00690CF9"/>
    <w:rsid w:val="00696F54"/>
    <w:rsid w:val="006975A0"/>
    <w:rsid w:val="006A0C68"/>
    <w:rsid w:val="006B0204"/>
    <w:rsid w:val="006B092C"/>
    <w:rsid w:val="006B2F25"/>
    <w:rsid w:val="006B4D44"/>
    <w:rsid w:val="006C0050"/>
    <w:rsid w:val="006C27BA"/>
    <w:rsid w:val="006C374E"/>
    <w:rsid w:val="006C6CE4"/>
    <w:rsid w:val="006D0C89"/>
    <w:rsid w:val="006D44F2"/>
    <w:rsid w:val="006D49CC"/>
    <w:rsid w:val="006D5F92"/>
    <w:rsid w:val="006D610F"/>
    <w:rsid w:val="006E4483"/>
    <w:rsid w:val="006E5B8B"/>
    <w:rsid w:val="006E6651"/>
    <w:rsid w:val="006E6D9C"/>
    <w:rsid w:val="006F119E"/>
    <w:rsid w:val="006F212D"/>
    <w:rsid w:val="006F408C"/>
    <w:rsid w:val="006F5486"/>
    <w:rsid w:val="006F6344"/>
    <w:rsid w:val="00700A5B"/>
    <w:rsid w:val="007036D1"/>
    <w:rsid w:val="007051DF"/>
    <w:rsid w:val="00705BB6"/>
    <w:rsid w:val="00710CC6"/>
    <w:rsid w:val="00710DE3"/>
    <w:rsid w:val="00717DE2"/>
    <w:rsid w:val="00730049"/>
    <w:rsid w:val="007326A6"/>
    <w:rsid w:val="0073402B"/>
    <w:rsid w:val="00744E62"/>
    <w:rsid w:val="0075253B"/>
    <w:rsid w:val="00753C52"/>
    <w:rsid w:val="00755540"/>
    <w:rsid w:val="007626C1"/>
    <w:rsid w:val="00764782"/>
    <w:rsid w:val="00774EB0"/>
    <w:rsid w:val="00777604"/>
    <w:rsid w:val="007801FE"/>
    <w:rsid w:val="00782547"/>
    <w:rsid w:val="00783D1B"/>
    <w:rsid w:val="00790472"/>
    <w:rsid w:val="0079468E"/>
    <w:rsid w:val="00794A5C"/>
    <w:rsid w:val="00797476"/>
    <w:rsid w:val="007A3289"/>
    <w:rsid w:val="007A508D"/>
    <w:rsid w:val="007B1CBF"/>
    <w:rsid w:val="007B20C0"/>
    <w:rsid w:val="007B21F5"/>
    <w:rsid w:val="007C0F72"/>
    <w:rsid w:val="007C36C3"/>
    <w:rsid w:val="007C4D9F"/>
    <w:rsid w:val="007C73A8"/>
    <w:rsid w:val="007D0143"/>
    <w:rsid w:val="007D101E"/>
    <w:rsid w:val="007D4817"/>
    <w:rsid w:val="007D64B4"/>
    <w:rsid w:val="007E2132"/>
    <w:rsid w:val="007E5F10"/>
    <w:rsid w:val="007E6D95"/>
    <w:rsid w:val="007F1495"/>
    <w:rsid w:val="007F366A"/>
    <w:rsid w:val="007F4038"/>
    <w:rsid w:val="007F4249"/>
    <w:rsid w:val="007F4D97"/>
    <w:rsid w:val="007F7F3A"/>
    <w:rsid w:val="00801B78"/>
    <w:rsid w:val="0081204D"/>
    <w:rsid w:val="008120AF"/>
    <w:rsid w:val="0081444D"/>
    <w:rsid w:val="00830028"/>
    <w:rsid w:val="0083157B"/>
    <w:rsid w:val="0083243D"/>
    <w:rsid w:val="00832924"/>
    <w:rsid w:val="00836251"/>
    <w:rsid w:val="0084199A"/>
    <w:rsid w:val="00844395"/>
    <w:rsid w:val="008446E1"/>
    <w:rsid w:val="0084643A"/>
    <w:rsid w:val="008468F3"/>
    <w:rsid w:val="00850F27"/>
    <w:rsid w:val="0085281B"/>
    <w:rsid w:val="00853AA8"/>
    <w:rsid w:val="00855141"/>
    <w:rsid w:val="00862779"/>
    <w:rsid w:val="00866FA0"/>
    <w:rsid w:val="00866FC0"/>
    <w:rsid w:val="00870626"/>
    <w:rsid w:val="00873411"/>
    <w:rsid w:val="008735A5"/>
    <w:rsid w:val="0087494C"/>
    <w:rsid w:val="008764BD"/>
    <w:rsid w:val="008815CE"/>
    <w:rsid w:val="00884D80"/>
    <w:rsid w:val="008906E2"/>
    <w:rsid w:val="00890832"/>
    <w:rsid w:val="00892527"/>
    <w:rsid w:val="00894B90"/>
    <w:rsid w:val="00895343"/>
    <w:rsid w:val="00895A4F"/>
    <w:rsid w:val="00896027"/>
    <w:rsid w:val="00896C86"/>
    <w:rsid w:val="008A3068"/>
    <w:rsid w:val="008A51A9"/>
    <w:rsid w:val="008A5410"/>
    <w:rsid w:val="008A7BAE"/>
    <w:rsid w:val="008B05F3"/>
    <w:rsid w:val="008B0978"/>
    <w:rsid w:val="008B1607"/>
    <w:rsid w:val="008B1773"/>
    <w:rsid w:val="008B4DA7"/>
    <w:rsid w:val="008B5E85"/>
    <w:rsid w:val="008B7A0D"/>
    <w:rsid w:val="008C20DD"/>
    <w:rsid w:val="008C3D03"/>
    <w:rsid w:val="008C3E55"/>
    <w:rsid w:val="008D0DE5"/>
    <w:rsid w:val="008E0F72"/>
    <w:rsid w:val="008E3E9B"/>
    <w:rsid w:val="008E608A"/>
    <w:rsid w:val="008E644D"/>
    <w:rsid w:val="008F10D8"/>
    <w:rsid w:val="008F5C81"/>
    <w:rsid w:val="00901D11"/>
    <w:rsid w:val="00903C09"/>
    <w:rsid w:val="009055D9"/>
    <w:rsid w:val="00907E33"/>
    <w:rsid w:val="00911685"/>
    <w:rsid w:val="00912077"/>
    <w:rsid w:val="00915E08"/>
    <w:rsid w:val="009178A0"/>
    <w:rsid w:val="00917969"/>
    <w:rsid w:val="00924418"/>
    <w:rsid w:val="00925AD5"/>
    <w:rsid w:val="009270EC"/>
    <w:rsid w:val="00932A70"/>
    <w:rsid w:val="00932E9C"/>
    <w:rsid w:val="0094053B"/>
    <w:rsid w:val="00941B1A"/>
    <w:rsid w:val="00941F49"/>
    <w:rsid w:val="009505EC"/>
    <w:rsid w:val="00951185"/>
    <w:rsid w:val="00953113"/>
    <w:rsid w:val="0095439E"/>
    <w:rsid w:val="009556B1"/>
    <w:rsid w:val="00956BB7"/>
    <w:rsid w:val="00957AB7"/>
    <w:rsid w:val="009601BB"/>
    <w:rsid w:val="0096537A"/>
    <w:rsid w:val="0096698A"/>
    <w:rsid w:val="0097282A"/>
    <w:rsid w:val="00972951"/>
    <w:rsid w:val="00982F51"/>
    <w:rsid w:val="009851EF"/>
    <w:rsid w:val="00986A1E"/>
    <w:rsid w:val="00992805"/>
    <w:rsid w:val="00994B3B"/>
    <w:rsid w:val="00995BFA"/>
    <w:rsid w:val="0099654E"/>
    <w:rsid w:val="00996A51"/>
    <w:rsid w:val="009A15CA"/>
    <w:rsid w:val="009A1AFA"/>
    <w:rsid w:val="009A6577"/>
    <w:rsid w:val="009A6E6E"/>
    <w:rsid w:val="009B2505"/>
    <w:rsid w:val="009C04D9"/>
    <w:rsid w:val="009C332C"/>
    <w:rsid w:val="009D0651"/>
    <w:rsid w:val="009D1910"/>
    <w:rsid w:val="009D1B9F"/>
    <w:rsid w:val="009D6C65"/>
    <w:rsid w:val="009E2DB3"/>
    <w:rsid w:val="009E3E7C"/>
    <w:rsid w:val="009E445D"/>
    <w:rsid w:val="009E48D7"/>
    <w:rsid w:val="009E611B"/>
    <w:rsid w:val="009F0D0A"/>
    <w:rsid w:val="009F0FF0"/>
    <w:rsid w:val="009F2E3E"/>
    <w:rsid w:val="009F4317"/>
    <w:rsid w:val="009F4717"/>
    <w:rsid w:val="009F62A9"/>
    <w:rsid w:val="00A00022"/>
    <w:rsid w:val="00A0053D"/>
    <w:rsid w:val="00A00F13"/>
    <w:rsid w:val="00A01672"/>
    <w:rsid w:val="00A03090"/>
    <w:rsid w:val="00A04089"/>
    <w:rsid w:val="00A045CC"/>
    <w:rsid w:val="00A05E6E"/>
    <w:rsid w:val="00A076CF"/>
    <w:rsid w:val="00A07BBB"/>
    <w:rsid w:val="00A11EE1"/>
    <w:rsid w:val="00A123F1"/>
    <w:rsid w:val="00A12674"/>
    <w:rsid w:val="00A1341A"/>
    <w:rsid w:val="00A13C84"/>
    <w:rsid w:val="00A146B0"/>
    <w:rsid w:val="00A20757"/>
    <w:rsid w:val="00A22E75"/>
    <w:rsid w:val="00A2347D"/>
    <w:rsid w:val="00A24380"/>
    <w:rsid w:val="00A24383"/>
    <w:rsid w:val="00A26F6D"/>
    <w:rsid w:val="00A3117C"/>
    <w:rsid w:val="00A3169E"/>
    <w:rsid w:val="00A330A3"/>
    <w:rsid w:val="00A339C6"/>
    <w:rsid w:val="00A36B9B"/>
    <w:rsid w:val="00A42418"/>
    <w:rsid w:val="00A45960"/>
    <w:rsid w:val="00A4693A"/>
    <w:rsid w:val="00A46A9E"/>
    <w:rsid w:val="00A500B9"/>
    <w:rsid w:val="00A50F0B"/>
    <w:rsid w:val="00A52F53"/>
    <w:rsid w:val="00A5481B"/>
    <w:rsid w:val="00A54DA0"/>
    <w:rsid w:val="00A552EC"/>
    <w:rsid w:val="00A566F9"/>
    <w:rsid w:val="00A67F04"/>
    <w:rsid w:val="00A67F83"/>
    <w:rsid w:val="00A76268"/>
    <w:rsid w:val="00A76EA6"/>
    <w:rsid w:val="00A807B6"/>
    <w:rsid w:val="00A81119"/>
    <w:rsid w:val="00A81521"/>
    <w:rsid w:val="00A861A2"/>
    <w:rsid w:val="00A8743F"/>
    <w:rsid w:val="00A904F2"/>
    <w:rsid w:val="00A90A60"/>
    <w:rsid w:val="00A913F4"/>
    <w:rsid w:val="00A95B4B"/>
    <w:rsid w:val="00A966B5"/>
    <w:rsid w:val="00A96B09"/>
    <w:rsid w:val="00AA1044"/>
    <w:rsid w:val="00AA7EFB"/>
    <w:rsid w:val="00AB0214"/>
    <w:rsid w:val="00AB0703"/>
    <w:rsid w:val="00AB14D7"/>
    <w:rsid w:val="00AB2594"/>
    <w:rsid w:val="00AB493C"/>
    <w:rsid w:val="00AB4DD9"/>
    <w:rsid w:val="00AB59E9"/>
    <w:rsid w:val="00AB620F"/>
    <w:rsid w:val="00AB6378"/>
    <w:rsid w:val="00AB67B5"/>
    <w:rsid w:val="00AB728C"/>
    <w:rsid w:val="00AC119F"/>
    <w:rsid w:val="00AC3BBF"/>
    <w:rsid w:val="00AE2A2A"/>
    <w:rsid w:val="00AE6BEA"/>
    <w:rsid w:val="00AF09A3"/>
    <w:rsid w:val="00AF15F4"/>
    <w:rsid w:val="00AF39D2"/>
    <w:rsid w:val="00AF5F36"/>
    <w:rsid w:val="00B029B2"/>
    <w:rsid w:val="00B02AF8"/>
    <w:rsid w:val="00B047F3"/>
    <w:rsid w:val="00B04DB8"/>
    <w:rsid w:val="00B066CC"/>
    <w:rsid w:val="00B06B15"/>
    <w:rsid w:val="00B07479"/>
    <w:rsid w:val="00B125BE"/>
    <w:rsid w:val="00B13AA8"/>
    <w:rsid w:val="00B13EFE"/>
    <w:rsid w:val="00B14768"/>
    <w:rsid w:val="00B159BC"/>
    <w:rsid w:val="00B16ACA"/>
    <w:rsid w:val="00B177DC"/>
    <w:rsid w:val="00B24C80"/>
    <w:rsid w:val="00B252C8"/>
    <w:rsid w:val="00B26111"/>
    <w:rsid w:val="00B30233"/>
    <w:rsid w:val="00B304A6"/>
    <w:rsid w:val="00B30816"/>
    <w:rsid w:val="00B34924"/>
    <w:rsid w:val="00B37E00"/>
    <w:rsid w:val="00B40323"/>
    <w:rsid w:val="00B40B34"/>
    <w:rsid w:val="00B44A87"/>
    <w:rsid w:val="00B44E5C"/>
    <w:rsid w:val="00B4646F"/>
    <w:rsid w:val="00B478AF"/>
    <w:rsid w:val="00B53960"/>
    <w:rsid w:val="00B55616"/>
    <w:rsid w:val="00B56BE8"/>
    <w:rsid w:val="00B639DF"/>
    <w:rsid w:val="00B64558"/>
    <w:rsid w:val="00B66EA7"/>
    <w:rsid w:val="00B702E3"/>
    <w:rsid w:val="00B70736"/>
    <w:rsid w:val="00B70FE1"/>
    <w:rsid w:val="00B71E48"/>
    <w:rsid w:val="00B7238F"/>
    <w:rsid w:val="00B75E70"/>
    <w:rsid w:val="00B829B1"/>
    <w:rsid w:val="00B859FC"/>
    <w:rsid w:val="00B910E4"/>
    <w:rsid w:val="00B923DB"/>
    <w:rsid w:val="00B92E47"/>
    <w:rsid w:val="00B94BFA"/>
    <w:rsid w:val="00B95C75"/>
    <w:rsid w:val="00BA126A"/>
    <w:rsid w:val="00BA6B74"/>
    <w:rsid w:val="00BB2547"/>
    <w:rsid w:val="00BB29CB"/>
    <w:rsid w:val="00BB3212"/>
    <w:rsid w:val="00BC2E34"/>
    <w:rsid w:val="00BC5460"/>
    <w:rsid w:val="00BC66D8"/>
    <w:rsid w:val="00BC7197"/>
    <w:rsid w:val="00BD0BFE"/>
    <w:rsid w:val="00BD2730"/>
    <w:rsid w:val="00BD4E8C"/>
    <w:rsid w:val="00BE1255"/>
    <w:rsid w:val="00BF19EA"/>
    <w:rsid w:val="00BF3879"/>
    <w:rsid w:val="00BF3B1D"/>
    <w:rsid w:val="00BF5C67"/>
    <w:rsid w:val="00BF7D79"/>
    <w:rsid w:val="00C0403D"/>
    <w:rsid w:val="00C04362"/>
    <w:rsid w:val="00C05B50"/>
    <w:rsid w:val="00C05BAF"/>
    <w:rsid w:val="00C06B7E"/>
    <w:rsid w:val="00C110CA"/>
    <w:rsid w:val="00C173B6"/>
    <w:rsid w:val="00C21036"/>
    <w:rsid w:val="00C21498"/>
    <w:rsid w:val="00C2590D"/>
    <w:rsid w:val="00C2678D"/>
    <w:rsid w:val="00C26A8B"/>
    <w:rsid w:val="00C2729B"/>
    <w:rsid w:val="00C27D94"/>
    <w:rsid w:val="00C30660"/>
    <w:rsid w:val="00C34449"/>
    <w:rsid w:val="00C349F0"/>
    <w:rsid w:val="00C363C3"/>
    <w:rsid w:val="00C37115"/>
    <w:rsid w:val="00C4237F"/>
    <w:rsid w:val="00C44175"/>
    <w:rsid w:val="00C45716"/>
    <w:rsid w:val="00C502DD"/>
    <w:rsid w:val="00C50962"/>
    <w:rsid w:val="00C52A37"/>
    <w:rsid w:val="00C52B3C"/>
    <w:rsid w:val="00C53B38"/>
    <w:rsid w:val="00C547CF"/>
    <w:rsid w:val="00C57431"/>
    <w:rsid w:val="00C57B3C"/>
    <w:rsid w:val="00C61F38"/>
    <w:rsid w:val="00C648B3"/>
    <w:rsid w:val="00C67A86"/>
    <w:rsid w:val="00C67DD0"/>
    <w:rsid w:val="00C77001"/>
    <w:rsid w:val="00C7728C"/>
    <w:rsid w:val="00C7753F"/>
    <w:rsid w:val="00C8169F"/>
    <w:rsid w:val="00C81D11"/>
    <w:rsid w:val="00C84E89"/>
    <w:rsid w:val="00C85B3C"/>
    <w:rsid w:val="00C87C28"/>
    <w:rsid w:val="00C9098B"/>
    <w:rsid w:val="00C90E78"/>
    <w:rsid w:val="00C91734"/>
    <w:rsid w:val="00C97430"/>
    <w:rsid w:val="00C97440"/>
    <w:rsid w:val="00CA4D54"/>
    <w:rsid w:val="00CA5A57"/>
    <w:rsid w:val="00CA6B02"/>
    <w:rsid w:val="00CB1BA7"/>
    <w:rsid w:val="00CB32F2"/>
    <w:rsid w:val="00CB67AB"/>
    <w:rsid w:val="00CB6978"/>
    <w:rsid w:val="00CC08C1"/>
    <w:rsid w:val="00CC1D30"/>
    <w:rsid w:val="00CD0B9A"/>
    <w:rsid w:val="00CD1206"/>
    <w:rsid w:val="00CD1DEC"/>
    <w:rsid w:val="00CD26C4"/>
    <w:rsid w:val="00CD3053"/>
    <w:rsid w:val="00CD42F1"/>
    <w:rsid w:val="00CD4B7C"/>
    <w:rsid w:val="00CD60DF"/>
    <w:rsid w:val="00CD61B0"/>
    <w:rsid w:val="00CD7711"/>
    <w:rsid w:val="00CE0933"/>
    <w:rsid w:val="00CE356B"/>
    <w:rsid w:val="00CF2C4B"/>
    <w:rsid w:val="00CF4CE3"/>
    <w:rsid w:val="00D00DED"/>
    <w:rsid w:val="00D02359"/>
    <w:rsid w:val="00D02C1E"/>
    <w:rsid w:val="00D052AC"/>
    <w:rsid w:val="00D05A49"/>
    <w:rsid w:val="00D05D88"/>
    <w:rsid w:val="00D11E82"/>
    <w:rsid w:val="00D1368C"/>
    <w:rsid w:val="00D13CAE"/>
    <w:rsid w:val="00D13FD7"/>
    <w:rsid w:val="00D173CE"/>
    <w:rsid w:val="00D209E8"/>
    <w:rsid w:val="00D23F8A"/>
    <w:rsid w:val="00D244FC"/>
    <w:rsid w:val="00D26046"/>
    <w:rsid w:val="00D301D9"/>
    <w:rsid w:val="00D30BDF"/>
    <w:rsid w:val="00D30DC4"/>
    <w:rsid w:val="00D33626"/>
    <w:rsid w:val="00D34228"/>
    <w:rsid w:val="00D376B1"/>
    <w:rsid w:val="00D41E9F"/>
    <w:rsid w:val="00D431B3"/>
    <w:rsid w:val="00D458DC"/>
    <w:rsid w:val="00D47979"/>
    <w:rsid w:val="00D5479E"/>
    <w:rsid w:val="00D56222"/>
    <w:rsid w:val="00D5637D"/>
    <w:rsid w:val="00D5753E"/>
    <w:rsid w:val="00D61178"/>
    <w:rsid w:val="00D653CA"/>
    <w:rsid w:val="00D671CC"/>
    <w:rsid w:val="00D67D68"/>
    <w:rsid w:val="00D67FEB"/>
    <w:rsid w:val="00D73EB0"/>
    <w:rsid w:val="00D76800"/>
    <w:rsid w:val="00D800FC"/>
    <w:rsid w:val="00D81A7B"/>
    <w:rsid w:val="00D90149"/>
    <w:rsid w:val="00D911E8"/>
    <w:rsid w:val="00D9596F"/>
    <w:rsid w:val="00D97305"/>
    <w:rsid w:val="00DA10BB"/>
    <w:rsid w:val="00DA71B5"/>
    <w:rsid w:val="00DB051E"/>
    <w:rsid w:val="00DB0E18"/>
    <w:rsid w:val="00DB13BB"/>
    <w:rsid w:val="00DB6C0A"/>
    <w:rsid w:val="00DC06BB"/>
    <w:rsid w:val="00DC7CD6"/>
    <w:rsid w:val="00DD1FF6"/>
    <w:rsid w:val="00DD37C3"/>
    <w:rsid w:val="00DE1D1C"/>
    <w:rsid w:val="00DE434D"/>
    <w:rsid w:val="00DE54DE"/>
    <w:rsid w:val="00DF21E7"/>
    <w:rsid w:val="00DF2AA6"/>
    <w:rsid w:val="00DF6190"/>
    <w:rsid w:val="00E004A7"/>
    <w:rsid w:val="00E05F58"/>
    <w:rsid w:val="00E11DFE"/>
    <w:rsid w:val="00E14620"/>
    <w:rsid w:val="00E167E3"/>
    <w:rsid w:val="00E223BF"/>
    <w:rsid w:val="00E27078"/>
    <w:rsid w:val="00E30071"/>
    <w:rsid w:val="00E30BEE"/>
    <w:rsid w:val="00E30FAF"/>
    <w:rsid w:val="00E3102F"/>
    <w:rsid w:val="00E32398"/>
    <w:rsid w:val="00E33746"/>
    <w:rsid w:val="00E3391D"/>
    <w:rsid w:val="00E33A9C"/>
    <w:rsid w:val="00E44561"/>
    <w:rsid w:val="00E44A13"/>
    <w:rsid w:val="00E47335"/>
    <w:rsid w:val="00E514DF"/>
    <w:rsid w:val="00E52F81"/>
    <w:rsid w:val="00E56918"/>
    <w:rsid w:val="00E57AF1"/>
    <w:rsid w:val="00E6226B"/>
    <w:rsid w:val="00E630DF"/>
    <w:rsid w:val="00E656F3"/>
    <w:rsid w:val="00E77D56"/>
    <w:rsid w:val="00E807E6"/>
    <w:rsid w:val="00E82BED"/>
    <w:rsid w:val="00E863F1"/>
    <w:rsid w:val="00E87943"/>
    <w:rsid w:val="00E87BED"/>
    <w:rsid w:val="00E90687"/>
    <w:rsid w:val="00E91204"/>
    <w:rsid w:val="00E9611F"/>
    <w:rsid w:val="00EA0DBA"/>
    <w:rsid w:val="00EA4671"/>
    <w:rsid w:val="00EA59AA"/>
    <w:rsid w:val="00EA637F"/>
    <w:rsid w:val="00EA6617"/>
    <w:rsid w:val="00EA6FEA"/>
    <w:rsid w:val="00EB0032"/>
    <w:rsid w:val="00EB463C"/>
    <w:rsid w:val="00EB76CC"/>
    <w:rsid w:val="00EC1FF1"/>
    <w:rsid w:val="00EC3795"/>
    <w:rsid w:val="00EC4600"/>
    <w:rsid w:val="00EC56E6"/>
    <w:rsid w:val="00EC5ABF"/>
    <w:rsid w:val="00EC7C1C"/>
    <w:rsid w:val="00ED1103"/>
    <w:rsid w:val="00EE251C"/>
    <w:rsid w:val="00EE4B51"/>
    <w:rsid w:val="00EE569F"/>
    <w:rsid w:val="00EE7256"/>
    <w:rsid w:val="00EF20BF"/>
    <w:rsid w:val="00EF2D4A"/>
    <w:rsid w:val="00EF3462"/>
    <w:rsid w:val="00EF75CF"/>
    <w:rsid w:val="00EF7D89"/>
    <w:rsid w:val="00EF7E29"/>
    <w:rsid w:val="00F002F3"/>
    <w:rsid w:val="00F01014"/>
    <w:rsid w:val="00F01313"/>
    <w:rsid w:val="00F02969"/>
    <w:rsid w:val="00F02F67"/>
    <w:rsid w:val="00F04398"/>
    <w:rsid w:val="00F04E5E"/>
    <w:rsid w:val="00F051E4"/>
    <w:rsid w:val="00F0636C"/>
    <w:rsid w:val="00F066B4"/>
    <w:rsid w:val="00F104A2"/>
    <w:rsid w:val="00F16A12"/>
    <w:rsid w:val="00F16E4F"/>
    <w:rsid w:val="00F202D8"/>
    <w:rsid w:val="00F20EF1"/>
    <w:rsid w:val="00F255F1"/>
    <w:rsid w:val="00F329D3"/>
    <w:rsid w:val="00F34AB6"/>
    <w:rsid w:val="00F35A97"/>
    <w:rsid w:val="00F41913"/>
    <w:rsid w:val="00F466E2"/>
    <w:rsid w:val="00F472E0"/>
    <w:rsid w:val="00F4790C"/>
    <w:rsid w:val="00F5042C"/>
    <w:rsid w:val="00F50966"/>
    <w:rsid w:val="00F52D77"/>
    <w:rsid w:val="00F53C5D"/>
    <w:rsid w:val="00F564C6"/>
    <w:rsid w:val="00F61382"/>
    <w:rsid w:val="00F623D5"/>
    <w:rsid w:val="00F63C4D"/>
    <w:rsid w:val="00F67EF4"/>
    <w:rsid w:val="00F71CED"/>
    <w:rsid w:val="00F71E50"/>
    <w:rsid w:val="00F74702"/>
    <w:rsid w:val="00F757AD"/>
    <w:rsid w:val="00F80678"/>
    <w:rsid w:val="00F82072"/>
    <w:rsid w:val="00F84C6C"/>
    <w:rsid w:val="00F85120"/>
    <w:rsid w:val="00F862A5"/>
    <w:rsid w:val="00F86E50"/>
    <w:rsid w:val="00F90353"/>
    <w:rsid w:val="00F91F83"/>
    <w:rsid w:val="00F92EED"/>
    <w:rsid w:val="00F9394A"/>
    <w:rsid w:val="00F940E7"/>
    <w:rsid w:val="00FA1092"/>
    <w:rsid w:val="00FA4146"/>
    <w:rsid w:val="00FA77B7"/>
    <w:rsid w:val="00FB114D"/>
    <w:rsid w:val="00FB2556"/>
    <w:rsid w:val="00FB2774"/>
    <w:rsid w:val="00FB691D"/>
    <w:rsid w:val="00FC4DDC"/>
    <w:rsid w:val="00FD0BFF"/>
    <w:rsid w:val="00FD1625"/>
    <w:rsid w:val="00FD28A7"/>
    <w:rsid w:val="00FD3C88"/>
    <w:rsid w:val="00FD6CEA"/>
    <w:rsid w:val="00FD6DD5"/>
    <w:rsid w:val="00FE2D06"/>
    <w:rsid w:val="00FF5205"/>
    <w:rsid w:val="00FF6B0D"/>
    <w:rsid w:val="00FF7435"/>
    <w:rsid w:val="00FF79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FE03B"/>
  <w15:chartTrackingRefBased/>
  <w15:docId w15:val="{74374090-203D-4DF4-8301-8F498F5F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82A"/>
  </w:style>
  <w:style w:type="paragraph" w:styleId="Ttulo1">
    <w:name w:val="heading 1"/>
    <w:basedOn w:val="Normal"/>
    <w:next w:val="Normal"/>
    <w:link w:val="Ttulo1Car"/>
    <w:uiPriority w:val="9"/>
    <w:qFormat/>
    <w:rsid w:val="0097282A"/>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0E3B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7282A"/>
    <w:rPr>
      <w:rFonts w:asciiTheme="majorHAnsi" w:eastAsiaTheme="majorEastAsia" w:hAnsiTheme="majorHAnsi" w:cstheme="majorBidi"/>
      <w:color w:val="2F5496" w:themeColor="accent1" w:themeShade="BF"/>
      <w:sz w:val="32"/>
      <w:szCs w:val="32"/>
    </w:rPr>
  </w:style>
  <w:style w:type="paragraph" w:styleId="Encabezado">
    <w:name w:val="header"/>
    <w:basedOn w:val="Normal"/>
    <w:link w:val="EncabezadoCar"/>
    <w:rsid w:val="0097282A"/>
    <w:pPr>
      <w:tabs>
        <w:tab w:val="center" w:pos="4419"/>
        <w:tab w:val="right" w:pos="8838"/>
      </w:tabs>
      <w:spacing w:after="0" w:line="240" w:lineRule="auto"/>
    </w:pPr>
    <w:rPr>
      <w:rFonts w:ascii="Calibri" w:eastAsia="Calibri" w:hAnsi="Calibri" w:cs="Times New Roman"/>
      <w:lang w:val="es-ES_tradnl"/>
    </w:rPr>
  </w:style>
  <w:style w:type="character" w:customStyle="1" w:styleId="EncabezadoCar">
    <w:name w:val="Encabezado Car"/>
    <w:basedOn w:val="Fuentedeprrafopredeter"/>
    <w:link w:val="Encabezado"/>
    <w:rsid w:val="0097282A"/>
    <w:rPr>
      <w:rFonts w:ascii="Calibri" w:eastAsia="Calibri" w:hAnsi="Calibri" w:cs="Times New Roman"/>
      <w:lang w:val="es-ES_tradnl"/>
    </w:rPr>
  </w:style>
  <w:style w:type="table" w:customStyle="1" w:styleId="Tablaconcuadrcula1">
    <w:name w:val="Tabla con cuadrícula1"/>
    <w:basedOn w:val="Tablanormal"/>
    <w:next w:val="Tablaconcuadrcula"/>
    <w:uiPriority w:val="39"/>
    <w:rsid w:val="00972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nhideWhenUsed/>
    <w:qFormat/>
    <w:rsid w:val="0097282A"/>
    <w:pPr>
      <w:spacing w:after="0" w:line="240" w:lineRule="auto"/>
    </w:pPr>
    <w:rPr>
      <w:rFonts w:ascii="Calibri" w:eastAsia="Calibri" w:hAnsi="Calibri" w:cs="Times New Roman"/>
      <w:sz w:val="20"/>
      <w:szCs w:val="20"/>
      <w:lang w:val="es-ES_tradnl"/>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qFormat/>
    <w:rsid w:val="0097282A"/>
    <w:rPr>
      <w:rFonts w:ascii="Calibri" w:eastAsia="Calibri" w:hAnsi="Calibri" w:cs="Times New Roman"/>
      <w:sz w:val="20"/>
      <w:szCs w:val="20"/>
      <w:lang w:val="es-ES_tradnl"/>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juli"/>
    <w:basedOn w:val="Fuentedeprrafopredeter"/>
    <w:link w:val="4GChar"/>
    <w:unhideWhenUsed/>
    <w:qFormat/>
    <w:rsid w:val="0097282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97282A"/>
    <w:pPr>
      <w:spacing w:after="0" w:line="240" w:lineRule="auto"/>
      <w:jc w:val="both"/>
    </w:pPr>
    <w:rPr>
      <w:vertAlign w:val="superscript"/>
    </w:rPr>
  </w:style>
  <w:style w:type="character" w:styleId="Hipervnculo">
    <w:name w:val="Hyperlink"/>
    <w:basedOn w:val="Fuentedeprrafopredeter"/>
    <w:uiPriority w:val="99"/>
    <w:unhideWhenUsed/>
    <w:rsid w:val="0097282A"/>
    <w:rPr>
      <w:color w:val="0563C1" w:themeColor="hyperlink"/>
      <w:u w:val="single"/>
    </w:rPr>
  </w:style>
  <w:style w:type="paragraph" w:styleId="Prrafodelista">
    <w:name w:val="List Paragraph"/>
    <w:aliases w:val="CNBV Parrafo1,Párrafo de lista1,Parrafo 1,Lista multicolor - Énfasis 11,Lista vistosa - Énfasis 11,Cuadrícula media 1 - Énfasis 21,List Paragraph-Thesis,Cita texto,Footnote,Lista vistosa - Énfasis 111,Cuadrícula media 1 - Énfasis 211"/>
    <w:basedOn w:val="Normal"/>
    <w:link w:val="PrrafodelistaCar"/>
    <w:uiPriority w:val="34"/>
    <w:qFormat/>
    <w:rsid w:val="0097282A"/>
    <w:pPr>
      <w:spacing w:line="256" w:lineRule="auto"/>
      <w:ind w:left="720"/>
      <w:contextualSpacing/>
    </w:p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Footnote Car"/>
    <w:link w:val="Prrafodelista"/>
    <w:uiPriority w:val="34"/>
    <w:qFormat/>
    <w:locked/>
    <w:rsid w:val="0097282A"/>
  </w:style>
  <w:style w:type="paragraph" w:customStyle="1" w:styleId="numerados">
    <w:name w:val="numerados"/>
    <w:basedOn w:val="Normal"/>
    <w:qFormat/>
    <w:rsid w:val="0097282A"/>
    <w:pPr>
      <w:numPr>
        <w:numId w:val="5"/>
      </w:numPr>
      <w:spacing w:after="240" w:line="360" w:lineRule="auto"/>
      <w:ind w:left="0" w:firstLine="0"/>
      <w:jc w:val="both"/>
    </w:pPr>
    <w:rPr>
      <w:rFonts w:ascii="Univers" w:eastAsia="Times New Roman" w:hAnsi="Univers" w:cs="Times New Roman"/>
      <w:sz w:val="28"/>
      <w:szCs w:val="28"/>
    </w:rPr>
  </w:style>
  <w:style w:type="table" w:styleId="Tablaconcuadrcula">
    <w:name w:val="Table Grid"/>
    <w:basedOn w:val="Tablanormal"/>
    <w:uiPriority w:val="39"/>
    <w:rsid w:val="00972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9728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282A"/>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AB14D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AB14D7"/>
    <w:rPr>
      <w:rFonts w:ascii="Times New Roman" w:eastAsia="Times New Roman" w:hAnsi="Times New Roman" w:cs="Times New Roman"/>
      <w:sz w:val="24"/>
      <w:szCs w:val="24"/>
      <w:lang w:eastAsia="es-MX"/>
    </w:rPr>
  </w:style>
  <w:style w:type="paragraph" w:styleId="TDC1">
    <w:name w:val="toc 1"/>
    <w:basedOn w:val="Normal"/>
    <w:next w:val="Normal"/>
    <w:autoRedefine/>
    <w:uiPriority w:val="39"/>
    <w:unhideWhenUsed/>
    <w:rsid w:val="00300B98"/>
    <w:pPr>
      <w:tabs>
        <w:tab w:val="right" w:leader="dot" w:pos="8263"/>
      </w:tabs>
      <w:spacing w:after="0" w:line="240" w:lineRule="auto"/>
      <w:ind w:left="442" w:hanging="442"/>
      <w:jc w:val="both"/>
    </w:pPr>
    <w:rPr>
      <w:rFonts w:ascii="Calibri" w:eastAsia="Calibri" w:hAnsi="Calibri" w:cs="Times New Roman"/>
      <w:lang w:val="es-ES_tradnl"/>
    </w:rPr>
  </w:style>
  <w:style w:type="paragraph" w:styleId="TDC2">
    <w:name w:val="toc 2"/>
    <w:basedOn w:val="Normal"/>
    <w:next w:val="Normal"/>
    <w:autoRedefine/>
    <w:uiPriority w:val="39"/>
    <w:unhideWhenUsed/>
    <w:rsid w:val="00DB6C0A"/>
    <w:pPr>
      <w:tabs>
        <w:tab w:val="right" w:leader="dot" w:pos="8263"/>
      </w:tabs>
      <w:spacing w:after="100" w:line="276" w:lineRule="auto"/>
      <w:ind w:left="220"/>
      <w:jc w:val="both"/>
    </w:pPr>
    <w:rPr>
      <w:rFonts w:ascii="Calibri" w:eastAsia="Calibri" w:hAnsi="Calibri" w:cs="Times New Roman"/>
      <w:lang w:val="es-ES_tradnl"/>
    </w:rPr>
  </w:style>
  <w:style w:type="paragraph" w:styleId="TDC3">
    <w:name w:val="toc 3"/>
    <w:basedOn w:val="Normal"/>
    <w:next w:val="Normal"/>
    <w:autoRedefine/>
    <w:uiPriority w:val="39"/>
    <w:unhideWhenUsed/>
    <w:rsid w:val="00515CAB"/>
    <w:pPr>
      <w:tabs>
        <w:tab w:val="left" w:pos="1320"/>
        <w:tab w:val="right" w:leader="dot" w:pos="8263"/>
      </w:tabs>
      <w:spacing w:before="40" w:after="40" w:line="240" w:lineRule="auto"/>
      <w:ind w:left="440"/>
      <w:jc w:val="both"/>
    </w:pPr>
    <w:rPr>
      <w:rFonts w:ascii="Calibri" w:eastAsia="Calibri" w:hAnsi="Calibri" w:cs="Times New Roman"/>
      <w:lang w:val="es-ES_tradnl"/>
    </w:rPr>
  </w:style>
  <w:style w:type="paragraph" w:styleId="TDC4">
    <w:name w:val="toc 4"/>
    <w:basedOn w:val="Normal"/>
    <w:next w:val="Normal"/>
    <w:autoRedefine/>
    <w:uiPriority w:val="39"/>
    <w:unhideWhenUsed/>
    <w:rsid w:val="00515CAB"/>
    <w:pPr>
      <w:spacing w:after="100" w:line="276" w:lineRule="auto"/>
      <w:ind w:left="660"/>
    </w:pPr>
    <w:rPr>
      <w:rFonts w:ascii="Calibri" w:eastAsia="Calibri" w:hAnsi="Calibri" w:cs="Times New Roman"/>
      <w:lang w:val="es-ES_tradnl"/>
    </w:rPr>
  </w:style>
  <w:style w:type="character" w:customStyle="1" w:styleId="SinespaciadoCar">
    <w:name w:val="Sin espaciado Car"/>
    <w:basedOn w:val="Fuentedeprrafopredeter"/>
    <w:link w:val="Sinespaciado"/>
    <w:uiPriority w:val="1"/>
    <w:locked/>
    <w:rsid w:val="007F4038"/>
    <w:rPr>
      <w:rFonts w:ascii="Arial" w:hAnsi="Arial" w:cs="Arial"/>
      <w:sz w:val="18"/>
      <w:szCs w:val="24"/>
    </w:rPr>
  </w:style>
  <w:style w:type="paragraph" w:styleId="Sinespaciado">
    <w:name w:val="No Spacing"/>
    <w:basedOn w:val="Normal"/>
    <w:link w:val="SinespaciadoCar"/>
    <w:uiPriority w:val="1"/>
    <w:qFormat/>
    <w:rsid w:val="007F4038"/>
    <w:pPr>
      <w:spacing w:after="0" w:line="240" w:lineRule="auto"/>
      <w:jc w:val="both"/>
    </w:pPr>
    <w:rPr>
      <w:rFonts w:ascii="Arial" w:hAnsi="Arial" w:cs="Arial"/>
      <w:sz w:val="18"/>
      <w:szCs w:val="24"/>
    </w:rPr>
  </w:style>
  <w:style w:type="character" w:styleId="Refdecomentario">
    <w:name w:val="annotation reference"/>
    <w:basedOn w:val="Fuentedeprrafopredeter"/>
    <w:uiPriority w:val="99"/>
    <w:semiHidden/>
    <w:unhideWhenUsed/>
    <w:rsid w:val="004D4BE5"/>
    <w:rPr>
      <w:sz w:val="16"/>
      <w:szCs w:val="16"/>
    </w:rPr>
  </w:style>
  <w:style w:type="paragraph" w:styleId="Textocomentario">
    <w:name w:val="annotation text"/>
    <w:basedOn w:val="Normal"/>
    <w:link w:val="TextocomentarioCar"/>
    <w:uiPriority w:val="99"/>
    <w:semiHidden/>
    <w:unhideWhenUsed/>
    <w:rsid w:val="004D4B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D4BE5"/>
    <w:rPr>
      <w:sz w:val="20"/>
      <w:szCs w:val="20"/>
    </w:rPr>
  </w:style>
  <w:style w:type="paragraph" w:styleId="Asuntodelcomentario">
    <w:name w:val="annotation subject"/>
    <w:basedOn w:val="Textocomentario"/>
    <w:next w:val="Textocomentario"/>
    <w:link w:val="AsuntodelcomentarioCar"/>
    <w:uiPriority w:val="99"/>
    <w:semiHidden/>
    <w:unhideWhenUsed/>
    <w:rsid w:val="004D4BE5"/>
    <w:rPr>
      <w:b/>
      <w:bCs/>
    </w:rPr>
  </w:style>
  <w:style w:type="character" w:customStyle="1" w:styleId="AsuntodelcomentarioCar">
    <w:name w:val="Asunto del comentario Car"/>
    <w:basedOn w:val="TextocomentarioCar"/>
    <w:link w:val="Asuntodelcomentario"/>
    <w:uiPriority w:val="99"/>
    <w:semiHidden/>
    <w:rsid w:val="004D4BE5"/>
    <w:rPr>
      <w:b/>
      <w:bCs/>
      <w:sz w:val="20"/>
      <w:szCs w:val="20"/>
    </w:rPr>
  </w:style>
  <w:style w:type="paragraph" w:styleId="Textodeglobo">
    <w:name w:val="Balloon Text"/>
    <w:basedOn w:val="Normal"/>
    <w:link w:val="TextodegloboCar"/>
    <w:uiPriority w:val="99"/>
    <w:semiHidden/>
    <w:unhideWhenUsed/>
    <w:rsid w:val="004D4B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E5"/>
    <w:rPr>
      <w:rFonts w:ascii="Segoe UI" w:hAnsi="Segoe UI" w:cs="Segoe UI"/>
      <w:sz w:val="18"/>
      <w:szCs w:val="18"/>
    </w:rPr>
  </w:style>
  <w:style w:type="paragraph" w:customStyle="1" w:styleId="Default">
    <w:name w:val="Default"/>
    <w:rsid w:val="00D9596F"/>
    <w:pPr>
      <w:autoSpaceDE w:val="0"/>
      <w:autoSpaceDN w:val="0"/>
      <w:adjustRightInd w:val="0"/>
      <w:spacing w:after="0" w:line="240" w:lineRule="auto"/>
    </w:pPr>
    <w:rPr>
      <w:rFonts w:ascii="Arial" w:hAnsi="Arial" w:cs="Arial"/>
      <w:color w:val="000000"/>
      <w:sz w:val="24"/>
      <w:szCs w:val="24"/>
    </w:rPr>
  </w:style>
  <w:style w:type="character" w:customStyle="1" w:styleId="Ttulo2Car">
    <w:name w:val="Título 2 Car"/>
    <w:basedOn w:val="Fuentedeprrafopredeter"/>
    <w:link w:val="Ttulo2"/>
    <w:uiPriority w:val="9"/>
    <w:rsid w:val="000E3B6E"/>
    <w:rPr>
      <w:rFonts w:asciiTheme="majorHAnsi" w:eastAsiaTheme="majorEastAsia" w:hAnsiTheme="majorHAnsi" w:cstheme="majorBidi"/>
      <w:color w:val="2F5496" w:themeColor="accent1" w:themeShade="BF"/>
      <w:sz w:val="26"/>
      <w:szCs w:val="26"/>
    </w:rPr>
  </w:style>
  <w:style w:type="paragraph" w:customStyle="1" w:styleId="Estilo1">
    <w:name w:val="Estilo1"/>
    <w:basedOn w:val="Normal"/>
    <w:qFormat/>
    <w:rsid w:val="00FC4DDC"/>
    <w:pPr>
      <w:numPr>
        <w:numId w:val="21"/>
      </w:numPr>
      <w:spacing w:before="160" w:line="360" w:lineRule="auto"/>
      <w:jc w:val="both"/>
    </w:pPr>
    <w:rPr>
      <w:rFonts w:ascii="Arial" w:eastAsia="Times New Roman" w:hAnsi="Arial" w:cs="Arial"/>
      <w:sz w:val="28"/>
      <w:szCs w:val="28"/>
      <w:lang w:eastAsia="es-ES"/>
    </w:rPr>
  </w:style>
  <w:style w:type="character" w:styleId="Textoennegrita">
    <w:name w:val="Strong"/>
    <w:uiPriority w:val="22"/>
    <w:qFormat/>
    <w:rsid w:val="008906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9617">
      <w:bodyDiv w:val="1"/>
      <w:marLeft w:val="0"/>
      <w:marRight w:val="0"/>
      <w:marTop w:val="0"/>
      <w:marBottom w:val="0"/>
      <w:divBdr>
        <w:top w:val="none" w:sz="0" w:space="0" w:color="auto"/>
        <w:left w:val="none" w:sz="0" w:space="0" w:color="auto"/>
        <w:bottom w:val="none" w:sz="0" w:space="0" w:color="auto"/>
        <w:right w:val="none" w:sz="0" w:space="0" w:color="auto"/>
      </w:divBdr>
    </w:div>
    <w:div w:id="26957279">
      <w:bodyDiv w:val="1"/>
      <w:marLeft w:val="0"/>
      <w:marRight w:val="0"/>
      <w:marTop w:val="0"/>
      <w:marBottom w:val="0"/>
      <w:divBdr>
        <w:top w:val="none" w:sz="0" w:space="0" w:color="auto"/>
        <w:left w:val="none" w:sz="0" w:space="0" w:color="auto"/>
        <w:bottom w:val="none" w:sz="0" w:space="0" w:color="auto"/>
        <w:right w:val="none" w:sz="0" w:space="0" w:color="auto"/>
      </w:divBdr>
    </w:div>
    <w:div w:id="80301912">
      <w:bodyDiv w:val="1"/>
      <w:marLeft w:val="0"/>
      <w:marRight w:val="0"/>
      <w:marTop w:val="0"/>
      <w:marBottom w:val="0"/>
      <w:divBdr>
        <w:top w:val="none" w:sz="0" w:space="0" w:color="auto"/>
        <w:left w:val="none" w:sz="0" w:space="0" w:color="auto"/>
        <w:bottom w:val="none" w:sz="0" w:space="0" w:color="auto"/>
        <w:right w:val="none" w:sz="0" w:space="0" w:color="auto"/>
      </w:divBdr>
    </w:div>
    <w:div w:id="86734291">
      <w:bodyDiv w:val="1"/>
      <w:marLeft w:val="0"/>
      <w:marRight w:val="0"/>
      <w:marTop w:val="0"/>
      <w:marBottom w:val="0"/>
      <w:divBdr>
        <w:top w:val="none" w:sz="0" w:space="0" w:color="auto"/>
        <w:left w:val="none" w:sz="0" w:space="0" w:color="auto"/>
        <w:bottom w:val="none" w:sz="0" w:space="0" w:color="auto"/>
        <w:right w:val="none" w:sz="0" w:space="0" w:color="auto"/>
      </w:divBdr>
    </w:div>
    <w:div w:id="87115381">
      <w:bodyDiv w:val="1"/>
      <w:marLeft w:val="0"/>
      <w:marRight w:val="0"/>
      <w:marTop w:val="0"/>
      <w:marBottom w:val="0"/>
      <w:divBdr>
        <w:top w:val="none" w:sz="0" w:space="0" w:color="auto"/>
        <w:left w:val="none" w:sz="0" w:space="0" w:color="auto"/>
        <w:bottom w:val="none" w:sz="0" w:space="0" w:color="auto"/>
        <w:right w:val="none" w:sz="0" w:space="0" w:color="auto"/>
      </w:divBdr>
    </w:div>
    <w:div w:id="101609735">
      <w:bodyDiv w:val="1"/>
      <w:marLeft w:val="0"/>
      <w:marRight w:val="0"/>
      <w:marTop w:val="0"/>
      <w:marBottom w:val="0"/>
      <w:divBdr>
        <w:top w:val="none" w:sz="0" w:space="0" w:color="auto"/>
        <w:left w:val="none" w:sz="0" w:space="0" w:color="auto"/>
        <w:bottom w:val="none" w:sz="0" w:space="0" w:color="auto"/>
        <w:right w:val="none" w:sz="0" w:space="0" w:color="auto"/>
      </w:divBdr>
    </w:div>
    <w:div w:id="123085149">
      <w:bodyDiv w:val="1"/>
      <w:marLeft w:val="0"/>
      <w:marRight w:val="0"/>
      <w:marTop w:val="0"/>
      <w:marBottom w:val="0"/>
      <w:divBdr>
        <w:top w:val="none" w:sz="0" w:space="0" w:color="auto"/>
        <w:left w:val="none" w:sz="0" w:space="0" w:color="auto"/>
        <w:bottom w:val="none" w:sz="0" w:space="0" w:color="auto"/>
        <w:right w:val="none" w:sz="0" w:space="0" w:color="auto"/>
      </w:divBdr>
    </w:div>
    <w:div w:id="125203301">
      <w:bodyDiv w:val="1"/>
      <w:marLeft w:val="0"/>
      <w:marRight w:val="0"/>
      <w:marTop w:val="0"/>
      <w:marBottom w:val="0"/>
      <w:divBdr>
        <w:top w:val="none" w:sz="0" w:space="0" w:color="auto"/>
        <w:left w:val="none" w:sz="0" w:space="0" w:color="auto"/>
        <w:bottom w:val="none" w:sz="0" w:space="0" w:color="auto"/>
        <w:right w:val="none" w:sz="0" w:space="0" w:color="auto"/>
      </w:divBdr>
    </w:div>
    <w:div w:id="308633529">
      <w:bodyDiv w:val="1"/>
      <w:marLeft w:val="0"/>
      <w:marRight w:val="0"/>
      <w:marTop w:val="0"/>
      <w:marBottom w:val="0"/>
      <w:divBdr>
        <w:top w:val="none" w:sz="0" w:space="0" w:color="auto"/>
        <w:left w:val="none" w:sz="0" w:space="0" w:color="auto"/>
        <w:bottom w:val="none" w:sz="0" w:space="0" w:color="auto"/>
        <w:right w:val="none" w:sz="0" w:space="0" w:color="auto"/>
      </w:divBdr>
    </w:div>
    <w:div w:id="406653726">
      <w:bodyDiv w:val="1"/>
      <w:marLeft w:val="0"/>
      <w:marRight w:val="0"/>
      <w:marTop w:val="0"/>
      <w:marBottom w:val="0"/>
      <w:divBdr>
        <w:top w:val="none" w:sz="0" w:space="0" w:color="auto"/>
        <w:left w:val="none" w:sz="0" w:space="0" w:color="auto"/>
        <w:bottom w:val="none" w:sz="0" w:space="0" w:color="auto"/>
        <w:right w:val="none" w:sz="0" w:space="0" w:color="auto"/>
      </w:divBdr>
    </w:div>
    <w:div w:id="478571498">
      <w:bodyDiv w:val="1"/>
      <w:marLeft w:val="0"/>
      <w:marRight w:val="0"/>
      <w:marTop w:val="0"/>
      <w:marBottom w:val="0"/>
      <w:divBdr>
        <w:top w:val="none" w:sz="0" w:space="0" w:color="auto"/>
        <w:left w:val="none" w:sz="0" w:space="0" w:color="auto"/>
        <w:bottom w:val="none" w:sz="0" w:space="0" w:color="auto"/>
        <w:right w:val="none" w:sz="0" w:space="0" w:color="auto"/>
      </w:divBdr>
    </w:div>
    <w:div w:id="492835274">
      <w:bodyDiv w:val="1"/>
      <w:marLeft w:val="0"/>
      <w:marRight w:val="0"/>
      <w:marTop w:val="0"/>
      <w:marBottom w:val="0"/>
      <w:divBdr>
        <w:top w:val="none" w:sz="0" w:space="0" w:color="auto"/>
        <w:left w:val="none" w:sz="0" w:space="0" w:color="auto"/>
        <w:bottom w:val="none" w:sz="0" w:space="0" w:color="auto"/>
        <w:right w:val="none" w:sz="0" w:space="0" w:color="auto"/>
      </w:divBdr>
    </w:div>
    <w:div w:id="510533293">
      <w:bodyDiv w:val="1"/>
      <w:marLeft w:val="0"/>
      <w:marRight w:val="0"/>
      <w:marTop w:val="0"/>
      <w:marBottom w:val="0"/>
      <w:divBdr>
        <w:top w:val="none" w:sz="0" w:space="0" w:color="auto"/>
        <w:left w:val="none" w:sz="0" w:space="0" w:color="auto"/>
        <w:bottom w:val="none" w:sz="0" w:space="0" w:color="auto"/>
        <w:right w:val="none" w:sz="0" w:space="0" w:color="auto"/>
      </w:divBdr>
    </w:div>
    <w:div w:id="545065923">
      <w:bodyDiv w:val="1"/>
      <w:marLeft w:val="0"/>
      <w:marRight w:val="0"/>
      <w:marTop w:val="0"/>
      <w:marBottom w:val="0"/>
      <w:divBdr>
        <w:top w:val="none" w:sz="0" w:space="0" w:color="auto"/>
        <w:left w:val="none" w:sz="0" w:space="0" w:color="auto"/>
        <w:bottom w:val="none" w:sz="0" w:space="0" w:color="auto"/>
        <w:right w:val="none" w:sz="0" w:space="0" w:color="auto"/>
      </w:divBdr>
    </w:div>
    <w:div w:id="560018486">
      <w:bodyDiv w:val="1"/>
      <w:marLeft w:val="0"/>
      <w:marRight w:val="0"/>
      <w:marTop w:val="0"/>
      <w:marBottom w:val="0"/>
      <w:divBdr>
        <w:top w:val="none" w:sz="0" w:space="0" w:color="auto"/>
        <w:left w:val="none" w:sz="0" w:space="0" w:color="auto"/>
        <w:bottom w:val="none" w:sz="0" w:space="0" w:color="auto"/>
        <w:right w:val="none" w:sz="0" w:space="0" w:color="auto"/>
      </w:divBdr>
    </w:div>
    <w:div w:id="571741785">
      <w:bodyDiv w:val="1"/>
      <w:marLeft w:val="0"/>
      <w:marRight w:val="0"/>
      <w:marTop w:val="0"/>
      <w:marBottom w:val="0"/>
      <w:divBdr>
        <w:top w:val="none" w:sz="0" w:space="0" w:color="auto"/>
        <w:left w:val="none" w:sz="0" w:space="0" w:color="auto"/>
        <w:bottom w:val="none" w:sz="0" w:space="0" w:color="auto"/>
        <w:right w:val="none" w:sz="0" w:space="0" w:color="auto"/>
      </w:divBdr>
    </w:div>
    <w:div w:id="581257830">
      <w:bodyDiv w:val="1"/>
      <w:marLeft w:val="0"/>
      <w:marRight w:val="0"/>
      <w:marTop w:val="0"/>
      <w:marBottom w:val="0"/>
      <w:divBdr>
        <w:top w:val="none" w:sz="0" w:space="0" w:color="auto"/>
        <w:left w:val="none" w:sz="0" w:space="0" w:color="auto"/>
        <w:bottom w:val="none" w:sz="0" w:space="0" w:color="auto"/>
        <w:right w:val="none" w:sz="0" w:space="0" w:color="auto"/>
      </w:divBdr>
    </w:div>
    <w:div w:id="608126181">
      <w:bodyDiv w:val="1"/>
      <w:marLeft w:val="0"/>
      <w:marRight w:val="0"/>
      <w:marTop w:val="0"/>
      <w:marBottom w:val="0"/>
      <w:divBdr>
        <w:top w:val="none" w:sz="0" w:space="0" w:color="auto"/>
        <w:left w:val="none" w:sz="0" w:space="0" w:color="auto"/>
        <w:bottom w:val="none" w:sz="0" w:space="0" w:color="auto"/>
        <w:right w:val="none" w:sz="0" w:space="0" w:color="auto"/>
      </w:divBdr>
    </w:div>
    <w:div w:id="651640178">
      <w:bodyDiv w:val="1"/>
      <w:marLeft w:val="0"/>
      <w:marRight w:val="0"/>
      <w:marTop w:val="0"/>
      <w:marBottom w:val="0"/>
      <w:divBdr>
        <w:top w:val="none" w:sz="0" w:space="0" w:color="auto"/>
        <w:left w:val="none" w:sz="0" w:space="0" w:color="auto"/>
        <w:bottom w:val="none" w:sz="0" w:space="0" w:color="auto"/>
        <w:right w:val="none" w:sz="0" w:space="0" w:color="auto"/>
      </w:divBdr>
    </w:div>
    <w:div w:id="661279710">
      <w:bodyDiv w:val="1"/>
      <w:marLeft w:val="0"/>
      <w:marRight w:val="0"/>
      <w:marTop w:val="0"/>
      <w:marBottom w:val="0"/>
      <w:divBdr>
        <w:top w:val="none" w:sz="0" w:space="0" w:color="auto"/>
        <w:left w:val="none" w:sz="0" w:space="0" w:color="auto"/>
        <w:bottom w:val="none" w:sz="0" w:space="0" w:color="auto"/>
        <w:right w:val="none" w:sz="0" w:space="0" w:color="auto"/>
      </w:divBdr>
    </w:div>
    <w:div w:id="702023295">
      <w:bodyDiv w:val="1"/>
      <w:marLeft w:val="0"/>
      <w:marRight w:val="0"/>
      <w:marTop w:val="0"/>
      <w:marBottom w:val="0"/>
      <w:divBdr>
        <w:top w:val="none" w:sz="0" w:space="0" w:color="auto"/>
        <w:left w:val="none" w:sz="0" w:space="0" w:color="auto"/>
        <w:bottom w:val="none" w:sz="0" w:space="0" w:color="auto"/>
        <w:right w:val="none" w:sz="0" w:space="0" w:color="auto"/>
      </w:divBdr>
    </w:div>
    <w:div w:id="733773021">
      <w:bodyDiv w:val="1"/>
      <w:marLeft w:val="0"/>
      <w:marRight w:val="0"/>
      <w:marTop w:val="0"/>
      <w:marBottom w:val="0"/>
      <w:divBdr>
        <w:top w:val="none" w:sz="0" w:space="0" w:color="auto"/>
        <w:left w:val="none" w:sz="0" w:space="0" w:color="auto"/>
        <w:bottom w:val="none" w:sz="0" w:space="0" w:color="auto"/>
        <w:right w:val="none" w:sz="0" w:space="0" w:color="auto"/>
      </w:divBdr>
    </w:div>
    <w:div w:id="743144110">
      <w:bodyDiv w:val="1"/>
      <w:marLeft w:val="0"/>
      <w:marRight w:val="0"/>
      <w:marTop w:val="0"/>
      <w:marBottom w:val="0"/>
      <w:divBdr>
        <w:top w:val="none" w:sz="0" w:space="0" w:color="auto"/>
        <w:left w:val="none" w:sz="0" w:space="0" w:color="auto"/>
        <w:bottom w:val="none" w:sz="0" w:space="0" w:color="auto"/>
        <w:right w:val="none" w:sz="0" w:space="0" w:color="auto"/>
      </w:divBdr>
    </w:div>
    <w:div w:id="768433856">
      <w:bodyDiv w:val="1"/>
      <w:marLeft w:val="0"/>
      <w:marRight w:val="0"/>
      <w:marTop w:val="0"/>
      <w:marBottom w:val="0"/>
      <w:divBdr>
        <w:top w:val="none" w:sz="0" w:space="0" w:color="auto"/>
        <w:left w:val="none" w:sz="0" w:space="0" w:color="auto"/>
        <w:bottom w:val="none" w:sz="0" w:space="0" w:color="auto"/>
        <w:right w:val="none" w:sz="0" w:space="0" w:color="auto"/>
      </w:divBdr>
    </w:div>
    <w:div w:id="866335807">
      <w:bodyDiv w:val="1"/>
      <w:marLeft w:val="0"/>
      <w:marRight w:val="0"/>
      <w:marTop w:val="0"/>
      <w:marBottom w:val="0"/>
      <w:divBdr>
        <w:top w:val="none" w:sz="0" w:space="0" w:color="auto"/>
        <w:left w:val="none" w:sz="0" w:space="0" w:color="auto"/>
        <w:bottom w:val="none" w:sz="0" w:space="0" w:color="auto"/>
        <w:right w:val="none" w:sz="0" w:space="0" w:color="auto"/>
      </w:divBdr>
    </w:div>
    <w:div w:id="876743102">
      <w:bodyDiv w:val="1"/>
      <w:marLeft w:val="0"/>
      <w:marRight w:val="0"/>
      <w:marTop w:val="0"/>
      <w:marBottom w:val="0"/>
      <w:divBdr>
        <w:top w:val="none" w:sz="0" w:space="0" w:color="auto"/>
        <w:left w:val="none" w:sz="0" w:space="0" w:color="auto"/>
        <w:bottom w:val="none" w:sz="0" w:space="0" w:color="auto"/>
        <w:right w:val="none" w:sz="0" w:space="0" w:color="auto"/>
      </w:divBdr>
    </w:div>
    <w:div w:id="925918011">
      <w:bodyDiv w:val="1"/>
      <w:marLeft w:val="0"/>
      <w:marRight w:val="0"/>
      <w:marTop w:val="0"/>
      <w:marBottom w:val="0"/>
      <w:divBdr>
        <w:top w:val="none" w:sz="0" w:space="0" w:color="auto"/>
        <w:left w:val="none" w:sz="0" w:space="0" w:color="auto"/>
        <w:bottom w:val="none" w:sz="0" w:space="0" w:color="auto"/>
        <w:right w:val="none" w:sz="0" w:space="0" w:color="auto"/>
      </w:divBdr>
    </w:div>
    <w:div w:id="959990314">
      <w:bodyDiv w:val="1"/>
      <w:marLeft w:val="0"/>
      <w:marRight w:val="0"/>
      <w:marTop w:val="0"/>
      <w:marBottom w:val="0"/>
      <w:divBdr>
        <w:top w:val="none" w:sz="0" w:space="0" w:color="auto"/>
        <w:left w:val="none" w:sz="0" w:space="0" w:color="auto"/>
        <w:bottom w:val="none" w:sz="0" w:space="0" w:color="auto"/>
        <w:right w:val="none" w:sz="0" w:space="0" w:color="auto"/>
      </w:divBdr>
    </w:div>
    <w:div w:id="986857202">
      <w:bodyDiv w:val="1"/>
      <w:marLeft w:val="0"/>
      <w:marRight w:val="0"/>
      <w:marTop w:val="0"/>
      <w:marBottom w:val="0"/>
      <w:divBdr>
        <w:top w:val="none" w:sz="0" w:space="0" w:color="auto"/>
        <w:left w:val="none" w:sz="0" w:space="0" w:color="auto"/>
        <w:bottom w:val="none" w:sz="0" w:space="0" w:color="auto"/>
        <w:right w:val="none" w:sz="0" w:space="0" w:color="auto"/>
      </w:divBdr>
    </w:div>
    <w:div w:id="1007485350">
      <w:bodyDiv w:val="1"/>
      <w:marLeft w:val="0"/>
      <w:marRight w:val="0"/>
      <w:marTop w:val="0"/>
      <w:marBottom w:val="0"/>
      <w:divBdr>
        <w:top w:val="none" w:sz="0" w:space="0" w:color="auto"/>
        <w:left w:val="none" w:sz="0" w:space="0" w:color="auto"/>
        <w:bottom w:val="none" w:sz="0" w:space="0" w:color="auto"/>
        <w:right w:val="none" w:sz="0" w:space="0" w:color="auto"/>
      </w:divBdr>
    </w:div>
    <w:div w:id="1018655897">
      <w:bodyDiv w:val="1"/>
      <w:marLeft w:val="0"/>
      <w:marRight w:val="0"/>
      <w:marTop w:val="0"/>
      <w:marBottom w:val="0"/>
      <w:divBdr>
        <w:top w:val="none" w:sz="0" w:space="0" w:color="auto"/>
        <w:left w:val="none" w:sz="0" w:space="0" w:color="auto"/>
        <w:bottom w:val="none" w:sz="0" w:space="0" w:color="auto"/>
        <w:right w:val="none" w:sz="0" w:space="0" w:color="auto"/>
      </w:divBdr>
    </w:div>
    <w:div w:id="1063992179">
      <w:bodyDiv w:val="1"/>
      <w:marLeft w:val="0"/>
      <w:marRight w:val="0"/>
      <w:marTop w:val="0"/>
      <w:marBottom w:val="0"/>
      <w:divBdr>
        <w:top w:val="none" w:sz="0" w:space="0" w:color="auto"/>
        <w:left w:val="none" w:sz="0" w:space="0" w:color="auto"/>
        <w:bottom w:val="none" w:sz="0" w:space="0" w:color="auto"/>
        <w:right w:val="none" w:sz="0" w:space="0" w:color="auto"/>
      </w:divBdr>
    </w:div>
    <w:div w:id="1127243213">
      <w:bodyDiv w:val="1"/>
      <w:marLeft w:val="0"/>
      <w:marRight w:val="0"/>
      <w:marTop w:val="0"/>
      <w:marBottom w:val="0"/>
      <w:divBdr>
        <w:top w:val="none" w:sz="0" w:space="0" w:color="auto"/>
        <w:left w:val="none" w:sz="0" w:space="0" w:color="auto"/>
        <w:bottom w:val="none" w:sz="0" w:space="0" w:color="auto"/>
        <w:right w:val="none" w:sz="0" w:space="0" w:color="auto"/>
      </w:divBdr>
    </w:div>
    <w:div w:id="1191525847">
      <w:bodyDiv w:val="1"/>
      <w:marLeft w:val="0"/>
      <w:marRight w:val="0"/>
      <w:marTop w:val="0"/>
      <w:marBottom w:val="0"/>
      <w:divBdr>
        <w:top w:val="none" w:sz="0" w:space="0" w:color="auto"/>
        <w:left w:val="none" w:sz="0" w:space="0" w:color="auto"/>
        <w:bottom w:val="none" w:sz="0" w:space="0" w:color="auto"/>
        <w:right w:val="none" w:sz="0" w:space="0" w:color="auto"/>
      </w:divBdr>
    </w:div>
    <w:div w:id="1198784751">
      <w:bodyDiv w:val="1"/>
      <w:marLeft w:val="0"/>
      <w:marRight w:val="0"/>
      <w:marTop w:val="0"/>
      <w:marBottom w:val="0"/>
      <w:divBdr>
        <w:top w:val="none" w:sz="0" w:space="0" w:color="auto"/>
        <w:left w:val="none" w:sz="0" w:space="0" w:color="auto"/>
        <w:bottom w:val="none" w:sz="0" w:space="0" w:color="auto"/>
        <w:right w:val="none" w:sz="0" w:space="0" w:color="auto"/>
      </w:divBdr>
      <w:divsChild>
        <w:div w:id="2069574403">
          <w:marLeft w:val="0"/>
          <w:marRight w:val="0"/>
          <w:marTop w:val="0"/>
          <w:marBottom w:val="0"/>
          <w:divBdr>
            <w:top w:val="none" w:sz="0" w:space="0" w:color="auto"/>
            <w:left w:val="none" w:sz="0" w:space="0" w:color="auto"/>
            <w:bottom w:val="none" w:sz="0" w:space="0" w:color="auto"/>
            <w:right w:val="none" w:sz="0" w:space="0" w:color="auto"/>
          </w:divBdr>
        </w:div>
      </w:divsChild>
    </w:div>
    <w:div w:id="1215507528">
      <w:bodyDiv w:val="1"/>
      <w:marLeft w:val="0"/>
      <w:marRight w:val="0"/>
      <w:marTop w:val="0"/>
      <w:marBottom w:val="0"/>
      <w:divBdr>
        <w:top w:val="none" w:sz="0" w:space="0" w:color="auto"/>
        <w:left w:val="none" w:sz="0" w:space="0" w:color="auto"/>
        <w:bottom w:val="none" w:sz="0" w:space="0" w:color="auto"/>
        <w:right w:val="none" w:sz="0" w:space="0" w:color="auto"/>
      </w:divBdr>
    </w:div>
    <w:div w:id="1306007873">
      <w:bodyDiv w:val="1"/>
      <w:marLeft w:val="0"/>
      <w:marRight w:val="0"/>
      <w:marTop w:val="0"/>
      <w:marBottom w:val="0"/>
      <w:divBdr>
        <w:top w:val="none" w:sz="0" w:space="0" w:color="auto"/>
        <w:left w:val="none" w:sz="0" w:space="0" w:color="auto"/>
        <w:bottom w:val="none" w:sz="0" w:space="0" w:color="auto"/>
        <w:right w:val="none" w:sz="0" w:space="0" w:color="auto"/>
      </w:divBdr>
    </w:div>
    <w:div w:id="1312179093">
      <w:bodyDiv w:val="1"/>
      <w:marLeft w:val="0"/>
      <w:marRight w:val="0"/>
      <w:marTop w:val="0"/>
      <w:marBottom w:val="0"/>
      <w:divBdr>
        <w:top w:val="none" w:sz="0" w:space="0" w:color="auto"/>
        <w:left w:val="none" w:sz="0" w:space="0" w:color="auto"/>
        <w:bottom w:val="none" w:sz="0" w:space="0" w:color="auto"/>
        <w:right w:val="none" w:sz="0" w:space="0" w:color="auto"/>
      </w:divBdr>
    </w:div>
    <w:div w:id="1335231196">
      <w:bodyDiv w:val="1"/>
      <w:marLeft w:val="0"/>
      <w:marRight w:val="0"/>
      <w:marTop w:val="0"/>
      <w:marBottom w:val="0"/>
      <w:divBdr>
        <w:top w:val="none" w:sz="0" w:space="0" w:color="auto"/>
        <w:left w:val="none" w:sz="0" w:space="0" w:color="auto"/>
        <w:bottom w:val="none" w:sz="0" w:space="0" w:color="auto"/>
        <w:right w:val="none" w:sz="0" w:space="0" w:color="auto"/>
      </w:divBdr>
    </w:div>
    <w:div w:id="1342852472">
      <w:bodyDiv w:val="1"/>
      <w:marLeft w:val="0"/>
      <w:marRight w:val="0"/>
      <w:marTop w:val="0"/>
      <w:marBottom w:val="0"/>
      <w:divBdr>
        <w:top w:val="none" w:sz="0" w:space="0" w:color="auto"/>
        <w:left w:val="none" w:sz="0" w:space="0" w:color="auto"/>
        <w:bottom w:val="none" w:sz="0" w:space="0" w:color="auto"/>
        <w:right w:val="none" w:sz="0" w:space="0" w:color="auto"/>
      </w:divBdr>
    </w:div>
    <w:div w:id="1346979257">
      <w:bodyDiv w:val="1"/>
      <w:marLeft w:val="0"/>
      <w:marRight w:val="0"/>
      <w:marTop w:val="0"/>
      <w:marBottom w:val="0"/>
      <w:divBdr>
        <w:top w:val="none" w:sz="0" w:space="0" w:color="auto"/>
        <w:left w:val="none" w:sz="0" w:space="0" w:color="auto"/>
        <w:bottom w:val="none" w:sz="0" w:space="0" w:color="auto"/>
        <w:right w:val="none" w:sz="0" w:space="0" w:color="auto"/>
      </w:divBdr>
    </w:div>
    <w:div w:id="1383139887">
      <w:bodyDiv w:val="1"/>
      <w:marLeft w:val="0"/>
      <w:marRight w:val="0"/>
      <w:marTop w:val="0"/>
      <w:marBottom w:val="0"/>
      <w:divBdr>
        <w:top w:val="none" w:sz="0" w:space="0" w:color="auto"/>
        <w:left w:val="none" w:sz="0" w:space="0" w:color="auto"/>
        <w:bottom w:val="none" w:sz="0" w:space="0" w:color="auto"/>
        <w:right w:val="none" w:sz="0" w:space="0" w:color="auto"/>
      </w:divBdr>
    </w:div>
    <w:div w:id="1426879680">
      <w:bodyDiv w:val="1"/>
      <w:marLeft w:val="0"/>
      <w:marRight w:val="0"/>
      <w:marTop w:val="0"/>
      <w:marBottom w:val="0"/>
      <w:divBdr>
        <w:top w:val="none" w:sz="0" w:space="0" w:color="auto"/>
        <w:left w:val="none" w:sz="0" w:space="0" w:color="auto"/>
        <w:bottom w:val="none" w:sz="0" w:space="0" w:color="auto"/>
        <w:right w:val="none" w:sz="0" w:space="0" w:color="auto"/>
      </w:divBdr>
    </w:div>
    <w:div w:id="1626963843">
      <w:bodyDiv w:val="1"/>
      <w:marLeft w:val="0"/>
      <w:marRight w:val="0"/>
      <w:marTop w:val="0"/>
      <w:marBottom w:val="0"/>
      <w:divBdr>
        <w:top w:val="none" w:sz="0" w:space="0" w:color="auto"/>
        <w:left w:val="none" w:sz="0" w:space="0" w:color="auto"/>
        <w:bottom w:val="none" w:sz="0" w:space="0" w:color="auto"/>
        <w:right w:val="none" w:sz="0" w:space="0" w:color="auto"/>
      </w:divBdr>
    </w:div>
    <w:div w:id="1627660315">
      <w:bodyDiv w:val="1"/>
      <w:marLeft w:val="0"/>
      <w:marRight w:val="0"/>
      <w:marTop w:val="0"/>
      <w:marBottom w:val="0"/>
      <w:divBdr>
        <w:top w:val="none" w:sz="0" w:space="0" w:color="auto"/>
        <w:left w:val="none" w:sz="0" w:space="0" w:color="auto"/>
        <w:bottom w:val="none" w:sz="0" w:space="0" w:color="auto"/>
        <w:right w:val="none" w:sz="0" w:space="0" w:color="auto"/>
      </w:divBdr>
    </w:div>
    <w:div w:id="1639728670">
      <w:bodyDiv w:val="1"/>
      <w:marLeft w:val="0"/>
      <w:marRight w:val="0"/>
      <w:marTop w:val="0"/>
      <w:marBottom w:val="0"/>
      <w:divBdr>
        <w:top w:val="none" w:sz="0" w:space="0" w:color="auto"/>
        <w:left w:val="none" w:sz="0" w:space="0" w:color="auto"/>
        <w:bottom w:val="none" w:sz="0" w:space="0" w:color="auto"/>
        <w:right w:val="none" w:sz="0" w:space="0" w:color="auto"/>
      </w:divBdr>
    </w:div>
    <w:div w:id="1639873987">
      <w:bodyDiv w:val="1"/>
      <w:marLeft w:val="0"/>
      <w:marRight w:val="0"/>
      <w:marTop w:val="0"/>
      <w:marBottom w:val="0"/>
      <w:divBdr>
        <w:top w:val="none" w:sz="0" w:space="0" w:color="auto"/>
        <w:left w:val="none" w:sz="0" w:space="0" w:color="auto"/>
        <w:bottom w:val="none" w:sz="0" w:space="0" w:color="auto"/>
        <w:right w:val="none" w:sz="0" w:space="0" w:color="auto"/>
      </w:divBdr>
    </w:div>
    <w:div w:id="1675567725">
      <w:bodyDiv w:val="1"/>
      <w:marLeft w:val="0"/>
      <w:marRight w:val="0"/>
      <w:marTop w:val="0"/>
      <w:marBottom w:val="0"/>
      <w:divBdr>
        <w:top w:val="none" w:sz="0" w:space="0" w:color="auto"/>
        <w:left w:val="none" w:sz="0" w:space="0" w:color="auto"/>
        <w:bottom w:val="none" w:sz="0" w:space="0" w:color="auto"/>
        <w:right w:val="none" w:sz="0" w:space="0" w:color="auto"/>
      </w:divBdr>
    </w:div>
    <w:div w:id="1679312599">
      <w:bodyDiv w:val="1"/>
      <w:marLeft w:val="0"/>
      <w:marRight w:val="0"/>
      <w:marTop w:val="0"/>
      <w:marBottom w:val="0"/>
      <w:divBdr>
        <w:top w:val="none" w:sz="0" w:space="0" w:color="auto"/>
        <w:left w:val="none" w:sz="0" w:space="0" w:color="auto"/>
        <w:bottom w:val="none" w:sz="0" w:space="0" w:color="auto"/>
        <w:right w:val="none" w:sz="0" w:space="0" w:color="auto"/>
      </w:divBdr>
    </w:div>
    <w:div w:id="1684239280">
      <w:bodyDiv w:val="1"/>
      <w:marLeft w:val="0"/>
      <w:marRight w:val="0"/>
      <w:marTop w:val="0"/>
      <w:marBottom w:val="0"/>
      <w:divBdr>
        <w:top w:val="none" w:sz="0" w:space="0" w:color="auto"/>
        <w:left w:val="none" w:sz="0" w:space="0" w:color="auto"/>
        <w:bottom w:val="none" w:sz="0" w:space="0" w:color="auto"/>
        <w:right w:val="none" w:sz="0" w:space="0" w:color="auto"/>
      </w:divBdr>
    </w:div>
    <w:div w:id="1705133564">
      <w:bodyDiv w:val="1"/>
      <w:marLeft w:val="0"/>
      <w:marRight w:val="0"/>
      <w:marTop w:val="0"/>
      <w:marBottom w:val="0"/>
      <w:divBdr>
        <w:top w:val="none" w:sz="0" w:space="0" w:color="auto"/>
        <w:left w:val="none" w:sz="0" w:space="0" w:color="auto"/>
        <w:bottom w:val="none" w:sz="0" w:space="0" w:color="auto"/>
        <w:right w:val="none" w:sz="0" w:space="0" w:color="auto"/>
      </w:divBdr>
    </w:div>
    <w:div w:id="1721048856">
      <w:bodyDiv w:val="1"/>
      <w:marLeft w:val="0"/>
      <w:marRight w:val="0"/>
      <w:marTop w:val="0"/>
      <w:marBottom w:val="0"/>
      <w:divBdr>
        <w:top w:val="none" w:sz="0" w:space="0" w:color="auto"/>
        <w:left w:val="none" w:sz="0" w:space="0" w:color="auto"/>
        <w:bottom w:val="none" w:sz="0" w:space="0" w:color="auto"/>
        <w:right w:val="none" w:sz="0" w:space="0" w:color="auto"/>
      </w:divBdr>
    </w:div>
    <w:div w:id="1728720460">
      <w:bodyDiv w:val="1"/>
      <w:marLeft w:val="0"/>
      <w:marRight w:val="0"/>
      <w:marTop w:val="0"/>
      <w:marBottom w:val="0"/>
      <w:divBdr>
        <w:top w:val="none" w:sz="0" w:space="0" w:color="auto"/>
        <w:left w:val="none" w:sz="0" w:space="0" w:color="auto"/>
        <w:bottom w:val="none" w:sz="0" w:space="0" w:color="auto"/>
        <w:right w:val="none" w:sz="0" w:space="0" w:color="auto"/>
      </w:divBdr>
    </w:div>
    <w:div w:id="1746879944">
      <w:bodyDiv w:val="1"/>
      <w:marLeft w:val="0"/>
      <w:marRight w:val="0"/>
      <w:marTop w:val="0"/>
      <w:marBottom w:val="0"/>
      <w:divBdr>
        <w:top w:val="none" w:sz="0" w:space="0" w:color="auto"/>
        <w:left w:val="none" w:sz="0" w:space="0" w:color="auto"/>
        <w:bottom w:val="none" w:sz="0" w:space="0" w:color="auto"/>
        <w:right w:val="none" w:sz="0" w:space="0" w:color="auto"/>
      </w:divBdr>
    </w:div>
    <w:div w:id="1747650283">
      <w:bodyDiv w:val="1"/>
      <w:marLeft w:val="0"/>
      <w:marRight w:val="0"/>
      <w:marTop w:val="0"/>
      <w:marBottom w:val="0"/>
      <w:divBdr>
        <w:top w:val="none" w:sz="0" w:space="0" w:color="auto"/>
        <w:left w:val="none" w:sz="0" w:space="0" w:color="auto"/>
        <w:bottom w:val="none" w:sz="0" w:space="0" w:color="auto"/>
        <w:right w:val="none" w:sz="0" w:space="0" w:color="auto"/>
      </w:divBdr>
    </w:div>
    <w:div w:id="1784424124">
      <w:bodyDiv w:val="1"/>
      <w:marLeft w:val="0"/>
      <w:marRight w:val="0"/>
      <w:marTop w:val="0"/>
      <w:marBottom w:val="0"/>
      <w:divBdr>
        <w:top w:val="none" w:sz="0" w:space="0" w:color="auto"/>
        <w:left w:val="none" w:sz="0" w:space="0" w:color="auto"/>
        <w:bottom w:val="none" w:sz="0" w:space="0" w:color="auto"/>
        <w:right w:val="none" w:sz="0" w:space="0" w:color="auto"/>
      </w:divBdr>
    </w:div>
    <w:div w:id="1876384245">
      <w:bodyDiv w:val="1"/>
      <w:marLeft w:val="0"/>
      <w:marRight w:val="0"/>
      <w:marTop w:val="0"/>
      <w:marBottom w:val="0"/>
      <w:divBdr>
        <w:top w:val="none" w:sz="0" w:space="0" w:color="auto"/>
        <w:left w:val="none" w:sz="0" w:space="0" w:color="auto"/>
        <w:bottom w:val="none" w:sz="0" w:space="0" w:color="auto"/>
        <w:right w:val="none" w:sz="0" w:space="0" w:color="auto"/>
      </w:divBdr>
    </w:div>
    <w:div w:id="1906452719">
      <w:bodyDiv w:val="1"/>
      <w:marLeft w:val="0"/>
      <w:marRight w:val="0"/>
      <w:marTop w:val="0"/>
      <w:marBottom w:val="0"/>
      <w:divBdr>
        <w:top w:val="none" w:sz="0" w:space="0" w:color="auto"/>
        <w:left w:val="none" w:sz="0" w:space="0" w:color="auto"/>
        <w:bottom w:val="none" w:sz="0" w:space="0" w:color="auto"/>
        <w:right w:val="none" w:sz="0" w:space="0" w:color="auto"/>
      </w:divBdr>
    </w:div>
    <w:div w:id="1930311871">
      <w:bodyDiv w:val="1"/>
      <w:marLeft w:val="0"/>
      <w:marRight w:val="0"/>
      <w:marTop w:val="0"/>
      <w:marBottom w:val="0"/>
      <w:divBdr>
        <w:top w:val="none" w:sz="0" w:space="0" w:color="auto"/>
        <w:left w:val="none" w:sz="0" w:space="0" w:color="auto"/>
        <w:bottom w:val="none" w:sz="0" w:space="0" w:color="auto"/>
        <w:right w:val="none" w:sz="0" w:space="0" w:color="auto"/>
      </w:divBdr>
    </w:div>
    <w:div w:id="1955674701">
      <w:bodyDiv w:val="1"/>
      <w:marLeft w:val="0"/>
      <w:marRight w:val="0"/>
      <w:marTop w:val="0"/>
      <w:marBottom w:val="0"/>
      <w:divBdr>
        <w:top w:val="none" w:sz="0" w:space="0" w:color="auto"/>
        <w:left w:val="none" w:sz="0" w:space="0" w:color="auto"/>
        <w:bottom w:val="none" w:sz="0" w:space="0" w:color="auto"/>
        <w:right w:val="none" w:sz="0" w:space="0" w:color="auto"/>
      </w:divBdr>
    </w:div>
    <w:div w:id="1963724252">
      <w:bodyDiv w:val="1"/>
      <w:marLeft w:val="0"/>
      <w:marRight w:val="0"/>
      <w:marTop w:val="0"/>
      <w:marBottom w:val="0"/>
      <w:divBdr>
        <w:top w:val="none" w:sz="0" w:space="0" w:color="auto"/>
        <w:left w:val="none" w:sz="0" w:space="0" w:color="auto"/>
        <w:bottom w:val="none" w:sz="0" w:space="0" w:color="auto"/>
        <w:right w:val="none" w:sz="0" w:space="0" w:color="auto"/>
      </w:divBdr>
    </w:div>
    <w:div w:id="2003118678">
      <w:bodyDiv w:val="1"/>
      <w:marLeft w:val="0"/>
      <w:marRight w:val="0"/>
      <w:marTop w:val="0"/>
      <w:marBottom w:val="0"/>
      <w:divBdr>
        <w:top w:val="none" w:sz="0" w:space="0" w:color="auto"/>
        <w:left w:val="none" w:sz="0" w:space="0" w:color="auto"/>
        <w:bottom w:val="none" w:sz="0" w:space="0" w:color="auto"/>
        <w:right w:val="none" w:sz="0" w:space="0" w:color="auto"/>
      </w:divBdr>
    </w:div>
    <w:div w:id="204755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02750-39D1-40D0-85B9-4339EAB41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5948</Words>
  <Characters>32720</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Ortega Sánchez</dc:creator>
  <cp:keywords/>
  <dc:description/>
  <cp:lastModifiedBy>Juan Antonio Palomares Leal</cp:lastModifiedBy>
  <cp:revision>2</cp:revision>
  <cp:lastPrinted>2021-04-17T03:02:00Z</cp:lastPrinted>
  <dcterms:created xsi:type="dcterms:W3CDTF">2021-05-19T19:05:00Z</dcterms:created>
  <dcterms:modified xsi:type="dcterms:W3CDTF">2021-05-19T19:05:00Z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