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3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F9011A" w:rsidRPr="0005491B" w14:paraId="193BB771" w14:textId="77777777" w:rsidTr="00EB3F47">
        <w:trPr>
          <w:trHeight w:val="3677"/>
          <w:jc w:val="right"/>
        </w:trPr>
        <w:tc>
          <w:tcPr>
            <w:tcW w:w="5381" w:type="dxa"/>
          </w:tcPr>
          <w:p w14:paraId="4CB47653" w14:textId="77777777" w:rsidR="00B5409B" w:rsidRDefault="00A3129E" w:rsidP="00B7213E">
            <w:pPr>
              <w:pStyle w:val="Sinespaciado"/>
              <w:jc w:val="center"/>
              <w:rPr>
                <w:b/>
                <w:sz w:val="24"/>
              </w:rPr>
            </w:pPr>
            <w:bookmarkStart w:id="0" w:name="_Hlk49533491"/>
            <w:r w:rsidRPr="0005491B">
              <w:rPr>
                <w:b/>
                <w:sz w:val="24"/>
              </w:rPr>
              <w:t>JUICIO</w:t>
            </w:r>
            <w:r w:rsidR="0018283A" w:rsidRPr="0005491B">
              <w:rPr>
                <w:b/>
                <w:sz w:val="24"/>
              </w:rPr>
              <w:t xml:space="preserve"> DE REVISIÓN </w:t>
            </w:r>
          </w:p>
          <w:p w14:paraId="50269140" w14:textId="5562DC90" w:rsidR="00A3129E" w:rsidRPr="0005491B" w:rsidRDefault="0018283A" w:rsidP="00B7213E">
            <w:pPr>
              <w:pStyle w:val="Sinespaciado"/>
              <w:jc w:val="center"/>
              <w:rPr>
                <w:b/>
                <w:sz w:val="24"/>
              </w:rPr>
            </w:pPr>
            <w:r w:rsidRPr="0005491B">
              <w:rPr>
                <w:b/>
                <w:sz w:val="24"/>
              </w:rPr>
              <w:t>CONSTITUCIONAL</w:t>
            </w:r>
            <w:r w:rsidR="005C4EB1" w:rsidRPr="0005491B">
              <w:rPr>
                <w:b/>
                <w:sz w:val="24"/>
              </w:rPr>
              <w:t xml:space="preserve"> ELECTORAL</w:t>
            </w:r>
          </w:p>
          <w:bookmarkEnd w:id="0"/>
          <w:p w14:paraId="729F1BB0" w14:textId="79F200C4" w:rsidR="00F9011A" w:rsidRPr="0005491B" w:rsidRDefault="00F9011A" w:rsidP="00451F47">
            <w:pPr>
              <w:spacing w:before="100" w:beforeAutospacing="1" w:after="100" w:afterAutospacing="1" w:line="240" w:lineRule="auto"/>
              <w:jc w:val="both"/>
              <w:rPr>
                <w:sz w:val="24"/>
                <w:szCs w:val="24"/>
              </w:rPr>
            </w:pPr>
            <w:r w:rsidRPr="0005491B">
              <w:rPr>
                <w:b/>
                <w:sz w:val="24"/>
                <w:szCs w:val="24"/>
              </w:rPr>
              <w:t>EXPEDIENTE:</w:t>
            </w:r>
            <w:r w:rsidRPr="0005491B">
              <w:rPr>
                <w:sz w:val="24"/>
                <w:szCs w:val="24"/>
              </w:rPr>
              <w:t xml:space="preserve"> SM-</w:t>
            </w:r>
            <w:r w:rsidR="0018283A" w:rsidRPr="0005491B">
              <w:rPr>
                <w:sz w:val="24"/>
                <w:szCs w:val="24"/>
              </w:rPr>
              <w:t>JRC</w:t>
            </w:r>
            <w:r w:rsidR="00A3129E" w:rsidRPr="0005491B">
              <w:rPr>
                <w:sz w:val="24"/>
                <w:szCs w:val="24"/>
              </w:rPr>
              <w:t>-</w:t>
            </w:r>
            <w:r w:rsidR="00B5409B">
              <w:rPr>
                <w:sz w:val="24"/>
                <w:szCs w:val="24"/>
              </w:rPr>
              <w:t>8</w:t>
            </w:r>
            <w:r w:rsidR="00DD32B7">
              <w:rPr>
                <w:sz w:val="24"/>
                <w:szCs w:val="24"/>
              </w:rPr>
              <w:t>7</w:t>
            </w:r>
            <w:r w:rsidR="007306CE" w:rsidRPr="0005491B">
              <w:rPr>
                <w:sz w:val="24"/>
                <w:szCs w:val="24"/>
              </w:rPr>
              <w:t>/20</w:t>
            </w:r>
            <w:r w:rsidR="00B94C98" w:rsidRPr="0005491B">
              <w:rPr>
                <w:sz w:val="24"/>
                <w:szCs w:val="24"/>
              </w:rPr>
              <w:t>2</w:t>
            </w:r>
            <w:r w:rsidR="0066318B" w:rsidRPr="0005491B">
              <w:rPr>
                <w:sz w:val="24"/>
                <w:szCs w:val="24"/>
              </w:rPr>
              <w:t xml:space="preserve">1 </w:t>
            </w:r>
          </w:p>
          <w:p w14:paraId="5CF62E2A" w14:textId="7963344D" w:rsidR="00F9011A" w:rsidRPr="00DD32B7" w:rsidRDefault="00F9011A" w:rsidP="00451F47">
            <w:pPr>
              <w:spacing w:before="100" w:beforeAutospacing="1" w:after="100" w:afterAutospacing="1" w:line="240" w:lineRule="auto"/>
              <w:jc w:val="both"/>
              <w:rPr>
                <w:bCs/>
                <w:sz w:val="24"/>
                <w:szCs w:val="24"/>
              </w:rPr>
            </w:pPr>
            <w:r w:rsidRPr="0005491B">
              <w:rPr>
                <w:b/>
                <w:sz w:val="24"/>
                <w:szCs w:val="24"/>
              </w:rPr>
              <w:t>ACTOR</w:t>
            </w:r>
            <w:r w:rsidR="00155185" w:rsidRPr="0005491B">
              <w:rPr>
                <w:b/>
                <w:sz w:val="24"/>
                <w:szCs w:val="24"/>
              </w:rPr>
              <w:t xml:space="preserve">: </w:t>
            </w:r>
            <w:r w:rsidR="00DD32B7">
              <w:rPr>
                <w:bCs/>
                <w:sz w:val="24"/>
                <w:szCs w:val="24"/>
              </w:rPr>
              <w:t>PARTIDO ACCIÓN NACIONAL</w:t>
            </w:r>
          </w:p>
          <w:p w14:paraId="6B55EB94" w14:textId="0FF6221A" w:rsidR="00284431" w:rsidRPr="0005491B" w:rsidRDefault="00155185" w:rsidP="00451F47">
            <w:pPr>
              <w:spacing w:before="100" w:beforeAutospacing="1" w:after="100" w:afterAutospacing="1" w:line="240" w:lineRule="auto"/>
              <w:jc w:val="both"/>
              <w:rPr>
                <w:bCs/>
                <w:sz w:val="24"/>
                <w:szCs w:val="24"/>
              </w:rPr>
            </w:pPr>
            <w:r w:rsidRPr="0005491B">
              <w:rPr>
                <w:b/>
                <w:bCs/>
                <w:sz w:val="24"/>
                <w:szCs w:val="24"/>
              </w:rPr>
              <w:t>RESPONSABLE:</w:t>
            </w:r>
            <w:r w:rsidRPr="0005491B">
              <w:rPr>
                <w:bCs/>
                <w:sz w:val="24"/>
                <w:szCs w:val="24"/>
              </w:rPr>
              <w:t xml:space="preserve"> TRIBUNAL </w:t>
            </w:r>
            <w:r w:rsidR="00DD32B7">
              <w:rPr>
                <w:bCs/>
                <w:sz w:val="24"/>
                <w:szCs w:val="24"/>
              </w:rPr>
              <w:t>ESTATAL ELECTORAL DE GUANAJUATO</w:t>
            </w:r>
          </w:p>
          <w:p w14:paraId="5A3B834D" w14:textId="77777777" w:rsidR="00F9011A" w:rsidRPr="0005491B" w:rsidRDefault="00F9011A" w:rsidP="00451F47">
            <w:pPr>
              <w:spacing w:before="100" w:beforeAutospacing="1" w:after="100" w:afterAutospacing="1" w:line="240" w:lineRule="auto"/>
              <w:jc w:val="both"/>
              <w:rPr>
                <w:sz w:val="24"/>
                <w:szCs w:val="24"/>
              </w:rPr>
            </w:pPr>
            <w:r w:rsidRPr="0005491B">
              <w:rPr>
                <w:b/>
                <w:sz w:val="24"/>
                <w:szCs w:val="24"/>
              </w:rPr>
              <w:t>MAGISTRAD</w:t>
            </w:r>
            <w:r w:rsidR="00BA05BB" w:rsidRPr="0005491B">
              <w:rPr>
                <w:b/>
                <w:sz w:val="24"/>
                <w:szCs w:val="24"/>
              </w:rPr>
              <w:t>O</w:t>
            </w:r>
            <w:r w:rsidRPr="0005491B">
              <w:rPr>
                <w:b/>
                <w:sz w:val="24"/>
                <w:szCs w:val="24"/>
              </w:rPr>
              <w:t xml:space="preserve"> PONENTE:</w:t>
            </w:r>
            <w:r w:rsidRPr="0005491B">
              <w:rPr>
                <w:sz w:val="24"/>
                <w:szCs w:val="24"/>
              </w:rPr>
              <w:t xml:space="preserve"> </w:t>
            </w:r>
            <w:r w:rsidR="00BA05BB" w:rsidRPr="0005491B">
              <w:rPr>
                <w:sz w:val="24"/>
                <w:szCs w:val="24"/>
              </w:rPr>
              <w:t>YAIRSINIO DAVID GARCÍA ORTIZ</w:t>
            </w:r>
          </w:p>
          <w:p w14:paraId="38290899" w14:textId="5565ABB3" w:rsidR="00DA1839" w:rsidRPr="0005491B" w:rsidRDefault="00EC2F27" w:rsidP="00DA1839">
            <w:pPr>
              <w:spacing w:before="100" w:beforeAutospacing="1" w:after="100" w:afterAutospacing="1" w:line="240" w:lineRule="auto"/>
              <w:jc w:val="both"/>
              <w:rPr>
                <w:sz w:val="24"/>
                <w:szCs w:val="24"/>
              </w:rPr>
            </w:pPr>
            <w:r w:rsidRPr="0005491B">
              <w:rPr>
                <w:b/>
                <w:sz w:val="24"/>
                <w:szCs w:val="24"/>
              </w:rPr>
              <w:t>SECRETARI</w:t>
            </w:r>
            <w:r w:rsidR="00C26D55" w:rsidRPr="0005491B">
              <w:rPr>
                <w:b/>
                <w:sz w:val="24"/>
                <w:szCs w:val="24"/>
              </w:rPr>
              <w:t>O</w:t>
            </w:r>
            <w:r w:rsidRPr="0005491B">
              <w:rPr>
                <w:b/>
                <w:sz w:val="24"/>
                <w:szCs w:val="24"/>
              </w:rPr>
              <w:t>:</w:t>
            </w:r>
            <w:r w:rsidRPr="0005491B">
              <w:rPr>
                <w:sz w:val="24"/>
                <w:szCs w:val="24"/>
              </w:rPr>
              <w:t xml:space="preserve"> </w:t>
            </w:r>
            <w:r w:rsidR="00DD32B7">
              <w:rPr>
                <w:sz w:val="24"/>
                <w:szCs w:val="24"/>
              </w:rPr>
              <w:t>MARCOTULIO CÓRDOBA GARCÍA</w:t>
            </w:r>
            <w:r w:rsidR="00C26D55" w:rsidRPr="0005491B">
              <w:rPr>
                <w:sz w:val="24"/>
                <w:szCs w:val="24"/>
              </w:rPr>
              <w:t xml:space="preserve"> </w:t>
            </w:r>
          </w:p>
        </w:tc>
      </w:tr>
    </w:tbl>
    <w:p w14:paraId="4B3646F9" w14:textId="168B95C3" w:rsidR="00F9011A" w:rsidRPr="0005491B" w:rsidRDefault="00F9011A" w:rsidP="00F9011A">
      <w:pPr>
        <w:tabs>
          <w:tab w:val="left" w:pos="7470"/>
        </w:tabs>
        <w:spacing w:before="100" w:beforeAutospacing="1" w:after="100" w:afterAutospacing="1" w:line="360" w:lineRule="auto"/>
        <w:jc w:val="both"/>
        <w:rPr>
          <w:sz w:val="24"/>
          <w:szCs w:val="24"/>
        </w:rPr>
      </w:pPr>
      <w:r w:rsidRPr="0005491B">
        <w:rPr>
          <w:sz w:val="24"/>
          <w:szCs w:val="24"/>
        </w:rPr>
        <w:t>Monterrey, Nuevo León, a</w:t>
      </w:r>
      <w:r w:rsidR="00DD0B81" w:rsidRPr="0005491B">
        <w:rPr>
          <w:sz w:val="24"/>
          <w:szCs w:val="24"/>
        </w:rPr>
        <w:t xml:space="preserve"> </w:t>
      </w:r>
      <w:r w:rsidR="00DF055F">
        <w:rPr>
          <w:sz w:val="24"/>
          <w:szCs w:val="24"/>
        </w:rPr>
        <w:t xml:space="preserve">treinta y uno de </w:t>
      </w:r>
      <w:r w:rsidR="003E4EB0">
        <w:rPr>
          <w:sz w:val="24"/>
          <w:szCs w:val="24"/>
        </w:rPr>
        <w:t>mayo</w:t>
      </w:r>
      <w:r w:rsidR="00C26D55" w:rsidRPr="0005491B">
        <w:rPr>
          <w:sz w:val="24"/>
          <w:szCs w:val="24"/>
        </w:rPr>
        <w:t xml:space="preserve"> </w:t>
      </w:r>
      <w:r w:rsidRPr="0005491B">
        <w:rPr>
          <w:sz w:val="24"/>
          <w:szCs w:val="24"/>
        </w:rPr>
        <w:t xml:space="preserve">de dos mil </w:t>
      </w:r>
      <w:r w:rsidR="0066318B" w:rsidRPr="0005491B">
        <w:rPr>
          <w:sz w:val="24"/>
          <w:szCs w:val="24"/>
        </w:rPr>
        <w:t>veintiuno</w:t>
      </w:r>
      <w:r w:rsidR="00734988" w:rsidRPr="0005491B">
        <w:rPr>
          <w:sz w:val="24"/>
          <w:szCs w:val="24"/>
        </w:rPr>
        <w:t>.</w:t>
      </w:r>
    </w:p>
    <w:p w14:paraId="1191E882" w14:textId="04677544" w:rsidR="000F5C24" w:rsidRPr="0005491B" w:rsidRDefault="00F9011A" w:rsidP="000F5C24">
      <w:pPr>
        <w:pStyle w:val="NormalWeb"/>
        <w:spacing w:before="240" w:beforeAutospacing="0" w:after="240" w:afterAutospacing="0" w:line="360" w:lineRule="auto"/>
        <w:jc w:val="both"/>
        <w:rPr>
          <w:rFonts w:ascii="Arial" w:hAnsi="Arial"/>
        </w:rPr>
      </w:pPr>
      <w:r w:rsidRPr="004B1317">
        <w:rPr>
          <w:rFonts w:ascii="Arial" w:hAnsi="Arial"/>
          <w:b/>
          <w:bCs/>
        </w:rPr>
        <w:t xml:space="preserve">Sentencia definitiva </w:t>
      </w:r>
      <w:r w:rsidRPr="004B1317">
        <w:rPr>
          <w:rFonts w:ascii="Arial" w:hAnsi="Arial"/>
        </w:rPr>
        <w:t>qu</w:t>
      </w:r>
      <w:bookmarkStart w:id="1" w:name="_Hlk45866581"/>
      <w:r w:rsidR="00E310F9" w:rsidRPr="004B1317">
        <w:rPr>
          <w:rFonts w:ascii="Arial" w:hAnsi="Arial"/>
        </w:rPr>
        <w:t xml:space="preserve">e </w:t>
      </w:r>
      <w:r w:rsidR="000F5C24" w:rsidRPr="004B1317">
        <w:rPr>
          <w:rFonts w:ascii="Arial" w:hAnsi="Arial"/>
        </w:rPr>
        <w:t>confirma l</w:t>
      </w:r>
      <w:r w:rsidR="00C65E91" w:rsidRPr="004B1317">
        <w:rPr>
          <w:rFonts w:ascii="Arial" w:hAnsi="Arial"/>
        </w:rPr>
        <w:t xml:space="preserve">a resolución </w:t>
      </w:r>
      <w:r w:rsidR="00B5409B" w:rsidRPr="004B1317">
        <w:rPr>
          <w:rFonts w:ascii="Arial" w:hAnsi="Arial"/>
        </w:rPr>
        <w:t xml:space="preserve">emitida por </w:t>
      </w:r>
      <w:r w:rsidR="00C65E91" w:rsidRPr="004B1317">
        <w:rPr>
          <w:rFonts w:ascii="Arial" w:hAnsi="Arial"/>
        </w:rPr>
        <w:t xml:space="preserve">el </w:t>
      </w:r>
      <w:bookmarkStart w:id="2" w:name="_Hlk71624306"/>
      <w:r w:rsidR="00C65E91" w:rsidRPr="004B1317">
        <w:rPr>
          <w:rFonts w:ascii="Arial" w:hAnsi="Arial"/>
        </w:rPr>
        <w:t xml:space="preserve">Tribunal </w:t>
      </w:r>
      <w:r w:rsidR="000F5C24" w:rsidRPr="004B1317">
        <w:rPr>
          <w:rFonts w:ascii="Arial" w:hAnsi="Arial"/>
        </w:rPr>
        <w:t xml:space="preserve">Estatal Electoral de Guanajuato </w:t>
      </w:r>
      <w:bookmarkEnd w:id="2"/>
      <w:r w:rsidR="00C65E91" w:rsidRPr="004B1317">
        <w:rPr>
          <w:rFonts w:ascii="Arial" w:hAnsi="Arial"/>
        </w:rPr>
        <w:t xml:space="preserve">en </w:t>
      </w:r>
      <w:r w:rsidR="00DC02FE" w:rsidRPr="004B1317">
        <w:rPr>
          <w:rFonts w:ascii="Arial" w:hAnsi="Arial"/>
        </w:rPr>
        <w:t xml:space="preserve">el </w:t>
      </w:r>
      <w:r w:rsidR="00963565" w:rsidRPr="004B1317">
        <w:rPr>
          <w:rFonts w:ascii="Arial" w:hAnsi="Arial"/>
        </w:rPr>
        <w:t>recurso de revisión</w:t>
      </w:r>
      <w:r w:rsidR="00DD32B7" w:rsidRPr="004B1317">
        <w:rPr>
          <w:rFonts w:ascii="Arial" w:hAnsi="Arial"/>
        </w:rPr>
        <w:t xml:space="preserve"> </w:t>
      </w:r>
      <w:r w:rsidR="00B5409B" w:rsidRPr="004B1317">
        <w:rPr>
          <w:rFonts w:ascii="Arial" w:hAnsi="Arial"/>
        </w:rPr>
        <w:t>TEE</w:t>
      </w:r>
      <w:r w:rsidR="00DD32B7" w:rsidRPr="004B1317">
        <w:rPr>
          <w:rFonts w:ascii="Arial" w:hAnsi="Arial"/>
        </w:rPr>
        <w:t>G</w:t>
      </w:r>
      <w:r w:rsidR="00B5409B" w:rsidRPr="004B1317">
        <w:rPr>
          <w:rFonts w:ascii="Arial" w:hAnsi="Arial"/>
        </w:rPr>
        <w:t>-R</w:t>
      </w:r>
      <w:r w:rsidR="00DD32B7" w:rsidRPr="004B1317">
        <w:rPr>
          <w:rFonts w:ascii="Arial" w:hAnsi="Arial"/>
        </w:rPr>
        <w:t>EV</w:t>
      </w:r>
      <w:r w:rsidR="00B5409B" w:rsidRPr="004B1317">
        <w:rPr>
          <w:rFonts w:ascii="Arial" w:hAnsi="Arial"/>
        </w:rPr>
        <w:t>-</w:t>
      </w:r>
      <w:r w:rsidR="00DD32B7" w:rsidRPr="004B1317">
        <w:rPr>
          <w:rFonts w:ascii="Arial" w:hAnsi="Arial"/>
        </w:rPr>
        <w:t>44</w:t>
      </w:r>
      <w:r w:rsidR="00B5409B" w:rsidRPr="004B1317">
        <w:rPr>
          <w:rFonts w:ascii="Arial" w:hAnsi="Arial"/>
        </w:rPr>
        <w:t>/2021</w:t>
      </w:r>
      <w:r w:rsidR="00DC585F" w:rsidRPr="004B1317">
        <w:rPr>
          <w:rFonts w:ascii="Arial" w:hAnsi="Arial"/>
        </w:rPr>
        <w:t xml:space="preserve">, </w:t>
      </w:r>
      <w:r w:rsidR="000F5C24" w:rsidRPr="004B1317">
        <w:rPr>
          <w:rFonts w:ascii="Arial" w:hAnsi="Arial"/>
        </w:rPr>
        <w:t xml:space="preserve">en atención a que </w:t>
      </w:r>
      <w:r w:rsidR="00DC02FE" w:rsidRPr="004B1317">
        <w:rPr>
          <w:rFonts w:ascii="Arial" w:hAnsi="Arial"/>
        </w:rPr>
        <w:t>al considerar que</w:t>
      </w:r>
      <w:r w:rsidR="00B5409B" w:rsidRPr="004B1317">
        <w:rPr>
          <w:rFonts w:ascii="Arial" w:hAnsi="Arial"/>
        </w:rPr>
        <w:t>:</w:t>
      </w:r>
      <w:r w:rsidR="000F5C24" w:rsidRPr="004B1317">
        <w:rPr>
          <w:rFonts w:ascii="Arial" w:hAnsi="Arial"/>
        </w:rPr>
        <w:t xml:space="preserve"> a) Los razonamientos de la sentencia impugnada son consistentes en cuanto a que aun con las sustituciones aprobadas por el Instituto local ello no violenta lo establecido por el artículo 10 de los Lineamientos de paridad; y b</w:t>
      </w:r>
      <w:bookmarkStart w:id="3" w:name="_Hlk73379402"/>
      <w:r w:rsidR="000F5C24" w:rsidRPr="004B1317">
        <w:rPr>
          <w:rFonts w:ascii="Arial" w:hAnsi="Arial"/>
        </w:rPr>
        <w:t xml:space="preserve">) El agravio planteado por el partido actor respecto que </w:t>
      </w:r>
      <w:r w:rsidR="00DF055F" w:rsidRPr="004B1317">
        <w:rPr>
          <w:rFonts w:ascii="Arial" w:hAnsi="Arial"/>
        </w:rPr>
        <w:t xml:space="preserve">no se cumplió con </w:t>
      </w:r>
      <w:r w:rsidR="000F5C24" w:rsidRPr="004B1317">
        <w:rPr>
          <w:rFonts w:ascii="Arial" w:hAnsi="Arial"/>
        </w:rPr>
        <w:t>lo establecido en los lineamientos de paridad</w:t>
      </w:r>
      <w:r w:rsidR="000E4210" w:rsidRPr="004B1317">
        <w:rPr>
          <w:rFonts w:ascii="Arial" w:hAnsi="Arial"/>
        </w:rPr>
        <w:t xml:space="preserve"> y los lineamientos de registro de candidaturas</w:t>
      </w:r>
      <w:r w:rsidR="000F5C24" w:rsidRPr="004B1317">
        <w:rPr>
          <w:rFonts w:ascii="Arial" w:hAnsi="Arial"/>
        </w:rPr>
        <w:t xml:space="preserve">, </w:t>
      </w:r>
      <w:r w:rsidR="00BF58CF" w:rsidRPr="004B1317">
        <w:rPr>
          <w:rFonts w:ascii="Arial" w:hAnsi="Arial"/>
        </w:rPr>
        <w:t xml:space="preserve">al cambiar el género de la candidatura en el ayuntamiento de Comonfort, </w:t>
      </w:r>
      <w:r w:rsidR="003F32A3" w:rsidRPr="004B1317">
        <w:rPr>
          <w:rFonts w:ascii="Arial" w:hAnsi="Arial"/>
        </w:rPr>
        <w:t>es in</w:t>
      </w:r>
      <w:r w:rsidR="00DF055F" w:rsidRPr="004B1317">
        <w:rPr>
          <w:rFonts w:ascii="Arial" w:hAnsi="Arial"/>
        </w:rPr>
        <w:t xml:space="preserve">suficiente </w:t>
      </w:r>
      <w:r w:rsidR="000F5C24" w:rsidRPr="004B1317">
        <w:rPr>
          <w:rFonts w:ascii="Arial" w:hAnsi="Arial"/>
        </w:rPr>
        <w:t>al no controvertir de manera frontal las consideraciones de la sentencia</w:t>
      </w:r>
      <w:bookmarkEnd w:id="3"/>
      <w:r w:rsidR="000F5C24" w:rsidRPr="004B1317">
        <w:rPr>
          <w:rFonts w:ascii="Arial" w:hAnsi="Arial"/>
        </w:rPr>
        <w:t>.</w:t>
      </w:r>
    </w:p>
    <w:bookmarkEnd w:id="1"/>
    <w:p w14:paraId="465CFE5A" w14:textId="77777777" w:rsidR="00F00BA1" w:rsidRPr="00DD1732" w:rsidRDefault="00F00BA1" w:rsidP="00F00BA1">
      <w:pPr>
        <w:spacing w:after="100" w:afterAutospacing="1" w:line="360" w:lineRule="auto"/>
        <w:jc w:val="center"/>
        <w:rPr>
          <w:rFonts w:eastAsia="Times New Roman"/>
          <w:b/>
          <w:sz w:val="24"/>
          <w:szCs w:val="24"/>
          <w:lang w:eastAsia="es-ES"/>
        </w:rPr>
      </w:pPr>
      <w:r w:rsidRPr="00DD1732">
        <w:rPr>
          <w:rFonts w:eastAsia="Times New Roman"/>
          <w:b/>
          <w:sz w:val="24"/>
          <w:szCs w:val="24"/>
          <w:lang w:eastAsia="es-E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8"/>
        <w:gridCol w:w="525"/>
      </w:tblGrid>
      <w:tr w:rsidR="00F00BA1" w:rsidRPr="0005491B" w14:paraId="1511FFF9" w14:textId="77777777" w:rsidTr="00791815">
        <w:tc>
          <w:tcPr>
            <w:tcW w:w="7498" w:type="dxa"/>
          </w:tcPr>
          <w:p w14:paraId="7896A320" w14:textId="77777777" w:rsidR="00F00BA1" w:rsidRPr="0005491B" w:rsidRDefault="00F00BA1" w:rsidP="009D4922">
            <w:pPr>
              <w:spacing w:before="100" w:beforeAutospacing="1" w:after="100" w:afterAutospacing="1"/>
              <w:jc w:val="both"/>
              <w:rPr>
                <w:rFonts w:eastAsia="Times New Roman"/>
                <w:lang w:eastAsia="es-ES"/>
              </w:rPr>
            </w:pPr>
            <w:bookmarkStart w:id="4" w:name="_Hlk73238318"/>
            <w:bookmarkStart w:id="5" w:name="_Hlk73379243"/>
            <w:r w:rsidRPr="0005491B">
              <w:rPr>
                <w:rFonts w:eastAsia="Times New Roman"/>
                <w:b/>
                <w:lang w:eastAsia="es-ES"/>
              </w:rPr>
              <w:t xml:space="preserve">GLOSARIO </w:t>
            </w:r>
            <w:r w:rsidRPr="0005491B">
              <w:rPr>
                <w:rFonts w:eastAsia="Times New Roman"/>
                <w:lang w:eastAsia="es-ES"/>
              </w:rPr>
              <w:t>………………………………………………………………………</w:t>
            </w:r>
            <w:r w:rsidR="00B63244" w:rsidRPr="0005491B">
              <w:rPr>
                <w:rFonts w:eastAsia="Times New Roman"/>
                <w:lang w:eastAsia="es-ES"/>
              </w:rPr>
              <w:t>………..</w:t>
            </w:r>
            <w:r w:rsidR="00E000D5" w:rsidRPr="0005491B">
              <w:rPr>
                <w:rFonts w:eastAsia="Times New Roman"/>
                <w:lang w:eastAsia="es-ES"/>
              </w:rPr>
              <w:t>.</w:t>
            </w:r>
          </w:p>
        </w:tc>
        <w:tc>
          <w:tcPr>
            <w:tcW w:w="525" w:type="dxa"/>
          </w:tcPr>
          <w:p w14:paraId="45FCFA10" w14:textId="60BFB65F" w:rsidR="00F00BA1" w:rsidRPr="0005491B" w:rsidRDefault="00542ABD" w:rsidP="009D4922">
            <w:pPr>
              <w:spacing w:before="100" w:beforeAutospacing="1" w:after="100" w:afterAutospacing="1"/>
              <w:jc w:val="center"/>
              <w:rPr>
                <w:rFonts w:eastAsia="Times New Roman"/>
                <w:lang w:eastAsia="es-ES"/>
              </w:rPr>
            </w:pPr>
            <w:r w:rsidRPr="0005491B">
              <w:rPr>
                <w:rFonts w:eastAsia="Times New Roman"/>
                <w:lang w:eastAsia="es-ES"/>
              </w:rPr>
              <w:t>1</w:t>
            </w:r>
          </w:p>
        </w:tc>
      </w:tr>
      <w:tr w:rsidR="00F00BA1" w:rsidRPr="0005491B" w14:paraId="339D1C16" w14:textId="77777777" w:rsidTr="00791815">
        <w:tc>
          <w:tcPr>
            <w:tcW w:w="7498" w:type="dxa"/>
          </w:tcPr>
          <w:p w14:paraId="6E95A3DC" w14:textId="67748CE6" w:rsidR="00F00BA1" w:rsidRPr="0005491B" w:rsidRDefault="00F00BA1" w:rsidP="009D4922">
            <w:pPr>
              <w:spacing w:before="100" w:beforeAutospacing="1" w:after="100" w:afterAutospacing="1"/>
              <w:jc w:val="both"/>
              <w:rPr>
                <w:rFonts w:eastAsia="Times New Roman"/>
                <w:b/>
                <w:lang w:eastAsia="es-ES"/>
              </w:rPr>
            </w:pPr>
            <w:r w:rsidRPr="0005491B">
              <w:rPr>
                <w:rFonts w:eastAsia="Times New Roman"/>
                <w:b/>
                <w:lang w:eastAsia="es-ES"/>
              </w:rPr>
              <w:t xml:space="preserve">1. ANTECEDENTES </w:t>
            </w:r>
            <w:r w:rsidRPr="0005491B">
              <w:rPr>
                <w:rFonts w:eastAsia="Times New Roman"/>
                <w:lang w:eastAsia="es-ES"/>
              </w:rPr>
              <w:t>……………………………………………………………</w:t>
            </w:r>
            <w:r w:rsidR="00B63244" w:rsidRPr="0005491B">
              <w:rPr>
                <w:rFonts w:eastAsia="Times New Roman"/>
                <w:lang w:eastAsia="es-ES"/>
              </w:rPr>
              <w:t>………</w:t>
            </w:r>
            <w:r w:rsidR="00DF2DB0" w:rsidRPr="0005491B">
              <w:rPr>
                <w:rFonts w:eastAsia="Times New Roman"/>
                <w:lang w:eastAsia="es-ES"/>
              </w:rPr>
              <w:t>...</w:t>
            </w:r>
          </w:p>
        </w:tc>
        <w:tc>
          <w:tcPr>
            <w:tcW w:w="525" w:type="dxa"/>
          </w:tcPr>
          <w:p w14:paraId="7DBC15CC" w14:textId="6E58BBFF" w:rsidR="00F00BA1" w:rsidRPr="0005491B" w:rsidRDefault="00DD1732" w:rsidP="00C40DA8">
            <w:pPr>
              <w:spacing w:before="100" w:beforeAutospacing="1" w:after="100" w:afterAutospacing="1"/>
              <w:jc w:val="center"/>
              <w:rPr>
                <w:rFonts w:eastAsia="Times New Roman"/>
                <w:lang w:eastAsia="es-ES"/>
              </w:rPr>
            </w:pPr>
            <w:r>
              <w:rPr>
                <w:rFonts w:eastAsia="Times New Roman"/>
                <w:lang w:eastAsia="es-ES"/>
              </w:rPr>
              <w:t>2</w:t>
            </w:r>
          </w:p>
        </w:tc>
      </w:tr>
      <w:tr w:rsidR="00E66619" w:rsidRPr="0005491B" w14:paraId="1AA6C5A7" w14:textId="77777777" w:rsidTr="00791815">
        <w:tc>
          <w:tcPr>
            <w:tcW w:w="7498" w:type="dxa"/>
          </w:tcPr>
          <w:p w14:paraId="4F232172" w14:textId="10DB7F2C" w:rsidR="00E66619" w:rsidRPr="0005491B" w:rsidRDefault="00791815" w:rsidP="00E66619">
            <w:pPr>
              <w:spacing w:before="100" w:beforeAutospacing="1" w:after="100" w:afterAutospacing="1"/>
              <w:jc w:val="both"/>
              <w:rPr>
                <w:rFonts w:eastAsia="Times New Roman"/>
                <w:bCs/>
                <w:lang w:eastAsia="es-ES"/>
              </w:rPr>
            </w:pPr>
            <w:r w:rsidRPr="0005491B">
              <w:rPr>
                <w:rFonts w:eastAsia="Times New Roman"/>
                <w:b/>
                <w:lang w:eastAsia="es-ES"/>
              </w:rPr>
              <w:t>2</w:t>
            </w:r>
            <w:r w:rsidR="00E66619" w:rsidRPr="0005491B">
              <w:rPr>
                <w:rFonts w:eastAsia="Times New Roman"/>
                <w:b/>
                <w:lang w:eastAsia="es-ES"/>
              </w:rPr>
              <w:t xml:space="preserve">. COMPETENCIA </w:t>
            </w:r>
            <w:r w:rsidR="00E66619" w:rsidRPr="0005491B">
              <w:rPr>
                <w:rFonts w:eastAsia="Times New Roman"/>
                <w:lang w:eastAsia="es-ES"/>
              </w:rPr>
              <w:t>……………………………………………………………................</w:t>
            </w:r>
          </w:p>
        </w:tc>
        <w:tc>
          <w:tcPr>
            <w:tcW w:w="525" w:type="dxa"/>
          </w:tcPr>
          <w:p w14:paraId="11C7020F" w14:textId="0146DC65" w:rsidR="00E66619" w:rsidRPr="0005491B" w:rsidRDefault="00E221C7" w:rsidP="00E66619">
            <w:pPr>
              <w:spacing w:before="100" w:beforeAutospacing="1" w:after="100" w:afterAutospacing="1"/>
              <w:jc w:val="center"/>
              <w:rPr>
                <w:rFonts w:eastAsia="Times New Roman"/>
                <w:lang w:eastAsia="es-ES"/>
              </w:rPr>
            </w:pPr>
            <w:r>
              <w:rPr>
                <w:rFonts w:eastAsia="Times New Roman"/>
                <w:lang w:eastAsia="es-ES"/>
              </w:rPr>
              <w:t>3</w:t>
            </w:r>
          </w:p>
        </w:tc>
      </w:tr>
      <w:tr w:rsidR="00E66619" w:rsidRPr="0005491B" w14:paraId="15B39E16" w14:textId="77777777" w:rsidTr="00791815">
        <w:tc>
          <w:tcPr>
            <w:tcW w:w="7498" w:type="dxa"/>
          </w:tcPr>
          <w:p w14:paraId="11D7E6D4" w14:textId="3E7FD6DB" w:rsidR="00E66619" w:rsidRPr="0005491B" w:rsidRDefault="00ED3BC0" w:rsidP="00E66619">
            <w:pPr>
              <w:spacing w:before="100" w:beforeAutospacing="1" w:after="100" w:afterAutospacing="1"/>
              <w:jc w:val="both"/>
              <w:rPr>
                <w:rFonts w:eastAsia="Times New Roman"/>
                <w:lang w:eastAsia="es-ES"/>
              </w:rPr>
            </w:pPr>
            <w:r w:rsidRPr="0005491B">
              <w:rPr>
                <w:rFonts w:eastAsia="Times New Roman"/>
                <w:b/>
                <w:lang w:eastAsia="es-ES"/>
              </w:rPr>
              <w:t>3</w:t>
            </w:r>
            <w:r w:rsidR="00E66619" w:rsidRPr="0005491B">
              <w:rPr>
                <w:rFonts w:eastAsia="Times New Roman"/>
                <w:b/>
                <w:lang w:eastAsia="es-ES"/>
              </w:rPr>
              <w:t>. PROCEDENCIA</w:t>
            </w:r>
            <w:r w:rsidR="00E66619" w:rsidRPr="0005491B">
              <w:rPr>
                <w:rFonts w:eastAsia="Times New Roman"/>
                <w:lang w:eastAsia="es-ES"/>
              </w:rPr>
              <w:t>…………………………………………………………..................</w:t>
            </w:r>
            <w:r w:rsidR="00DF2DB0" w:rsidRPr="0005491B">
              <w:rPr>
                <w:rFonts w:eastAsia="Times New Roman"/>
                <w:lang w:eastAsia="es-ES"/>
              </w:rPr>
              <w:t>...</w:t>
            </w:r>
          </w:p>
        </w:tc>
        <w:tc>
          <w:tcPr>
            <w:tcW w:w="525" w:type="dxa"/>
          </w:tcPr>
          <w:p w14:paraId="22BF0871" w14:textId="78F3644D" w:rsidR="00E66619" w:rsidRPr="0005491B" w:rsidRDefault="00BE698B" w:rsidP="00E66619">
            <w:pPr>
              <w:spacing w:before="100" w:beforeAutospacing="1" w:after="100" w:afterAutospacing="1"/>
              <w:jc w:val="center"/>
              <w:rPr>
                <w:rFonts w:eastAsia="Times New Roman"/>
                <w:lang w:eastAsia="es-ES"/>
              </w:rPr>
            </w:pPr>
            <w:r>
              <w:rPr>
                <w:rFonts w:eastAsia="Times New Roman"/>
                <w:lang w:eastAsia="es-ES"/>
              </w:rPr>
              <w:t>4</w:t>
            </w:r>
          </w:p>
        </w:tc>
      </w:tr>
      <w:tr w:rsidR="00E66619" w:rsidRPr="0005491B" w14:paraId="64FB2D28" w14:textId="77777777" w:rsidTr="00791815">
        <w:tc>
          <w:tcPr>
            <w:tcW w:w="7498" w:type="dxa"/>
          </w:tcPr>
          <w:p w14:paraId="26C46CF6" w14:textId="71D5C7B0" w:rsidR="00E66619" w:rsidRPr="00BE698B" w:rsidRDefault="00ED3BC0" w:rsidP="00E66619">
            <w:pPr>
              <w:spacing w:before="100" w:beforeAutospacing="1" w:after="100" w:afterAutospacing="1"/>
              <w:jc w:val="both"/>
              <w:rPr>
                <w:rFonts w:eastAsia="Times New Roman"/>
                <w:bCs/>
                <w:lang w:eastAsia="es-ES"/>
              </w:rPr>
            </w:pPr>
            <w:r w:rsidRPr="0005491B">
              <w:rPr>
                <w:rFonts w:eastAsia="Times New Roman"/>
                <w:b/>
                <w:lang w:eastAsia="es-ES"/>
              </w:rPr>
              <w:t>4</w:t>
            </w:r>
            <w:r w:rsidR="00E66619" w:rsidRPr="0005491B">
              <w:rPr>
                <w:rFonts w:eastAsia="Times New Roman"/>
                <w:b/>
                <w:lang w:eastAsia="es-ES"/>
              </w:rPr>
              <w:t>. ESTUDIO DE FONDO</w:t>
            </w:r>
            <w:r w:rsidR="00BE698B">
              <w:rPr>
                <w:rFonts w:eastAsia="Times New Roman"/>
                <w:bCs/>
                <w:lang w:eastAsia="es-ES"/>
              </w:rPr>
              <w:t>……………………………………………………………</w:t>
            </w:r>
            <w:proofErr w:type="gramStart"/>
            <w:r w:rsidR="00BE698B">
              <w:rPr>
                <w:rFonts w:eastAsia="Times New Roman"/>
                <w:bCs/>
                <w:lang w:eastAsia="es-ES"/>
              </w:rPr>
              <w:t>…….</w:t>
            </w:r>
            <w:proofErr w:type="gramEnd"/>
          </w:p>
        </w:tc>
        <w:tc>
          <w:tcPr>
            <w:tcW w:w="525" w:type="dxa"/>
          </w:tcPr>
          <w:p w14:paraId="5894F155" w14:textId="2C5BCD51" w:rsidR="00E66619" w:rsidRPr="0005491B" w:rsidRDefault="00BE698B" w:rsidP="00BE698B">
            <w:pPr>
              <w:spacing w:before="100" w:beforeAutospacing="1" w:after="100" w:afterAutospacing="1"/>
              <w:jc w:val="center"/>
              <w:rPr>
                <w:rFonts w:eastAsia="Times New Roman"/>
                <w:lang w:eastAsia="es-ES"/>
              </w:rPr>
            </w:pPr>
            <w:r>
              <w:rPr>
                <w:rFonts w:eastAsia="Times New Roman"/>
                <w:lang w:eastAsia="es-ES"/>
              </w:rPr>
              <w:t>4</w:t>
            </w:r>
          </w:p>
        </w:tc>
      </w:tr>
      <w:tr w:rsidR="00E66619" w:rsidRPr="0005491B" w14:paraId="333427BE" w14:textId="77777777" w:rsidTr="00791815">
        <w:tc>
          <w:tcPr>
            <w:tcW w:w="7498" w:type="dxa"/>
          </w:tcPr>
          <w:p w14:paraId="13004B39" w14:textId="5CB458A5" w:rsidR="00E66619" w:rsidRPr="0005491B" w:rsidRDefault="00E66619" w:rsidP="00E66619">
            <w:pPr>
              <w:spacing w:before="100" w:beforeAutospacing="1" w:after="100" w:afterAutospacing="1"/>
              <w:jc w:val="both"/>
              <w:rPr>
                <w:rFonts w:eastAsia="Times New Roman"/>
                <w:lang w:eastAsia="es-ES"/>
              </w:rPr>
            </w:pPr>
            <w:r w:rsidRPr="0005491B">
              <w:rPr>
                <w:rFonts w:eastAsia="Times New Roman"/>
                <w:b/>
                <w:lang w:eastAsia="es-ES"/>
              </w:rPr>
              <w:t xml:space="preserve">          </w:t>
            </w:r>
            <w:r w:rsidR="00ED3BC0" w:rsidRPr="0005491B">
              <w:rPr>
                <w:rFonts w:eastAsia="Times New Roman"/>
                <w:b/>
                <w:lang w:eastAsia="es-ES"/>
              </w:rPr>
              <w:t>4</w:t>
            </w:r>
            <w:r w:rsidRPr="0005491B">
              <w:rPr>
                <w:rFonts w:eastAsia="Times New Roman"/>
                <w:b/>
                <w:lang w:eastAsia="es-ES"/>
              </w:rPr>
              <w:t xml:space="preserve">.1. </w:t>
            </w:r>
            <w:r w:rsidRPr="0005491B">
              <w:rPr>
                <w:rFonts w:eastAsia="Times New Roman"/>
                <w:lang w:eastAsia="es-ES"/>
              </w:rPr>
              <w:t>Materia de la controversia ………………………………………………….</w:t>
            </w:r>
            <w:r w:rsidR="00DF2DB0" w:rsidRPr="0005491B">
              <w:rPr>
                <w:rFonts w:eastAsia="Times New Roman"/>
                <w:lang w:eastAsia="es-ES"/>
              </w:rPr>
              <w:t>..</w:t>
            </w:r>
          </w:p>
        </w:tc>
        <w:tc>
          <w:tcPr>
            <w:tcW w:w="525" w:type="dxa"/>
          </w:tcPr>
          <w:p w14:paraId="0D528E92" w14:textId="35B2E58D" w:rsidR="00E66619" w:rsidRPr="0005491B" w:rsidRDefault="00BE698B" w:rsidP="00E66619">
            <w:pPr>
              <w:spacing w:before="100" w:beforeAutospacing="1" w:after="100" w:afterAutospacing="1"/>
              <w:jc w:val="center"/>
              <w:rPr>
                <w:rFonts w:eastAsia="Times New Roman"/>
                <w:lang w:eastAsia="es-ES"/>
              </w:rPr>
            </w:pPr>
            <w:r>
              <w:rPr>
                <w:rFonts w:eastAsia="Times New Roman"/>
                <w:lang w:eastAsia="es-ES"/>
              </w:rPr>
              <w:t>4</w:t>
            </w:r>
          </w:p>
        </w:tc>
      </w:tr>
      <w:tr w:rsidR="00E66619" w:rsidRPr="0005491B" w14:paraId="582D98AD" w14:textId="77777777" w:rsidTr="00791815">
        <w:tc>
          <w:tcPr>
            <w:tcW w:w="7498" w:type="dxa"/>
          </w:tcPr>
          <w:p w14:paraId="72E58068" w14:textId="1ED68B0B" w:rsidR="00E66619" w:rsidRPr="0005491B" w:rsidRDefault="00E66619" w:rsidP="00E66619">
            <w:pPr>
              <w:spacing w:before="100" w:beforeAutospacing="1" w:after="100" w:afterAutospacing="1"/>
              <w:jc w:val="both"/>
              <w:rPr>
                <w:rFonts w:eastAsia="Times New Roman"/>
                <w:lang w:eastAsia="es-ES"/>
              </w:rPr>
            </w:pPr>
            <w:r w:rsidRPr="0005491B">
              <w:rPr>
                <w:rFonts w:eastAsia="Times New Roman"/>
                <w:b/>
                <w:lang w:eastAsia="es-ES"/>
              </w:rPr>
              <w:t xml:space="preserve">          </w:t>
            </w:r>
            <w:r w:rsidR="00ED3BC0" w:rsidRPr="0005491B">
              <w:rPr>
                <w:rFonts w:eastAsia="Times New Roman"/>
                <w:b/>
                <w:lang w:eastAsia="es-ES"/>
              </w:rPr>
              <w:t>4</w:t>
            </w:r>
            <w:r w:rsidRPr="0005491B">
              <w:rPr>
                <w:rFonts w:eastAsia="Times New Roman"/>
                <w:b/>
                <w:lang w:eastAsia="es-ES"/>
              </w:rPr>
              <w:t xml:space="preserve">.2. </w:t>
            </w:r>
            <w:r w:rsidR="00444340" w:rsidRPr="0005491B">
              <w:rPr>
                <w:rFonts w:eastAsia="Times New Roman"/>
                <w:lang w:eastAsia="es-ES"/>
              </w:rPr>
              <w:t>Decisi</w:t>
            </w:r>
            <w:r w:rsidR="00542ABD" w:rsidRPr="0005491B">
              <w:rPr>
                <w:rFonts w:eastAsia="Times New Roman"/>
                <w:lang w:eastAsia="es-ES"/>
              </w:rPr>
              <w:t>ón…</w:t>
            </w:r>
            <w:r w:rsidR="00D326FF" w:rsidRPr="0005491B">
              <w:rPr>
                <w:rFonts w:eastAsia="Times New Roman"/>
                <w:lang w:eastAsia="es-ES"/>
              </w:rPr>
              <w:t>…...</w:t>
            </w:r>
            <w:r w:rsidRPr="0005491B">
              <w:rPr>
                <w:rFonts w:eastAsia="Times New Roman"/>
                <w:lang w:eastAsia="es-ES"/>
              </w:rPr>
              <w:t>………………………………………………………...</w:t>
            </w:r>
            <w:r w:rsidR="00E92AF1" w:rsidRPr="0005491B">
              <w:rPr>
                <w:rFonts w:eastAsia="Times New Roman"/>
                <w:lang w:eastAsia="es-ES"/>
              </w:rPr>
              <w:t>....</w:t>
            </w:r>
            <w:r w:rsidR="002D3219" w:rsidRPr="0005491B">
              <w:rPr>
                <w:rFonts w:eastAsia="Times New Roman"/>
                <w:lang w:eastAsia="es-ES"/>
              </w:rPr>
              <w:t>...</w:t>
            </w:r>
            <w:r w:rsidR="00234E20" w:rsidRPr="0005491B">
              <w:rPr>
                <w:rFonts w:eastAsia="Times New Roman"/>
                <w:lang w:eastAsia="es-ES"/>
              </w:rPr>
              <w:t>....</w:t>
            </w:r>
          </w:p>
        </w:tc>
        <w:tc>
          <w:tcPr>
            <w:tcW w:w="525" w:type="dxa"/>
          </w:tcPr>
          <w:p w14:paraId="697C148F" w14:textId="151422D2" w:rsidR="00E66619" w:rsidRPr="0005491B" w:rsidRDefault="00BE698B" w:rsidP="00E66619">
            <w:pPr>
              <w:spacing w:before="100" w:beforeAutospacing="1" w:after="100" w:afterAutospacing="1"/>
              <w:jc w:val="center"/>
              <w:rPr>
                <w:rFonts w:eastAsia="Times New Roman"/>
                <w:lang w:eastAsia="es-ES"/>
              </w:rPr>
            </w:pPr>
            <w:r>
              <w:rPr>
                <w:rFonts w:eastAsia="Times New Roman"/>
                <w:lang w:eastAsia="es-ES"/>
              </w:rPr>
              <w:t>8</w:t>
            </w:r>
          </w:p>
        </w:tc>
      </w:tr>
      <w:tr w:rsidR="00E66619" w:rsidRPr="0005491B" w14:paraId="0B0AA96D" w14:textId="77777777" w:rsidTr="00791815">
        <w:tc>
          <w:tcPr>
            <w:tcW w:w="7498" w:type="dxa"/>
          </w:tcPr>
          <w:p w14:paraId="6846FFCF" w14:textId="514D1EB3" w:rsidR="00E66619" w:rsidRPr="0005491B" w:rsidRDefault="00E66619" w:rsidP="00E66619">
            <w:pPr>
              <w:spacing w:before="100" w:beforeAutospacing="1" w:after="100" w:afterAutospacing="1"/>
              <w:jc w:val="both"/>
              <w:rPr>
                <w:rFonts w:eastAsia="Times New Roman"/>
                <w:b/>
                <w:lang w:eastAsia="es-ES"/>
              </w:rPr>
            </w:pPr>
            <w:r w:rsidRPr="0005491B">
              <w:rPr>
                <w:rFonts w:eastAsia="Times New Roman"/>
                <w:b/>
                <w:lang w:eastAsia="es-ES"/>
              </w:rPr>
              <w:t xml:space="preserve">          </w:t>
            </w:r>
            <w:r w:rsidR="00ED3BC0" w:rsidRPr="0005491B">
              <w:rPr>
                <w:rFonts w:eastAsia="Times New Roman"/>
                <w:b/>
                <w:lang w:eastAsia="es-ES"/>
              </w:rPr>
              <w:t>4</w:t>
            </w:r>
            <w:r w:rsidRPr="0005491B">
              <w:rPr>
                <w:rFonts w:eastAsia="Times New Roman"/>
                <w:b/>
                <w:lang w:eastAsia="es-ES"/>
              </w:rPr>
              <w:t xml:space="preserve">.3. </w:t>
            </w:r>
            <w:r w:rsidRPr="0005491B">
              <w:rPr>
                <w:rFonts w:eastAsia="Times New Roman"/>
                <w:lang w:eastAsia="es-ES"/>
              </w:rPr>
              <w:t xml:space="preserve">Justificación de la </w:t>
            </w:r>
            <w:r w:rsidR="00444340" w:rsidRPr="0005491B">
              <w:rPr>
                <w:rFonts w:eastAsia="Times New Roman"/>
                <w:lang w:eastAsia="es-ES"/>
              </w:rPr>
              <w:t>decisi</w:t>
            </w:r>
            <w:r w:rsidR="00542ABD" w:rsidRPr="0005491B">
              <w:rPr>
                <w:rFonts w:eastAsia="Times New Roman"/>
                <w:lang w:eastAsia="es-ES"/>
              </w:rPr>
              <w:t>ó</w:t>
            </w:r>
            <w:r w:rsidR="00673757" w:rsidRPr="0005491B">
              <w:rPr>
                <w:rFonts w:eastAsia="Times New Roman"/>
                <w:lang w:eastAsia="es-ES"/>
              </w:rPr>
              <w:t>n</w:t>
            </w:r>
            <w:proofErr w:type="gramStart"/>
            <w:r w:rsidR="00542ABD" w:rsidRPr="0005491B">
              <w:rPr>
                <w:rFonts w:eastAsia="Times New Roman"/>
                <w:lang w:eastAsia="es-ES"/>
              </w:rPr>
              <w:t>…..</w:t>
            </w:r>
            <w:r w:rsidR="00D326FF" w:rsidRPr="0005491B">
              <w:rPr>
                <w:rFonts w:eastAsia="Times New Roman"/>
                <w:lang w:eastAsia="es-ES"/>
              </w:rPr>
              <w:t>..</w:t>
            </w:r>
            <w:proofErr w:type="gramEnd"/>
            <w:r w:rsidRPr="0005491B">
              <w:rPr>
                <w:rFonts w:eastAsia="Times New Roman"/>
                <w:lang w:eastAsia="es-ES"/>
              </w:rPr>
              <w:t>…………………………………</w:t>
            </w:r>
            <w:r w:rsidR="00E92AF1" w:rsidRPr="0005491B">
              <w:rPr>
                <w:rFonts w:eastAsia="Times New Roman"/>
                <w:lang w:eastAsia="es-ES"/>
              </w:rPr>
              <w:t>…</w:t>
            </w:r>
            <w:r w:rsidR="00234E20" w:rsidRPr="0005491B">
              <w:rPr>
                <w:rFonts w:eastAsia="Times New Roman"/>
                <w:lang w:eastAsia="es-ES"/>
              </w:rPr>
              <w:t>.</w:t>
            </w:r>
            <w:r w:rsidR="006C44F2" w:rsidRPr="0005491B">
              <w:rPr>
                <w:rFonts w:eastAsia="Times New Roman"/>
                <w:lang w:eastAsia="es-ES"/>
              </w:rPr>
              <w:t>…</w:t>
            </w:r>
            <w:r w:rsidR="00557B31" w:rsidRPr="0005491B">
              <w:rPr>
                <w:rFonts w:eastAsia="Times New Roman"/>
                <w:lang w:eastAsia="es-ES"/>
              </w:rPr>
              <w:t>…</w:t>
            </w:r>
            <w:r w:rsidR="006C44F2" w:rsidRPr="0005491B">
              <w:rPr>
                <w:rFonts w:eastAsia="Times New Roman"/>
                <w:lang w:eastAsia="es-ES"/>
              </w:rPr>
              <w:t>….</w:t>
            </w:r>
          </w:p>
        </w:tc>
        <w:tc>
          <w:tcPr>
            <w:tcW w:w="525" w:type="dxa"/>
          </w:tcPr>
          <w:p w14:paraId="06D095AC" w14:textId="080BDF71" w:rsidR="00E66619" w:rsidRPr="0005491B" w:rsidRDefault="00E221C7" w:rsidP="00E66619">
            <w:pPr>
              <w:spacing w:before="100" w:beforeAutospacing="1" w:after="100" w:afterAutospacing="1"/>
              <w:jc w:val="center"/>
              <w:rPr>
                <w:rFonts w:eastAsia="Times New Roman"/>
                <w:lang w:eastAsia="es-ES"/>
              </w:rPr>
            </w:pPr>
            <w:r>
              <w:rPr>
                <w:rFonts w:eastAsia="Times New Roman"/>
                <w:lang w:eastAsia="es-ES"/>
              </w:rPr>
              <w:t>8</w:t>
            </w:r>
          </w:p>
        </w:tc>
      </w:tr>
      <w:tr w:rsidR="00E66619" w:rsidRPr="0005491B" w14:paraId="32F42034" w14:textId="77777777" w:rsidTr="00791815">
        <w:tc>
          <w:tcPr>
            <w:tcW w:w="7498" w:type="dxa"/>
          </w:tcPr>
          <w:p w14:paraId="0DFE9122" w14:textId="103BABC1" w:rsidR="00E66619" w:rsidRPr="0005491B" w:rsidRDefault="00F9433A" w:rsidP="00E66619">
            <w:pPr>
              <w:spacing w:before="100" w:beforeAutospacing="1" w:after="100" w:afterAutospacing="1"/>
              <w:jc w:val="both"/>
              <w:rPr>
                <w:rFonts w:eastAsia="Times New Roman"/>
                <w:lang w:eastAsia="es-ES"/>
              </w:rPr>
            </w:pPr>
            <w:r w:rsidRPr="0005491B">
              <w:rPr>
                <w:rFonts w:eastAsia="Times New Roman"/>
                <w:b/>
                <w:lang w:eastAsia="es-ES"/>
              </w:rPr>
              <w:t>5</w:t>
            </w:r>
            <w:r w:rsidR="00E66619" w:rsidRPr="0005491B">
              <w:rPr>
                <w:rFonts w:eastAsia="Times New Roman"/>
                <w:b/>
                <w:lang w:eastAsia="es-ES"/>
              </w:rPr>
              <w:t>. RESOLUTIVO</w:t>
            </w:r>
            <w:r w:rsidR="00E66619" w:rsidRPr="0005491B">
              <w:rPr>
                <w:rFonts w:eastAsia="Times New Roman"/>
                <w:lang w:eastAsia="es-ES"/>
              </w:rPr>
              <w:t>………………………………………………………………………</w:t>
            </w:r>
            <w:r w:rsidRPr="0005491B">
              <w:rPr>
                <w:rFonts w:eastAsia="Times New Roman"/>
                <w:lang w:eastAsia="es-ES"/>
              </w:rPr>
              <w:t>...</w:t>
            </w:r>
          </w:p>
        </w:tc>
        <w:tc>
          <w:tcPr>
            <w:tcW w:w="525" w:type="dxa"/>
          </w:tcPr>
          <w:p w14:paraId="7A128137" w14:textId="39DA0B46" w:rsidR="00E66619" w:rsidRPr="0005491B" w:rsidRDefault="0097392C" w:rsidP="00E66619">
            <w:pPr>
              <w:spacing w:before="100" w:beforeAutospacing="1" w:after="100" w:afterAutospacing="1"/>
              <w:jc w:val="center"/>
              <w:rPr>
                <w:rFonts w:eastAsia="Times New Roman"/>
                <w:lang w:eastAsia="es-ES"/>
              </w:rPr>
            </w:pPr>
            <w:r>
              <w:rPr>
                <w:rFonts w:eastAsia="Times New Roman"/>
                <w:lang w:eastAsia="es-ES"/>
              </w:rPr>
              <w:t>1</w:t>
            </w:r>
            <w:r w:rsidR="00443F50">
              <w:rPr>
                <w:rFonts w:eastAsia="Times New Roman"/>
                <w:lang w:eastAsia="es-ES"/>
              </w:rPr>
              <w:t>3</w:t>
            </w:r>
          </w:p>
        </w:tc>
      </w:tr>
      <w:bookmarkEnd w:id="4"/>
    </w:tbl>
    <w:p w14:paraId="515829C0" w14:textId="77777777" w:rsidR="00F00BA1" w:rsidRPr="0005491B" w:rsidRDefault="00F00BA1" w:rsidP="00F00BA1">
      <w:pPr>
        <w:spacing w:after="0" w:line="240" w:lineRule="auto"/>
        <w:contextualSpacing/>
        <w:jc w:val="both"/>
        <w:rPr>
          <w:b/>
          <w:bCs/>
          <w:sz w:val="18"/>
          <w:szCs w:val="18"/>
        </w:rPr>
      </w:pPr>
    </w:p>
    <w:p w14:paraId="3E4683B1" w14:textId="252A2AA0" w:rsidR="00F9011A" w:rsidRPr="00DD1732" w:rsidRDefault="00F9011A" w:rsidP="00DD1732">
      <w:pPr>
        <w:spacing w:before="240"/>
        <w:jc w:val="center"/>
        <w:rPr>
          <w:b/>
          <w:bCs/>
          <w:sz w:val="24"/>
          <w:szCs w:val="24"/>
        </w:rPr>
      </w:pPr>
      <w:bookmarkStart w:id="6" w:name="_Toc27649894"/>
      <w:bookmarkEnd w:id="5"/>
      <w:r w:rsidRPr="00DD1732">
        <w:rPr>
          <w:b/>
          <w:bCs/>
          <w:sz w:val="24"/>
          <w:szCs w:val="24"/>
        </w:rPr>
        <w:t>GLOSARIO</w:t>
      </w:r>
      <w:bookmarkEnd w:id="6"/>
    </w:p>
    <w:tbl>
      <w:tblPr>
        <w:tblStyle w:val="Tablaconcuadrcula11"/>
        <w:tblW w:w="5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111"/>
      </w:tblGrid>
      <w:tr w:rsidR="00C40DA8" w:rsidRPr="00DD1732" w14:paraId="0B8DA969" w14:textId="77777777" w:rsidTr="00F76729">
        <w:trPr>
          <w:trHeight w:val="432"/>
          <w:jc w:val="center"/>
        </w:trPr>
        <w:tc>
          <w:tcPr>
            <w:tcW w:w="1701" w:type="dxa"/>
          </w:tcPr>
          <w:p w14:paraId="317E5EDB" w14:textId="77777777" w:rsidR="00C40DA8" w:rsidRPr="00AD664C" w:rsidRDefault="00C40DA8" w:rsidP="008A33AB">
            <w:pPr>
              <w:tabs>
                <w:tab w:val="left" w:pos="2646"/>
              </w:tabs>
              <w:spacing w:before="240" w:after="0" w:line="240" w:lineRule="auto"/>
              <w:jc w:val="both"/>
              <w:rPr>
                <w:b/>
                <w:i/>
              </w:rPr>
            </w:pPr>
            <w:bookmarkStart w:id="7" w:name="_Hlk59105651"/>
            <w:r w:rsidRPr="00AD664C">
              <w:rPr>
                <w:b/>
                <w:i/>
              </w:rPr>
              <w:t>Constitución Federal:</w:t>
            </w:r>
          </w:p>
        </w:tc>
        <w:tc>
          <w:tcPr>
            <w:tcW w:w="4111" w:type="dxa"/>
          </w:tcPr>
          <w:p w14:paraId="5809D06C" w14:textId="77777777" w:rsidR="00C40DA8" w:rsidRPr="00AD664C" w:rsidRDefault="00C40DA8" w:rsidP="00AD664C">
            <w:pPr>
              <w:tabs>
                <w:tab w:val="left" w:pos="2646"/>
                <w:tab w:val="left" w:pos="4500"/>
              </w:tabs>
              <w:spacing w:before="240" w:after="0" w:line="240" w:lineRule="auto"/>
              <w:jc w:val="both"/>
            </w:pPr>
            <w:r w:rsidRPr="00AD664C">
              <w:t>Constitución Política de los Estados Unidos Mexicanos</w:t>
            </w:r>
          </w:p>
        </w:tc>
      </w:tr>
      <w:tr w:rsidR="00AE54FA" w:rsidRPr="00DD1732" w14:paraId="0610C00D" w14:textId="77777777" w:rsidTr="00F76729">
        <w:trPr>
          <w:trHeight w:val="432"/>
          <w:jc w:val="center"/>
        </w:trPr>
        <w:tc>
          <w:tcPr>
            <w:tcW w:w="1701" w:type="dxa"/>
          </w:tcPr>
          <w:p w14:paraId="71276F81" w14:textId="38F229DC" w:rsidR="00AE54FA" w:rsidRDefault="00AE54FA" w:rsidP="008A33AB">
            <w:pPr>
              <w:tabs>
                <w:tab w:val="left" w:pos="2646"/>
              </w:tabs>
              <w:spacing w:before="240" w:after="0" w:line="240" w:lineRule="auto"/>
              <w:jc w:val="both"/>
              <w:rPr>
                <w:b/>
                <w:i/>
              </w:rPr>
            </w:pPr>
            <w:r>
              <w:rPr>
                <w:b/>
                <w:i/>
              </w:rPr>
              <w:t>Instituto local:</w:t>
            </w:r>
          </w:p>
        </w:tc>
        <w:tc>
          <w:tcPr>
            <w:tcW w:w="4111" w:type="dxa"/>
          </w:tcPr>
          <w:p w14:paraId="10ED98EF" w14:textId="058F0B0A" w:rsidR="00AE54FA" w:rsidRDefault="00AE54FA" w:rsidP="00AD664C">
            <w:pPr>
              <w:tabs>
                <w:tab w:val="left" w:pos="2646"/>
                <w:tab w:val="left" w:pos="4500"/>
              </w:tabs>
              <w:spacing w:before="240" w:after="0" w:line="240" w:lineRule="auto"/>
              <w:jc w:val="both"/>
            </w:pPr>
            <w:r>
              <w:t xml:space="preserve">Instituto Electoral del Estado de </w:t>
            </w:r>
            <w:r w:rsidR="005070A7">
              <w:t>Guanajuato</w:t>
            </w:r>
          </w:p>
        </w:tc>
      </w:tr>
      <w:bookmarkEnd w:id="7"/>
      <w:tr w:rsidR="00C40DA8" w:rsidRPr="00DD1732" w14:paraId="0D2D5D2E" w14:textId="77777777" w:rsidTr="00F76729">
        <w:trPr>
          <w:trHeight w:val="432"/>
          <w:jc w:val="center"/>
        </w:trPr>
        <w:tc>
          <w:tcPr>
            <w:tcW w:w="1701" w:type="dxa"/>
          </w:tcPr>
          <w:p w14:paraId="54A8E361" w14:textId="77777777" w:rsidR="00C40DA8" w:rsidRPr="00AD664C" w:rsidRDefault="00C40DA8" w:rsidP="008A33AB">
            <w:pPr>
              <w:tabs>
                <w:tab w:val="left" w:pos="2646"/>
              </w:tabs>
              <w:spacing w:before="240" w:after="0" w:line="240" w:lineRule="auto"/>
              <w:jc w:val="both"/>
              <w:rPr>
                <w:b/>
                <w:i/>
              </w:rPr>
            </w:pPr>
            <w:r w:rsidRPr="00AD664C">
              <w:rPr>
                <w:b/>
                <w:i/>
              </w:rPr>
              <w:t>Ley de Medios:</w:t>
            </w:r>
          </w:p>
        </w:tc>
        <w:tc>
          <w:tcPr>
            <w:tcW w:w="4111" w:type="dxa"/>
          </w:tcPr>
          <w:p w14:paraId="6E27EFF4" w14:textId="77777777" w:rsidR="00C40DA8" w:rsidRPr="00AD664C" w:rsidRDefault="00C40DA8" w:rsidP="00AD664C">
            <w:pPr>
              <w:tabs>
                <w:tab w:val="left" w:pos="2646"/>
                <w:tab w:val="left" w:pos="4500"/>
              </w:tabs>
              <w:spacing w:before="240" w:after="0" w:line="240" w:lineRule="auto"/>
              <w:jc w:val="both"/>
            </w:pPr>
            <w:r w:rsidRPr="00AD664C">
              <w:t>Ley General del Sistema de Medios de Impugnación en Materia Electoral</w:t>
            </w:r>
          </w:p>
        </w:tc>
      </w:tr>
      <w:tr w:rsidR="003916F9" w:rsidRPr="00DD1732" w14:paraId="289033B2" w14:textId="77777777" w:rsidTr="00F76729">
        <w:trPr>
          <w:trHeight w:val="432"/>
          <w:jc w:val="center"/>
        </w:trPr>
        <w:tc>
          <w:tcPr>
            <w:tcW w:w="1701" w:type="dxa"/>
          </w:tcPr>
          <w:p w14:paraId="02095A62" w14:textId="68AF2E0C" w:rsidR="003916F9" w:rsidRPr="00AD664C" w:rsidRDefault="003916F9" w:rsidP="008A33AB">
            <w:pPr>
              <w:tabs>
                <w:tab w:val="left" w:pos="2646"/>
              </w:tabs>
              <w:spacing w:before="240" w:after="0" w:line="240" w:lineRule="auto"/>
              <w:jc w:val="both"/>
              <w:rPr>
                <w:b/>
                <w:i/>
              </w:rPr>
            </w:pPr>
            <w:r>
              <w:rPr>
                <w:b/>
                <w:i/>
              </w:rPr>
              <w:t>Ley Electoral local</w:t>
            </w:r>
          </w:p>
        </w:tc>
        <w:tc>
          <w:tcPr>
            <w:tcW w:w="4111" w:type="dxa"/>
          </w:tcPr>
          <w:p w14:paraId="3BDD0186" w14:textId="72CC8C97" w:rsidR="003916F9" w:rsidRPr="00AD664C" w:rsidRDefault="003916F9" w:rsidP="00AD664C">
            <w:pPr>
              <w:tabs>
                <w:tab w:val="left" w:pos="2646"/>
                <w:tab w:val="left" w:pos="4500"/>
              </w:tabs>
              <w:spacing w:before="240" w:after="0" w:line="240" w:lineRule="auto"/>
              <w:jc w:val="both"/>
            </w:pPr>
            <w:r>
              <w:t>Ley de Instituciones y Procedimientos Electorales para el Estado de Guanajuato</w:t>
            </w:r>
          </w:p>
        </w:tc>
      </w:tr>
      <w:tr w:rsidR="00237EB6" w:rsidRPr="00DD1732" w14:paraId="5C04F557" w14:textId="77777777" w:rsidTr="00F76729">
        <w:trPr>
          <w:trHeight w:val="432"/>
          <w:jc w:val="center"/>
        </w:trPr>
        <w:tc>
          <w:tcPr>
            <w:tcW w:w="1701" w:type="dxa"/>
          </w:tcPr>
          <w:p w14:paraId="7B7D39B5" w14:textId="4192D0C9" w:rsidR="00237EB6" w:rsidRPr="00AD664C" w:rsidRDefault="00237EB6" w:rsidP="008A33AB">
            <w:pPr>
              <w:tabs>
                <w:tab w:val="left" w:pos="2646"/>
              </w:tabs>
              <w:spacing w:before="240" w:after="0" w:line="240" w:lineRule="auto"/>
              <w:jc w:val="both"/>
              <w:rPr>
                <w:b/>
                <w:i/>
              </w:rPr>
            </w:pPr>
            <w:r>
              <w:rPr>
                <w:b/>
                <w:i/>
              </w:rPr>
              <w:lastRenderedPageBreak/>
              <w:t>Lineamientos de paridad</w:t>
            </w:r>
          </w:p>
        </w:tc>
        <w:tc>
          <w:tcPr>
            <w:tcW w:w="4111" w:type="dxa"/>
          </w:tcPr>
          <w:p w14:paraId="0E1BCFF0" w14:textId="3CA43F7D" w:rsidR="00237EB6" w:rsidRPr="00AD664C" w:rsidRDefault="00237EB6" w:rsidP="00AD664C">
            <w:pPr>
              <w:tabs>
                <w:tab w:val="left" w:pos="2646"/>
                <w:tab w:val="left" w:pos="4500"/>
              </w:tabs>
              <w:spacing w:before="240" w:after="0" w:line="240" w:lineRule="auto"/>
              <w:jc w:val="both"/>
            </w:pPr>
            <w:r w:rsidRPr="00237EB6">
              <w:t xml:space="preserve">Lineamientos </w:t>
            </w:r>
            <w:r>
              <w:t>p</w:t>
            </w:r>
            <w:r w:rsidRPr="00237EB6">
              <w:t xml:space="preserve">ara Garantizar </w:t>
            </w:r>
            <w:r>
              <w:t>e</w:t>
            </w:r>
            <w:r w:rsidRPr="00237EB6">
              <w:t xml:space="preserve">l Cumplimiento </w:t>
            </w:r>
            <w:r>
              <w:t>d</w:t>
            </w:r>
            <w:r w:rsidRPr="00237EB6">
              <w:t xml:space="preserve">el Principio </w:t>
            </w:r>
            <w:r>
              <w:t>d</w:t>
            </w:r>
            <w:r w:rsidRPr="00237EB6">
              <w:t xml:space="preserve">e Paridad </w:t>
            </w:r>
            <w:r>
              <w:t>d</w:t>
            </w:r>
            <w:r w:rsidRPr="00237EB6">
              <w:t xml:space="preserve">e Género </w:t>
            </w:r>
            <w:r>
              <w:t>e</w:t>
            </w:r>
            <w:r w:rsidRPr="00237EB6">
              <w:t xml:space="preserve">n </w:t>
            </w:r>
            <w:r>
              <w:t>l</w:t>
            </w:r>
            <w:r w:rsidRPr="00237EB6">
              <w:t xml:space="preserve">a Postulación </w:t>
            </w:r>
            <w:r>
              <w:t>y</w:t>
            </w:r>
            <w:r w:rsidRPr="00237EB6">
              <w:t xml:space="preserve"> Registro </w:t>
            </w:r>
            <w:r>
              <w:t>d</w:t>
            </w:r>
            <w:r w:rsidRPr="00237EB6">
              <w:t>e Candidaturas,</w:t>
            </w:r>
            <w:r>
              <w:t xml:space="preserve"> a</w:t>
            </w:r>
            <w:r w:rsidRPr="00237EB6">
              <w:t xml:space="preserve">sí </w:t>
            </w:r>
            <w:r>
              <w:t>c</w:t>
            </w:r>
            <w:r w:rsidRPr="00237EB6">
              <w:t xml:space="preserve">omo </w:t>
            </w:r>
            <w:r>
              <w:t>e</w:t>
            </w:r>
            <w:r w:rsidRPr="00237EB6">
              <w:t xml:space="preserve">n </w:t>
            </w:r>
            <w:r>
              <w:t>l</w:t>
            </w:r>
            <w:r w:rsidRPr="00237EB6">
              <w:t xml:space="preserve">a Integración </w:t>
            </w:r>
            <w:r>
              <w:t>d</w:t>
            </w:r>
            <w:r w:rsidRPr="00237EB6">
              <w:t xml:space="preserve">el Congreso </w:t>
            </w:r>
            <w:r>
              <w:t>d</w:t>
            </w:r>
            <w:r w:rsidRPr="00237EB6">
              <w:t xml:space="preserve">el Estado </w:t>
            </w:r>
            <w:r>
              <w:t>y</w:t>
            </w:r>
            <w:r w:rsidRPr="00237EB6">
              <w:t xml:space="preserve"> Ayuntamientos, </w:t>
            </w:r>
            <w:r>
              <w:t>e</w:t>
            </w:r>
            <w:r w:rsidRPr="00237EB6">
              <w:t xml:space="preserve">n </w:t>
            </w:r>
            <w:r>
              <w:t>e</w:t>
            </w:r>
            <w:r w:rsidRPr="00237EB6">
              <w:t>l Proceso Electoral Local Ordinario 2020-2021</w:t>
            </w:r>
          </w:p>
        </w:tc>
      </w:tr>
      <w:tr w:rsidR="00237EB6" w:rsidRPr="00DD1732" w14:paraId="13613CCE" w14:textId="77777777" w:rsidTr="00F76729">
        <w:trPr>
          <w:trHeight w:val="432"/>
          <w:jc w:val="center"/>
        </w:trPr>
        <w:tc>
          <w:tcPr>
            <w:tcW w:w="1701" w:type="dxa"/>
          </w:tcPr>
          <w:p w14:paraId="00073248" w14:textId="1165D0EB" w:rsidR="00237EB6" w:rsidRDefault="00237EB6" w:rsidP="008A33AB">
            <w:pPr>
              <w:tabs>
                <w:tab w:val="left" w:pos="2646"/>
              </w:tabs>
              <w:spacing w:before="240" w:after="0" w:line="240" w:lineRule="auto"/>
              <w:jc w:val="both"/>
              <w:rPr>
                <w:b/>
                <w:i/>
              </w:rPr>
            </w:pPr>
            <w:r>
              <w:rPr>
                <w:b/>
                <w:i/>
              </w:rPr>
              <w:t>Lineamientos para el registro</w:t>
            </w:r>
          </w:p>
        </w:tc>
        <w:tc>
          <w:tcPr>
            <w:tcW w:w="4111" w:type="dxa"/>
          </w:tcPr>
          <w:p w14:paraId="2F20AB88" w14:textId="29DB2B51" w:rsidR="00237EB6" w:rsidRPr="00237EB6" w:rsidRDefault="00237EB6" w:rsidP="00AD664C">
            <w:pPr>
              <w:tabs>
                <w:tab w:val="left" w:pos="2646"/>
                <w:tab w:val="left" w:pos="4500"/>
              </w:tabs>
              <w:spacing w:before="240" w:after="0" w:line="240" w:lineRule="auto"/>
              <w:jc w:val="both"/>
            </w:pPr>
            <w:r>
              <w:t>Lineamientos para el Registro de Candidaturas en el Proceso Electoral Local Ordinario 2020-2021</w:t>
            </w:r>
          </w:p>
        </w:tc>
      </w:tr>
      <w:tr w:rsidR="00AD664C" w:rsidRPr="00DD1732" w14:paraId="561F6CFE" w14:textId="77777777" w:rsidTr="00F76729">
        <w:trPr>
          <w:trHeight w:val="432"/>
          <w:jc w:val="center"/>
        </w:trPr>
        <w:tc>
          <w:tcPr>
            <w:tcW w:w="1701" w:type="dxa"/>
          </w:tcPr>
          <w:p w14:paraId="4818B374" w14:textId="40A98EDA" w:rsidR="00AD664C" w:rsidRPr="00AD664C" w:rsidRDefault="00AD664C" w:rsidP="008A33AB">
            <w:pPr>
              <w:tabs>
                <w:tab w:val="left" w:pos="2646"/>
              </w:tabs>
              <w:spacing w:before="240" w:after="0" w:line="240" w:lineRule="auto"/>
              <w:jc w:val="both"/>
              <w:rPr>
                <w:b/>
                <w:i/>
              </w:rPr>
            </w:pPr>
            <w:r>
              <w:rPr>
                <w:b/>
                <w:i/>
              </w:rPr>
              <w:t>PAN:</w:t>
            </w:r>
          </w:p>
        </w:tc>
        <w:tc>
          <w:tcPr>
            <w:tcW w:w="4111" w:type="dxa"/>
          </w:tcPr>
          <w:p w14:paraId="76A94094" w14:textId="5250ADB0" w:rsidR="00AD664C" w:rsidRPr="00AD664C" w:rsidRDefault="00AD664C" w:rsidP="00AD664C">
            <w:pPr>
              <w:tabs>
                <w:tab w:val="left" w:pos="2646"/>
                <w:tab w:val="left" w:pos="4500"/>
              </w:tabs>
              <w:spacing w:before="240" w:after="0" w:line="240" w:lineRule="auto"/>
              <w:jc w:val="both"/>
            </w:pPr>
            <w:r>
              <w:t>Partido Acción Nacional</w:t>
            </w:r>
          </w:p>
        </w:tc>
      </w:tr>
      <w:tr w:rsidR="00C40DA8" w:rsidRPr="00DD1732" w14:paraId="301DE08E" w14:textId="77777777" w:rsidTr="00F76729">
        <w:trPr>
          <w:trHeight w:val="432"/>
          <w:jc w:val="center"/>
        </w:trPr>
        <w:tc>
          <w:tcPr>
            <w:tcW w:w="1701" w:type="dxa"/>
          </w:tcPr>
          <w:p w14:paraId="205C52CD" w14:textId="77777777" w:rsidR="00C40DA8" w:rsidRPr="00AD664C" w:rsidRDefault="00C40DA8" w:rsidP="008A33AB">
            <w:pPr>
              <w:tabs>
                <w:tab w:val="left" w:pos="2646"/>
              </w:tabs>
              <w:spacing w:before="240" w:after="0" w:line="240" w:lineRule="auto"/>
              <w:jc w:val="both"/>
              <w:rPr>
                <w:b/>
                <w:i/>
              </w:rPr>
            </w:pPr>
            <w:r w:rsidRPr="00AD664C">
              <w:rPr>
                <w:b/>
                <w:i/>
              </w:rPr>
              <w:t>Tribunal local:</w:t>
            </w:r>
          </w:p>
        </w:tc>
        <w:tc>
          <w:tcPr>
            <w:tcW w:w="4111" w:type="dxa"/>
          </w:tcPr>
          <w:p w14:paraId="10E158F1" w14:textId="1B62BBAA" w:rsidR="00C40DA8" w:rsidRPr="00AD664C" w:rsidRDefault="00C40DA8" w:rsidP="00AD664C">
            <w:pPr>
              <w:tabs>
                <w:tab w:val="left" w:pos="2646"/>
                <w:tab w:val="left" w:pos="4500"/>
              </w:tabs>
              <w:spacing w:before="240" w:after="0" w:line="240" w:lineRule="auto"/>
              <w:jc w:val="both"/>
            </w:pPr>
            <w:r w:rsidRPr="00AD664C">
              <w:t xml:space="preserve">Tribunal </w:t>
            </w:r>
            <w:r w:rsidR="00DD32B7">
              <w:t>Estatal Electoral de Guanajuato</w:t>
            </w:r>
          </w:p>
        </w:tc>
      </w:tr>
    </w:tbl>
    <w:p w14:paraId="2C641298" w14:textId="77777777" w:rsidR="003B25C4" w:rsidRDefault="003B25C4" w:rsidP="005C6244">
      <w:pPr>
        <w:pStyle w:val="Ttulo1"/>
        <w:rPr>
          <w:szCs w:val="24"/>
        </w:rPr>
      </w:pPr>
      <w:bookmarkStart w:id="8" w:name="_Toc27649895"/>
    </w:p>
    <w:p w14:paraId="7EDE9B60" w14:textId="0D12FC41" w:rsidR="00F9011A" w:rsidRPr="00F0349B" w:rsidRDefault="00EB2DC3" w:rsidP="005C6244">
      <w:pPr>
        <w:pStyle w:val="Ttulo1"/>
        <w:rPr>
          <w:szCs w:val="24"/>
        </w:rPr>
      </w:pPr>
      <w:r w:rsidRPr="00F0349B">
        <w:rPr>
          <w:szCs w:val="24"/>
        </w:rPr>
        <w:t xml:space="preserve">1. </w:t>
      </w:r>
      <w:r w:rsidR="00F9011A" w:rsidRPr="00F0349B">
        <w:rPr>
          <w:szCs w:val="24"/>
        </w:rPr>
        <w:t>ANTECEDENTES DEL CASO</w:t>
      </w:r>
      <w:bookmarkEnd w:id="8"/>
      <w:r w:rsidR="00C40DA8" w:rsidRPr="00F0349B">
        <w:rPr>
          <w:rStyle w:val="Refdenotaalpie"/>
          <w:szCs w:val="24"/>
        </w:rPr>
        <w:footnoteReference w:id="1"/>
      </w:r>
    </w:p>
    <w:p w14:paraId="53F5DA57" w14:textId="695AD83C" w:rsidR="00FD4541" w:rsidRDefault="00C40DA8" w:rsidP="005C6244">
      <w:pPr>
        <w:autoSpaceDE w:val="0"/>
        <w:autoSpaceDN w:val="0"/>
        <w:adjustRightInd w:val="0"/>
        <w:spacing w:before="100" w:beforeAutospacing="1" w:after="100" w:afterAutospacing="1" w:line="360" w:lineRule="auto"/>
        <w:jc w:val="both"/>
        <w:rPr>
          <w:rFonts w:eastAsia="Times New Roman"/>
          <w:color w:val="000000" w:themeColor="text1"/>
          <w:sz w:val="24"/>
          <w:szCs w:val="24"/>
          <w:lang w:val="es-ES_tradnl" w:eastAsia="es-ES"/>
        </w:rPr>
      </w:pPr>
      <w:r w:rsidRPr="00F0349B">
        <w:rPr>
          <w:rFonts w:eastAsia="Times New Roman"/>
          <w:b/>
          <w:bCs/>
          <w:color w:val="000000" w:themeColor="text1"/>
          <w:sz w:val="24"/>
          <w:szCs w:val="24"/>
          <w:lang w:val="es-ES_tradnl" w:eastAsia="es-ES"/>
        </w:rPr>
        <w:t xml:space="preserve">1.1. Inicio del proceso electoral. </w:t>
      </w:r>
      <w:r w:rsidRPr="00F0349B">
        <w:rPr>
          <w:rFonts w:eastAsia="Times New Roman"/>
          <w:color w:val="000000" w:themeColor="text1"/>
          <w:sz w:val="24"/>
          <w:szCs w:val="24"/>
          <w:lang w:val="es-ES_tradnl" w:eastAsia="es-ES"/>
        </w:rPr>
        <w:t xml:space="preserve">El </w:t>
      </w:r>
      <w:r w:rsidR="00FD4541">
        <w:rPr>
          <w:rFonts w:eastAsia="Times New Roman"/>
          <w:color w:val="000000" w:themeColor="text1"/>
          <w:sz w:val="24"/>
          <w:szCs w:val="24"/>
          <w:lang w:val="es-ES_tradnl" w:eastAsia="es-ES"/>
        </w:rPr>
        <w:t>siete de septiembre</w:t>
      </w:r>
      <w:r w:rsidRPr="00F0349B">
        <w:rPr>
          <w:rFonts w:eastAsia="Times New Roman"/>
          <w:color w:val="000000" w:themeColor="text1"/>
          <w:sz w:val="24"/>
          <w:szCs w:val="24"/>
          <w:lang w:val="es-ES_tradnl" w:eastAsia="es-ES"/>
        </w:rPr>
        <w:t xml:space="preserve"> de dos mil veinte, inició el proceso electoral local 2020-2021, para la renovación de diversos cargos de elección popular en el Estado de </w:t>
      </w:r>
      <w:r w:rsidR="00FD4541">
        <w:rPr>
          <w:rFonts w:eastAsia="Times New Roman"/>
          <w:color w:val="000000" w:themeColor="text1"/>
          <w:sz w:val="24"/>
          <w:szCs w:val="24"/>
          <w:lang w:val="es-ES_tradnl" w:eastAsia="es-ES"/>
        </w:rPr>
        <w:t>Guanajuato.</w:t>
      </w:r>
    </w:p>
    <w:p w14:paraId="59C9FF06" w14:textId="2605A79B" w:rsidR="007B7430" w:rsidRDefault="001410B5" w:rsidP="005C6244">
      <w:pPr>
        <w:spacing w:before="100" w:beforeAutospacing="1" w:after="100" w:afterAutospacing="1" w:line="360" w:lineRule="auto"/>
        <w:jc w:val="both"/>
        <w:rPr>
          <w:sz w:val="24"/>
          <w:szCs w:val="24"/>
        </w:rPr>
      </w:pPr>
      <w:r w:rsidRPr="00F0349B">
        <w:rPr>
          <w:rFonts w:eastAsia="Times New Roman"/>
          <w:b/>
          <w:bCs/>
          <w:color w:val="000000" w:themeColor="text1"/>
          <w:sz w:val="24"/>
          <w:szCs w:val="24"/>
          <w:lang w:val="es-ES_tradnl" w:eastAsia="es-ES"/>
        </w:rPr>
        <w:t xml:space="preserve">1.2. </w:t>
      </w:r>
      <w:r w:rsidR="007B7430" w:rsidRPr="005F37C3">
        <w:rPr>
          <w:b/>
          <w:bCs/>
          <w:sz w:val="24"/>
          <w:szCs w:val="24"/>
        </w:rPr>
        <w:t>Requerimiento e improcedencia de registros</w:t>
      </w:r>
      <w:r w:rsidR="007B7430">
        <w:rPr>
          <w:sz w:val="24"/>
          <w:szCs w:val="24"/>
        </w:rPr>
        <w:t xml:space="preserve">. </w:t>
      </w:r>
      <w:r w:rsidR="007B7430" w:rsidRPr="005F37C3">
        <w:rPr>
          <w:sz w:val="24"/>
          <w:szCs w:val="24"/>
        </w:rPr>
        <w:t>El cuatro de abril, el</w:t>
      </w:r>
      <w:r w:rsidR="007B7430">
        <w:rPr>
          <w:sz w:val="24"/>
          <w:szCs w:val="24"/>
        </w:rPr>
        <w:t xml:space="preserve"> </w:t>
      </w:r>
      <w:r w:rsidR="0091011F" w:rsidRPr="0091011F">
        <w:rPr>
          <w:i/>
          <w:iCs/>
          <w:sz w:val="24"/>
          <w:szCs w:val="24"/>
        </w:rPr>
        <w:t>Instituto</w:t>
      </w:r>
      <w:r w:rsidR="0091011F">
        <w:rPr>
          <w:sz w:val="24"/>
          <w:szCs w:val="24"/>
        </w:rPr>
        <w:t xml:space="preserve"> </w:t>
      </w:r>
      <w:r w:rsidR="0091011F" w:rsidRPr="0091011F">
        <w:rPr>
          <w:i/>
          <w:iCs/>
          <w:sz w:val="24"/>
          <w:szCs w:val="24"/>
        </w:rPr>
        <w:t>local</w:t>
      </w:r>
      <w:r w:rsidR="0091011F">
        <w:rPr>
          <w:sz w:val="24"/>
          <w:szCs w:val="24"/>
        </w:rPr>
        <w:t xml:space="preserve"> </w:t>
      </w:r>
      <w:r w:rsidR="007B7430" w:rsidRPr="005F37C3">
        <w:rPr>
          <w:sz w:val="24"/>
          <w:szCs w:val="24"/>
        </w:rPr>
        <w:t xml:space="preserve">emitió el acuerdo </w:t>
      </w:r>
      <w:r w:rsidR="007B7430" w:rsidRPr="005F37C3">
        <w:rPr>
          <w:b/>
          <w:bCs/>
          <w:sz w:val="24"/>
          <w:szCs w:val="24"/>
        </w:rPr>
        <w:t>CGIEEG/104/2021</w:t>
      </w:r>
      <w:r w:rsidR="007B7430" w:rsidRPr="005F37C3">
        <w:rPr>
          <w:sz w:val="24"/>
          <w:szCs w:val="24"/>
        </w:rPr>
        <w:t>, en el que requirió</w:t>
      </w:r>
      <w:r w:rsidR="007B7430">
        <w:rPr>
          <w:sz w:val="24"/>
          <w:szCs w:val="24"/>
        </w:rPr>
        <w:t xml:space="preserve"> </w:t>
      </w:r>
      <w:r w:rsidR="007B7430" w:rsidRPr="005F37C3">
        <w:rPr>
          <w:sz w:val="24"/>
          <w:szCs w:val="24"/>
        </w:rPr>
        <w:t xml:space="preserve">a </w:t>
      </w:r>
      <w:r w:rsidR="0091011F" w:rsidRPr="005F37C3">
        <w:rPr>
          <w:sz w:val="24"/>
          <w:szCs w:val="24"/>
        </w:rPr>
        <w:t xml:space="preserve">Morena </w:t>
      </w:r>
      <w:r w:rsidR="007B7430" w:rsidRPr="005F37C3">
        <w:rPr>
          <w:sz w:val="24"/>
          <w:szCs w:val="24"/>
        </w:rPr>
        <w:t>para corregir el bloque de alto porcentaje de votación, a fin</w:t>
      </w:r>
      <w:r w:rsidR="007B7430">
        <w:rPr>
          <w:sz w:val="24"/>
          <w:szCs w:val="24"/>
        </w:rPr>
        <w:t xml:space="preserve"> </w:t>
      </w:r>
      <w:r w:rsidR="007B7430" w:rsidRPr="005F37C3">
        <w:rPr>
          <w:sz w:val="24"/>
          <w:szCs w:val="24"/>
        </w:rPr>
        <w:t>de que postule más mujeres que hombres</w:t>
      </w:r>
      <w:r w:rsidR="007B7430">
        <w:rPr>
          <w:sz w:val="24"/>
          <w:szCs w:val="24"/>
        </w:rPr>
        <w:t xml:space="preserve"> ello en razón a que había propuesto </w:t>
      </w:r>
      <w:r w:rsidR="007B7430" w:rsidRPr="006827AA">
        <w:rPr>
          <w:sz w:val="24"/>
          <w:szCs w:val="24"/>
          <w:u w:val="single"/>
        </w:rPr>
        <w:t>seis mujeres</w:t>
      </w:r>
      <w:r w:rsidR="007B7430">
        <w:rPr>
          <w:sz w:val="24"/>
          <w:szCs w:val="24"/>
        </w:rPr>
        <w:t xml:space="preserve"> y </w:t>
      </w:r>
      <w:r w:rsidR="007B7430" w:rsidRPr="006827AA">
        <w:rPr>
          <w:sz w:val="24"/>
          <w:szCs w:val="24"/>
          <w:u w:val="single"/>
        </w:rPr>
        <w:t>seis hombres</w:t>
      </w:r>
      <w:r w:rsidR="007B7430">
        <w:rPr>
          <w:sz w:val="24"/>
          <w:szCs w:val="24"/>
        </w:rPr>
        <w:t xml:space="preserve">, por lo que conforme al artículo 10 de los </w:t>
      </w:r>
      <w:r w:rsidR="007B7430" w:rsidRPr="00D513F1">
        <w:rPr>
          <w:i/>
          <w:iCs/>
          <w:sz w:val="24"/>
          <w:szCs w:val="24"/>
        </w:rPr>
        <w:t>lineamientos de paridad</w:t>
      </w:r>
      <w:r w:rsidR="007B7430">
        <w:rPr>
          <w:sz w:val="24"/>
          <w:szCs w:val="24"/>
        </w:rPr>
        <w:t xml:space="preserve"> debía proponer más mujeres que hombres en ese bloque</w:t>
      </w:r>
      <w:r w:rsidR="002D7FED">
        <w:rPr>
          <w:sz w:val="24"/>
          <w:szCs w:val="24"/>
        </w:rPr>
        <w:t>.</w:t>
      </w:r>
      <w:r w:rsidR="007B7430">
        <w:rPr>
          <w:sz w:val="24"/>
          <w:szCs w:val="24"/>
        </w:rPr>
        <w:t xml:space="preserve"> </w:t>
      </w:r>
      <w:r w:rsidR="002D7FED">
        <w:rPr>
          <w:sz w:val="24"/>
          <w:szCs w:val="24"/>
          <w:u w:val="single"/>
        </w:rPr>
        <w:t>E</w:t>
      </w:r>
      <w:r w:rsidR="007B7430" w:rsidRPr="006605C9">
        <w:rPr>
          <w:sz w:val="24"/>
          <w:szCs w:val="24"/>
          <w:u w:val="single"/>
        </w:rPr>
        <w:t>n ese momento la propuesta para Comonfort era del género hombre</w:t>
      </w:r>
      <w:r w:rsidR="007B7430">
        <w:rPr>
          <w:sz w:val="24"/>
          <w:szCs w:val="24"/>
        </w:rPr>
        <w:t>.</w:t>
      </w:r>
    </w:p>
    <w:p w14:paraId="7A5198D7" w14:textId="35497A79" w:rsidR="007B7430" w:rsidRDefault="007B7430" w:rsidP="005C6244">
      <w:pPr>
        <w:adjustRightInd w:val="0"/>
        <w:spacing w:before="100" w:beforeAutospacing="1" w:after="100" w:afterAutospacing="1" w:line="360" w:lineRule="auto"/>
        <w:jc w:val="both"/>
        <w:rPr>
          <w:rFonts w:eastAsia="Times New Roman"/>
          <w:b/>
          <w:bCs/>
          <w:color w:val="000000" w:themeColor="text1"/>
          <w:sz w:val="24"/>
          <w:szCs w:val="24"/>
          <w:lang w:val="es-ES_tradnl" w:eastAsia="es-ES"/>
        </w:rPr>
      </w:pPr>
      <w:r>
        <w:rPr>
          <w:sz w:val="24"/>
          <w:szCs w:val="24"/>
        </w:rPr>
        <w:t xml:space="preserve">Asimismo, determinó improcedente el registro de las planillas que contenderían en </w:t>
      </w:r>
      <w:r w:rsidRPr="005F37C3">
        <w:rPr>
          <w:sz w:val="24"/>
          <w:szCs w:val="24"/>
        </w:rPr>
        <w:t>los municipios de</w:t>
      </w:r>
      <w:r>
        <w:rPr>
          <w:sz w:val="24"/>
          <w:szCs w:val="24"/>
        </w:rPr>
        <w:t xml:space="preserve"> </w:t>
      </w:r>
      <w:r w:rsidRPr="005F37C3">
        <w:rPr>
          <w:sz w:val="24"/>
          <w:szCs w:val="24"/>
        </w:rPr>
        <w:t xml:space="preserve">Apaseo el Grande, Celaya, </w:t>
      </w:r>
      <w:proofErr w:type="spellStart"/>
      <w:r w:rsidRPr="005F37C3">
        <w:rPr>
          <w:sz w:val="24"/>
          <w:szCs w:val="24"/>
        </w:rPr>
        <w:t>Cortazar</w:t>
      </w:r>
      <w:proofErr w:type="spellEnd"/>
      <w:r w:rsidRPr="005F37C3">
        <w:rPr>
          <w:sz w:val="24"/>
          <w:szCs w:val="24"/>
        </w:rPr>
        <w:t>, Cuerámaro, Dolores Hidalgo C.I.N.,</w:t>
      </w:r>
      <w:r>
        <w:rPr>
          <w:sz w:val="24"/>
          <w:szCs w:val="24"/>
        </w:rPr>
        <w:t xml:space="preserve"> </w:t>
      </w:r>
      <w:r w:rsidRPr="005F37C3">
        <w:rPr>
          <w:sz w:val="24"/>
          <w:szCs w:val="24"/>
        </w:rPr>
        <w:t>Guanajuato, Moroleón, Pueblo Nuevo, Salamanca, Tarimoro y Victoria</w:t>
      </w:r>
      <w:r>
        <w:rPr>
          <w:sz w:val="24"/>
          <w:szCs w:val="24"/>
        </w:rPr>
        <w:t>.</w:t>
      </w:r>
    </w:p>
    <w:p w14:paraId="3721C4FD" w14:textId="29AC1875" w:rsidR="007B7430" w:rsidRPr="007B7430" w:rsidRDefault="007B7430" w:rsidP="005C6244">
      <w:pPr>
        <w:spacing w:before="100" w:beforeAutospacing="1" w:after="100" w:afterAutospacing="1" w:line="360" w:lineRule="auto"/>
        <w:jc w:val="both"/>
        <w:rPr>
          <w:sz w:val="24"/>
          <w:szCs w:val="24"/>
        </w:rPr>
      </w:pPr>
      <w:r w:rsidRPr="007B7430">
        <w:rPr>
          <w:b/>
          <w:bCs/>
          <w:sz w:val="24"/>
          <w:szCs w:val="24"/>
        </w:rPr>
        <w:t>1.3.</w:t>
      </w:r>
      <w:r w:rsidRPr="007B7430">
        <w:rPr>
          <w:sz w:val="24"/>
          <w:szCs w:val="24"/>
        </w:rPr>
        <w:t xml:space="preserve"> </w:t>
      </w:r>
      <w:r w:rsidRPr="007B7430">
        <w:rPr>
          <w:b/>
          <w:bCs/>
          <w:sz w:val="24"/>
          <w:szCs w:val="24"/>
        </w:rPr>
        <w:t>Acuerdo de registro</w:t>
      </w:r>
      <w:r w:rsidRPr="007B7430">
        <w:rPr>
          <w:sz w:val="24"/>
          <w:szCs w:val="24"/>
        </w:rPr>
        <w:t xml:space="preserve">. El siete de abril, a través del acuerdo </w:t>
      </w:r>
      <w:r w:rsidRPr="007B7430">
        <w:rPr>
          <w:b/>
          <w:bCs/>
          <w:sz w:val="24"/>
          <w:szCs w:val="24"/>
        </w:rPr>
        <w:t>CGIEEG/124/20216</w:t>
      </w:r>
      <w:r w:rsidRPr="007B7430">
        <w:rPr>
          <w:sz w:val="24"/>
          <w:szCs w:val="24"/>
        </w:rPr>
        <w:t xml:space="preserve">, el </w:t>
      </w:r>
      <w:r w:rsidR="0091011F" w:rsidRPr="0091011F">
        <w:rPr>
          <w:i/>
          <w:iCs/>
          <w:sz w:val="24"/>
          <w:szCs w:val="24"/>
        </w:rPr>
        <w:t>Instituto</w:t>
      </w:r>
      <w:r w:rsidR="0091011F">
        <w:rPr>
          <w:sz w:val="24"/>
          <w:szCs w:val="24"/>
        </w:rPr>
        <w:t xml:space="preserve"> </w:t>
      </w:r>
      <w:r w:rsidR="0091011F" w:rsidRPr="0091011F">
        <w:rPr>
          <w:i/>
          <w:iCs/>
          <w:sz w:val="24"/>
          <w:szCs w:val="24"/>
        </w:rPr>
        <w:t>local</w:t>
      </w:r>
      <w:r w:rsidR="0091011F">
        <w:rPr>
          <w:sz w:val="24"/>
          <w:szCs w:val="24"/>
        </w:rPr>
        <w:t xml:space="preserve"> </w:t>
      </w:r>
      <w:r w:rsidRPr="007B7430">
        <w:rPr>
          <w:sz w:val="24"/>
          <w:szCs w:val="24"/>
        </w:rPr>
        <w:t xml:space="preserve">concedió registro a las planillas de candidaturas a integrar los ayuntamientos de Abasolo, Acámbaro, Apaseo el Alto, Atarjea, </w:t>
      </w:r>
      <w:r w:rsidRPr="007B7430">
        <w:rPr>
          <w:b/>
          <w:bCs/>
          <w:sz w:val="24"/>
          <w:szCs w:val="24"/>
          <w:u w:val="single"/>
        </w:rPr>
        <w:t>Comonfort</w:t>
      </w:r>
      <w:r w:rsidRPr="007B7430">
        <w:rPr>
          <w:sz w:val="24"/>
          <w:szCs w:val="24"/>
        </w:rPr>
        <w:t xml:space="preserve">, Coroneo, Doctor Mora, Huanímaro, Irapuato, Jaral del Progreso, Jerécuaro, León, Manuel Doblado, Ocampo, Pénjamo, Purísima del Rincón, Romita, Salvatierra, San Diego de la Unión, San Felipe, San José Iturbide, San Luis de la Paz, San Miguel de Allende, Santa Catarina, Santa Cruz de Juventino Rosas, Santiago Maravatío, Silao de la Victoria, </w:t>
      </w:r>
      <w:proofErr w:type="spellStart"/>
      <w:r w:rsidRPr="007B7430">
        <w:rPr>
          <w:sz w:val="24"/>
          <w:szCs w:val="24"/>
        </w:rPr>
        <w:lastRenderedPageBreak/>
        <w:t>Tarandacuao</w:t>
      </w:r>
      <w:proofErr w:type="spellEnd"/>
      <w:r w:rsidRPr="007B7430">
        <w:rPr>
          <w:sz w:val="24"/>
          <w:szCs w:val="24"/>
        </w:rPr>
        <w:t>, Tierra Blanca, Uriangato, Valle de Santiago, Villagrán, Xichú y Yuriria, postuladas por Morena.</w:t>
      </w:r>
    </w:p>
    <w:p w14:paraId="5E1EAF77" w14:textId="41FBAF57" w:rsidR="007B7430" w:rsidRDefault="007B7430" w:rsidP="005C6244">
      <w:pPr>
        <w:adjustRightInd w:val="0"/>
        <w:spacing w:before="100" w:beforeAutospacing="1" w:after="100" w:afterAutospacing="1" w:line="360" w:lineRule="auto"/>
        <w:jc w:val="both"/>
        <w:rPr>
          <w:rFonts w:eastAsia="Times New Roman"/>
          <w:b/>
          <w:bCs/>
          <w:color w:val="000000" w:themeColor="text1"/>
          <w:sz w:val="24"/>
          <w:szCs w:val="24"/>
          <w:lang w:val="es-ES_tradnl" w:eastAsia="es-ES"/>
        </w:rPr>
      </w:pPr>
      <w:r w:rsidRPr="007B7430">
        <w:rPr>
          <w:sz w:val="24"/>
          <w:szCs w:val="24"/>
        </w:rPr>
        <w:t>Se debe destacar que en este acuerdo Morena comunicó la sustitución de la</w:t>
      </w:r>
      <w:r>
        <w:rPr>
          <w:sz w:val="24"/>
          <w:szCs w:val="24"/>
        </w:rPr>
        <w:t>s</w:t>
      </w:r>
      <w:r w:rsidRPr="007B7430">
        <w:rPr>
          <w:sz w:val="24"/>
          <w:szCs w:val="24"/>
        </w:rPr>
        <w:t xml:space="preserve"> persona</w:t>
      </w:r>
      <w:r>
        <w:rPr>
          <w:sz w:val="24"/>
          <w:szCs w:val="24"/>
        </w:rPr>
        <w:t>s</w:t>
      </w:r>
      <w:r w:rsidRPr="007B7430">
        <w:rPr>
          <w:sz w:val="24"/>
          <w:szCs w:val="24"/>
        </w:rPr>
        <w:t xml:space="preserve"> postulada</w:t>
      </w:r>
      <w:r w:rsidR="002D7FED">
        <w:rPr>
          <w:sz w:val="24"/>
          <w:szCs w:val="24"/>
        </w:rPr>
        <w:t>s</w:t>
      </w:r>
      <w:r w:rsidRPr="007B7430">
        <w:rPr>
          <w:sz w:val="24"/>
          <w:szCs w:val="24"/>
        </w:rPr>
        <w:t xml:space="preserve"> originalmente a la presidencia municipal</w:t>
      </w:r>
      <w:r>
        <w:rPr>
          <w:sz w:val="24"/>
          <w:szCs w:val="24"/>
        </w:rPr>
        <w:t xml:space="preserve"> y primera regiduría propietario y suplente </w:t>
      </w:r>
      <w:r w:rsidRPr="007B7430">
        <w:rPr>
          <w:sz w:val="24"/>
          <w:szCs w:val="24"/>
        </w:rPr>
        <w:t xml:space="preserve">de Comonfort todos del </w:t>
      </w:r>
      <w:r w:rsidRPr="007B7430">
        <w:rPr>
          <w:sz w:val="24"/>
          <w:szCs w:val="24"/>
          <w:u w:val="single"/>
        </w:rPr>
        <w:t>género hombre</w:t>
      </w:r>
      <w:r w:rsidRPr="007B7430">
        <w:rPr>
          <w:sz w:val="24"/>
          <w:szCs w:val="24"/>
        </w:rPr>
        <w:t xml:space="preserve">, quedando ahora registradas personas del </w:t>
      </w:r>
      <w:r w:rsidRPr="007B7430">
        <w:rPr>
          <w:sz w:val="24"/>
          <w:szCs w:val="24"/>
          <w:u w:val="single"/>
        </w:rPr>
        <w:t>género mujer</w:t>
      </w:r>
      <w:r w:rsidRPr="007B7430">
        <w:rPr>
          <w:sz w:val="24"/>
          <w:szCs w:val="24"/>
        </w:rPr>
        <w:t xml:space="preserve">, por lo que la conformación del bloque alto de porcentaje de votación quedo integrado con </w:t>
      </w:r>
      <w:r w:rsidRPr="007B7430">
        <w:rPr>
          <w:sz w:val="24"/>
          <w:szCs w:val="24"/>
          <w:u w:val="single"/>
        </w:rPr>
        <w:t>siete mujeres</w:t>
      </w:r>
      <w:r w:rsidRPr="007B7430">
        <w:rPr>
          <w:sz w:val="24"/>
          <w:szCs w:val="24"/>
        </w:rPr>
        <w:t xml:space="preserve"> y </w:t>
      </w:r>
      <w:r w:rsidRPr="007B7430">
        <w:rPr>
          <w:sz w:val="24"/>
          <w:szCs w:val="24"/>
          <w:u w:val="single"/>
        </w:rPr>
        <w:t>cinco hombres</w:t>
      </w:r>
      <w:r w:rsidRPr="007B7430">
        <w:rPr>
          <w:sz w:val="24"/>
          <w:szCs w:val="24"/>
        </w:rPr>
        <w:t>.</w:t>
      </w:r>
    </w:p>
    <w:p w14:paraId="2325CAF2" w14:textId="69644EFD" w:rsidR="007B7430" w:rsidRDefault="00CE4870" w:rsidP="005C6244">
      <w:pPr>
        <w:adjustRightInd w:val="0"/>
        <w:spacing w:before="100" w:beforeAutospacing="1" w:after="100" w:afterAutospacing="1" w:line="360" w:lineRule="auto"/>
        <w:jc w:val="both"/>
        <w:rPr>
          <w:rFonts w:eastAsia="Times New Roman"/>
          <w:b/>
          <w:bCs/>
          <w:color w:val="000000" w:themeColor="text1"/>
          <w:sz w:val="24"/>
          <w:szCs w:val="24"/>
          <w:lang w:val="es-ES_tradnl" w:eastAsia="es-ES"/>
        </w:rPr>
      </w:pPr>
      <w:r w:rsidRPr="00B22E70">
        <w:rPr>
          <w:b/>
          <w:bCs/>
          <w:sz w:val="24"/>
          <w:szCs w:val="24"/>
        </w:rPr>
        <w:t>1.</w:t>
      </w:r>
      <w:r>
        <w:rPr>
          <w:b/>
          <w:bCs/>
          <w:sz w:val="24"/>
          <w:szCs w:val="24"/>
        </w:rPr>
        <w:t>4</w:t>
      </w:r>
      <w:r w:rsidRPr="00B22E70">
        <w:rPr>
          <w:b/>
          <w:bCs/>
          <w:sz w:val="24"/>
          <w:szCs w:val="24"/>
        </w:rPr>
        <w:t xml:space="preserve"> </w:t>
      </w:r>
      <w:r>
        <w:rPr>
          <w:b/>
          <w:bCs/>
          <w:sz w:val="24"/>
          <w:szCs w:val="24"/>
        </w:rPr>
        <w:t>Sentencia TEEG-REV-18/2021</w:t>
      </w:r>
      <w:r w:rsidRPr="00B22E70">
        <w:rPr>
          <w:b/>
          <w:bCs/>
          <w:sz w:val="24"/>
          <w:szCs w:val="24"/>
        </w:rPr>
        <w:t>.</w:t>
      </w:r>
      <w:r w:rsidRPr="00B22E70">
        <w:rPr>
          <w:sz w:val="24"/>
          <w:szCs w:val="24"/>
        </w:rPr>
        <w:t xml:space="preserve"> Toda vez que Morena impugn</w:t>
      </w:r>
      <w:r>
        <w:rPr>
          <w:sz w:val="24"/>
          <w:szCs w:val="24"/>
        </w:rPr>
        <w:t>ó</w:t>
      </w:r>
      <w:r w:rsidRPr="00B22E70">
        <w:rPr>
          <w:sz w:val="24"/>
          <w:szCs w:val="24"/>
        </w:rPr>
        <w:t xml:space="preserve"> el acuerdo </w:t>
      </w:r>
      <w:r w:rsidRPr="005F37C3">
        <w:rPr>
          <w:sz w:val="24"/>
          <w:szCs w:val="24"/>
        </w:rPr>
        <w:t>CGIEEG/104/2021</w:t>
      </w:r>
      <w:r>
        <w:rPr>
          <w:sz w:val="24"/>
          <w:szCs w:val="24"/>
        </w:rPr>
        <w:t xml:space="preserve"> el </w:t>
      </w:r>
      <w:r w:rsidRPr="00413777">
        <w:rPr>
          <w:i/>
          <w:iCs/>
          <w:sz w:val="24"/>
          <w:szCs w:val="24"/>
        </w:rPr>
        <w:t>Tribunal local</w:t>
      </w:r>
      <w:r>
        <w:rPr>
          <w:sz w:val="24"/>
          <w:szCs w:val="24"/>
        </w:rPr>
        <w:t xml:space="preserve"> al emitir su resolución determinó revocarlo y ordenar al </w:t>
      </w:r>
      <w:r w:rsidRPr="002C4926">
        <w:rPr>
          <w:i/>
          <w:iCs/>
          <w:sz w:val="24"/>
          <w:szCs w:val="24"/>
        </w:rPr>
        <w:t>Instituto</w:t>
      </w:r>
      <w:r>
        <w:rPr>
          <w:sz w:val="24"/>
          <w:szCs w:val="24"/>
        </w:rPr>
        <w:t xml:space="preserve"> </w:t>
      </w:r>
      <w:r w:rsidRPr="002C4926">
        <w:rPr>
          <w:i/>
          <w:iCs/>
          <w:sz w:val="24"/>
          <w:szCs w:val="24"/>
        </w:rPr>
        <w:t>local</w:t>
      </w:r>
      <w:r>
        <w:rPr>
          <w:sz w:val="24"/>
          <w:szCs w:val="24"/>
        </w:rPr>
        <w:t xml:space="preserve"> dictar un nuevo acuerdo, dando oportunidad al partido de subsanar las irregularidades advertidas ya que estas no fueron objeto de requerimiento previo.</w:t>
      </w:r>
    </w:p>
    <w:p w14:paraId="75434429" w14:textId="371DE977" w:rsidR="007B7430" w:rsidRDefault="00CE4870" w:rsidP="005C6244">
      <w:pPr>
        <w:adjustRightInd w:val="0"/>
        <w:spacing w:before="100" w:beforeAutospacing="1" w:after="100" w:afterAutospacing="1" w:line="360" w:lineRule="auto"/>
        <w:jc w:val="both"/>
        <w:rPr>
          <w:rFonts w:eastAsia="Times New Roman"/>
          <w:b/>
          <w:bCs/>
          <w:color w:val="000000" w:themeColor="text1"/>
          <w:sz w:val="24"/>
          <w:szCs w:val="24"/>
          <w:lang w:val="es-ES_tradnl" w:eastAsia="es-ES"/>
        </w:rPr>
      </w:pPr>
      <w:r w:rsidRPr="002C4926">
        <w:rPr>
          <w:b/>
          <w:bCs/>
          <w:sz w:val="24"/>
          <w:szCs w:val="24"/>
        </w:rPr>
        <w:t>1.</w:t>
      </w:r>
      <w:r>
        <w:rPr>
          <w:b/>
          <w:bCs/>
          <w:sz w:val="24"/>
          <w:szCs w:val="24"/>
        </w:rPr>
        <w:t>5</w:t>
      </w:r>
      <w:r w:rsidRPr="002C4926">
        <w:rPr>
          <w:b/>
          <w:bCs/>
          <w:sz w:val="24"/>
          <w:szCs w:val="24"/>
        </w:rPr>
        <w:t xml:space="preserve"> Registro de planillas en cumplimiento a la sentencia.</w:t>
      </w:r>
      <w:r>
        <w:rPr>
          <w:sz w:val="24"/>
          <w:szCs w:val="24"/>
        </w:rPr>
        <w:t xml:space="preserve"> </w:t>
      </w:r>
      <w:r w:rsidRPr="00B22E70">
        <w:rPr>
          <w:sz w:val="24"/>
          <w:szCs w:val="24"/>
        </w:rPr>
        <w:t xml:space="preserve">El veinte de abril, el </w:t>
      </w:r>
      <w:r w:rsidR="0091011F" w:rsidRPr="0091011F">
        <w:rPr>
          <w:i/>
          <w:iCs/>
          <w:sz w:val="24"/>
          <w:szCs w:val="24"/>
        </w:rPr>
        <w:t>Instituto</w:t>
      </w:r>
      <w:r w:rsidR="0091011F">
        <w:rPr>
          <w:sz w:val="24"/>
          <w:szCs w:val="24"/>
        </w:rPr>
        <w:t xml:space="preserve"> </w:t>
      </w:r>
      <w:r w:rsidR="0091011F" w:rsidRPr="0091011F">
        <w:rPr>
          <w:i/>
          <w:iCs/>
          <w:sz w:val="24"/>
          <w:szCs w:val="24"/>
        </w:rPr>
        <w:t>local</w:t>
      </w:r>
      <w:r w:rsidR="0091011F">
        <w:rPr>
          <w:sz w:val="24"/>
          <w:szCs w:val="24"/>
        </w:rPr>
        <w:t xml:space="preserve"> </w:t>
      </w:r>
      <w:r w:rsidRPr="00ED3FF7">
        <w:rPr>
          <w:sz w:val="24"/>
          <w:szCs w:val="24"/>
        </w:rPr>
        <w:t xml:space="preserve">emitió el acuerdo </w:t>
      </w:r>
      <w:r w:rsidRPr="00ED3FF7">
        <w:rPr>
          <w:b/>
          <w:bCs/>
          <w:sz w:val="24"/>
          <w:szCs w:val="24"/>
        </w:rPr>
        <w:t>CGIEEG/153/2021</w:t>
      </w:r>
      <w:r>
        <w:rPr>
          <w:i/>
          <w:iCs/>
          <w:sz w:val="24"/>
          <w:szCs w:val="24"/>
        </w:rPr>
        <w:t xml:space="preserve"> </w:t>
      </w:r>
      <w:r w:rsidRPr="00ED3FF7">
        <w:rPr>
          <w:sz w:val="24"/>
          <w:szCs w:val="24"/>
        </w:rPr>
        <w:t xml:space="preserve">mediante el cual </w:t>
      </w:r>
      <w:r>
        <w:rPr>
          <w:sz w:val="24"/>
          <w:szCs w:val="24"/>
        </w:rPr>
        <w:t xml:space="preserve">otorgó el </w:t>
      </w:r>
      <w:r w:rsidRPr="00B22E70">
        <w:rPr>
          <w:sz w:val="24"/>
          <w:szCs w:val="24"/>
        </w:rPr>
        <w:t xml:space="preserve">registró </w:t>
      </w:r>
      <w:r>
        <w:rPr>
          <w:sz w:val="24"/>
          <w:szCs w:val="24"/>
        </w:rPr>
        <w:t xml:space="preserve">a </w:t>
      </w:r>
      <w:r w:rsidRPr="00B22E70">
        <w:rPr>
          <w:sz w:val="24"/>
          <w:szCs w:val="24"/>
        </w:rPr>
        <w:t>las planillas de candidaturas</w:t>
      </w:r>
      <w:r>
        <w:rPr>
          <w:sz w:val="24"/>
          <w:szCs w:val="24"/>
        </w:rPr>
        <w:t xml:space="preserve"> </w:t>
      </w:r>
      <w:r w:rsidRPr="00B22E70">
        <w:rPr>
          <w:sz w:val="24"/>
          <w:szCs w:val="24"/>
        </w:rPr>
        <w:t xml:space="preserve">a integrar los ayuntamientos de Apaseo el Grande, Celaya, </w:t>
      </w:r>
      <w:proofErr w:type="spellStart"/>
      <w:r w:rsidRPr="00B22E70">
        <w:rPr>
          <w:sz w:val="24"/>
          <w:szCs w:val="24"/>
        </w:rPr>
        <w:t>Cortazar</w:t>
      </w:r>
      <w:proofErr w:type="spellEnd"/>
      <w:r w:rsidRPr="00B22E70">
        <w:rPr>
          <w:sz w:val="24"/>
          <w:szCs w:val="24"/>
        </w:rPr>
        <w:t>,</w:t>
      </w:r>
      <w:r>
        <w:rPr>
          <w:sz w:val="24"/>
          <w:szCs w:val="24"/>
        </w:rPr>
        <w:t xml:space="preserve"> </w:t>
      </w:r>
      <w:r w:rsidRPr="00B22E70">
        <w:rPr>
          <w:sz w:val="24"/>
          <w:szCs w:val="24"/>
        </w:rPr>
        <w:t>Cuerámaro, Dolores Hidalgo, C.I.N., Guanajuato, Moroleón, Pueblo</w:t>
      </w:r>
      <w:r>
        <w:rPr>
          <w:sz w:val="24"/>
          <w:szCs w:val="24"/>
        </w:rPr>
        <w:t xml:space="preserve"> </w:t>
      </w:r>
      <w:r w:rsidRPr="00B22E70">
        <w:rPr>
          <w:sz w:val="24"/>
          <w:szCs w:val="24"/>
        </w:rPr>
        <w:t>Nuevo, Salamanca y Tarimoro, postuladas por Morena</w:t>
      </w:r>
      <w:r>
        <w:rPr>
          <w:sz w:val="24"/>
          <w:szCs w:val="24"/>
        </w:rPr>
        <w:t xml:space="preserve">; esta situación modificó el bloque de competitividad alto quedando ahora integrado por </w:t>
      </w:r>
      <w:r w:rsidRPr="00CE4870">
        <w:rPr>
          <w:sz w:val="24"/>
          <w:szCs w:val="24"/>
          <w:u w:val="single"/>
        </w:rPr>
        <w:t>nueve mujeres</w:t>
      </w:r>
      <w:r>
        <w:rPr>
          <w:sz w:val="24"/>
          <w:szCs w:val="24"/>
        </w:rPr>
        <w:t xml:space="preserve"> y </w:t>
      </w:r>
      <w:r w:rsidRPr="00CE4870">
        <w:rPr>
          <w:sz w:val="24"/>
          <w:szCs w:val="24"/>
          <w:u w:val="single"/>
        </w:rPr>
        <w:t>seis hombres</w:t>
      </w:r>
      <w:r w:rsidRPr="00CE4870">
        <w:rPr>
          <w:sz w:val="24"/>
          <w:szCs w:val="24"/>
        </w:rPr>
        <w:t>.</w:t>
      </w:r>
    </w:p>
    <w:p w14:paraId="3E77EAC3" w14:textId="7FD79167" w:rsidR="00CE4870" w:rsidRPr="00F373B4" w:rsidRDefault="00CE4870" w:rsidP="005C6244">
      <w:pPr>
        <w:spacing w:before="100" w:beforeAutospacing="1" w:after="100" w:afterAutospacing="1" w:line="360" w:lineRule="auto"/>
        <w:jc w:val="both"/>
        <w:rPr>
          <w:sz w:val="24"/>
          <w:szCs w:val="24"/>
        </w:rPr>
      </w:pPr>
      <w:r w:rsidRPr="00F373B4">
        <w:rPr>
          <w:b/>
          <w:bCs/>
          <w:sz w:val="24"/>
          <w:szCs w:val="24"/>
        </w:rPr>
        <w:t>1.</w:t>
      </w:r>
      <w:r>
        <w:rPr>
          <w:b/>
          <w:bCs/>
          <w:sz w:val="24"/>
          <w:szCs w:val="24"/>
        </w:rPr>
        <w:t>6</w:t>
      </w:r>
      <w:r w:rsidRPr="00F373B4">
        <w:rPr>
          <w:b/>
          <w:bCs/>
          <w:sz w:val="24"/>
          <w:szCs w:val="24"/>
        </w:rPr>
        <w:t xml:space="preserve"> Sustitución de candidaturas.</w:t>
      </w:r>
      <w:r>
        <w:rPr>
          <w:sz w:val="24"/>
          <w:szCs w:val="24"/>
        </w:rPr>
        <w:t xml:space="preserve"> El veintitrés de abril, el </w:t>
      </w:r>
      <w:r w:rsidRPr="00CE4870">
        <w:rPr>
          <w:i/>
          <w:iCs/>
          <w:sz w:val="24"/>
          <w:szCs w:val="24"/>
        </w:rPr>
        <w:t>Instituto</w:t>
      </w:r>
      <w:r>
        <w:rPr>
          <w:sz w:val="24"/>
          <w:szCs w:val="24"/>
        </w:rPr>
        <w:t xml:space="preserve"> </w:t>
      </w:r>
      <w:r w:rsidRPr="00CE4870">
        <w:rPr>
          <w:i/>
          <w:iCs/>
          <w:sz w:val="24"/>
          <w:szCs w:val="24"/>
        </w:rPr>
        <w:t>local</w:t>
      </w:r>
      <w:r>
        <w:rPr>
          <w:sz w:val="24"/>
          <w:szCs w:val="24"/>
        </w:rPr>
        <w:t xml:space="preserve"> emitió el acuerdo </w:t>
      </w:r>
      <w:bookmarkStart w:id="9" w:name="_Hlk73153065"/>
      <w:r w:rsidRPr="00EB5477">
        <w:rPr>
          <w:b/>
          <w:bCs/>
          <w:sz w:val="24"/>
          <w:szCs w:val="24"/>
        </w:rPr>
        <w:t>CGIEEG/163/2021</w:t>
      </w:r>
      <w:bookmarkEnd w:id="9"/>
      <w:r>
        <w:rPr>
          <w:sz w:val="24"/>
          <w:szCs w:val="24"/>
        </w:rPr>
        <w:t xml:space="preserve"> por el cual aprobó la sustitución de candidaturas a la presidencia municipal y a la primera regiduría propietaria y suplente del ayuntamiento Comonfort postuladas por Morena, ello en razón a que las referidas candidatas presentaron su renuncia y esta fue ratificada ante el Instituto local, por lo que ahora el género de las candidaturas es hombre.</w:t>
      </w:r>
    </w:p>
    <w:p w14:paraId="78898F8A" w14:textId="77777777" w:rsidR="00CE4870" w:rsidRPr="00CE4870" w:rsidRDefault="00CE4870" w:rsidP="005C6244">
      <w:pPr>
        <w:spacing w:before="100" w:beforeAutospacing="1" w:after="100" w:afterAutospacing="1" w:line="360" w:lineRule="auto"/>
        <w:jc w:val="both"/>
        <w:rPr>
          <w:sz w:val="24"/>
          <w:szCs w:val="24"/>
        </w:rPr>
      </w:pPr>
      <w:r w:rsidRPr="00CE4870">
        <w:rPr>
          <w:sz w:val="24"/>
          <w:szCs w:val="24"/>
        </w:rPr>
        <w:t xml:space="preserve">En consecuencia, el bloque de competitividad alto quedó integrado por </w:t>
      </w:r>
      <w:r w:rsidRPr="00CE4870">
        <w:rPr>
          <w:sz w:val="24"/>
          <w:szCs w:val="24"/>
          <w:u w:val="single"/>
        </w:rPr>
        <w:t>ocho mujeres</w:t>
      </w:r>
      <w:r w:rsidRPr="00CE4870">
        <w:rPr>
          <w:sz w:val="24"/>
          <w:szCs w:val="24"/>
        </w:rPr>
        <w:t xml:space="preserve"> y </w:t>
      </w:r>
      <w:r w:rsidRPr="00CE4870">
        <w:rPr>
          <w:sz w:val="24"/>
          <w:szCs w:val="24"/>
          <w:u w:val="single"/>
        </w:rPr>
        <w:t>siete hombres</w:t>
      </w:r>
      <w:r w:rsidRPr="00CE4870">
        <w:rPr>
          <w:sz w:val="24"/>
          <w:szCs w:val="24"/>
        </w:rPr>
        <w:t>.</w:t>
      </w:r>
    </w:p>
    <w:p w14:paraId="50549C77" w14:textId="5FA8CF4E" w:rsidR="00CE4870" w:rsidRPr="00CE4870" w:rsidRDefault="00CE4870" w:rsidP="005C6244">
      <w:pPr>
        <w:spacing w:before="100" w:beforeAutospacing="1" w:after="100" w:afterAutospacing="1" w:line="360" w:lineRule="auto"/>
        <w:jc w:val="both"/>
        <w:rPr>
          <w:sz w:val="24"/>
          <w:szCs w:val="24"/>
        </w:rPr>
      </w:pPr>
      <w:r w:rsidRPr="00CE4870">
        <w:rPr>
          <w:b/>
          <w:bCs/>
          <w:sz w:val="24"/>
          <w:szCs w:val="24"/>
        </w:rPr>
        <w:t>1.</w:t>
      </w:r>
      <w:r>
        <w:rPr>
          <w:b/>
          <w:bCs/>
          <w:sz w:val="24"/>
          <w:szCs w:val="24"/>
        </w:rPr>
        <w:t>7</w:t>
      </w:r>
      <w:r w:rsidRPr="00CE4870">
        <w:rPr>
          <w:b/>
          <w:bCs/>
          <w:sz w:val="24"/>
          <w:szCs w:val="24"/>
        </w:rPr>
        <w:t xml:space="preserve"> Sentencia impugnada TEEG-REVF-44-2021.</w:t>
      </w:r>
      <w:r w:rsidRPr="00CE4870">
        <w:rPr>
          <w:sz w:val="24"/>
          <w:szCs w:val="24"/>
        </w:rPr>
        <w:t xml:space="preserve"> Inconforme con el acuerdo CGIEEG/163/2021, el veintiocho de abril, el partido actor promovió recurso de revisión, mismo que el tribunal resolvió el siguiente veintiuno de mayo, en el sentido de confirmar el acuerdo impugnado.</w:t>
      </w:r>
    </w:p>
    <w:p w14:paraId="68789745" w14:textId="3850D8D1" w:rsidR="00C40DA8" w:rsidRPr="00F0349B" w:rsidRDefault="00C40DA8" w:rsidP="005C6244">
      <w:pPr>
        <w:adjustRightInd w:val="0"/>
        <w:spacing w:before="100" w:beforeAutospacing="1" w:after="100" w:afterAutospacing="1" w:line="360" w:lineRule="auto"/>
        <w:jc w:val="both"/>
        <w:rPr>
          <w:rFonts w:eastAsia="Times New Roman"/>
          <w:color w:val="000000" w:themeColor="text1"/>
          <w:sz w:val="24"/>
          <w:szCs w:val="24"/>
          <w:lang w:val="es-ES_tradnl" w:eastAsia="es-ES"/>
        </w:rPr>
      </w:pPr>
      <w:r w:rsidRPr="00F0349B">
        <w:rPr>
          <w:rFonts w:eastAsia="Times New Roman"/>
          <w:b/>
          <w:bCs/>
          <w:color w:val="000000" w:themeColor="text1"/>
          <w:sz w:val="24"/>
          <w:szCs w:val="24"/>
          <w:lang w:val="es-ES_tradnl" w:eastAsia="es-ES"/>
        </w:rPr>
        <w:t>1.</w:t>
      </w:r>
      <w:r w:rsidR="00CE4870">
        <w:rPr>
          <w:rFonts w:eastAsia="Times New Roman"/>
          <w:b/>
          <w:bCs/>
          <w:color w:val="000000" w:themeColor="text1"/>
          <w:sz w:val="24"/>
          <w:szCs w:val="24"/>
          <w:lang w:val="es-ES_tradnl" w:eastAsia="es-ES"/>
        </w:rPr>
        <w:t>8</w:t>
      </w:r>
      <w:r w:rsidRPr="00F0349B">
        <w:rPr>
          <w:rFonts w:eastAsia="Times New Roman"/>
          <w:b/>
          <w:bCs/>
          <w:color w:val="000000" w:themeColor="text1"/>
          <w:sz w:val="24"/>
          <w:szCs w:val="24"/>
          <w:lang w:val="es-ES_tradnl" w:eastAsia="es-ES"/>
        </w:rPr>
        <w:t xml:space="preserve">. Juicio federal. </w:t>
      </w:r>
      <w:r w:rsidRPr="00F0349B">
        <w:rPr>
          <w:rFonts w:eastAsia="Times New Roman"/>
          <w:color w:val="000000" w:themeColor="text1"/>
          <w:sz w:val="24"/>
          <w:szCs w:val="24"/>
          <w:lang w:val="es-ES_tradnl" w:eastAsia="es-ES"/>
        </w:rPr>
        <w:t xml:space="preserve">Inconforme con la citada determinación </w:t>
      </w:r>
      <w:r w:rsidR="00323213">
        <w:rPr>
          <w:rFonts w:eastAsia="Times New Roman"/>
          <w:color w:val="000000" w:themeColor="text1"/>
          <w:sz w:val="24"/>
          <w:szCs w:val="24"/>
          <w:lang w:val="es-ES_tradnl" w:eastAsia="es-ES"/>
        </w:rPr>
        <w:t xml:space="preserve">el partido actor </w:t>
      </w:r>
      <w:r w:rsidRPr="00F0349B">
        <w:rPr>
          <w:rFonts w:eastAsia="Times New Roman"/>
          <w:color w:val="000000" w:themeColor="text1"/>
          <w:sz w:val="24"/>
          <w:szCs w:val="24"/>
          <w:lang w:val="es-ES_tradnl" w:eastAsia="es-ES"/>
        </w:rPr>
        <w:t>instauró el juicio que hoy nos ocupa.</w:t>
      </w:r>
    </w:p>
    <w:p w14:paraId="264EEC6D" w14:textId="77777777" w:rsidR="00791815" w:rsidRPr="00F0349B" w:rsidRDefault="00E66619" w:rsidP="005C6244">
      <w:pPr>
        <w:pStyle w:val="Ttulo1"/>
        <w:rPr>
          <w:szCs w:val="24"/>
        </w:rPr>
      </w:pPr>
      <w:r w:rsidRPr="00F0349B">
        <w:rPr>
          <w:rFonts w:eastAsia="Times New Roman"/>
          <w:szCs w:val="24"/>
          <w:lang w:eastAsia="es-ES"/>
        </w:rPr>
        <w:lastRenderedPageBreak/>
        <w:t xml:space="preserve">2. </w:t>
      </w:r>
      <w:bookmarkStart w:id="10" w:name="_Toc27649896"/>
      <w:r w:rsidR="00791815" w:rsidRPr="00F0349B">
        <w:rPr>
          <w:szCs w:val="24"/>
        </w:rPr>
        <w:t>COMPETENCIA</w:t>
      </w:r>
    </w:p>
    <w:p w14:paraId="40669ED8" w14:textId="245D13B6" w:rsidR="00C40DA8" w:rsidRDefault="00C40DA8" w:rsidP="005C6244">
      <w:pPr>
        <w:tabs>
          <w:tab w:val="left" w:pos="7185"/>
        </w:tabs>
        <w:spacing w:before="100" w:beforeAutospacing="1" w:after="100" w:afterAutospacing="1" w:line="360" w:lineRule="auto"/>
        <w:jc w:val="both"/>
        <w:rPr>
          <w:bCs/>
          <w:sz w:val="24"/>
          <w:szCs w:val="24"/>
        </w:rPr>
      </w:pPr>
      <w:r w:rsidRPr="00F0349B">
        <w:rPr>
          <w:bCs/>
          <w:sz w:val="24"/>
          <w:szCs w:val="24"/>
        </w:rPr>
        <w:t xml:space="preserve">Esta Sala Regional es competente para conocer el presente medio de impugnación, al tratarse de un juicio en el que se controvierte una resolución del </w:t>
      </w:r>
      <w:r w:rsidRPr="00F0349B">
        <w:rPr>
          <w:bCs/>
          <w:i/>
          <w:sz w:val="24"/>
          <w:szCs w:val="24"/>
        </w:rPr>
        <w:t>Tribunal local</w:t>
      </w:r>
      <w:r w:rsidRPr="00F0349B">
        <w:rPr>
          <w:bCs/>
          <w:sz w:val="24"/>
          <w:szCs w:val="24"/>
        </w:rPr>
        <w:t xml:space="preserve"> que confirmó </w:t>
      </w:r>
      <w:r w:rsidR="00323213">
        <w:rPr>
          <w:bCs/>
          <w:sz w:val="24"/>
          <w:szCs w:val="24"/>
        </w:rPr>
        <w:t xml:space="preserve">el acuerdo impugnado relacionado con la aprobación de sustitución de candidaturas postuladas por Morena al </w:t>
      </w:r>
      <w:r w:rsidR="0091011F">
        <w:rPr>
          <w:bCs/>
          <w:sz w:val="24"/>
          <w:szCs w:val="24"/>
        </w:rPr>
        <w:t>a</w:t>
      </w:r>
      <w:r w:rsidR="00323213">
        <w:rPr>
          <w:bCs/>
          <w:sz w:val="24"/>
          <w:szCs w:val="24"/>
        </w:rPr>
        <w:t xml:space="preserve">yuntamiento de Comonfort, en el </w:t>
      </w:r>
      <w:r w:rsidR="00963565">
        <w:rPr>
          <w:bCs/>
          <w:sz w:val="24"/>
          <w:szCs w:val="24"/>
        </w:rPr>
        <w:t xml:space="preserve">Estado de Guanajuato, </w:t>
      </w:r>
      <w:r w:rsidRPr="00F0349B">
        <w:rPr>
          <w:bCs/>
          <w:sz w:val="24"/>
          <w:szCs w:val="24"/>
        </w:rPr>
        <w:t>entidad que se ubica dentro de la circunscripción plurinominal sobre la que esta Sala ejerce jurisdicción</w:t>
      </w:r>
      <w:r w:rsidRPr="00F0349B">
        <w:rPr>
          <w:rStyle w:val="Refdenotaalpie"/>
          <w:bCs/>
          <w:sz w:val="24"/>
          <w:szCs w:val="24"/>
        </w:rPr>
        <w:footnoteReference w:id="2"/>
      </w:r>
      <w:r w:rsidRPr="00F0349B">
        <w:rPr>
          <w:bCs/>
          <w:sz w:val="24"/>
          <w:szCs w:val="24"/>
        </w:rPr>
        <w:t xml:space="preserve">. </w:t>
      </w:r>
    </w:p>
    <w:p w14:paraId="023610C2" w14:textId="17161AEC" w:rsidR="00EE0195" w:rsidRPr="00F0349B" w:rsidRDefault="00EE0195" w:rsidP="005C6244">
      <w:pPr>
        <w:tabs>
          <w:tab w:val="left" w:pos="7185"/>
        </w:tabs>
        <w:spacing w:before="100" w:beforeAutospacing="1" w:after="100" w:afterAutospacing="1" w:line="360" w:lineRule="auto"/>
        <w:jc w:val="both"/>
        <w:rPr>
          <w:bCs/>
          <w:sz w:val="24"/>
          <w:szCs w:val="24"/>
        </w:rPr>
      </w:pPr>
      <w:r w:rsidRPr="00EE0195">
        <w:rPr>
          <w:bCs/>
          <w:sz w:val="24"/>
          <w:szCs w:val="24"/>
          <w:lang w:val="es-ES_tradnl"/>
        </w:rPr>
        <w:t xml:space="preserve">Lo anterior, de conformidad con lo dispuesto por los artículos 186, fracción III, inciso b) y 195, fracción III, de la Ley Orgánica del Poder Judicial de la Federación; y 87, párrafo 1, inciso b), de la </w:t>
      </w:r>
      <w:r w:rsidRPr="00EE0195">
        <w:rPr>
          <w:bCs/>
          <w:sz w:val="24"/>
          <w:szCs w:val="24"/>
        </w:rPr>
        <w:t>Ley General del Sistema de Medios de Impugnación en Materia Electoral</w:t>
      </w:r>
      <w:r w:rsidRPr="00EE0195">
        <w:rPr>
          <w:bCs/>
          <w:sz w:val="24"/>
          <w:szCs w:val="24"/>
          <w:lang w:val="es-ES_tradnl"/>
        </w:rPr>
        <w:t>.</w:t>
      </w:r>
    </w:p>
    <w:p w14:paraId="170FFFDE" w14:textId="6E42E514" w:rsidR="00F0349B" w:rsidRDefault="00ED3BC0" w:rsidP="005C6244">
      <w:pPr>
        <w:pStyle w:val="Ttulo1"/>
        <w:rPr>
          <w:szCs w:val="24"/>
        </w:rPr>
      </w:pPr>
      <w:r w:rsidRPr="00F0349B">
        <w:rPr>
          <w:szCs w:val="24"/>
        </w:rPr>
        <w:t>3</w:t>
      </w:r>
      <w:r w:rsidR="00CC47AE" w:rsidRPr="00F0349B">
        <w:rPr>
          <w:szCs w:val="24"/>
        </w:rPr>
        <w:t xml:space="preserve">. </w:t>
      </w:r>
      <w:bookmarkEnd w:id="10"/>
      <w:r w:rsidR="004A25F4" w:rsidRPr="00F0349B">
        <w:rPr>
          <w:szCs w:val="24"/>
        </w:rPr>
        <w:t>PROCEDENCIA</w:t>
      </w:r>
      <w:bookmarkStart w:id="11" w:name="_Toc27649899"/>
    </w:p>
    <w:p w14:paraId="175B1832" w14:textId="54619298" w:rsidR="00963565" w:rsidRPr="00963565" w:rsidRDefault="007B7430" w:rsidP="005C6244">
      <w:pPr>
        <w:adjustRightInd w:val="0"/>
        <w:spacing w:before="100" w:beforeAutospacing="1" w:after="100" w:afterAutospacing="1" w:line="360" w:lineRule="auto"/>
        <w:jc w:val="both"/>
        <w:rPr>
          <w:iCs/>
          <w:color w:val="000000" w:themeColor="text1"/>
          <w:sz w:val="24"/>
          <w:szCs w:val="24"/>
          <w:lang w:val="es-ES_tradnl" w:eastAsia="es-ES_tradnl"/>
        </w:rPr>
      </w:pPr>
      <w:r w:rsidRPr="007B7430">
        <w:rPr>
          <w:sz w:val="24"/>
          <w:szCs w:val="24"/>
        </w:rPr>
        <w:t>El presente juicio es procedente porque reúne los requisitos generales y especiales previstos en los artículos 8, 9, párrafo 1,</w:t>
      </w:r>
      <w:r w:rsidRPr="007B7430">
        <w:rPr>
          <w:bCs/>
          <w:sz w:val="24"/>
          <w:szCs w:val="24"/>
          <w:lang w:val="es-ES_tradnl"/>
        </w:rPr>
        <w:t xml:space="preserve"> </w:t>
      </w:r>
      <w:r w:rsidRPr="007B7430">
        <w:rPr>
          <w:sz w:val="24"/>
          <w:szCs w:val="24"/>
        </w:rPr>
        <w:t xml:space="preserve">86 y 88 de la </w:t>
      </w:r>
      <w:r w:rsidRPr="007B7430">
        <w:rPr>
          <w:i/>
          <w:sz w:val="24"/>
          <w:szCs w:val="24"/>
        </w:rPr>
        <w:t>Ley de Medios</w:t>
      </w:r>
      <w:r w:rsidRPr="007B7430">
        <w:rPr>
          <w:sz w:val="24"/>
          <w:szCs w:val="24"/>
        </w:rPr>
        <w:t xml:space="preserve">, conforme lo razonado en el </w:t>
      </w:r>
      <w:r w:rsidR="00963565">
        <w:rPr>
          <w:iCs/>
          <w:sz w:val="24"/>
          <w:szCs w:val="24"/>
        </w:rPr>
        <w:t>acuerdo</w:t>
      </w:r>
      <w:r w:rsidR="00963565" w:rsidRPr="00765F5C">
        <w:rPr>
          <w:iCs/>
          <w:sz w:val="24"/>
          <w:szCs w:val="24"/>
        </w:rPr>
        <w:t xml:space="preserve"> de admisión</w:t>
      </w:r>
      <w:r w:rsidR="00963565">
        <w:rPr>
          <w:iCs/>
          <w:sz w:val="24"/>
          <w:szCs w:val="24"/>
        </w:rPr>
        <w:t xml:space="preserve"> que se encuentra visible en los autos del expediente</w:t>
      </w:r>
      <w:r w:rsidR="006C28DC">
        <w:rPr>
          <w:iCs/>
          <w:sz w:val="24"/>
          <w:szCs w:val="24"/>
        </w:rPr>
        <w:t xml:space="preserve"> en que se actúa</w:t>
      </w:r>
      <w:r w:rsidR="00963565" w:rsidRPr="00765F5C">
        <w:rPr>
          <w:iCs/>
          <w:sz w:val="24"/>
          <w:szCs w:val="24"/>
        </w:rPr>
        <w:t>.</w:t>
      </w:r>
    </w:p>
    <w:p w14:paraId="7B8B39B8" w14:textId="17503565" w:rsidR="00D800DD" w:rsidRDefault="00ED3BC0" w:rsidP="005C6244">
      <w:pPr>
        <w:pStyle w:val="Ttulo1"/>
        <w:rPr>
          <w:rFonts w:eastAsia="Calibri"/>
          <w:szCs w:val="24"/>
        </w:rPr>
      </w:pPr>
      <w:r w:rsidRPr="00F0349B">
        <w:rPr>
          <w:szCs w:val="24"/>
        </w:rPr>
        <w:t>4</w:t>
      </w:r>
      <w:r w:rsidR="00CC47AE" w:rsidRPr="00F0349B">
        <w:rPr>
          <w:szCs w:val="24"/>
        </w:rPr>
        <w:t xml:space="preserve">. </w:t>
      </w:r>
      <w:bookmarkEnd w:id="11"/>
      <w:r w:rsidR="00DE3F70" w:rsidRPr="00F0349B">
        <w:rPr>
          <w:rFonts w:eastAsia="Calibri"/>
          <w:szCs w:val="24"/>
        </w:rPr>
        <w:t>ESTUDIO DE FONDO</w:t>
      </w:r>
    </w:p>
    <w:p w14:paraId="00C10723" w14:textId="38A3C184" w:rsidR="008B39AE" w:rsidRDefault="005C6244" w:rsidP="005C6244">
      <w:pPr>
        <w:spacing w:before="100" w:beforeAutospacing="1" w:after="100" w:afterAutospacing="1" w:line="360" w:lineRule="auto"/>
        <w:rPr>
          <w:b/>
          <w:bCs/>
          <w:sz w:val="24"/>
          <w:szCs w:val="24"/>
        </w:rPr>
      </w:pPr>
      <w:r>
        <w:rPr>
          <w:b/>
          <w:bCs/>
          <w:sz w:val="24"/>
          <w:szCs w:val="24"/>
        </w:rPr>
        <w:t xml:space="preserve">4.1. </w:t>
      </w:r>
      <w:r w:rsidR="008B39AE">
        <w:rPr>
          <w:b/>
          <w:bCs/>
          <w:sz w:val="24"/>
          <w:szCs w:val="24"/>
        </w:rPr>
        <w:t>Materia de la controversia</w:t>
      </w:r>
    </w:p>
    <w:p w14:paraId="52308CC1" w14:textId="02427BD5" w:rsidR="008B39AE" w:rsidRPr="008B39AE" w:rsidRDefault="008B39AE" w:rsidP="005C6244">
      <w:pPr>
        <w:spacing w:before="100" w:beforeAutospacing="1" w:after="100" w:afterAutospacing="1" w:line="360" w:lineRule="auto"/>
        <w:jc w:val="both"/>
        <w:rPr>
          <w:sz w:val="24"/>
          <w:szCs w:val="24"/>
        </w:rPr>
      </w:pPr>
      <w:r>
        <w:rPr>
          <w:sz w:val="24"/>
          <w:szCs w:val="24"/>
        </w:rPr>
        <w:t xml:space="preserve">Lo constituye la sentencia dictada en el recurso de revisión </w:t>
      </w:r>
      <w:r w:rsidRPr="008B39AE">
        <w:rPr>
          <w:sz w:val="24"/>
          <w:szCs w:val="24"/>
        </w:rPr>
        <w:t>TEEG-REVF-44-2021</w:t>
      </w:r>
      <w:r>
        <w:rPr>
          <w:sz w:val="24"/>
          <w:szCs w:val="24"/>
        </w:rPr>
        <w:t xml:space="preserve"> mediante el cual el </w:t>
      </w:r>
      <w:r w:rsidR="002207D9" w:rsidRPr="008B39AE">
        <w:rPr>
          <w:i/>
          <w:iCs/>
          <w:sz w:val="24"/>
          <w:szCs w:val="24"/>
        </w:rPr>
        <w:t>Tribunal</w:t>
      </w:r>
      <w:r w:rsidR="002207D9">
        <w:rPr>
          <w:sz w:val="24"/>
          <w:szCs w:val="24"/>
        </w:rPr>
        <w:t xml:space="preserve"> </w:t>
      </w:r>
      <w:r w:rsidRPr="008B39AE">
        <w:rPr>
          <w:i/>
          <w:iCs/>
          <w:sz w:val="24"/>
          <w:szCs w:val="24"/>
        </w:rPr>
        <w:t>local</w:t>
      </w:r>
      <w:r>
        <w:rPr>
          <w:sz w:val="24"/>
          <w:szCs w:val="24"/>
        </w:rPr>
        <w:t xml:space="preserve"> </w:t>
      </w:r>
      <w:r w:rsidR="005C6244">
        <w:rPr>
          <w:sz w:val="24"/>
          <w:szCs w:val="24"/>
        </w:rPr>
        <w:t xml:space="preserve">confirmó el acuerdo CGIEEG/183/2021 que a su vez había autorizado la sustitución por renuncia de las candidatas a la presidencia municipal y primera regiduría propietaria y suplente correspondientes a la planilla registrada para contender por Morena en el ayuntamiento de Comonfort, las cuales se realizaron por los candidatos que originalmente se habían propuesto al emitir el acuerdo CGIEEG/104/2021, en razón a que con dicha sustitución no se violentaba la paridad de género en términos del artículo 10 de los </w:t>
      </w:r>
      <w:r w:rsidR="005C6244" w:rsidRPr="005C6244">
        <w:rPr>
          <w:i/>
          <w:iCs/>
          <w:sz w:val="24"/>
          <w:szCs w:val="24"/>
        </w:rPr>
        <w:t>lineamientos de paridad</w:t>
      </w:r>
      <w:r w:rsidR="005C6244">
        <w:rPr>
          <w:sz w:val="24"/>
          <w:szCs w:val="24"/>
        </w:rPr>
        <w:t>.</w:t>
      </w:r>
    </w:p>
    <w:p w14:paraId="1209B0D0" w14:textId="008B72D5" w:rsidR="00F76729" w:rsidRPr="00F76729" w:rsidRDefault="00F76729" w:rsidP="005C6244">
      <w:pPr>
        <w:spacing w:before="100" w:beforeAutospacing="1" w:after="100" w:afterAutospacing="1" w:line="360" w:lineRule="auto"/>
        <w:rPr>
          <w:b/>
          <w:bCs/>
          <w:sz w:val="24"/>
          <w:szCs w:val="24"/>
        </w:rPr>
      </w:pPr>
      <w:r w:rsidRPr="00F76729">
        <w:rPr>
          <w:b/>
          <w:bCs/>
          <w:sz w:val="24"/>
          <w:szCs w:val="24"/>
        </w:rPr>
        <w:t>Resolución impugnada</w:t>
      </w:r>
    </w:p>
    <w:p w14:paraId="30E585DE" w14:textId="5A0DF3DB" w:rsidR="00DE722B" w:rsidRDefault="00DE722B" w:rsidP="005C6244">
      <w:pPr>
        <w:spacing w:before="100" w:beforeAutospacing="1" w:after="100" w:afterAutospacing="1" w:line="360" w:lineRule="auto"/>
        <w:jc w:val="both"/>
        <w:rPr>
          <w:sz w:val="24"/>
          <w:szCs w:val="24"/>
        </w:rPr>
      </w:pPr>
      <w:r>
        <w:rPr>
          <w:sz w:val="24"/>
          <w:szCs w:val="24"/>
        </w:rPr>
        <w:t xml:space="preserve">En la instancia local el </w:t>
      </w:r>
      <w:r w:rsidRPr="002207D9">
        <w:rPr>
          <w:i/>
          <w:iCs/>
          <w:sz w:val="24"/>
          <w:szCs w:val="24"/>
        </w:rPr>
        <w:t>PAN</w:t>
      </w:r>
      <w:r>
        <w:rPr>
          <w:sz w:val="24"/>
          <w:szCs w:val="24"/>
        </w:rPr>
        <w:t xml:space="preserve"> hizo valer los siguientes agravios.</w:t>
      </w:r>
    </w:p>
    <w:p w14:paraId="64510906" w14:textId="19117523" w:rsidR="00DE722B" w:rsidRDefault="00DE722B" w:rsidP="005C6244">
      <w:pPr>
        <w:pStyle w:val="Prrafodelista"/>
        <w:numPr>
          <w:ilvl w:val="0"/>
          <w:numId w:val="16"/>
        </w:numPr>
        <w:spacing w:before="100" w:beforeAutospacing="1" w:after="100" w:afterAutospacing="1" w:line="360" w:lineRule="auto"/>
        <w:ind w:left="426"/>
        <w:contextualSpacing w:val="0"/>
        <w:jc w:val="both"/>
        <w:rPr>
          <w:sz w:val="24"/>
          <w:szCs w:val="24"/>
        </w:rPr>
      </w:pPr>
      <w:r w:rsidRPr="002F6CF5">
        <w:rPr>
          <w:sz w:val="24"/>
          <w:szCs w:val="24"/>
        </w:rPr>
        <w:lastRenderedPageBreak/>
        <w:t xml:space="preserve">Se incumplió con el acuerdo CGIEEG/104/2021, en el que se </w:t>
      </w:r>
      <w:r w:rsidR="002D7FED">
        <w:rPr>
          <w:sz w:val="24"/>
          <w:szCs w:val="24"/>
        </w:rPr>
        <w:t>solicitó</w:t>
      </w:r>
      <w:r w:rsidRPr="002F6CF5">
        <w:rPr>
          <w:sz w:val="24"/>
          <w:szCs w:val="24"/>
        </w:rPr>
        <w:t xml:space="preserve"> a Morena el cambio de candidaturas a efecto de postular más mujeres que hombres.</w:t>
      </w:r>
    </w:p>
    <w:p w14:paraId="1DF25569" w14:textId="55F41DF5" w:rsidR="00DE722B" w:rsidRDefault="00DE722B" w:rsidP="005C6244">
      <w:pPr>
        <w:pStyle w:val="Prrafodelista"/>
        <w:numPr>
          <w:ilvl w:val="0"/>
          <w:numId w:val="16"/>
        </w:numPr>
        <w:spacing w:before="100" w:beforeAutospacing="1" w:after="100" w:afterAutospacing="1" w:line="360" w:lineRule="auto"/>
        <w:ind w:left="426"/>
        <w:contextualSpacing w:val="0"/>
        <w:jc w:val="both"/>
        <w:rPr>
          <w:sz w:val="24"/>
          <w:szCs w:val="24"/>
        </w:rPr>
      </w:pPr>
      <w:r w:rsidRPr="002F6CF5">
        <w:rPr>
          <w:sz w:val="24"/>
          <w:szCs w:val="24"/>
        </w:rPr>
        <w:t xml:space="preserve">Al aprobarse la sustitución de las candidaturas mediante acuerdo CGIEEG/163/2021 </w:t>
      </w:r>
      <w:r w:rsidR="002F6CF5" w:rsidRPr="002F6CF5">
        <w:rPr>
          <w:sz w:val="24"/>
          <w:szCs w:val="24"/>
        </w:rPr>
        <w:t>se desprotegió a las candidatas, por la posible presión ejercida para conseguir de ellas la renuncia, citando el caso conocido como “</w:t>
      </w:r>
      <w:r w:rsidR="002F6CF5" w:rsidRPr="002F6CF5">
        <w:rPr>
          <w:i/>
          <w:iCs/>
          <w:sz w:val="24"/>
          <w:szCs w:val="24"/>
        </w:rPr>
        <w:t>las Juanitas</w:t>
      </w:r>
      <w:r w:rsidR="002F6CF5" w:rsidRPr="002F6CF5">
        <w:rPr>
          <w:sz w:val="24"/>
          <w:szCs w:val="24"/>
        </w:rPr>
        <w:t xml:space="preserve">” y señalando una posible violencia política </w:t>
      </w:r>
      <w:proofErr w:type="gramStart"/>
      <w:r w:rsidR="002F6CF5" w:rsidRPr="002F6CF5">
        <w:rPr>
          <w:sz w:val="24"/>
          <w:szCs w:val="24"/>
        </w:rPr>
        <w:t>en razón de</w:t>
      </w:r>
      <w:proofErr w:type="gramEnd"/>
      <w:r w:rsidR="002F6CF5" w:rsidRPr="002F6CF5">
        <w:rPr>
          <w:sz w:val="24"/>
          <w:szCs w:val="24"/>
        </w:rPr>
        <w:t xml:space="preserve"> género.</w:t>
      </w:r>
    </w:p>
    <w:p w14:paraId="71EB5F75" w14:textId="31543FDA" w:rsidR="002F6CF5" w:rsidRPr="002F6CF5" w:rsidRDefault="002F6CF5" w:rsidP="005C6244">
      <w:pPr>
        <w:pStyle w:val="Prrafodelista"/>
        <w:numPr>
          <w:ilvl w:val="0"/>
          <w:numId w:val="16"/>
        </w:numPr>
        <w:spacing w:before="100" w:beforeAutospacing="1" w:after="100" w:afterAutospacing="1" w:line="360" w:lineRule="auto"/>
        <w:ind w:left="426"/>
        <w:contextualSpacing w:val="0"/>
        <w:jc w:val="both"/>
        <w:rPr>
          <w:sz w:val="24"/>
          <w:szCs w:val="24"/>
        </w:rPr>
      </w:pPr>
      <w:r w:rsidRPr="002F6CF5">
        <w:rPr>
          <w:sz w:val="24"/>
          <w:szCs w:val="24"/>
        </w:rPr>
        <w:t>La sustitución es incorrecta pu</w:t>
      </w:r>
      <w:r w:rsidR="003F32A3">
        <w:rPr>
          <w:sz w:val="24"/>
          <w:szCs w:val="24"/>
        </w:rPr>
        <w:t>e</w:t>
      </w:r>
      <w:r w:rsidRPr="002F6CF5">
        <w:rPr>
          <w:sz w:val="24"/>
          <w:szCs w:val="24"/>
        </w:rPr>
        <w:t>s debió atenderse al principio de paridad en la postulación de candidaturas y reemplazar mujeres por mujeres conforme lo previsto por los artículos 46 de los lineamientos de registro y 16, 17 y 18 de los lineamientos de paridad</w:t>
      </w:r>
      <w:r>
        <w:rPr>
          <w:sz w:val="24"/>
          <w:szCs w:val="24"/>
        </w:rPr>
        <w:t>.</w:t>
      </w:r>
    </w:p>
    <w:p w14:paraId="5CEF94C4" w14:textId="6722ABF8" w:rsidR="00F76729" w:rsidRPr="00F76729" w:rsidRDefault="00F76729" w:rsidP="005C6244">
      <w:pPr>
        <w:spacing w:before="100" w:beforeAutospacing="1" w:after="100" w:afterAutospacing="1" w:line="360" w:lineRule="auto"/>
        <w:jc w:val="both"/>
        <w:rPr>
          <w:sz w:val="24"/>
          <w:szCs w:val="24"/>
        </w:rPr>
      </w:pPr>
      <w:r w:rsidRPr="00F76729">
        <w:rPr>
          <w:sz w:val="24"/>
          <w:szCs w:val="24"/>
        </w:rPr>
        <w:t xml:space="preserve">Respecto al agravio relacionado con el incumplimiento a lo establecido por el </w:t>
      </w:r>
      <w:r w:rsidRPr="0093475A">
        <w:rPr>
          <w:i/>
          <w:iCs/>
          <w:sz w:val="24"/>
          <w:szCs w:val="24"/>
        </w:rPr>
        <w:t>Instituto local</w:t>
      </w:r>
      <w:r w:rsidRPr="00F76729">
        <w:rPr>
          <w:sz w:val="24"/>
          <w:szCs w:val="24"/>
        </w:rPr>
        <w:t xml:space="preserve"> en el acuerdo CGIEEG/104/2021 en el que había solicitado a Morena que postulara un mayor número de candidaturas para mujeres en el bloque de porcentaje alto de votación, debido a que en cumplimiento al artículo 10 de los </w:t>
      </w:r>
      <w:r w:rsidRPr="002207D9">
        <w:rPr>
          <w:i/>
          <w:iCs/>
          <w:sz w:val="24"/>
          <w:szCs w:val="24"/>
        </w:rPr>
        <w:t>lineamientos de paridad</w:t>
      </w:r>
      <w:r w:rsidRPr="00F76729">
        <w:rPr>
          <w:sz w:val="24"/>
          <w:szCs w:val="24"/>
        </w:rPr>
        <w:t xml:space="preserve"> debían de postularse un mayor número de mujeres</w:t>
      </w:r>
      <w:r w:rsidR="002207D9">
        <w:rPr>
          <w:sz w:val="24"/>
          <w:szCs w:val="24"/>
        </w:rPr>
        <w:t xml:space="preserve"> e</w:t>
      </w:r>
      <w:r w:rsidRPr="00F76729">
        <w:rPr>
          <w:sz w:val="24"/>
          <w:szCs w:val="24"/>
        </w:rPr>
        <w:t xml:space="preserve">l tribunal local consideró infundado el agravio ya que la exigencia hecha a Morena en su estima </w:t>
      </w:r>
      <w:r w:rsidRPr="002207D9">
        <w:rPr>
          <w:sz w:val="24"/>
          <w:szCs w:val="24"/>
        </w:rPr>
        <w:t xml:space="preserve">se cumplió </w:t>
      </w:r>
      <w:r w:rsidRPr="00F76729">
        <w:rPr>
          <w:sz w:val="24"/>
          <w:szCs w:val="24"/>
        </w:rPr>
        <w:t>al emitir el acuerdo CGIEEG/124/2021 como se demuestra a continuación.</w:t>
      </w:r>
    </w:p>
    <w:tbl>
      <w:tblPr>
        <w:tblStyle w:val="Tablaconcuadrcula6"/>
        <w:tblW w:w="8359" w:type="dxa"/>
        <w:tblLook w:val="04A0" w:firstRow="1" w:lastRow="0" w:firstColumn="1" w:lastColumn="0" w:noHBand="0" w:noVBand="1"/>
      </w:tblPr>
      <w:tblGrid>
        <w:gridCol w:w="1907"/>
        <w:gridCol w:w="1142"/>
        <w:gridCol w:w="947"/>
        <w:gridCol w:w="1953"/>
        <w:gridCol w:w="1463"/>
        <w:gridCol w:w="947"/>
      </w:tblGrid>
      <w:tr w:rsidR="00F76729" w:rsidRPr="00DE722B" w14:paraId="0733C761" w14:textId="77777777" w:rsidTr="0093475A">
        <w:trPr>
          <w:tblHeader/>
        </w:trPr>
        <w:tc>
          <w:tcPr>
            <w:tcW w:w="8359" w:type="dxa"/>
            <w:gridSpan w:val="6"/>
            <w:shd w:val="clear" w:color="auto" w:fill="A6A6A6" w:themeFill="background1" w:themeFillShade="A6"/>
          </w:tcPr>
          <w:p w14:paraId="6E2B1E3C" w14:textId="77777777" w:rsidR="00F76729" w:rsidRPr="00DE722B" w:rsidRDefault="00F76729" w:rsidP="00DE722B">
            <w:pPr>
              <w:spacing w:before="100" w:beforeAutospacing="1" w:after="100" w:afterAutospacing="1" w:line="240" w:lineRule="auto"/>
              <w:jc w:val="center"/>
              <w:rPr>
                <w:b/>
                <w:bCs/>
                <w:sz w:val="18"/>
                <w:szCs w:val="18"/>
              </w:rPr>
            </w:pPr>
            <w:r w:rsidRPr="00DE722B">
              <w:rPr>
                <w:b/>
                <w:bCs/>
                <w:sz w:val="18"/>
                <w:szCs w:val="18"/>
              </w:rPr>
              <w:t>BLOQUE DE PORCENTAJE ALTO DE VOTACIÓN</w:t>
            </w:r>
          </w:p>
        </w:tc>
      </w:tr>
      <w:tr w:rsidR="00F76729" w:rsidRPr="00DE722B" w14:paraId="72B76C08" w14:textId="77777777" w:rsidTr="0093475A">
        <w:trPr>
          <w:tblHeader/>
        </w:trPr>
        <w:tc>
          <w:tcPr>
            <w:tcW w:w="3996" w:type="dxa"/>
            <w:gridSpan w:val="3"/>
            <w:vAlign w:val="center"/>
          </w:tcPr>
          <w:p w14:paraId="68749726" w14:textId="77777777" w:rsidR="00F76729" w:rsidRPr="00DE722B" w:rsidRDefault="00F76729" w:rsidP="0093475A">
            <w:pPr>
              <w:spacing w:before="100" w:beforeAutospacing="1" w:after="100" w:afterAutospacing="1" w:line="360" w:lineRule="auto"/>
              <w:jc w:val="center"/>
              <w:rPr>
                <w:sz w:val="18"/>
                <w:szCs w:val="18"/>
              </w:rPr>
            </w:pPr>
            <w:r w:rsidRPr="00DE722B">
              <w:rPr>
                <w:sz w:val="18"/>
                <w:szCs w:val="18"/>
              </w:rPr>
              <w:t>Acuerdo CGIEEG/</w:t>
            </w:r>
            <w:r w:rsidRPr="00DE722B">
              <w:rPr>
                <w:b/>
                <w:bCs/>
                <w:sz w:val="18"/>
                <w:szCs w:val="18"/>
              </w:rPr>
              <w:t>104</w:t>
            </w:r>
            <w:r w:rsidRPr="00DE722B">
              <w:rPr>
                <w:sz w:val="18"/>
                <w:szCs w:val="18"/>
              </w:rPr>
              <w:t>/2021</w:t>
            </w:r>
          </w:p>
        </w:tc>
        <w:tc>
          <w:tcPr>
            <w:tcW w:w="4363" w:type="dxa"/>
            <w:gridSpan w:val="3"/>
            <w:vAlign w:val="center"/>
          </w:tcPr>
          <w:p w14:paraId="5BD76E83" w14:textId="77777777" w:rsidR="00F76729" w:rsidRPr="00DE722B" w:rsidRDefault="00F76729" w:rsidP="0093475A">
            <w:pPr>
              <w:spacing w:before="100" w:beforeAutospacing="1" w:after="100" w:afterAutospacing="1" w:line="360" w:lineRule="auto"/>
              <w:jc w:val="center"/>
              <w:rPr>
                <w:sz w:val="18"/>
                <w:szCs w:val="18"/>
              </w:rPr>
            </w:pPr>
            <w:r w:rsidRPr="00DE722B">
              <w:rPr>
                <w:sz w:val="18"/>
                <w:szCs w:val="18"/>
              </w:rPr>
              <w:t>Acuerdo CGIEEG/</w:t>
            </w:r>
            <w:r w:rsidRPr="00DE722B">
              <w:rPr>
                <w:b/>
                <w:bCs/>
                <w:sz w:val="18"/>
                <w:szCs w:val="18"/>
              </w:rPr>
              <w:t>124</w:t>
            </w:r>
            <w:r w:rsidRPr="00DE722B">
              <w:rPr>
                <w:sz w:val="18"/>
                <w:szCs w:val="18"/>
              </w:rPr>
              <w:t>/2021</w:t>
            </w:r>
          </w:p>
        </w:tc>
      </w:tr>
      <w:tr w:rsidR="00F76729" w:rsidRPr="00DE722B" w14:paraId="7C890747" w14:textId="77777777" w:rsidTr="0093475A">
        <w:tc>
          <w:tcPr>
            <w:tcW w:w="1907" w:type="dxa"/>
          </w:tcPr>
          <w:p w14:paraId="01B863F3"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MUNICIPIO</w:t>
            </w:r>
          </w:p>
        </w:tc>
        <w:tc>
          <w:tcPr>
            <w:tcW w:w="2089" w:type="dxa"/>
            <w:gridSpan w:val="2"/>
          </w:tcPr>
          <w:p w14:paraId="19DF0A44"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GÉNERO</w:t>
            </w:r>
          </w:p>
        </w:tc>
        <w:tc>
          <w:tcPr>
            <w:tcW w:w="1953" w:type="dxa"/>
          </w:tcPr>
          <w:p w14:paraId="1C9993E5"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MUNICIPIO</w:t>
            </w:r>
          </w:p>
        </w:tc>
        <w:tc>
          <w:tcPr>
            <w:tcW w:w="2410" w:type="dxa"/>
            <w:gridSpan w:val="2"/>
          </w:tcPr>
          <w:p w14:paraId="4ACB83B8"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GÉNERO</w:t>
            </w:r>
          </w:p>
        </w:tc>
      </w:tr>
      <w:tr w:rsidR="00F76729" w:rsidRPr="00DE722B" w14:paraId="50A00DEE" w14:textId="77777777" w:rsidTr="0093475A">
        <w:tc>
          <w:tcPr>
            <w:tcW w:w="1907" w:type="dxa"/>
          </w:tcPr>
          <w:p w14:paraId="2FE91C0A" w14:textId="77777777" w:rsidR="00F76729" w:rsidRPr="00DE722B" w:rsidRDefault="00F76729" w:rsidP="00DE722B">
            <w:pPr>
              <w:spacing w:before="100" w:beforeAutospacing="1" w:after="100" w:afterAutospacing="1" w:line="240" w:lineRule="auto"/>
              <w:jc w:val="both"/>
              <w:rPr>
                <w:sz w:val="18"/>
                <w:szCs w:val="18"/>
              </w:rPr>
            </w:pPr>
            <w:bookmarkStart w:id="12" w:name="_Hlk73150328"/>
            <w:r w:rsidRPr="00DE722B">
              <w:rPr>
                <w:sz w:val="18"/>
                <w:szCs w:val="18"/>
              </w:rPr>
              <w:t>APASEO EL ALTO</w:t>
            </w:r>
          </w:p>
        </w:tc>
        <w:tc>
          <w:tcPr>
            <w:tcW w:w="2089" w:type="dxa"/>
            <w:gridSpan w:val="2"/>
          </w:tcPr>
          <w:p w14:paraId="1CE57F2E"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c>
          <w:tcPr>
            <w:tcW w:w="1953" w:type="dxa"/>
          </w:tcPr>
          <w:p w14:paraId="2B4CCF7E"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APASEO EL ALTO</w:t>
            </w:r>
          </w:p>
        </w:tc>
        <w:tc>
          <w:tcPr>
            <w:tcW w:w="2410" w:type="dxa"/>
            <w:gridSpan w:val="2"/>
          </w:tcPr>
          <w:p w14:paraId="3CC0EF10"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r>
      <w:tr w:rsidR="00F76729" w:rsidRPr="00DE722B" w14:paraId="52976681" w14:textId="77777777" w:rsidTr="0093475A">
        <w:tc>
          <w:tcPr>
            <w:tcW w:w="1907" w:type="dxa"/>
          </w:tcPr>
          <w:p w14:paraId="27434A7D"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COMONFORT</w:t>
            </w:r>
          </w:p>
        </w:tc>
        <w:tc>
          <w:tcPr>
            <w:tcW w:w="2089" w:type="dxa"/>
            <w:gridSpan w:val="2"/>
          </w:tcPr>
          <w:p w14:paraId="5B8D6DE2"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c>
          <w:tcPr>
            <w:tcW w:w="1953" w:type="dxa"/>
          </w:tcPr>
          <w:p w14:paraId="5BBD5416"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COMONFORT</w:t>
            </w:r>
          </w:p>
        </w:tc>
        <w:tc>
          <w:tcPr>
            <w:tcW w:w="2410" w:type="dxa"/>
            <w:gridSpan w:val="2"/>
          </w:tcPr>
          <w:p w14:paraId="094FB9CB"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r>
      <w:tr w:rsidR="00F76729" w:rsidRPr="00DE722B" w14:paraId="2E848EF2" w14:textId="77777777" w:rsidTr="0093475A">
        <w:tc>
          <w:tcPr>
            <w:tcW w:w="1907" w:type="dxa"/>
          </w:tcPr>
          <w:p w14:paraId="154440D4"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ABASOLO</w:t>
            </w:r>
          </w:p>
        </w:tc>
        <w:tc>
          <w:tcPr>
            <w:tcW w:w="2089" w:type="dxa"/>
            <w:gridSpan w:val="2"/>
          </w:tcPr>
          <w:p w14:paraId="7677AFF2"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c>
          <w:tcPr>
            <w:tcW w:w="1953" w:type="dxa"/>
          </w:tcPr>
          <w:p w14:paraId="68A5DA30"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ABASOLO</w:t>
            </w:r>
          </w:p>
        </w:tc>
        <w:tc>
          <w:tcPr>
            <w:tcW w:w="2410" w:type="dxa"/>
            <w:gridSpan w:val="2"/>
          </w:tcPr>
          <w:p w14:paraId="3DB04645"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r>
      <w:tr w:rsidR="00F76729" w:rsidRPr="00DE722B" w14:paraId="7F6FC6DC" w14:textId="77777777" w:rsidTr="0093475A">
        <w:tc>
          <w:tcPr>
            <w:tcW w:w="1907" w:type="dxa"/>
          </w:tcPr>
          <w:p w14:paraId="2E6CB780"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PÉNJAMO</w:t>
            </w:r>
          </w:p>
        </w:tc>
        <w:tc>
          <w:tcPr>
            <w:tcW w:w="2089" w:type="dxa"/>
            <w:gridSpan w:val="2"/>
          </w:tcPr>
          <w:p w14:paraId="1BC87E52"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c>
          <w:tcPr>
            <w:tcW w:w="1953" w:type="dxa"/>
          </w:tcPr>
          <w:p w14:paraId="75A2DAF0"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PÉNJAMO</w:t>
            </w:r>
          </w:p>
        </w:tc>
        <w:tc>
          <w:tcPr>
            <w:tcW w:w="2410" w:type="dxa"/>
            <w:gridSpan w:val="2"/>
          </w:tcPr>
          <w:p w14:paraId="03B63083"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r>
      <w:tr w:rsidR="00F76729" w:rsidRPr="00DE722B" w14:paraId="6D9131CB" w14:textId="77777777" w:rsidTr="0093475A">
        <w:tc>
          <w:tcPr>
            <w:tcW w:w="1907" w:type="dxa"/>
          </w:tcPr>
          <w:p w14:paraId="7E2CEBBE"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ACÁMBARO</w:t>
            </w:r>
          </w:p>
        </w:tc>
        <w:tc>
          <w:tcPr>
            <w:tcW w:w="2089" w:type="dxa"/>
            <w:gridSpan w:val="2"/>
          </w:tcPr>
          <w:p w14:paraId="1C5CC1C0"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c>
          <w:tcPr>
            <w:tcW w:w="1953" w:type="dxa"/>
          </w:tcPr>
          <w:p w14:paraId="2D81A19E"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ACÁMBARO</w:t>
            </w:r>
          </w:p>
        </w:tc>
        <w:tc>
          <w:tcPr>
            <w:tcW w:w="2410" w:type="dxa"/>
            <w:gridSpan w:val="2"/>
          </w:tcPr>
          <w:p w14:paraId="6121ED15"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r>
      <w:tr w:rsidR="00F76729" w:rsidRPr="00DE722B" w14:paraId="79827C83" w14:textId="77777777" w:rsidTr="0093475A">
        <w:tc>
          <w:tcPr>
            <w:tcW w:w="1907" w:type="dxa"/>
          </w:tcPr>
          <w:p w14:paraId="7630198D"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SILAO DE LA VICTORIA</w:t>
            </w:r>
          </w:p>
        </w:tc>
        <w:tc>
          <w:tcPr>
            <w:tcW w:w="2089" w:type="dxa"/>
            <w:gridSpan w:val="2"/>
          </w:tcPr>
          <w:p w14:paraId="2E512A23"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c>
          <w:tcPr>
            <w:tcW w:w="1953" w:type="dxa"/>
          </w:tcPr>
          <w:p w14:paraId="7ACA5A8D"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SILAO DE LA VICTORIA</w:t>
            </w:r>
          </w:p>
        </w:tc>
        <w:tc>
          <w:tcPr>
            <w:tcW w:w="2410" w:type="dxa"/>
            <w:gridSpan w:val="2"/>
          </w:tcPr>
          <w:p w14:paraId="4000CB42"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r>
      <w:tr w:rsidR="00F76729" w:rsidRPr="00DE722B" w14:paraId="7AE09345" w14:textId="77777777" w:rsidTr="0093475A">
        <w:tc>
          <w:tcPr>
            <w:tcW w:w="1907" w:type="dxa"/>
          </w:tcPr>
          <w:p w14:paraId="1DEFB01E"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SAN JOSÉ ITURBIDE</w:t>
            </w:r>
          </w:p>
        </w:tc>
        <w:tc>
          <w:tcPr>
            <w:tcW w:w="2089" w:type="dxa"/>
            <w:gridSpan w:val="2"/>
          </w:tcPr>
          <w:p w14:paraId="0F443290"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c>
          <w:tcPr>
            <w:tcW w:w="1953" w:type="dxa"/>
          </w:tcPr>
          <w:p w14:paraId="4654729D"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SAN JOSÉ ITURBIDE</w:t>
            </w:r>
          </w:p>
        </w:tc>
        <w:tc>
          <w:tcPr>
            <w:tcW w:w="2410" w:type="dxa"/>
            <w:gridSpan w:val="2"/>
          </w:tcPr>
          <w:p w14:paraId="30BDC2A2"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r>
      <w:tr w:rsidR="00F76729" w:rsidRPr="00DE722B" w14:paraId="29F39756" w14:textId="77777777" w:rsidTr="0093475A">
        <w:tc>
          <w:tcPr>
            <w:tcW w:w="1907" w:type="dxa"/>
          </w:tcPr>
          <w:p w14:paraId="147EB6C7"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SAN MIGUEL DE ALLENDE</w:t>
            </w:r>
          </w:p>
        </w:tc>
        <w:tc>
          <w:tcPr>
            <w:tcW w:w="2089" w:type="dxa"/>
            <w:gridSpan w:val="2"/>
          </w:tcPr>
          <w:p w14:paraId="5C36BBBF"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c>
          <w:tcPr>
            <w:tcW w:w="1953" w:type="dxa"/>
          </w:tcPr>
          <w:p w14:paraId="3ACD64DB"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SAN MIGUEL DE ALLENDE</w:t>
            </w:r>
          </w:p>
        </w:tc>
        <w:tc>
          <w:tcPr>
            <w:tcW w:w="2410" w:type="dxa"/>
            <w:gridSpan w:val="2"/>
          </w:tcPr>
          <w:p w14:paraId="74A2F08F"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r>
      <w:tr w:rsidR="00F76729" w:rsidRPr="00DE722B" w14:paraId="46EB76CF" w14:textId="77777777" w:rsidTr="0093475A">
        <w:tc>
          <w:tcPr>
            <w:tcW w:w="1907" w:type="dxa"/>
          </w:tcPr>
          <w:p w14:paraId="01017B9D"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IRAPUATO</w:t>
            </w:r>
          </w:p>
        </w:tc>
        <w:tc>
          <w:tcPr>
            <w:tcW w:w="2089" w:type="dxa"/>
            <w:gridSpan w:val="2"/>
          </w:tcPr>
          <w:p w14:paraId="30EFE072"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c>
          <w:tcPr>
            <w:tcW w:w="1953" w:type="dxa"/>
          </w:tcPr>
          <w:p w14:paraId="7D8247E8"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IRAPUATO</w:t>
            </w:r>
          </w:p>
        </w:tc>
        <w:tc>
          <w:tcPr>
            <w:tcW w:w="2410" w:type="dxa"/>
            <w:gridSpan w:val="2"/>
          </w:tcPr>
          <w:p w14:paraId="0A0D9A77"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HOMBRE</w:t>
            </w:r>
          </w:p>
        </w:tc>
      </w:tr>
      <w:tr w:rsidR="00F76729" w:rsidRPr="00DE722B" w14:paraId="1AB9E370" w14:textId="77777777" w:rsidTr="0093475A">
        <w:tc>
          <w:tcPr>
            <w:tcW w:w="1907" w:type="dxa"/>
          </w:tcPr>
          <w:p w14:paraId="5239CA26"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SALVATIERRA</w:t>
            </w:r>
          </w:p>
        </w:tc>
        <w:tc>
          <w:tcPr>
            <w:tcW w:w="2089" w:type="dxa"/>
            <w:gridSpan w:val="2"/>
          </w:tcPr>
          <w:p w14:paraId="0E0D03AD"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c>
          <w:tcPr>
            <w:tcW w:w="1953" w:type="dxa"/>
          </w:tcPr>
          <w:p w14:paraId="2452BE98"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SALVATIERRA</w:t>
            </w:r>
          </w:p>
        </w:tc>
        <w:tc>
          <w:tcPr>
            <w:tcW w:w="2410" w:type="dxa"/>
            <w:gridSpan w:val="2"/>
          </w:tcPr>
          <w:p w14:paraId="15669048"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r>
      <w:tr w:rsidR="00F76729" w:rsidRPr="00DE722B" w14:paraId="40BF39A0" w14:textId="77777777" w:rsidTr="0093475A">
        <w:tc>
          <w:tcPr>
            <w:tcW w:w="1907" w:type="dxa"/>
          </w:tcPr>
          <w:p w14:paraId="68570BE3"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SAN LUIS DE LA PAZ</w:t>
            </w:r>
          </w:p>
        </w:tc>
        <w:tc>
          <w:tcPr>
            <w:tcW w:w="2089" w:type="dxa"/>
            <w:gridSpan w:val="2"/>
          </w:tcPr>
          <w:p w14:paraId="6E6FF940"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c>
          <w:tcPr>
            <w:tcW w:w="1953" w:type="dxa"/>
          </w:tcPr>
          <w:p w14:paraId="58B9FAC5"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SAN LUIS DE LA PAZ</w:t>
            </w:r>
          </w:p>
        </w:tc>
        <w:tc>
          <w:tcPr>
            <w:tcW w:w="2410" w:type="dxa"/>
            <w:gridSpan w:val="2"/>
          </w:tcPr>
          <w:p w14:paraId="71D62E68"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r>
      <w:tr w:rsidR="00F76729" w:rsidRPr="00DE722B" w14:paraId="32607C42" w14:textId="77777777" w:rsidTr="0093475A">
        <w:tc>
          <w:tcPr>
            <w:tcW w:w="1907" w:type="dxa"/>
          </w:tcPr>
          <w:p w14:paraId="0312940F"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SANTA CRUZ DE JUVENTINO ROSAS</w:t>
            </w:r>
          </w:p>
        </w:tc>
        <w:tc>
          <w:tcPr>
            <w:tcW w:w="2089" w:type="dxa"/>
            <w:gridSpan w:val="2"/>
          </w:tcPr>
          <w:p w14:paraId="7AC6AA42"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c>
          <w:tcPr>
            <w:tcW w:w="1953" w:type="dxa"/>
          </w:tcPr>
          <w:p w14:paraId="327EA9A1"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SANTA CRUZ DE JUVENTINO ROSAS</w:t>
            </w:r>
          </w:p>
        </w:tc>
        <w:tc>
          <w:tcPr>
            <w:tcW w:w="2410" w:type="dxa"/>
            <w:gridSpan w:val="2"/>
          </w:tcPr>
          <w:p w14:paraId="403E5570" w14:textId="77777777" w:rsidR="00F76729" w:rsidRPr="00DE722B" w:rsidRDefault="00F76729" w:rsidP="00DE722B">
            <w:pPr>
              <w:spacing w:before="100" w:beforeAutospacing="1" w:after="100" w:afterAutospacing="1" w:line="240" w:lineRule="auto"/>
              <w:jc w:val="center"/>
              <w:rPr>
                <w:sz w:val="18"/>
                <w:szCs w:val="18"/>
              </w:rPr>
            </w:pPr>
            <w:r w:rsidRPr="00DE722B">
              <w:rPr>
                <w:sz w:val="18"/>
                <w:szCs w:val="18"/>
              </w:rPr>
              <w:t>MUJER</w:t>
            </w:r>
          </w:p>
        </w:tc>
      </w:tr>
      <w:bookmarkEnd w:id="12"/>
      <w:tr w:rsidR="00F76729" w:rsidRPr="00DE722B" w14:paraId="3603FAD0" w14:textId="77777777" w:rsidTr="0093475A">
        <w:tc>
          <w:tcPr>
            <w:tcW w:w="1907" w:type="dxa"/>
            <w:vMerge w:val="restart"/>
            <w:vAlign w:val="center"/>
          </w:tcPr>
          <w:p w14:paraId="3A8BD043" w14:textId="77777777" w:rsidR="00F76729" w:rsidRPr="00DE722B" w:rsidRDefault="00F76729" w:rsidP="00DE722B">
            <w:pPr>
              <w:spacing w:before="100" w:beforeAutospacing="1" w:after="100" w:afterAutospacing="1" w:line="240" w:lineRule="auto"/>
              <w:jc w:val="center"/>
              <w:rPr>
                <w:b/>
                <w:bCs/>
                <w:sz w:val="18"/>
                <w:szCs w:val="18"/>
              </w:rPr>
            </w:pPr>
            <w:r w:rsidRPr="00DE722B">
              <w:rPr>
                <w:b/>
                <w:bCs/>
                <w:sz w:val="18"/>
                <w:szCs w:val="18"/>
              </w:rPr>
              <w:t>TOTAL</w:t>
            </w:r>
          </w:p>
        </w:tc>
        <w:tc>
          <w:tcPr>
            <w:tcW w:w="1142" w:type="dxa"/>
          </w:tcPr>
          <w:p w14:paraId="20C15D7A"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Mujeres</w:t>
            </w:r>
          </w:p>
        </w:tc>
        <w:tc>
          <w:tcPr>
            <w:tcW w:w="947" w:type="dxa"/>
          </w:tcPr>
          <w:p w14:paraId="352BE192"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Hombres</w:t>
            </w:r>
          </w:p>
        </w:tc>
        <w:tc>
          <w:tcPr>
            <w:tcW w:w="1953" w:type="dxa"/>
            <w:vMerge w:val="restart"/>
            <w:vAlign w:val="center"/>
          </w:tcPr>
          <w:p w14:paraId="6F79661E" w14:textId="77777777" w:rsidR="00F76729" w:rsidRPr="00DE722B" w:rsidRDefault="00F76729" w:rsidP="00DE722B">
            <w:pPr>
              <w:spacing w:before="100" w:beforeAutospacing="1" w:after="100" w:afterAutospacing="1" w:line="240" w:lineRule="auto"/>
              <w:jc w:val="center"/>
              <w:rPr>
                <w:sz w:val="18"/>
                <w:szCs w:val="18"/>
              </w:rPr>
            </w:pPr>
            <w:r w:rsidRPr="00DE722B">
              <w:rPr>
                <w:b/>
                <w:bCs/>
                <w:sz w:val="18"/>
                <w:szCs w:val="18"/>
              </w:rPr>
              <w:t>TOTAL</w:t>
            </w:r>
          </w:p>
        </w:tc>
        <w:tc>
          <w:tcPr>
            <w:tcW w:w="1463" w:type="dxa"/>
          </w:tcPr>
          <w:p w14:paraId="1F4F8310"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Mujeres</w:t>
            </w:r>
          </w:p>
        </w:tc>
        <w:tc>
          <w:tcPr>
            <w:tcW w:w="947" w:type="dxa"/>
          </w:tcPr>
          <w:p w14:paraId="4863C186" w14:textId="77777777" w:rsidR="00F76729" w:rsidRPr="00DE722B" w:rsidRDefault="00F76729" w:rsidP="00DE722B">
            <w:pPr>
              <w:spacing w:before="100" w:beforeAutospacing="1" w:after="100" w:afterAutospacing="1" w:line="240" w:lineRule="auto"/>
              <w:jc w:val="both"/>
              <w:rPr>
                <w:sz w:val="18"/>
                <w:szCs w:val="18"/>
              </w:rPr>
            </w:pPr>
            <w:r w:rsidRPr="00DE722B">
              <w:rPr>
                <w:sz w:val="18"/>
                <w:szCs w:val="18"/>
              </w:rPr>
              <w:t>Hombres</w:t>
            </w:r>
          </w:p>
        </w:tc>
      </w:tr>
      <w:tr w:rsidR="00F76729" w:rsidRPr="00DE722B" w14:paraId="34AB8877" w14:textId="77777777" w:rsidTr="0093475A">
        <w:tc>
          <w:tcPr>
            <w:tcW w:w="1907" w:type="dxa"/>
            <w:vMerge/>
          </w:tcPr>
          <w:p w14:paraId="51B9BBD4" w14:textId="77777777" w:rsidR="00F76729" w:rsidRPr="00DE722B" w:rsidRDefault="00F76729" w:rsidP="00DE722B">
            <w:pPr>
              <w:spacing w:before="100" w:beforeAutospacing="1" w:after="100" w:afterAutospacing="1" w:line="240" w:lineRule="auto"/>
              <w:jc w:val="both"/>
              <w:rPr>
                <w:sz w:val="18"/>
                <w:szCs w:val="18"/>
              </w:rPr>
            </w:pPr>
          </w:p>
        </w:tc>
        <w:tc>
          <w:tcPr>
            <w:tcW w:w="1142" w:type="dxa"/>
          </w:tcPr>
          <w:p w14:paraId="5D678BAE" w14:textId="77777777" w:rsidR="00F76729" w:rsidRPr="00DE722B" w:rsidRDefault="00F76729" w:rsidP="00DE722B">
            <w:pPr>
              <w:spacing w:before="100" w:beforeAutospacing="1" w:after="100" w:afterAutospacing="1" w:line="240" w:lineRule="auto"/>
              <w:jc w:val="center"/>
              <w:rPr>
                <w:sz w:val="18"/>
                <w:szCs w:val="18"/>
              </w:rPr>
            </w:pPr>
            <w:r w:rsidRPr="0093475A">
              <w:rPr>
                <w:b/>
                <w:bCs/>
                <w:sz w:val="18"/>
                <w:szCs w:val="18"/>
              </w:rPr>
              <w:t>Seis</w:t>
            </w:r>
          </w:p>
        </w:tc>
        <w:tc>
          <w:tcPr>
            <w:tcW w:w="947" w:type="dxa"/>
          </w:tcPr>
          <w:p w14:paraId="68667FFB" w14:textId="77777777" w:rsidR="00F76729" w:rsidRPr="00DE722B" w:rsidRDefault="00F76729" w:rsidP="00DE722B">
            <w:pPr>
              <w:spacing w:before="100" w:beforeAutospacing="1" w:after="100" w:afterAutospacing="1" w:line="240" w:lineRule="auto"/>
              <w:jc w:val="center"/>
              <w:rPr>
                <w:sz w:val="18"/>
                <w:szCs w:val="18"/>
              </w:rPr>
            </w:pPr>
            <w:r w:rsidRPr="0093475A">
              <w:rPr>
                <w:b/>
                <w:bCs/>
                <w:sz w:val="18"/>
                <w:szCs w:val="18"/>
              </w:rPr>
              <w:t>Siete</w:t>
            </w:r>
          </w:p>
        </w:tc>
        <w:tc>
          <w:tcPr>
            <w:tcW w:w="1953" w:type="dxa"/>
            <w:vMerge/>
          </w:tcPr>
          <w:p w14:paraId="3F489DFF" w14:textId="77777777" w:rsidR="00F76729" w:rsidRPr="00DE722B" w:rsidRDefault="00F76729" w:rsidP="00DE722B">
            <w:pPr>
              <w:spacing w:before="100" w:beforeAutospacing="1" w:after="100" w:afterAutospacing="1" w:line="240" w:lineRule="auto"/>
              <w:jc w:val="both"/>
              <w:rPr>
                <w:sz w:val="18"/>
                <w:szCs w:val="18"/>
              </w:rPr>
            </w:pPr>
          </w:p>
        </w:tc>
        <w:tc>
          <w:tcPr>
            <w:tcW w:w="1463" w:type="dxa"/>
          </w:tcPr>
          <w:p w14:paraId="5FE202FF" w14:textId="77777777" w:rsidR="00F76729" w:rsidRPr="00DE722B" w:rsidRDefault="00F76729" w:rsidP="00DE722B">
            <w:pPr>
              <w:spacing w:before="100" w:beforeAutospacing="1" w:after="100" w:afterAutospacing="1" w:line="240" w:lineRule="auto"/>
              <w:jc w:val="center"/>
              <w:rPr>
                <w:b/>
                <w:bCs/>
                <w:sz w:val="18"/>
                <w:szCs w:val="18"/>
              </w:rPr>
            </w:pPr>
            <w:r w:rsidRPr="00DE722B">
              <w:rPr>
                <w:b/>
                <w:bCs/>
                <w:sz w:val="18"/>
                <w:szCs w:val="18"/>
              </w:rPr>
              <w:t>Siete</w:t>
            </w:r>
          </w:p>
        </w:tc>
        <w:tc>
          <w:tcPr>
            <w:tcW w:w="947" w:type="dxa"/>
          </w:tcPr>
          <w:p w14:paraId="7C99D5C9" w14:textId="77777777" w:rsidR="00F76729" w:rsidRPr="00DE722B" w:rsidRDefault="00F76729" w:rsidP="00DE722B">
            <w:pPr>
              <w:spacing w:before="100" w:beforeAutospacing="1" w:after="100" w:afterAutospacing="1" w:line="240" w:lineRule="auto"/>
              <w:jc w:val="center"/>
              <w:rPr>
                <w:b/>
                <w:bCs/>
                <w:sz w:val="18"/>
                <w:szCs w:val="18"/>
              </w:rPr>
            </w:pPr>
            <w:r w:rsidRPr="00DE722B">
              <w:rPr>
                <w:b/>
                <w:bCs/>
                <w:sz w:val="18"/>
                <w:szCs w:val="18"/>
              </w:rPr>
              <w:t xml:space="preserve">Cinco </w:t>
            </w:r>
          </w:p>
        </w:tc>
      </w:tr>
    </w:tbl>
    <w:p w14:paraId="339F0E3B" w14:textId="701BE435" w:rsidR="00F76729" w:rsidRPr="00F76729" w:rsidRDefault="002207D9" w:rsidP="00F76729">
      <w:pPr>
        <w:spacing w:before="100" w:beforeAutospacing="1" w:after="100" w:afterAutospacing="1" w:line="360" w:lineRule="auto"/>
        <w:jc w:val="both"/>
        <w:rPr>
          <w:sz w:val="24"/>
          <w:szCs w:val="24"/>
        </w:rPr>
      </w:pPr>
      <w:r>
        <w:rPr>
          <w:sz w:val="24"/>
          <w:szCs w:val="24"/>
        </w:rPr>
        <w:t xml:space="preserve">El </w:t>
      </w:r>
      <w:r w:rsidRPr="002207D9">
        <w:rPr>
          <w:i/>
          <w:iCs/>
          <w:sz w:val="24"/>
          <w:szCs w:val="24"/>
        </w:rPr>
        <w:t>Tribunal</w:t>
      </w:r>
      <w:r>
        <w:rPr>
          <w:sz w:val="24"/>
          <w:szCs w:val="24"/>
        </w:rPr>
        <w:t xml:space="preserve"> </w:t>
      </w:r>
      <w:r w:rsidRPr="002207D9">
        <w:rPr>
          <w:i/>
          <w:iCs/>
          <w:sz w:val="24"/>
          <w:szCs w:val="24"/>
        </w:rPr>
        <w:t>local</w:t>
      </w:r>
      <w:r>
        <w:rPr>
          <w:sz w:val="24"/>
          <w:szCs w:val="24"/>
        </w:rPr>
        <w:t xml:space="preserve"> consideró que c</w:t>
      </w:r>
      <w:r w:rsidR="00F76729" w:rsidRPr="00F76729">
        <w:rPr>
          <w:sz w:val="24"/>
          <w:szCs w:val="24"/>
        </w:rPr>
        <w:t xml:space="preserve">ontrario a lo señalado por el </w:t>
      </w:r>
      <w:r w:rsidR="00F76729" w:rsidRPr="0093475A">
        <w:rPr>
          <w:i/>
          <w:iCs/>
          <w:sz w:val="24"/>
          <w:szCs w:val="24"/>
        </w:rPr>
        <w:t>PAN</w:t>
      </w:r>
      <w:r w:rsidR="00F76729" w:rsidRPr="00F76729">
        <w:rPr>
          <w:sz w:val="24"/>
          <w:szCs w:val="24"/>
        </w:rPr>
        <w:t>, en la postulación al ayuntamiento de Comonfort materia de la controversia, se realizó un cambio en la planilla que era encabezada por un hombre para ahora ser encabezada por una mujer, por lo que se cumplió con la paridad de género.</w:t>
      </w:r>
    </w:p>
    <w:p w14:paraId="77F1AE78" w14:textId="5BBCC72A" w:rsidR="00F76729" w:rsidRPr="00F76729" w:rsidRDefault="0093475A" w:rsidP="00F76729">
      <w:pPr>
        <w:spacing w:before="100" w:beforeAutospacing="1" w:after="100" w:afterAutospacing="1" w:line="360" w:lineRule="auto"/>
        <w:jc w:val="both"/>
        <w:rPr>
          <w:sz w:val="24"/>
          <w:szCs w:val="24"/>
        </w:rPr>
      </w:pPr>
      <w:r>
        <w:rPr>
          <w:sz w:val="24"/>
          <w:szCs w:val="24"/>
        </w:rPr>
        <w:t>Por otra parte, d</w:t>
      </w:r>
      <w:r w:rsidR="00F76729" w:rsidRPr="00F76729">
        <w:rPr>
          <w:sz w:val="24"/>
          <w:szCs w:val="24"/>
        </w:rPr>
        <w:t xml:space="preserve">erivado de la sentencia dictada en el recurso de revisión identificado con la clave TEEG-REV-18/2021 en la que se determinó revocar </w:t>
      </w:r>
      <w:r w:rsidR="00F76729" w:rsidRPr="00F76729">
        <w:rPr>
          <w:sz w:val="24"/>
          <w:szCs w:val="24"/>
        </w:rPr>
        <w:lastRenderedPageBreak/>
        <w:t xml:space="preserve">el acuerdo CGIEEG/104/2021 que originalmente había negado el registro de algunas planillas de Morena, se dio </w:t>
      </w:r>
      <w:r w:rsidR="00FE77C5">
        <w:rPr>
          <w:sz w:val="24"/>
          <w:szCs w:val="24"/>
        </w:rPr>
        <w:t xml:space="preserve">al partido </w:t>
      </w:r>
      <w:r w:rsidR="00F76729" w:rsidRPr="00F76729">
        <w:rPr>
          <w:sz w:val="24"/>
          <w:szCs w:val="24"/>
        </w:rPr>
        <w:t>la oportunidad de que subsanara algunas irregularidades</w:t>
      </w:r>
      <w:r w:rsidR="002207D9">
        <w:rPr>
          <w:sz w:val="24"/>
          <w:szCs w:val="24"/>
        </w:rPr>
        <w:t>, así</w:t>
      </w:r>
      <w:r w:rsidR="00F76729" w:rsidRPr="00F76729">
        <w:rPr>
          <w:sz w:val="24"/>
          <w:szCs w:val="24"/>
        </w:rPr>
        <w:t xml:space="preserve"> mediante acuerdo CGIEEG/153/2021 se concedió el registro a</w:t>
      </w:r>
      <w:r w:rsidR="00FE77C5">
        <w:rPr>
          <w:sz w:val="24"/>
          <w:szCs w:val="24"/>
        </w:rPr>
        <w:t xml:space="preserve"> las planillas postuladas por </w:t>
      </w:r>
      <w:r w:rsidR="00F76729" w:rsidRPr="00F76729">
        <w:rPr>
          <w:sz w:val="24"/>
          <w:szCs w:val="24"/>
        </w:rPr>
        <w:t xml:space="preserve">Morena para contender en los municipios de Apaseo el Grande, Celaya, </w:t>
      </w:r>
      <w:proofErr w:type="spellStart"/>
      <w:r w:rsidR="00F76729" w:rsidRPr="00F76729">
        <w:rPr>
          <w:sz w:val="24"/>
          <w:szCs w:val="24"/>
        </w:rPr>
        <w:t>Cortazar</w:t>
      </w:r>
      <w:proofErr w:type="spellEnd"/>
      <w:r w:rsidR="00F76729" w:rsidRPr="00F76729">
        <w:rPr>
          <w:sz w:val="24"/>
          <w:szCs w:val="24"/>
        </w:rPr>
        <w:t>, Cuerámaro, Dolores Hidalgo C.I.N., Guanajuato, Moroleón, Pueblo Nuevo, Salamanca y Tarimoro; quedando la integración del bloque alto de participación de la siguiente forma.</w:t>
      </w:r>
    </w:p>
    <w:tbl>
      <w:tblPr>
        <w:tblStyle w:val="Tablaconcuadrcula6"/>
        <w:tblW w:w="0" w:type="auto"/>
        <w:tblLook w:val="04A0" w:firstRow="1" w:lastRow="0" w:firstColumn="1" w:lastColumn="0" w:noHBand="0" w:noVBand="1"/>
      </w:tblPr>
      <w:tblGrid>
        <w:gridCol w:w="4062"/>
        <w:gridCol w:w="2170"/>
        <w:gridCol w:w="2031"/>
      </w:tblGrid>
      <w:tr w:rsidR="00F76729" w:rsidRPr="00F76729" w14:paraId="78F7C719" w14:textId="77777777" w:rsidTr="00FE77C5">
        <w:trPr>
          <w:tblHeader/>
        </w:trPr>
        <w:tc>
          <w:tcPr>
            <w:tcW w:w="8828" w:type="dxa"/>
            <w:gridSpan w:val="3"/>
            <w:shd w:val="clear" w:color="auto" w:fill="A6A6A6" w:themeFill="background1" w:themeFillShade="A6"/>
          </w:tcPr>
          <w:p w14:paraId="0DBF24E9" w14:textId="77777777" w:rsidR="00F76729" w:rsidRPr="00F76729" w:rsidRDefault="00F76729" w:rsidP="00F76729">
            <w:pPr>
              <w:spacing w:before="100" w:beforeAutospacing="1" w:after="100" w:afterAutospacing="1" w:line="360" w:lineRule="auto"/>
              <w:jc w:val="center"/>
              <w:rPr>
                <w:sz w:val="24"/>
                <w:szCs w:val="24"/>
                <w:u w:val="single"/>
              </w:rPr>
            </w:pPr>
            <w:r w:rsidRPr="00F76729">
              <w:rPr>
                <w:b/>
                <w:bCs/>
                <w:sz w:val="22"/>
                <w:szCs w:val="22"/>
              </w:rPr>
              <w:t>BLOQUE DE PORCENTAJE ALTO DE VOTACIÓN</w:t>
            </w:r>
          </w:p>
        </w:tc>
      </w:tr>
      <w:tr w:rsidR="00F76729" w:rsidRPr="00F76729" w14:paraId="4BF51BC0" w14:textId="77777777" w:rsidTr="00FE77C5">
        <w:trPr>
          <w:tblHeader/>
        </w:trPr>
        <w:tc>
          <w:tcPr>
            <w:tcW w:w="8828" w:type="dxa"/>
            <w:gridSpan w:val="3"/>
          </w:tcPr>
          <w:p w14:paraId="549DFCB9" w14:textId="77777777" w:rsidR="00F76729" w:rsidRPr="00F76729" w:rsidRDefault="00F76729" w:rsidP="00F76729">
            <w:pPr>
              <w:spacing w:before="100" w:beforeAutospacing="1" w:after="100" w:afterAutospacing="1" w:line="360" w:lineRule="auto"/>
              <w:jc w:val="center"/>
              <w:rPr>
                <w:sz w:val="24"/>
                <w:szCs w:val="24"/>
                <w:u w:val="single"/>
              </w:rPr>
            </w:pPr>
            <w:r w:rsidRPr="00F76729">
              <w:rPr>
                <w:sz w:val="24"/>
                <w:szCs w:val="24"/>
              </w:rPr>
              <w:t>Acuerdo CGIEEG/153/2021</w:t>
            </w:r>
          </w:p>
        </w:tc>
      </w:tr>
      <w:tr w:rsidR="00F76729" w:rsidRPr="00F76729" w14:paraId="67FE6DE9" w14:textId="77777777" w:rsidTr="00F76729">
        <w:tc>
          <w:tcPr>
            <w:tcW w:w="4414" w:type="dxa"/>
          </w:tcPr>
          <w:p w14:paraId="153666B9"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MUNICIPIO</w:t>
            </w:r>
          </w:p>
        </w:tc>
        <w:tc>
          <w:tcPr>
            <w:tcW w:w="4414" w:type="dxa"/>
            <w:gridSpan w:val="2"/>
          </w:tcPr>
          <w:p w14:paraId="630F961B"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GÉNERO</w:t>
            </w:r>
          </w:p>
        </w:tc>
      </w:tr>
      <w:tr w:rsidR="00F76729" w:rsidRPr="00F76729" w14:paraId="49A7C99F" w14:textId="77777777" w:rsidTr="00F76729">
        <w:tc>
          <w:tcPr>
            <w:tcW w:w="4414" w:type="dxa"/>
          </w:tcPr>
          <w:p w14:paraId="26CB7743"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APASEO EL ALTO</w:t>
            </w:r>
          </w:p>
        </w:tc>
        <w:tc>
          <w:tcPr>
            <w:tcW w:w="4414" w:type="dxa"/>
            <w:gridSpan w:val="2"/>
          </w:tcPr>
          <w:p w14:paraId="66AB033B"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w:t>
            </w:r>
          </w:p>
        </w:tc>
      </w:tr>
      <w:tr w:rsidR="00F76729" w:rsidRPr="00F76729" w14:paraId="6FFA789D" w14:textId="77777777" w:rsidTr="00F76729">
        <w:tc>
          <w:tcPr>
            <w:tcW w:w="4414" w:type="dxa"/>
          </w:tcPr>
          <w:p w14:paraId="44EEB4C6"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COMONFORT</w:t>
            </w:r>
          </w:p>
        </w:tc>
        <w:tc>
          <w:tcPr>
            <w:tcW w:w="4414" w:type="dxa"/>
            <w:gridSpan w:val="2"/>
          </w:tcPr>
          <w:p w14:paraId="1499EBDF"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w:t>
            </w:r>
          </w:p>
        </w:tc>
      </w:tr>
      <w:tr w:rsidR="00F76729" w:rsidRPr="00F76729" w14:paraId="2BC4D9CF" w14:textId="77777777" w:rsidTr="00F76729">
        <w:tc>
          <w:tcPr>
            <w:tcW w:w="4414" w:type="dxa"/>
          </w:tcPr>
          <w:p w14:paraId="76F21E7C"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ABASOLO</w:t>
            </w:r>
          </w:p>
        </w:tc>
        <w:tc>
          <w:tcPr>
            <w:tcW w:w="4414" w:type="dxa"/>
            <w:gridSpan w:val="2"/>
          </w:tcPr>
          <w:p w14:paraId="41887A33"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w:t>
            </w:r>
          </w:p>
        </w:tc>
      </w:tr>
      <w:tr w:rsidR="00F76729" w:rsidRPr="00F76729" w14:paraId="38D836FC" w14:textId="77777777" w:rsidTr="00F76729">
        <w:tc>
          <w:tcPr>
            <w:tcW w:w="4414" w:type="dxa"/>
          </w:tcPr>
          <w:p w14:paraId="39E4A787"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PÉNJAMO</w:t>
            </w:r>
          </w:p>
        </w:tc>
        <w:tc>
          <w:tcPr>
            <w:tcW w:w="4414" w:type="dxa"/>
            <w:gridSpan w:val="2"/>
          </w:tcPr>
          <w:p w14:paraId="13FBAAE8"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HOMBRE</w:t>
            </w:r>
          </w:p>
        </w:tc>
      </w:tr>
      <w:tr w:rsidR="00F76729" w:rsidRPr="00F76729" w14:paraId="186454E4" w14:textId="77777777" w:rsidTr="00F76729">
        <w:tc>
          <w:tcPr>
            <w:tcW w:w="4414" w:type="dxa"/>
          </w:tcPr>
          <w:p w14:paraId="59C23DEF"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ACÁMBARO</w:t>
            </w:r>
          </w:p>
        </w:tc>
        <w:tc>
          <w:tcPr>
            <w:tcW w:w="4414" w:type="dxa"/>
            <w:gridSpan w:val="2"/>
          </w:tcPr>
          <w:p w14:paraId="0BCED23E"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HOMBRE</w:t>
            </w:r>
          </w:p>
        </w:tc>
      </w:tr>
      <w:tr w:rsidR="00F76729" w:rsidRPr="00F76729" w14:paraId="37A8867A" w14:textId="77777777" w:rsidTr="00F76729">
        <w:tc>
          <w:tcPr>
            <w:tcW w:w="4414" w:type="dxa"/>
          </w:tcPr>
          <w:p w14:paraId="5C19636D" w14:textId="77777777" w:rsidR="00F76729" w:rsidRPr="00F76729" w:rsidRDefault="00F76729" w:rsidP="00F76729">
            <w:pPr>
              <w:spacing w:before="100" w:beforeAutospacing="1" w:after="100" w:afterAutospacing="1" w:line="360" w:lineRule="auto"/>
              <w:jc w:val="both"/>
              <w:rPr>
                <w:sz w:val="22"/>
                <w:szCs w:val="22"/>
              </w:rPr>
            </w:pPr>
            <w:r w:rsidRPr="00F76729">
              <w:rPr>
                <w:sz w:val="22"/>
                <w:szCs w:val="22"/>
              </w:rPr>
              <w:t>SALAMANCA</w:t>
            </w:r>
          </w:p>
        </w:tc>
        <w:tc>
          <w:tcPr>
            <w:tcW w:w="4414" w:type="dxa"/>
            <w:gridSpan w:val="2"/>
          </w:tcPr>
          <w:p w14:paraId="55083A11"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HOMBRE</w:t>
            </w:r>
          </w:p>
        </w:tc>
      </w:tr>
      <w:tr w:rsidR="00F76729" w:rsidRPr="00F76729" w14:paraId="220F2AD0" w14:textId="77777777" w:rsidTr="00F76729">
        <w:tc>
          <w:tcPr>
            <w:tcW w:w="4414" w:type="dxa"/>
          </w:tcPr>
          <w:p w14:paraId="573BCA2A"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SILAO DE LA VICTORIA</w:t>
            </w:r>
          </w:p>
        </w:tc>
        <w:tc>
          <w:tcPr>
            <w:tcW w:w="4414" w:type="dxa"/>
            <w:gridSpan w:val="2"/>
          </w:tcPr>
          <w:p w14:paraId="2BC790EA"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HOMBRE</w:t>
            </w:r>
          </w:p>
        </w:tc>
      </w:tr>
      <w:tr w:rsidR="00F76729" w:rsidRPr="00F76729" w14:paraId="5182DE72" w14:textId="77777777" w:rsidTr="00F76729">
        <w:tc>
          <w:tcPr>
            <w:tcW w:w="4414" w:type="dxa"/>
          </w:tcPr>
          <w:p w14:paraId="3AEA442E"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SAN JOSÉ ITURBIDE</w:t>
            </w:r>
          </w:p>
        </w:tc>
        <w:tc>
          <w:tcPr>
            <w:tcW w:w="4414" w:type="dxa"/>
            <w:gridSpan w:val="2"/>
          </w:tcPr>
          <w:p w14:paraId="484671A7"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w:t>
            </w:r>
          </w:p>
        </w:tc>
      </w:tr>
      <w:tr w:rsidR="00F76729" w:rsidRPr="00F76729" w14:paraId="7A847661" w14:textId="77777777" w:rsidTr="00F76729">
        <w:tc>
          <w:tcPr>
            <w:tcW w:w="4414" w:type="dxa"/>
          </w:tcPr>
          <w:p w14:paraId="249C9FE5"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SAN MIGUEL DE ALLENDE</w:t>
            </w:r>
          </w:p>
        </w:tc>
        <w:tc>
          <w:tcPr>
            <w:tcW w:w="4414" w:type="dxa"/>
            <w:gridSpan w:val="2"/>
          </w:tcPr>
          <w:p w14:paraId="27AEDDEC"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HOMBRE</w:t>
            </w:r>
          </w:p>
        </w:tc>
      </w:tr>
      <w:tr w:rsidR="00F76729" w:rsidRPr="00F76729" w14:paraId="5BDABAA3" w14:textId="77777777" w:rsidTr="00F76729">
        <w:tc>
          <w:tcPr>
            <w:tcW w:w="4414" w:type="dxa"/>
          </w:tcPr>
          <w:p w14:paraId="46BE6AAA" w14:textId="77777777" w:rsidR="00F76729" w:rsidRPr="00F76729" w:rsidRDefault="00F76729" w:rsidP="00F76729">
            <w:pPr>
              <w:spacing w:before="100" w:beforeAutospacing="1" w:after="100" w:afterAutospacing="1" w:line="360" w:lineRule="auto"/>
              <w:jc w:val="both"/>
              <w:rPr>
                <w:sz w:val="22"/>
                <w:szCs w:val="22"/>
              </w:rPr>
            </w:pPr>
            <w:r w:rsidRPr="00F76729">
              <w:rPr>
                <w:sz w:val="22"/>
                <w:szCs w:val="22"/>
              </w:rPr>
              <w:t>IRAPUATO</w:t>
            </w:r>
          </w:p>
        </w:tc>
        <w:tc>
          <w:tcPr>
            <w:tcW w:w="4414" w:type="dxa"/>
            <w:gridSpan w:val="2"/>
          </w:tcPr>
          <w:p w14:paraId="120EC651"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HOMBRE</w:t>
            </w:r>
          </w:p>
        </w:tc>
      </w:tr>
      <w:tr w:rsidR="00F76729" w:rsidRPr="00F76729" w14:paraId="65D5A055" w14:textId="77777777" w:rsidTr="00F76729">
        <w:tc>
          <w:tcPr>
            <w:tcW w:w="4414" w:type="dxa"/>
          </w:tcPr>
          <w:p w14:paraId="7136D54E" w14:textId="77777777" w:rsidR="00F76729" w:rsidRPr="00F76729" w:rsidRDefault="00F76729" w:rsidP="00F76729">
            <w:pPr>
              <w:spacing w:before="100" w:beforeAutospacing="1" w:after="100" w:afterAutospacing="1" w:line="360" w:lineRule="auto"/>
              <w:jc w:val="both"/>
              <w:rPr>
                <w:sz w:val="22"/>
                <w:szCs w:val="22"/>
              </w:rPr>
            </w:pPr>
            <w:r w:rsidRPr="00F76729">
              <w:rPr>
                <w:sz w:val="22"/>
                <w:szCs w:val="22"/>
              </w:rPr>
              <w:t xml:space="preserve">GUANAJUATO </w:t>
            </w:r>
          </w:p>
        </w:tc>
        <w:tc>
          <w:tcPr>
            <w:tcW w:w="4414" w:type="dxa"/>
            <w:gridSpan w:val="2"/>
          </w:tcPr>
          <w:p w14:paraId="5FA20639"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w:t>
            </w:r>
          </w:p>
        </w:tc>
      </w:tr>
      <w:tr w:rsidR="00F76729" w:rsidRPr="00F76729" w14:paraId="66141DA4" w14:textId="77777777" w:rsidTr="00F76729">
        <w:tc>
          <w:tcPr>
            <w:tcW w:w="4414" w:type="dxa"/>
          </w:tcPr>
          <w:p w14:paraId="4F74BEBC" w14:textId="77777777" w:rsidR="00F76729" w:rsidRPr="00F76729" w:rsidRDefault="00F76729" w:rsidP="00F76729">
            <w:pPr>
              <w:spacing w:before="100" w:beforeAutospacing="1" w:after="100" w:afterAutospacing="1" w:line="360" w:lineRule="auto"/>
              <w:jc w:val="both"/>
              <w:rPr>
                <w:sz w:val="22"/>
                <w:szCs w:val="22"/>
              </w:rPr>
            </w:pPr>
            <w:r w:rsidRPr="00F76729">
              <w:rPr>
                <w:sz w:val="22"/>
                <w:szCs w:val="22"/>
              </w:rPr>
              <w:t>CELAYA</w:t>
            </w:r>
          </w:p>
        </w:tc>
        <w:tc>
          <w:tcPr>
            <w:tcW w:w="4414" w:type="dxa"/>
            <w:gridSpan w:val="2"/>
          </w:tcPr>
          <w:p w14:paraId="4CC614AD"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w:t>
            </w:r>
          </w:p>
        </w:tc>
      </w:tr>
      <w:tr w:rsidR="00F76729" w:rsidRPr="00F76729" w14:paraId="4E663456" w14:textId="77777777" w:rsidTr="00F76729">
        <w:tc>
          <w:tcPr>
            <w:tcW w:w="4414" w:type="dxa"/>
          </w:tcPr>
          <w:p w14:paraId="2CC212E4"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SALVATIERRA</w:t>
            </w:r>
          </w:p>
        </w:tc>
        <w:tc>
          <w:tcPr>
            <w:tcW w:w="4414" w:type="dxa"/>
            <w:gridSpan w:val="2"/>
          </w:tcPr>
          <w:p w14:paraId="2C5B8767"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w:t>
            </w:r>
          </w:p>
        </w:tc>
      </w:tr>
      <w:tr w:rsidR="00F76729" w:rsidRPr="00F76729" w14:paraId="5D68FA82" w14:textId="77777777" w:rsidTr="00F76729">
        <w:tc>
          <w:tcPr>
            <w:tcW w:w="4414" w:type="dxa"/>
          </w:tcPr>
          <w:p w14:paraId="41F2B0BE"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SAN LUIS DE LA PAZ</w:t>
            </w:r>
          </w:p>
        </w:tc>
        <w:tc>
          <w:tcPr>
            <w:tcW w:w="4414" w:type="dxa"/>
            <w:gridSpan w:val="2"/>
          </w:tcPr>
          <w:p w14:paraId="16733946"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w:t>
            </w:r>
          </w:p>
        </w:tc>
      </w:tr>
      <w:tr w:rsidR="00F76729" w:rsidRPr="00F76729" w14:paraId="060920E5" w14:textId="77777777" w:rsidTr="00F76729">
        <w:tc>
          <w:tcPr>
            <w:tcW w:w="4414" w:type="dxa"/>
          </w:tcPr>
          <w:p w14:paraId="1F5F4364" w14:textId="77777777" w:rsidR="00F76729" w:rsidRPr="00F76729" w:rsidRDefault="00F76729" w:rsidP="00F76729">
            <w:pPr>
              <w:spacing w:before="100" w:beforeAutospacing="1" w:after="100" w:afterAutospacing="1" w:line="360" w:lineRule="auto"/>
              <w:jc w:val="both"/>
              <w:rPr>
                <w:sz w:val="24"/>
                <w:szCs w:val="24"/>
              </w:rPr>
            </w:pPr>
            <w:r w:rsidRPr="00F76729">
              <w:rPr>
                <w:sz w:val="22"/>
                <w:szCs w:val="22"/>
              </w:rPr>
              <w:t>SANTA CRUZ DE JUVENTINO ROSAS</w:t>
            </w:r>
          </w:p>
        </w:tc>
        <w:tc>
          <w:tcPr>
            <w:tcW w:w="4414" w:type="dxa"/>
            <w:gridSpan w:val="2"/>
          </w:tcPr>
          <w:p w14:paraId="24A917F7"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w:t>
            </w:r>
          </w:p>
        </w:tc>
      </w:tr>
      <w:tr w:rsidR="00F76729" w:rsidRPr="00F76729" w14:paraId="2054634B" w14:textId="77777777" w:rsidTr="00F76729">
        <w:tc>
          <w:tcPr>
            <w:tcW w:w="4414" w:type="dxa"/>
            <w:vMerge w:val="restart"/>
            <w:vAlign w:val="center"/>
          </w:tcPr>
          <w:p w14:paraId="273FB394" w14:textId="77777777" w:rsidR="00F76729" w:rsidRPr="00F76729" w:rsidRDefault="00F76729" w:rsidP="00F76729">
            <w:pPr>
              <w:spacing w:before="100" w:beforeAutospacing="1" w:after="100" w:afterAutospacing="1" w:line="360" w:lineRule="auto"/>
              <w:jc w:val="center"/>
              <w:rPr>
                <w:b/>
                <w:bCs/>
                <w:sz w:val="22"/>
                <w:szCs w:val="22"/>
              </w:rPr>
            </w:pPr>
            <w:r w:rsidRPr="00F76729">
              <w:rPr>
                <w:b/>
                <w:bCs/>
                <w:sz w:val="22"/>
                <w:szCs w:val="22"/>
              </w:rPr>
              <w:t>TOTAL</w:t>
            </w:r>
          </w:p>
        </w:tc>
        <w:tc>
          <w:tcPr>
            <w:tcW w:w="2292" w:type="dxa"/>
          </w:tcPr>
          <w:p w14:paraId="51D90C0E"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MUJERES</w:t>
            </w:r>
          </w:p>
        </w:tc>
        <w:tc>
          <w:tcPr>
            <w:tcW w:w="2122" w:type="dxa"/>
          </w:tcPr>
          <w:p w14:paraId="0EB06661" w14:textId="77777777" w:rsidR="00F76729" w:rsidRPr="00F76729" w:rsidRDefault="00F76729" w:rsidP="00F76729">
            <w:pPr>
              <w:spacing w:before="100" w:beforeAutospacing="1" w:after="100" w:afterAutospacing="1" w:line="360" w:lineRule="auto"/>
              <w:jc w:val="center"/>
              <w:rPr>
                <w:sz w:val="24"/>
                <w:szCs w:val="24"/>
              </w:rPr>
            </w:pPr>
            <w:r w:rsidRPr="00F76729">
              <w:rPr>
                <w:sz w:val="24"/>
                <w:szCs w:val="24"/>
              </w:rPr>
              <w:t>HOMBRES</w:t>
            </w:r>
          </w:p>
        </w:tc>
      </w:tr>
      <w:tr w:rsidR="00F76729" w:rsidRPr="00F76729" w14:paraId="47A8E021" w14:textId="77777777" w:rsidTr="00F76729">
        <w:tc>
          <w:tcPr>
            <w:tcW w:w="4414" w:type="dxa"/>
            <w:vMerge/>
          </w:tcPr>
          <w:p w14:paraId="6071F5BB" w14:textId="77777777" w:rsidR="00F76729" w:rsidRPr="00F76729" w:rsidRDefault="00F76729" w:rsidP="00F76729">
            <w:pPr>
              <w:spacing w:before="100" w:beforeAutospacing="1" w:after="100" w:afterAutospacing="1" w:line="360" w:lineRule="auto"/>
              <w:jc w:val="both"/>
              <w:rPr>
                <w:sz w:val="22"/>
                <w:szCs w:val="22"/>
              </w:rPr>
            </w:pPr>
          </w:p>
        </w:tc>
        <w:tc>
          <w:tcPr>
            <w:tcW w:w="2292" w:type="dxa"/>
          </w:tcPr>
          <w:p w14:paraId="0EECFDB3" w14:textId="77777777" w:rsidR="00F76729" w:rsidRPr="00F76729" w:rsidRDefault="00F76729" w:rsidP="00F76729">
            <w:pPr>
              <w:spacing w:before="100" w:beforeAutospacing="1" w:after="100" w:afterAutospacing="1" w:line="360" w:lineRule="auto"/>
              <w:jc w:val="center"/>
              <w:rPr>
                <w:b/>
                <w:bCs/>
                <w:sz w:val="24"/>
                <w:szCs w:val="24"/>
              </w:rPr>
            </w:pPr>
            <w:r w:rsidRPr="00F76729">
              <w:rPr>
                <w:b/>
                <w:bCs/>
                <w:sz w:val="24"/>
                <w:szCs w:val="24"/>
              </w:rPr>
              <w:t>Nueve</w:t>
            </w:r>
          </w:p>
        </w:tc>
        <w:tc>
          <w:tcPr>
            <w:tcW w:w="2122" w:type="dxa"/>
          </w:tcPr>
          <w:p w14:paraId="34CD6BAF" w14:textId="77777777" w:rsidR="00F76729" w:rsidRPr="00F76729" w:rsidRDefault="00F76729" w:rsidP="00F76729">
            <w:pPr>
              <w:spacing w:before="100" w:beforeAutospacing="1" w:after="100" w:afterAutospacing="1" w:line="360" w:lineRule="auto"/>
              <w:jc w:val="center"/>
              <w:rPr>
                <w:b/>
                <w:bCs/>
                <w:sz w:val="24"/>
                <w:szCs w:val="24"/>
              </w:rPr>
            </w:pPr>
            <w:r w:rsidRPr="00F76729">
              <w:rPr>
                <w:b/>
                <w:bCs/>
                <w:sz w:val="24"/>
                <w:szCs w:val="24"/>
              </w:rPr>
              <w:t>Seis</w:t>
            </w:r>
          </w:p>
        </w:tc>
      </w:tr>
    </w:tbl>
    <w:p w14:paraId="34AB3DBC" w14:textId="27913A63" w:rsidR="00F76729" w:rsidRPr="00F76729" w:rsidRDefault="00F76729" w:rsidP="00F76729">
      <w:pPr>
        <w:spacing w:before="100" w:beforeAutospacing="1" w:after="100" w:afterAutospacing="1" w:line="360" w:lineRule="auto"/>
        <w:jc w:val="both"/>
        <w:rPr>
          <w:sz w:val="24"/>
          <w:szCs w:val="24"/>
        </w:rPr>
      </w:pPr>
      <w:r w:rsidRPr="00F76729">
        <w:rPr>
          <w:sz w:val="24"/>
          <w:szCs w:val="24"/>
        </w:rPr>
        <w:t>Derivado de la renuncia presentada por las candidatas a la presidencia municipal y primera regiduría propietaria y suplente de la planilla propuesta para el ayuntamiento de Comonfort es que se realizó la sustitución por los candidatos</w:t>
      </w:r>
      <w:r w:rsidR="005A635A">
        <w:rPr>
          <w:sz w:val="24"/>
          <w:szCs w:val="24"/>
        </w:rPr>
        <w:t>, mismos</w:t>
      </w:r>
      <w:r w:rsidRPr="00F76729">
        <w:rPr>
          <w:sz w:val="24"/>
          <w:szCs w:val="24"/>
        </w:rPr>
        <w:t xml:space="preserve"> que originalmente habían sido propuestos </w:t>
      </w:r>
      <w:r w:rsidR="005A635A">
        <w:rPr>
          <w:sz w:val="24"/>
          <w:szCs w:val="24"/>
        </w:rPr>
        <w:t xml:space="preserve">y considerados procedentes </w:t>
      </w:r>
      <w:r w:rsidRPr="00F76729">
        <w:rPr>
          <w:sz w:val="24"/>
          <w:szCs w:val="24"/>
        </w:rPr>
        <w:t xml:space="preserve">en el acuerdo CGIEEG/104/2021 por lo que se emitió el acuerdo </w:t>
      </w:r>
      <w:r w:rsidRPr="00F76729">
        <w:rPr>
          <w:b/>
          <w:bCs/>
          <w:sz w:val="24"/>
          <w:szCs w:val="24"/>
        </w:rPr>
        <w:t>CGIEEG/163/2021</w:t>
      </w:r>
      <w:r w:rsidRPr="00F76729">
        <w:rPr>
          <w:sz w:val="24"/>
          <w:szCs w:val="24"/>
        </w:rPr>
        <w:t xml:space="preserve"> autorizando la sustitución y en consecuencia la composición del bloque de participación alto qued</w:t>
      </w:r>
      <w:r w:rsidR="003F32A3">
        <w:rPr>
          <w:sz w:val="24"/>
          <w:szCs w:val="24"/>
        </w:rPr>
        <w:t>ó</w:t>
      </w:r>
      <w:r w:rsidRPr="00F76729">
        <w:rPr>
          <w:sz w:val="24"/>
          <w:szCs w:val="24"/>
        </w:rPr>
        <w:t xml:space="preserve"> integrado finalmente por ocho mujeres y siete hombres, por lo que al ser acorde con lo dispuesto por el artículo 10 de los </w:t>
      </w:r>
      <w:r w:rsidRPr="00F76729">
        <w:rPr>
          <w:i/>
          <w:iCs/>
          <w:sz w:val="24"/>
          <w:szCs w:val="24"/>
        </w:rPr>
        <w:t>lineamientos de paridad</w:t>
      </w:r>
      <w:r w:rsidRPr="00F76729">
        <w:rPr>
          <w:sz w:val="24"/>
          <w:szCs w:val="24"/>
        </w:rPr>
        <w:t xml:space="preserve"> en el sentido de que en este bloque los partidos deben postular más mujeres que hombres es que </w:t>
      </w:r>
      <w:r w:rsidR="005A635A">
        <w:rPr>
          <w:sz w:val="24"/>
          <w:szCs w:val="24"/>
        </w:rPr>
        <w:t xml:space="preserve">el </w:t>
      </w:r>
      <w:r w:rsidR="005A635A" w:rsidRPr="005A635A">
        <w:rPr>
          <w:i/>
          <w:iCs/>
          <w:sz w:val="24"/>
          <w:szCs w:val="24"/>
        </w:rPr>
        <w:t>Tribunal local</w:t>
      </w:r>
      <w:r w:rsidR="005A635A">
        <w:rPr>
          <w:sz w:val="24"/>
          <w:szCs w:val="24"/>
        </w:rPr>
        <w:t xml:space="preserve"> </w:t>
      </w:r>
      <w:r w:rsidRPr="00F76729">
        <w:rPr>
          <w:sz w:val="24"/>
          <w:szCs w:val="24"/>
        </w:rPr>
        <w:t>consideró infundado el agravio.</w:t>
      </w:r>
    </w:p>
    <w:p w14:paraId="286C36C8" w14:textId="5EDE9A18" w:rsidR="00F76729" w:rsidRPr="00F76729" w:rsidRDefault="00F76729" w:rsidP="00F76729">
      <w:pPr>
        <w:spacing w:before="100" w:beforeAutospacing="1" w:after="100" w:afterAutospacing="1" w:line="360" w:lineRule="auto"/>
        <w:jc w:val="both"/>
        <w:rPr>
          <w:sz w:val="24"/>
          <w:szCs w:val="24"/>
        </w:rPr>
      </w:pPr>
      <w:r w:rsidRPr="00F76729">
        <w:rPr>
          <w:sz w:val="24"/>
          <w:szCs w:val="24"/>
        </w:rPr>
        <w:lastRenderedPageBreak/>
        <w:t xml:space="preserve">Respecto al agravio en el que </w:t>
      </w:r>
      <w:r w:rsidR="005A635A">
        <w:rPr>
          <w:sz w:val="24"/>
          <w:szCs w:val="24"/>
        </w:rPr>
        <w:t xml:space="preserve">el </w:t>
      </w:r>
      <w:r w:rsidR="005A635A" w:rsidRPr="005A635A">
        <w:rPr>
          <w:i/>
          <w:iCs/>
          <w:sz w:val="24"/>
          <w:szCs w:val="24"/>
        </w:rPr>
        <w:t>PAN</w:t>
      </w:r>
      <w:r w:rsidR="005A635A">
        <w:rPr>
          <w:sz w:val="24"/>
          <w:szCs w:val="24"/>
        </w:rPr>
        <w:t xml:space="preserve"> </w:t>
      </w:r>
      <w:r w:rsidRPr="00F76729">
        <w:rPr>
          <w:sz w:val="24"/>
          <w:szCs w:val="24"/>
        </w:rPr>
        <w:t xml:space="preserve">aduce que el </w:t>
      </w:r>
      <w:r w:rsidRPr="005A635A">
        <w:rPr>
          <w:i/>
          <w:iCs/>
          <w:sz w:val="24"/>
          <w:szCs w:val="24"/>
        </w:rPr>
        <w:t>Instituto</w:t>
      </w:r>
      <w:r w:rsidRPr="00F76729">
        <w:rPr>
          <w:sz w:val="24"/>
          <w:szCs w:val="24"/>
        </w:rPr>
        <w:t xml:space="preserve"> </w:t>
      </w:r>
      <w:r w:rsidRPr="005A635A">
        <w:rPr>
          <w:i/>
          <w:iCs/>
          <w:sz w:val="24"/>
          <w:szCs w:val="24"/>
        </w:rPr>
        <w:t>local</w:t>
      </w:r>
      <w:r w:rsidRPr="00F76729">
        <w:rPr>
          <w:sz w:val="24"/>
          <w:szCs w:val="24"/>
        </w:rPr>
        <w:t xml:space="preserve"> desprotegió a las mujeres al autorizar su sustitución por hombres</w:t>
      </w:r>
      <w:r w:rsidR="003F32A3">
        <w:rPr>
          <w:sz w:val="24"/>
          <w:szCs w:val="24"/>
        </w:rPr>
        <w:t>,</w:t>
      </w:r>
      <w:r w:rsidRPr="00F76729">
        <w:rPr>
          <w:sz w:val="24"/>
          <w:szCs w:val="24"/>
        </w:rPr>
        <w:t xml:space="preserve"> existiendo una posible presión ejercida para conseguir su renuncia citando el caso de “las Juanitas” y señalando un presunta violencia política en razón de género, se consideró infundado ya que se requirió a las candidatas a comparecer ante el instituto a efecto de ratificar su renuncia, para lo cual se levant</w:t>
      </w:r>
      <w:r w:rsidR="00FE77C5">
        <w:rPr>
          <w:sz w:val="24"/>
          <w:szCs w:val="24"/>
        </w:rPr>
        <w:t xml:space="preserve">ó </w:t>
      </w:r>
      <w:r w:rsidRPr="00F76729">
        <w:rPr>
          <w:sz w:val="24"/>
          <w:szCs w:val="24"/>
        </w:rPr>
        <w:t>el acta correspondiente en términos de ley, por lo que fue procedente su renuncia.</w:t>
      </w:r>
    </w:p>
    <w:p w14:paraId="5A7E5632" w14:textId="1A3085A9" w:rsidR="00F76729" w:rsidRPr="00F76729" w:rsidRDefault="00F76729" w:rsidP="00F76729">
      <w:pPr>
        <w:spacing w:before="100" w:beforeAutospacing="1" w:after="100" w:afterAutospacing="1" w:line="360" w:lineRule="auto"/>
        <w:jc w:val="both"/>
        <w:rPr>
          <w:sz w:val="24"/>
          <w:szCs w:val="24"/>
        </w:rPr>
      </w:pPr>
      <w:r w:rsidRPr="00F76729">
        <w:rPr>
          <w:sz w:val="24"/>
          <w:szCs w:val="24"/>
        </w:rPr>
        <w:t xml:space="preserve">Por último, en relación con el agravio de que debió sustituirse mujeres por mujeres conforme a lo previsto por los </w:t>
      </w:r>
      <w:r w:rsidRPr="005A635A">
        <w:rPr>
          <w:i/>
          <w:iCs/>
          <w:sz w:val="24"/>
          <w:szCs w:val="24"/>
        </w:rPr>
        <w:t xml:space="preserve">lineamientos </w:t>
      </w:r>
      <w:r w:rsidR="005A635A" w:rsidRPr="005A635A">
        <w:rPr>
          <w:i/>
          <w:iCs/>
          <w:sz w:val="24"/>
          <w:szCs w:val="24"/>
        </w:rPr>
        <w:t>de</w:t>
      </w:r>
      <w:r w:rsidRPr="005A635A">
        <w:rPr>
          <w:i/>
          <w:iCs/>
          <w:sz w:val="24"/>
          <w:szCs w:val="24"/>
        </w:rPr>
        <w:t xml:space="preserve"> registro</w:t>
      </w:r>
      <w:r w:rsidRPr="00F76729">
        <w:rPr>
          <w:sz w:val="24"/>
          <w:szCs w:val="24"/>
        </w:rPr>
        <w:t xml:space="preserve"> </w:t>
      </w:r>
      <w:proofErr w:type="spellStart"/>
      <w:r w:rsidRPr="00F76729">
        <w:rPr>
          <w:sz w:val="24"/>
          <w:szCs w:val="24"/>
        </w:rPr>
        <w:t>a si</w:t>
      </w:r>
      <w:proofErr w:type="spellEnd"/>
      <w:r w:rsidRPr="00F76729">
        <w:rPr>
          <w:sz w:val="24"/>
          <w:szCs w:val="24"/>
        </w:rPr>
        <w:t xml:space="preserve"> como los </w:t>
      </w:r>
      <w:r w:rsidRPr="005A635A">
        <w:rPr>
          <w:i/>
          <w:iCs/>
          <w:sz w:val="24"/>
          <w:szCs w:val="24"/>
        </w:rPr>
        <w:t>lineamientos de paridad</w:t>
      </w:r>
      <w:r w:rsidRPr="00F76729">
        <w:rPr>
          <w:sz w:val="24"/>
          <w:szCs w:val="24"/>
        </w:rPr>
        <w:t xml:space="preserve">, el </w:t>
      </w:r>
      <w:r w:rsidRPr="00F76729">
        <w:rPr>
          <w:i/>
          <w:iCs/>
          <w:sz w:val="24"/>
          <w:szCs w:val="24"/>
        </w:rPr>
        <w:t>tribunal</w:t>
      </w:r>
      <w:r w:rsidRPr="00F76729">
        <w:rPr>
          <w:sz w:val="24"/>
          <w:szCs w:val="24"/>
        </w:rPr>
        <w:t xml:space="preserve"> </w:t>
      </w:r>
      <w:r w:rsidRPr="00F76729">
        <w:rPr>
          <w:i/>
          <w:iCs/>
          <w:sz w:val="24"/>
          <w:szCs w:val="24"/>
        </w:rPr>
        <w:t>local</w:t>
      </w:r>
      <w:r w:rsidRPr="00F76729">
        <w:rPr>
          <w:sz w:val="24"/>
          <w:szCs w:val="24"/>
        </w:rPr>
        <w:t xml:space="preserve"> lo consideró fundado pero inoperante.</w:t>
      </w:r>
    </w:p>
    <w:p w14:paraId="3BBD9734" w14:textId="088BC784" w:rsidR="00F76729" w:rsidRPr="00F76729" w:rsidRDefault="00F76729" w:rsidP="00F76729">
      <w:pPr>
        <w:spacing w:before="100" w:beforeAutospacing="1" w:after="100" w:afterAutospacing="1" w:line="360" w:lineRule="auto"/>
        <w:jc w:val="both"/>
        <w:rPr>
          <w:sz w:val="24"/>
          <w:szCs w:val="24"/>
        </w:rPr>
      </w:pPr>
      <w:r w:rsidRPr="00F76729">
        <w:rPr>
          <w:sz w:val="24"/>
          <w:szCs w:val="24"/>
        </w:rPr>
        <w:t xml:space="preserve">Lo fundado consistió en que el </w:t>
      </w:r>
      <w:r w:rsidRPr="005A635A">
        <w:rPr>
          <w:i/>
          <w:iCs/>
          <w:sz w:val="24"/>
          <w:szCs w:val="24"/>
        </w:rPr>
        <w:t>Instituto local</w:t>
      </w:r>
      <w:r w:rsidRPr="00F76729">
        <w:rPr>
          <w:sz w:val="24"/>
          <w:szCs w:val="24"/>
        </w:rPr>
        <w:t xml:space="preserve"> inobservó lo previsto por los artículos 46 de los </w:t>
      </w:r>
      <w:r w:rsidRPr="00F76729">
        <w:rPr>
          <w:i/>
          <w:iCs/>
          <w:sz w:val="24"/>
          <w:szCs w:val="24"/>
        </w:rPr>
        <w:t>lineamientos</w:t>
      </w:r>
      <w:r w:rsidR="008847E1">
        <w:rPr>
          <w:i/>
          <w:iCs/>
          <w:sz w:val="24"/>
          <w:szCs w:val="24"/>
        </w:rPr>
        <w:t xml:space="preserve"> de registro</w:t>
      </w:r>
      <w:r w:rsidRPr="00F76729">
        <w:rPr>
          <w:i/>
          <w:iCs/>
          <w:sz w:val="24"/>
          <w:szCs w:val="24"/>
        </w:rPr>
        <w:t xml:space="preserve"> </w:t>
      </w:r>
      <w:r w:rsidRPr="00F76729">
        <w:rPr>
          <w:sz w:val="24"/>
          <w:szCs w:val="24"/>
        </w:rPr>
        <w:t xml:space="preserve">y 16, 17 y 18 de los </w:t>
      </w:r>
      <w:r w:rsidRPr="00F76729">
        <w:rPr>
          <w:i/>
          <w:iCs/>
          <w:sz w:val="24"/>
          <w:szCs w:val="24"/>
        </w:rPr>
        <w:t xml:space="preserve">lineamientos de paridad, </w:t>
      </w:r>
      <w:r w:rsidRPr="00F76729">
        <w:rPr>
          <w:sz w:val="24"/>
          <w:szCs w:val="24"/>
        </w:rPr>
        <w:t>puesto que los invocados dispositivos</w:t>
      </w:r>
      <w:r w:rsidRPr="00F76729">
        <w:rPr>
          <w:rFonts w:asciiTheme="minorHAnsi" w:hAnsiTheme="minorHAnsi" w:cstheme="minorBidi"/>
          <w:sz w:val="22"/>
          <w:szCs w:val="22"/>
        </w:rPr>
        <w:t xml:space="preserve"> </w:t>
      </w:r>
      <w:bookmarkStart w:id="13" w:name="_Hlk73236027"/>
      <w:r w:rsidRPr="00F76729">
        <w:rPr>
          <w:sz w:val="24"/>
          <w:szCs w:val="24"/>
        </w:rPr>
        <w:t xml:space="preserve">señalan que, </w:t>
      </w:r>
      <w:r w:rsidR="002D7FED">
        <w:rPr>
          <w:sz w:val="24"/>
          <w:szCs w:val="24"/>
        </w:rPr>
        <w:t>tratándose de</w:t>
      </w:r>
      <w:r w:rsidRPr="00F76729">
        <w:rPr>
          <w:sz w:val="24"/>
          <w:szCs w:val="24"/>
        </w:rPr>
        <w:t xml:space="preserve"> candidaturas de mujeres, sólo autoriza la sustitución por personas del mismo género, lo que en el acuerdo no se cumplió por la autoridad administrativa, al aprobar la sustitución de las mujeres que integraban la planilla de Comonfort, en la presidencia y </w:t>
      </w:r>
      <w:r w:rsidR="008847E1">
        <w:rPr>
          <w:sz w:val="24"/>
          <w:szCs w:val="24"/>
        </w:rPr>
        <w:t xml:space="preserve">primera </w:t>
      </w:r>
      <w:r w:rsidRPr="00F76729">
        <w:rPr>
          <w:sz w:val="24"/>
          <w:szCs w:val="24"/>
        </w:rPr>
        <w:t>regiduría propietaria y suplente, por hombres.</w:t>
      </w:r>
    </w:p>
    <w:p w14:paraId="735E73F7" w14:textId="09AF90C7" w:rsidR="00F76729" w:rsidRPr="00F76729" w:rsidRDefault="00F76729" w:rsidP="00F76729">
      <w:pPr>
        <w:spacing w:before="100" w:beforeAutospacing="1" w:after="100" w:afterAutospacing="1" w:line="360" w:lineRule="auto"/>
        <w:jc w:val="both"/>
        <w:rPr>
          <w:sz w:val="24"/>
          <w:szCs w:val="24"/>
        </w:rPr>
      </w:pPr>
      <w:r w:rsidRPr="00F76729">
        <w:rPr>
          <w:sz w:val="24"/>
          <w:szCs w:val="24"/>
        </w:rPr>
        <w:t xml:space="preserve">No obstante, lo inoperante del mismo consistió en que por una parte el </w:t>
      </w:r>
      <w:r w:rsidRPr="005A635A">
        <w:rPr>
          <w:i/>
          <w:iCs/>
          <w:sz w:val="24"/>
          <w:szCs w:val="24"/>
        </w:rPr>
        <w:t>PAN</w:t>
      </w:r>
      <w:r w:rsidRPr="00F76729">
        <w:rPr>
          <w:sz w:val="24"/>
          <w:szCs w:val="24"/>
        </w:rPr>
        <w:t xml:space="preserve"> fue omiso en especificar </w:t>
      </w:r>
      <w:r w:rsidR="00FE77C5" w:rsidRPr="00F76729">
        <w:rPr>
          <w:sz w:val="24"/>
          <w:szCs w:val="24"/>
        </w:rPr>
        <w:t>cuál</w:t>
      </w:r>
      <w:r w:rsidRPr="00F76729">
        <w:rPr>
          <w:sz w:val="24"/>
          <w:szCs w:val="24"/>
        </w:rPr>
        <w:t xml:space="preserve"> fue el agravio que dicho incumplimiento normativo causaba a sus intereses, por lo que al ser el recurso de revisión un medio de impugnación de estricto derecho se enc</w:t>
      </w:r>
      <w:r w:rsidR="005A635A">
        <w:rPr>
          <w:sz w:val="24"/>
          <w:szCs w:val="24"/>
        </w:rPr>
        <w:t xml:space="preserve">ontraba </w:t>
      </w:r>
      <w:r w:rsidRPr="00F76729">
        <w:rPr>
          <w:sz w:val="24"/>
          <w:szCs w:val="24"/>
        </w:rPr>
        <w:t>imposibilitado para realizar un mayor abundamiento.</w:t>
      </w:r>
    </w:p>
    <w:p w14:paraId="0993AEEA" w14:textId="77777777" w:rsidR="00F76729" w:rsidRPr="00F76729" w:rsidRDefault="00F76729" w:rsidP="00F76729">
      <w:pPr>
        <w:spacing w:before="100" w:beforeAutospacing="1" w:after="100" w:afterAutospacing="1" w:line="360" w:lineRule="auto"/>
        <w:jc w:val="both"/>
        <w:rPr>
          <w:sz w:val="24"/>
          <w:szCs w:val="24"/>
        </w:rPr>
      </w:pPr>
      <w:r w:rsidRPr="00F76729">
        <w:rPr>
          <w:sz w:val="24"/>
          <w:szCs w:val="24"/>
        </w:rPr>
        <w:t xml:space="preserve">Por otra parte, se destaca que en el acuerdo impugnado, el </w:t>
      </w:r>
      <w:r w:rsidRPr="005A635A">
        <w:rPr>
          <w:i/>
          <w:iCs/>
          <w:sz w:val="24"/>
          <w:szCs w:val="24"/>
        </w:rPr>
        <w:t>Instituto</w:t>
      </w:r>
      <w:r w:rsidRPr="00F76729">
        <w:rPr>
          <w:sz w:val="24"/>
          <w:szCs w:val="24"/>
        </w:rPr>
        <w:t xml:space="preserve"> </w:t>
      </w:r>
      <w:r w:rsidRPr="005A635A">
        <w:rPr>
          <w:i/>
          <w:iCs/>
          <w:sz w:val="24"/>
          <w:szCs w:val="24"/>
        </w:rPr>
        <w:t>local</w:t>
      </w:r>
      <w:r w:rsidRPr="00F76729">
        <w:rPr>
          <w:sz w:val="24"/>
          <w:szCs w:val="24"/>
        </w:rPr>
        <w:t xml:space="preserve"> requirió a Morena la sustitución de las candidaturas en términos del artículo 194 de la </w:t>
      </w:r>
      <w:r w:rsidRPr="005A635A">
        <w:rPr>
          <w:i/>
          <w:iCs/>
          <w:sz w:val="24"/>
          <w:szCs w:val="24"/>
        </w:rPr>
        <w:t>Ley electoral local</w:t>
      </w:r>
      <w:r w:rsidRPr="00F76729">
        <w:rPr>
          <w:sz w:val="24"/>
          <w:szCs w:val="24"/>
        </w:rPr>
        <w:t xml:space="preserve"> sin hacer mención ni a los </w:t>
      </w:r>
      <w:r w:rsidRPr="005A635A">
        <w:rPr>
          <w:i/>
          <w:iCs/>
          <w:sz w:val="24"/>
          <w:szCs w:val="24"/>
        </w:rPr>
        <w:t>lineamientos</w:t>
      </w:r>
      <w:r w:rsidRPr="00F76729">
        <w:rPr>
          <w:sz w:val="24"/>
          <w:szCs w:val="24"/>
        </w:rPr>
        <w:t xml:space="preserve"> </w:t>
      </w:r>
      <w:r w:rsidRPr="005A635A">
        <w:rPr>
          <w:i/>
          <w:iCs/>
          <w:sz w:val="24"/>
          <w:szCs w:val="24"/>
        </w:rPr>
        <w:t>de registro</w:t>
      </w:r>
      <w:r w:rsidRPr="00F76729">
        <w:rPr>
          <w:sz w:val="24"/>
          <w:szCs w:val="24"/>
        </w:rPr>
        <w:t xml:space="preserve"> ni a los </w:t>
      </w:r>
      <w:r w:rsidRPr="005A635A">
        <w:rPr>
          <w:i/>
          <w:iCs/>
          <w:sz w:val="24"/>
          <w:szCs w:val="24"/>
        </w:rPr>
        <w:t>lineamientos de paridad</w:t>
      </w:r>
      <w:r w:rsidRPr="00F76729">
        <w:rPr>
          <w:sz w:val="24"/>
          <w:szCs w:val="24"/>
        </w:rPr>
        <w:t>, situación que fue cumplimentada en sus términos por el partido político, por lo que consideró que no era imputable a Morena el incumplimiento a la citada normativa al no haber sido requerido en términos de lo dispuesto por los referidos lineamientos.</w:t>
      </w:r>
    </w:p>
    <w:bookmarkEnd w:id="13"/>
    <w:p w14:paraId="01A9F4F1" w14:textId="234C6983" w:rsidR="00F76729" w:rsidRPr="00F76729" w:rsidRDefault="00F76729" w:rsidP="00F76729">
      <w:pPr>
        <w:spacing w:before="100" w:beforeAutospacing="1" w:after="100" w:afterAutospacing="1" w:line="360" w:lineRule="auto"/>
        <w:jc w:val="both"/>
        <w:rPr>
          <w:sz w:val="24"/>
          <w:szCs w:val="24"/>
        </w:rPr>
      </w:pPr>
      <w:r w:rsidRPr="00F76729">
        <w:rPr>
          <w:sz w:val="24"/>
          <w:szCs w:val="24"/>
        </w:rPr>
        <w:t xml:space="preserve">No </w:t>
      </w:r>
      <w:proofErr w:type="gramStart"/>
      <w:r w:rsidR="00FE77C5" w:rsidRPr="00F76729">
        <w:rPr>
          <w:sz w:val="24"/>
          <w:szCs w:val="24"/>
        </w:rPr>
        <w:t>obstante</w:t>
      </w:r>
      <w:proofErr w:type="gramEnd"/>
      <w:r w:rsidR="00FE77C5">
        <w:rPr>
          <w:sz w:val="24"/>
          <w:szCs w:val="24"/>
        </w:rPr>
        <w:t xml:space="preserve"> </w:t>
      </w:r>
      <w:r w:rsidRPr="00F76729">
        <w:rPr>
          <w:sz w:val="24"/>
          <w:szCs w:val="24"/>
        </w:rPr>
        <w:t xml:space="preserve">lo anterior, en la sentencia se indica que aun y con la sustitución realizada no se transgrede el principio de paridad en el bloque de competitividad alto ya que está constituido por ocho mujeres y siete hombres por lo que se da cumplimiento al artículo 10 de los </w:t>
      </w:r>
      <w:r w:rsidRPr="005A635A">
        <w:rPr>
          <w:i/>
          <w:iCs/>
          <w:sz w:val="24"/>
          <w:szCs w:val="24"/>
        </w:rPr>
        <w:t>lineamientos de paridad</w:t>
      </w:r>
      <w:r w:rsidRPr="00F76729">
        <w:rPr>
          <w:sz w:val="24"/>
          <w:szCs w:val="24"/>
        </w:rPr>
        <w:t>.</w:t>
      </w:r>
    </w:p>
    <w:p w14:paraId="7B1D1B36" w14:textId="05E04CF6" w:rsidR="00F76729" w:rsidRDefault="00FE77C5" w:rsidP="00FE77C5">
      <w:pPr>
        <w:spacing w:line="360" w:lineRule="auto"/>
        <w:rPr>
          <w:b/>
          <w:bCs/>
          <w:sz w:val="24"/>
          <w:szCs w:val="24"/>
        </w:rPr>
      </w:pPr>
      <w:r w:rsidRPr="00FE77C5">
        <w:rPr>
          <w:b/>
          <w:bCs/>
          <w:sz w:val="24"/>
          <w:szCs w:val="24"/>
        </w:rPr>
        <w:t>Agravios</w:t>
      </w:r>
      <w:r w:rsidR="000217E8">
        <w:rPr>
          <w:b/>
          <w:bCs/>
          <w:sz w:val="24"/>
          <w:szCs w:val="24"/>
        </w:rPr>
        <w:t xml:space="preserve"> planteados ante esta Sala</w:t>
      </w:r>
      <w:r w:rsidRPr="00FE77C5">
        <w:rPr>
          <w:b/>
          <w:bCs/>
          <w:sz w:val="24"/>
          <w:szCs w:val="24"/>
        </w:rPr>
        <w:t xml:space="preserve"> </w:t>
      </w:r>
    </w:p>
    <w:p w14:paraId="7B598C41" w14:textId="27C95030" w:rsidR="00FE77C5" w:rsidRDefault="00FE77C5" w:rsidP="008C3D53">
      <w:pPr>
        <w:spacing w:line="360" w:lineRule="auto"/>
        <w:jc w:val="both"/>
        <w:rPr>
          <w:sz w:val="24"/>
          <w:szCs w:val="24"/>
        </w:rPr>
      </w:pPr>
      <w:r>
        <w:rPr>
          <w:sz w:val="24"/>
          <w:szCs w:val="24"/>
        </w:rPr>
        <w:t xml:space="preserve">En su demanda el partido actor pretende que esta Sala Regional revoque la sentencia del tribunal local y en consecuencia el acuerdo </w:t>
      </w:r>
      <w:r w:rsidR="008C3D53" w:rsidRPr="008C3D53">
        <w:rPr>
          <w:sz w:val="24"/>
          <w:szCs w:val="24"/>
        </w:rPr>
        <w:t>CGIEEG/163/2021</w:t>
      </w:r>
      <w:r w:rsidR="008C3D53" w:rsidRPr="00F76729">
        <w:rPr>
          <w:sz w:val="24"/>
          <w:szCs w:val="24"/>
        </w:rPr>
        <w:t xml:space="preserve"> </w:t>
      </w:r>
      <w:r w:rsidR="008C3D53">
        <w:rPr>
          <w:sz w:val="24"/>
          <w:szCs w:val="24"/>
        </w:rPr>
        <w:lastRenderedPageBreak/>
        <w:t>que autorizó la sustitución de candidaturas a Morena en la planilla postulada para el ayuntamiento de Comonfort, para lo cual formula los siguientes agravios.</w:t>
      </w:r>
    </w:p>
    <w:p w14:paraId="0FAE95BA" w14:textId="1CCA6708" w:rsidR="008C3D53" w:rsidRPr="008C3D53" w:rsidRDefault="00AD25A7" w:rsidP="008C3D53">
      <w:pPr>
        <w:spacing w:line="360" w:lineRule="auto"/>
        <w:jc w:val="both"/>
        <w:rPr>
          <w:sz w:val="24"/>
          <w:szCs w:val="24"/>
        </w:rPr>
      </w:pPr>
      <w:r>
        <w:rPr>
          <w:b/>
          <w:bCs/>
          <w:sz w:val="24"/>
          <w:szCs w:val="24"/>
        </w:rPr>
        <w:t xml:space="preserve">A) </w:t>
      </w:r>
      <w:r w:rsidR="008C3D53">
        <w:rPr>
          <w:sz w:val="24"/>
          <w:szCs w:val="24"/>
        </w:rPr>
        <w:t>S</w:t>
      </w:r>
      <w:r w:rsidR="008C3D53" w:rsidRPr="008C3D53">
        <w:rPr>
          <w:sz w:val="24"/>
          <w:szCs w:val="24"/>
        </w:rPr>
        <w:t>e queja de que en la resolución impugnada</w:t>
      </w:r>
      <w:r w:rsidR="003F32A3">
        <w:rPr>
          <w:sz w:val="24"/>
          <w:szCs w:val="24"/>
        </w:rPr>
        <w:t>,</w:t>
      </w:r>
      <w:r w:rsidR="008C3D53" w:rsidRPr="008C3D53">
        <w:rPr>
          <w:sz w:val="24"/>
          <w:szCs w:val="24"/>
        </w:rPr>
        <w:t xml:space="preserve"> el </w:t>
      </w:r>
      <w:r w:rsidR="005A635A" w:rsidRPr="008C3D53">
        <w:rPr>
          <w:i/>
          <w:iCs/>
          <w:sz w:val="24"/>
          <w:szCs w:val="24"/>
        </w:rPr>
        <w:t>Tribunal</w:t>
      </w:r>
      <w:r w:rsidR="005A635A" w:rsidRPr="008C3D53">
        <w:rPr>
          <w:sz w:val="24"/>
          <w:szCs w:val="24"/>
        </w:rPr>
        <w:t xml:space="preserve"> </w:t>
      </w:r>
      <w:r w:rsidR="008C3D53" w:rsidRPr="008C3D53">
        <w:rPr>
          <w:i/>
          <w:iCs/>
          <w:sz w:val="24"/>
          <w:szCs w:val="24"/>
        </w:rPr>
        <w:t>local</w:t>
      </w:r>
      <w:r w:rsidR="008C3D53" w:rsidRPr="008C3D53">
        <w:rPr>
          <w:sz w:val="24"/>
          <w:szCs w:val="24"/>
        </w:rPr>
        <w:t xml:space="preserve"> concluye que no se vulneró lo establecido en el artículo 10 de los </w:t>
      </w:r>
      <w:r w:rsidR="008C3D53" w:rsidRPr="008C3D53">
        <w:rPr>
          <w:i/>
          <w:iCs/>
          <w:sz w:val="24"/>
          <w:szCs w:val="24"/>
        </w:rPr>
        <w:t>lineamientos de paridad</w:t>
      </w:r>
      <w:r w:rsidR="008C3D53" w:rsidRPr="008C3D53">
        <w:rPr>
          <w:sz w:val="24"/>
          <w:szCs w:val="24"/>
        </w:rPr>
        <w:t xml:space="preserve"> respecto a que los partidos políticos deben postular más mujeres que hombres en el bloque alto de porcentaje de votación, por lo que, en el caso particular del ayuntamiento de Comonfort, al haberse sustituido a las candidatas a la presidencia municipal y regidurías uno propietaria y suplente por candidatos en la planilla postulada por Morena a dicho ayuntamiento se incumple con la norma.</w:t>
      </w:r>
    </w:p>
    <w:p w14:paraId="37B2CA3A" w14:textId="5174565A" w:rsidR="008C3D53" w:rsidRPr="008C3D53" w:rsidRDefault="008C3D53" w:rsidP="008C3D53">
      <w:pPr>
        <w:spacing w:line="360" w:lineRule="auto"/>
        <w:jc w:val="both"/>
        <w:rPr>
          <w:sz w:val="24"/>
          <w:szCs w:val="24"/>
        </w:rPr>
      </w:pPr>
      <w:r w:rsidRPr="008C3D53">
        <w:rPr>
          <w:sz w:val="24"/>
          <w:szCs w:val="24"/>
        </w:rPr>
        <w:t xml:space="preserve">Sostiene que al haberse autorizado y validado por el </w:t>
      </w:r>
      <w:r w:rsidR="005A635A" w:rsidRPr="005A635A">
        <w:rPr>
          <w:i/>
          <w:iCs/>
          <w:sz w:val="24"/>
          <w:szCs w:val="24"/>
        </w:rPr>
        <w:t>Tribunal</w:t>
      </w:r>
      <w:r w:rsidR="005A635A" w:rsidRPr="008C3D53">
        <w:rPr>
          <w:sz w:val="24"/>
          <w:szCs w:val="24"/>
        </w:rPr>
        <w:t xml:space="preserve"> </w:t>
      </w:r>
      <w:r w:rsidRPr="008C3D53">
        <w:rPr>
          <w:i/>
          <w:iCs/>
          <w:sz w:val="24"/>
          <w:szCs w:val="24"/>
        </w:rPr>
        <w:t>local</w:t>
      </w:r>
      <w:r w:rsidRPr="008C3D53">
        <w:rPr>
          <w:sz w:val="24"/>
          <w:szCs w:val="24"/>
        </w:rPr>
        <w:t xml:space="preserve"> la sustitución de esas candidaturas de mujeres por hombres el acuerdo CGIEEG/163/2021 resulta contrario a los principios de legalidad y certeza.</w:t>
      </w:r>
    </w:p>
    <w:p w14:paraId="6104DBC0" w14:textId="67B1545D" w:rsidR="008C3D53" w:rsidRPr="008C3D53" w:rsidRDefault="00AD25A7" w:rsidP="008C3D53">
      <w:pPr>
        <w:spacing w:line="360" w:lineRule="auto"/>
        <w:jc w:val="both"/>
        <w:rPr>
          <w:sz w:val="24"/>
          <w:szCs w:val="24"/>
        </w:rPr>
      </w:pPr>
      <w:r w:rsidRPr="00AD25A7">
        <w:rPr>
          <w:b/>
          <w:bCs/>
          <w:sz w:val="24"/>
          <w:szCs w:val="24"/>
        </w:rPr>
        <w:t>B)</w:t>
      </w:r>
      <w:r>
        <w:rPr>
          <w:sz w:val="24"/>
          <w:szCs w:val="24"/>
        </w:rPr>
        <w:t xml:space="preserve"> </w:t>
      </w:r>
      <w:r w:rsidR="008C3D53" w:rsidRPr="008C3D53">
        <w:rPr>
          <w:sz w:val="24"/>
          <w:szCs w:val="24"/>
        </w:rPr>
        <w:t xml:space="preserve">Que con independencia de la razón que motivo a Morena a cambiar en un principio el género de las candidaturas para el ayuntamiento de Comonfort, ello no le autoriza a que posteriormente sustituya a las mujeres por hombres ya que debe darse cumplimiento a lo establecido en los artículos 16 y 18 de los </w:t>
      </w:r>
      <w:r w:rsidR="008C3D53" w:rsidRPr="008C3D53">
        <w:rPr>
          <w:i/>
          <w:iCs/>
          <w:sz w:val="24"/>
          <w:szCs w:val="24"/>
        </w:rPr>
        <w:t>lineamientos de paridad</w:t>
      </w:r>
      <w:r w:rsidR="008C3D53" w:rsidRPr="008C3D53">
        <w:rPr>
          <w:sz w:val="24"/>
          <w:szCs w:val="24"/>
        </w:rPr>
        <w:t xml:space="preserve">, </w:t>
      </w:r>
      <w:r w:rsidR="008B66DA">
        <w:rPr>
          <w:sz w:val="24"/>
          <w:szCs w:val="24"/>
        </w:rPr>
        <w:t xml:space="preserve">así como 46 de los </w:t>
      </w:r>
      <w:r w:rsidR="008B66DA" w:rsidRPr="008B66DA">
        <w:rPr>
          <w:i/>
          <w:iCs/>
          <w:sz w:val="24"/>
          <w:szCs w:val="24"/>
        </w:rPr>
        <w:t>lineamientos</w:t>
      </w:r>
      <w:r w:rsidR="005A635A">
        <w:rPr>
          <w:i/>
          <w:iCs/>
          <w:sz w:val="24"/>
          <w:szCs w:val="24"/>
        </w:rPr>
        <w:t xml:space="preserve"> de</w:t>
      </w:r>
      <w:r w:rsidR="008B66DA">
        <w:rPr>
          <w:i/>
          <w:iCs/>
          <w:sz w:val="24"/>
          <w:szCs w:val="24"/>
        </w:rPr>
        <w:t xml:space="preserve"> </w:t>
      </w:r>
      <w:r w:rsidR="008B66DA" w:rsidRPr="008B66DA">
        <w:rPr>
          <w:i/>
          <w:iCs/>
          <w:sz w:val="24"/>
          <w:szCs w:val="24"/>
        </w:rPr>
        <w:t>registro</w:t>
      </w:r>
      <w:r w:rsidR="008B66DA">
        <w:rPr>
          <w:sz w:val="24"/>
          <w:szCs w:val="24"/>
        </w:rPr>
        <w:t xml:space="preserve"> </w:t>
      </w:r>
      <w:r w:rsidR="008C3D53" w:rsidRPr="008C3D53">
        <w:rPr>
          <w:sz w:val="24"/>
          <w:szCs w:val="24"/>
        </w:rPr>
        <w:t>por lo que estima que la responsable no fue exhaustiva y debió analizar la situación de oficio sin necesidad de que le agraviara de manera directa al partido actor.</w:t>
      </w:r>
    </w:p>
    <w:p w14:paraId="7115F9B5" w14:textId="52ADB0A2" w:rsidR="008C3D53" w:rsidRPr="000217E8" w:rsidRDefault="000217E8" w:rsidP="008C3D53">
      <w:pPr>
        <w:spacing w:line="360" w:lineRule="auto"/>
        <w:jc w:val="both"/>
        <w:rPr>
          <w:b/>
          <w:bCs/>
          <w:sz w:val="24"/>
          <w:szCs w:val="24"/>
        </w:rPr>
      </w:pPr>
      <w:proofErr w:type="gramStart"/>
      <w:r w:rsidRPr="000217E8">
        <w:rPr>
          <w:b/>
          <w:bCs/>
          <w:sz w:val="24"/>
          <w:szCs w:val="24"/>
        </w:rPr>
        <w:t>Cuestión a resolver</w:t>
      </w:r>
      <w:proofErr w:type="gramEnd"/>
    </w:p>
    <w:p w14:paraId="6C5E078C" w14:textId="3B328896" w:rsidR="000217E8" w:rsidRDefault="00187D84" w:rsidP="008C3D53">
      <w:pPr>
        <w:spacing w:line="360" w:lineRule="auto"/>
        <w:jc w:val="both"/>
        <w:rPr>
          <w:sz w:val="24"/>
          <w:szCs w:val="24"/>
        </w:rPr>
      </w:pPr>
      <w:r>
        <w:rPr>
          <w:sz w:val="24"/>
          <w:szCs w:val="24"/>
        </w:rPr>
        <w:t xml:space="preserve">Esta Sala deberá determinar si fue correcto que el </w:t>
      </w:r>
      <w:r w:rsidR="005A635A" w:rsidRPr="005A635A">
        <w:rPr>
          <w:i/>
          <w:iCs/>
          <w:sz w:val="24"/>
          <w:szCs w:val="24"/>
        </w:rPr>
        <w:t>Tribunal</w:t>
      </w:r>
      <w:r w:rsidR="005A635A">
        <w:rPr>
          <w:sz w:val="24"/>
          <w:szCs w:val="24"/>
        </w:rPr>
        <w:t xml:space="preserve"> </w:t>
      </w:r>
      <w:r w:rsidRPr="005A635A">
        <w:rPr>
          <w:i/>
          <w:iCs/>
          <w:sz w:val="24"/>
          <w:szCs w:val="24"/>
        </w:rPr>
        <w:t>local</w:t>
      </w:r>
      <w:r>
        <w:rPr>
          <w:sz w:val="24"/>
          <w:szCs w:val="24"/>
        </w:rPr>
        <w:t xml:space="preserve"> determinara en su sentencia que la sustitución de candidaturas realizada por Morena no </w:t>
      </w:r>
      <w:r w:rsidR="008F25D0">
        <w:rPr>
          <w:sz w:val="24"/>
          <w:szCs w:val="24"/>
        </w:rPr>
        <w:t xml:space="preserve">atenta contra el principio de género violentando lo dispuesto por el artículo 10 de los </w:t>
      </w:r>
      <w:r w:rsidR="008F25D0" w:rsidRPr="008F25D0">
        <w:rPr>
          <w:i/>
          <w:iCs/>
          <w:sz w:val="24"/>
          <w:szCs w:val="24"/>
        </w:rPr>
        <w:t>lineamientos de paridad.</w:t>
      </w:r>
    </w:p>
    <w:p w14:paraId="3982DE30" w14:textId="020E3E9C" w:rsidR="000217E8" w:rsidRPr="004B1317" w:rsidRDefault="00187D84" w:rsidP="008C3D53">
      <w:pPr>
        <w:spacing w:line="360" w:lineRule="auto"/>
        <w:jc w:val="both"/>
        <w:rPr>
          <w:b/>
          <w:bCs/>
          <w:sz w:val="24"/>
          <w:szCs w:val="24"/>
        </w:rPr>
      </w:pPr>
      <w:r w:rsidRPr="004B1317">
        <w:rPr>
          <w:b/>
          <w:bCs/>
          <w:sz w:val="24"/>
          <w:szCs w:val="24"/>
        </w:rPr>
        <w:t xml:space="preserve">4.2 </w:t>
      </w:r>
      <w:r w:rsidR="000217E8" w:rsidRPr="004B1317">
        <w:rPr>
          <w:b/>
          <w:bCs/>
          <w:sz w:val="24"/>
          <w:szCs w:val="24"/>
        </w:rPr>
        <w:t xml:space="preserve">Decisión </w:t>
      </w:r>
    </w:p>
    <w:p w14:paraId="3EEF1FD6" w14:textId="1E2E3F71" w:rsidR="000217E8" w:rsidRPr="004B1317" w:rsidRDefault="008F25D0" w:rsidP="008C3D53">
      <w:pPr>
        <w:spacing w:line="360" w:lineRule="auto"/>
        <w:jc w:val="both"/>
        <w:rPr>
          <w:sz w:val="24"/>
          <w:szCs w:val="24"/>
        </w:rPr>
      </w:pPr>
      <w:r w:rsidRPr="004B1317">
        <w:rPr>
          <w:sz w:val="24"/>
          <w:szCs w:val="24"/>
        </w:rPr>
        <w:t>Esta Sala Regional considera que la sentencia impugnada debe confirmarse en atención a lo siguiente:</w:t>
      </w:r>
    </w:p>
    <w:p w14:paraId="17F14E33" w14:textId="6195DC3C" w:rsidR="00082F21" w:rsidRPr="004B1317" w:rsidRDefault="008F25D0" w:rsidP="00082F21">
      <w:pPr>
        <w:pStyle w:val="Prrafodelista"/>
        <w:numPr>
          <w:ilvl w:val="0"/>
          <w:numId w:val="17"/>
        </w:numPr>
        <w:spacing w:line="360" w:lineRule="auto"/>
        <w:jc w:val="both"/>
        <w:rPr>
          <w:i/>
          <w:iCs/>
          <w:sz w:val="24"/>
          <w:szCs w:val="24"/>
        </w:rPr>
      </w:pPr>
      <w:bookmarkStart w:id="14" w:name="_Hlk73227334"/>
      <w:r w:rsidRPr="004B1317">
        <w:rPr>
          <w:sz w:val="24"/>
          <w:szCs w:val="24"/>
        </w:rPr>
        <w:t xml:space="preserve">Los razonamientos del </w:t>
      </w:r>
      <w:r w:rsidR="005A635A" w:rsidRPr="004B1317">
        <w:rPr>
          <w:i/>
          <w:iCs/>
          <w:sz w:val="24"/>
          <w:szCs w:val="24"/>
        </w:rPr>
        <w:t xml:space="preserve">Tribunal </w:t>
      </w:r>
      <w:r w:rsidR="00082F21" w:rsidRPr="004B1317">
        <w:rPr>
          <w:i/>
          <w:iCs/>
          <w:sz w:val="24"/>
          <w:szCs w:val="24"/>
        </w:rPr>
        <w:t>local</w:t>
      </w:r>
      <w:r w:rsidR="00082F21" w:rsidRPr="004B1317">
        <w:rPr>
          <w:sz w:val="24"/>
          <w:szCs w:val="24"/>
        </w:rPr>
        <w:t xml:space="preserve"> </w:t>
      </w:r>
      <w:r w:rsidRPr="004B1317">
        <w:rPr>
          <w:sz w:val="24"/>
          <w:szCs w:val="24"/>
        </w:rPr>
        <w:t>son consistentes en cuanto a que aun con las</w:t>
      </w:r>
      <w:r w:rsidR="00082F21" w:rsidRPr="004B1317">
        <w:rPr>
          <w:sz w:val="24"/>
          <w:szCs w:val="24"/>
        </w:rPr>
        <w:t xml:space="preserve"> sustituciones aprobadas por el </w:t>
      </w:r>
      <w:r w:rsidR="00082F21" w:rsidRPr="004B1317">
        <w:rPr>
          <w:i/>
          <w:iCs/>
          <w:sz w:val="24"/>
          <w:szCs w:val="24"/>
        </w:rPr>
        <w:t>Instituto local</w:t>
      </w:r>
      <w:r w:rsidR="00082F21" w:rsidRPr="004B1317">
        <w:rPr>
          <w:sz w:val="24"/>
          <w:szCs w:val="24"/>
        </w:rPr>
        <w:t xml:space="preserve"> ello no violenta lo establecido por el artículo 10 de los </w:t>
      </w:r>
      <w:r w:rsidR="005A635A" w:rsidRPr="004B1317">
        <w:rPr>
          <w:i/>
          <w:iCs/>
          <w:sz w:val="24"/>
          <w:szCs w:val="24"/>
        </w:rPr>
        <w:t xml:space="preserve">lineamientos </w:t>
      </w:r>
      <w:r w:rsidR="00082F21" w:rsidRPr="004B1317">
        <w:rPr>
          <w:i/>
          <w:iCs/>
          <w:sz w:val="24"/>
          <w:szCs w:val="24"/>
        </w:rPr>
        <w:t>de paridad.</w:t>
      </w:r>
    </w:p>
    <w:p w14:paraId="6F449D5A" w14:textId="7C2FBA12" w:rsidR="008F25D0" w:rsidRPr="004B1317" w:rsidRDefault="00E221C7" w:rsidP="00082F21">
      <w:pPr>
        <w:pStyle w:val="Prrafodelista"/>
        <w:numPr>
          <w:ilvl w:val="0"/>
          <w:numId w:val="17"/>
        </w:numPr>
        <w:spacing w:line="360" w:lineRule="auto"/>
        <w:jc w:val="both"/>
        <w:rPr>
          <w:sz w:val="24"/>
          <w:szCs w:val="24"/>
        </w:rPr>
      </w:pPr>
      <w:bookmarkStart w:id="15" w:name="_Hlk73380859"/>
      <w:r w:rsidRPr="004B1317">
        <w:rPr>
          <w:sz w:val="24"/>
          <w:szCs w:val="24"/>
        </w:rPr>
        <w:t xml:space="preserve">El agravio planteado por el partido actor respecto que no se cumplió con lo establecido en los lineamientos de paridad y los lineamientos de registro de candidaturas, </w:t>
      </w:r>
      <w:r w:rsidR="00BF58CF" w:rsidRPr="004B1317">
        <w:rPr>
          <w:sz w:val="24"/>
          <w:szCs w:val="24"/>
        </w:rPr>
        <w:t xml:space="preserve">al cambiar el género de la candidatura en el </w:t>
      </w:r>
      <w:r w:rsidR="00BF58CF" w:rsidRPr="004B1317">
        <w:rPr>
          <w:sz w:val="24"/>
          <w:szCs w:val="24"/>
        </w:rPr>
        <w:lastRenderedPageBreak/>
        <w:t xml:space="preserve">Ayuntamiento de Comonfort, </w:t>
      </w:r>
      <w:r w:rsidRPr="004B1317">
        <w:rPr>
          <w:sz w:val="24"/>
          <w:szCs w:val="24"/>
        </w:rPr>
        <w:t>es insuficiente al no controvertir de manera frontal las consideraciones de la sentencia</w:t>
      </w:r>
      <w:r w:rsidR="000F5C24" w:rsidRPr="004B1317">
        <w:rPr>
          <w:sz w:val="24"/>
          <w:szCs w:val="24"/>
        </w:rPr>
        <w:t>.</w:t>
      </w:r>
    </w:p>
    <w:bookmarkEnd w:id="14"/>
    <w:bookmarkEnd w:id="15"/>
    <w:p w14:paraId="39B0FF09" w14:textId="0ACE593D" w:rsidR="000217E8" w:rsidRPr="000217E8" w:rsidRDefault="00187D84" w:rsidP="008C3D53">
      <w:pPr>
        <w:spacing w:line="360" w:lineRule="auto"/>
        <w:jc w:val="both"/>
        <w:rPr>
          <w:b/>
          <w:bCs/>
          <w:sz w:val="24"/>
          <w:szCs w:val="24"/>
        </w:rPr>
      </w:pPr>
      <w:r>
        <w:rPr>
          <w:b/>
          <w:bCs/>
          <w:sz w:val="24"/>
          <w:szCs w:val="24"/>
        </w:rPr>
        <w:t xml:space="preserve">4.3 </w:t>
      </w:r>
      <w:r w:rsidR="000217E8" w:rsidRPr="000217E8">
        <w:rPr>
          <w:b/>
          <w:bCs/>
          <w:sz w:val="24"/>
          <w:szCs w:val="24"/>
        </w:rPr>
        <w:t>Justificación de la decisión</w:t>
      </w:r>
    </w:p>
    <w:p w14:paraId="22FEB32D" w14:textId="63649E50" w:rsidR="00AD25A7" w:rsidRPr="00AD25A7" w:rsidRDefault="00AD25A7" w:rsidP="003B25C4">
      <w:pPr>
        <w:spacing w:before="100" w:beforeAutospacing="1" w:after="100" w:afterAutospacing="1" w:line="360" w:lineRule="auto"/>
        <w:jc w:val="both"/>
        <w:rPr>
          <w:sz w:val="22"/>
          <w:szCs w:val="22"/>
        </w:rPr>
      </w:pPr>
      <w:r w:rsidRPr="00AD25A7">
        <w:rPr>
          <w:rFonts w:eastAsia="Calibri"/>
          <w:sz w:val="24"/>
          <w:szCs w:val="24"/>
        </w:rPr>
        <w:t xml:space="preserve">El agravio identificado con el </w:t>
      </w:r>
      <w:r w:rsidRPr="00AD25A7">
        <w:rPr>
          <w:rFonts w:eastAsia="Calibri"/>
          <w:b/>
          <w:bCs/>
          <w:sz w:val="24"/>
          <w:szCs w:val="24"/>
        </w:rPr>
        <w:t>inciso A)</w:t>
      </w:r>
      <w:r w:rsidRPr="00AD25A7">
        <w:rPr>
          <w:rFonts w:eastAsia="Calibri"/>
          <w:sz w:val="24"/>
          <w:szCs w:val="24"/>
        </w:rPr>
        <w:t xml:space="preserve"> de</w:t>
      </w:r>
      <w:r>
        <w:rPr>
          <w:rFonts w:eastAsia="Calibri"/>
          <w:sz w:val="24"/>
          <w:szCs w:val="24"/>
        </w:rPr>
        <w:t xml:space="preserve">l apartado de agravios planteados ante esta Sala </w:t>
      </w:r>
      <w:r w:rsidRPr="00AD25A7">
        <w:rPr>
          <w:rFonts w:eastAsia="Calibri"/>
          <w:sz w:val="24"/>
          <w:szCs w:val="24"/>
        </w:rPr>
        <w:t xml:space="preserve">resulta </w:t>
      </w:r>
      <w:r w:rsidRPr="00AD25A7">
        <w:rPr>
          <w:rFonts w:eastAsia="Calibri"/>
          <w:b/>
          <w:bCs/>
          <w:sz w:val="24"/>
          <w:szCs w:val="24"/>
        </w:rPr>
        <w:t>in</w:t>
      </w:r>
      <w:r>
        <w:rPr>
          <w:rFonts w:eastAsia="Calibri"/>
          <w:b/>
          <w:bCs/>
          <w:sz w:val="24"/>
          <w:szCs w:val="24"/>
        </w:rPr>
        <w:t>fundado</w:t>
      </w:r>
      <w:r w:rsidRPr="00AD25A7">
        <w:rPr>
          <w:rFonts w:eastAsia="Calibri"/>
          <w:b/>
          <w:bCs/>
          <w:sz w:val="24"/>
          <w:szCs w:val="24"/>
        </w:rPr>
        <w:t>.</w:t>
      </w:r>
    </w:p>
    <w:p w14:paraId="3B0E10BC" w14:textId="6A9CFA92" w:rsidR="003B25C4" w:rsidRPr="003B25C4" w:rsidRDefault="00AD25A7" w:rsidP="003B25C4">
      <w:pPr>
        <w:spacing w:before="100" w:beforeAutospacing="1" w:after="100" w:afterAutospacing="1" w:line="360" w:lineRule="auto"/>
        <w:jc w:val="both"/>
        <w:rPr>
          <w:sz w:val="24"/>
          <w:szCs w:val="24"/>
        </w:rPr>
      </w:pPr>
      <w:r>
        <w:rPr>
          <w:sz w:val="24"/>
          <w:szCs w:val="24"/>
        </w:rPr>
        <w:t xml:space="preserve">Aduce el partido actor </w:t>
      </w:r>
      <w:r w:rsidR="003B25C4" w:rsidRPr="003B25C4">
        <w:rPr>
          <w:sz w:val="24"/>
          <w:szCs w:val="24"/>
        </w:rPr>
        <w:t xml:space="preserve">que el </w:t>
      </w:r>
      <w:r w:rsidR="005A635A" w:rsidRPr="005A635A">
        <w:rPr>
          <w:i/>
          <w:iCs/>
          <w:sz w:val="24"/>
          <w:szCs w:val="24"/>
        </w:rPr>
        <w:t>Tribunal</w:t>
      </w:r>
      <w:r w:rsidR="005A635A" w:rsidRPr="003B25C4">
        <w:rPr>
          <w:sz w:val="24"/>
          <w:szCs w:val="24"/>
        </w:rPr>
        <w:t xml:space="preserve"> </w:t>
      </w:r>
      <w:r w:rsidR="003B25C4" w:rsidRPr="003B25C4">
        <w:rPr>
          <w:i/>
          <w:iCs/>
          <w:sz w:val="24"/>
          <w:szCs w:val="24"/>
        </w:rPr>
        <w:t>local</w:t>
      </w:r>
      <w:r w:rsidR="003B25C4" w:rsidRPr="003B25C4">
        <w:rPr>
          <w:sz w:val="24"/>
          <w:szCs w:val="24"/>
        </w:rPr>
        <w:t xml:space="preserve"> incumplió con la norma, en específico el artículo 10 de los </w:t>
      </w:r>
      <w:r w:rsidR="003B25C4" w:rsidRPr="003B25C4">
        <w:rPr>
          <w:i/>
          <w:iCs/>
          <w:sz w:val="24"/>
          <w:szCs w:val="24"/>
        </w:rPr>
        <w:t>lineamientos de paridad</w:t>
      </w:r>
      <w:r w:rsidR="003B25C4" w:rsidRPr="003B25C4">
        <w:rPr>
          <w:sz w:val="24"/>
          <w:szCs w:val="24"/>
        </w:rPr>
        <w:t xml:space="preserve">, vulnerando los principios de legalidad y de certeza, </w:t>
      </w:r>
      <w:r>
        <w:rPr>
          <w:sz w:val="24"/>
          <w:szCs w:val="24"/>
        </w:rPr>
        <w:t xml:space="preserve">lo infundado del agravio es en atención </w:t>
      </w:r>
      <w:r w:rsidR="003B25C4" w:rsidRPr="003B25C4">
        <w:rPr>
          <w:sz w:val="24"/>
          <w:szCs w:val="24"/>
        </w:rPr>
        <w:t>a lo siguiente:</w:t>
      </w:r>
    </w:p>
    <w:p w14:paraId="25A4CFFE" w14:textId="77777777" w:rsidR="003B25C4" w:rsidRPr="003B25C4" w:rsidRDefault="003B25C4" w:rsidP="003B25C4">
      <w:pPr>
        <w:spacing w:before="100" w:beforeAutospacing="1" w:after="100" w:afterAutospacing="1" w:line="360" w:lineRule="auto"/>
        <w:jc w:val="both"/>
        <w:rPr>
          <w:sz w:val="24"/>
          <w:szCs w:val="24"/>
        </w:rPr>
      </w:pPr>
      <w:r w:rsidRPr="003B25C4">
        <w:rPr>
          <w:sz w:val="24"/>
          <w:szCs w:val="24"/>
        </w:rPr>
        <w:t>La paridad de género tiene como finalidad garantizar el principio de igualdad entre hombres y mujeres, al respecto, en el ámbito electoral los partidos políticos tienen la obligación de incentivar la participación política de las mujeres a cargos de elección popular, y las autoridades administrativas y jurisdiccionales la obligación de velar por el cumplimiento a las disposiciones de la materia a fin de que se cumpla con el mandato constitucional.</w:t>
      </w:r>
    </w:p>
    <w:p w14:paraId="3ECC18FE" w14:textId="77777777" w:rsidR="003B25C4" w:rsidRPr="003B25C4" w:rsidRDefault="003B25C4" w:rsidP="003B25C4">
      <w:pPr>
        <w:spacing w:before="100" w:beforeAutospacing="1" w:after="100" w:afterAutospacing="1" w:line="360" w:lineRule="auto"/>
        <w:jc w:val="both"/>
        <w:rPr>
          <w:sz w:val="24"/>
          <w:szCs w:val="24"/>
        </w:rPr>
      </w:pPr>
      <w:r w:rsidRPr="003B25C4">
        <w:rPr>
          <w:sz w:val="24"/>
          <w:szCs w:val="24"/>
        </w:rPr>
        <w:t>Así, lo que en un principio se manejó como acciones afirmativas, ahora es obligación legal el considerar a las mujeres más allá de la simple paridad, esto es buscar que en los cargos de elección popular se cuente con mayoría de postulaciones al género mujer.</w:t>
      </w:r>
    </w:p>
    <w:p w14:paraId="36E79A52" w14:textId="22F4668E" w:rsidR="003B25C4" w:rsidRPr="003B25C4" w:rsidRDefault="003B25C4" w:rsidP="003B25C4">
      <w:pPr>
        <w:spacing w:before="100" w:beforeAutospacing="1" w:after="100" w:afterAutospacing="1" w:line="360" w:lineRule="auto"/>
        <w:jc w:val="both"/>
        <w:rPr>
          <w:sz w:val="24"/>
          <w:szCs w:val="24"/>
        </w:rPr>
      </w:pPr>
      <w:r w:rsidRPr="003B25C4">
        <w:rPr>
          <w:sz w:val="24"/>
          <w:szCs w:val="24"/>
        </w:rPr>
        <w:t xml:space="preserve">Una vez superado el tema de la paridad cuantitativa y de la maximización de postulaciones, se consideró que no era suficiente, por lo que se buscó una medida cualitativa a fin de encontrar la forma de que esto se viera reflejado en </w:t>
      </w:r>
      <w:r w:rsidRPr="004B1317">
        <w:rPr>
          <w:sz w:val="24"/>
          <w:szCs w:val="24"/>
        </w:rPr>
        <w:t xml:space="preserve">la escena política, así, se estableció </w:t>
      </w:r>
      <w:r w:rsidR="003E4EB0" w:rsidRPr="004B1317">
        <w:rPr>
          <w:sz w:val="24"/>
          <w:szCs w:val="24"/>
        </w:rPr>
        <w:t xml:space="preserve">en </w:t>
      </w:r>
      <w:r w:rsidR="00484B60" w:rsidRPr="004B1317">
        <w:rPr>
          <w:sz w:val="24"/>
          <w:szCs w:val="24"/>
        </w:rPr>
        <w:t xml:space="preserve">los </w:t>
      </w:r>
      <w:r w:rsidR="00484B60" w:rsidRPr="004B1317">
        <w:rPr>
          <w:i/>
          <w:iCs/>
          <w:sz w:val="24"/>
          <w:szCs w:val="24"/>
        </w:rPr>
        <w:t>Lineamientos de paridad</w:t>
      </w:r>
      <w:r w:rsidR="00484B60" w:rsidRPr="004B1317">
        <w:rPr>
          <w:sz w:val="24"/>
          <w:szCs w:val="24"/>
        </w:rPr>
        <w:t xml:space="preserve"> </w:t>
      </w:r>
      <w:r w:rsidRPr="004B1317">
        <w:rPr>
          <w:sz w:val="24"/>
          <w:szCs w:val="24"/>
        </w:rPr>
        <w:t>que los partidos políticos tratándose de postulaciones en distritos electorales y ayuntamientos, deberían postular un mayor número de mujeres en aquellas candidaturas en las cuales tuvieran una mayor posibilidad de triunfo</w:t>
      </w:r>
      <w:r w:rsidR="00484B60" w:rsidRPr="004B1317">
        <w:rPr>
          <w:sz w:val="24"/>
          <w:szCs w:val="24"/>
        </w:rPr>
        <w:t>, entendiéndose aquellas contempladas dentro del bloque de alto porcentaje de votación</w:t>
      </w:r>
      <w:r w:rsidRPr="004B1317">
        <w:rPr>
          <w:sz w:val="24"/>
          <w:szCs w:val="24"/>
        </w:rPr>
        <w:t>.</w:t>
      </w:r>
    </w:p>
    <w:p w14:paraId="6E1811A8" w14:textId="77777777" w:rsidR="003B25C4" w:rsidRPr="003B25C4" w:rsidRDefault="003B25C4" w:rsidP="003B25C4">
      <w:pPr>
        <w:spacing w:before="100" w:beforeAutospacing="1" w:after="100" w:afterAutospacing="1" w:line="360" w:lineRule="auto"/>
        <w:jc w:val="both"/>
        <w:rPr>
          <w:sz w:val="24"/>
          <w:szCs w:val="24"/>
        </w:rPr>
      </w:pPr>
      <w:r w:rsidRPr="003B25C4">
        <w:rPr>
          <w:sz w:val="24"/>
          <w:szCs w:val="24"/>
        </w:rPr>
        <w:t>Por lo anterior, es que previo a la designación de candidaturas por parte de los partidos políticos, la autoridad administrativa electoral realiza un estudio en el cual determina atendiendo a los resultados en la elección inmediata anterior, los bloques de competitividad alta, media y baja considerando la votación recibida por cada partido.</w:t>
      </w:r>
    </w:p>
    <w:p w14:paraId="2C6A3A04" w14:textId="77777777" w:rsidR="003B25C4" w:rsidRPr="003B25C4" w:rsidRDefault="003B25C4" w:rsidP="003B25C4">
      <w:pPr>
        <w:spacing w:before="100" w:beforeAutospacing="1" w:after="100" w:afterAutospacing="1" w:line="360" w:lineRule="auto"/>
        <w:jc w:val="both"/>
        <w:rPr>
          <w:sz w:val="24"/>
          <w:szCs w:val="24"/>
        </w:rPr>
      </w:pPr>
      <w:r w:rsidRPr="003B25C4">
        <w:rPr>
          <w:sz w:val="24"/>
          <w:szCs w:val="24"/>
        </w:rPr>
        <w:t>De esta manera, la medida genera un acceso eficaz para que las mujeres accedan a los cargos públicos.</w:t>
      </w:r>
    </w:p>
    <w:p w14:paraId="02407928" w14:textId="528187C4" w:rsidR="003B25C4" w:rsidRPr="003B25C4" w:rsidRDefault="003B25C4" w:rsidP="003B25C4">
      <w:pPr>
        <w:spacing w:before="100" w:beforeAutospacing="1" w:after="100" w:afterAutospacing="1" w:line="360" w:lineRule="auto"/>
        <w:jc w:val="both"/>
        <w:rPr>
          <w:sz w:val="24"/>
          <w:szCs w:val="24"/>
        </w:rPr>
      </w:pPr>
      <w:r w:rsidRPr="004B1317">
        <w:rPr>
          <w:sz w:val="24"/>
          <w:szCs w:val="24"/>
        </w:rPr>
        <w:lastRenderedPageBreak/>
        <w:t xml:space="preserve">En el caso, el párrafo tercero del artículo 10 de los </w:t>
      </w:r>
      <w:r w:rsidR="005A635A" w:rsidRPr="004B1317">
        <w:rPr>
          <w:i/>
          <w:iCs/>
          <w:sz w:val="24"/>
          <w:szCs w:val="24"/>
        </w:rPr>
        <w:t>lineamientos</w:t>
      </w:r>
      <w:r w:rsidR="005A635A" w:rsidRPr="004B1317">
        <w:rPr>
          <w:sz w:val="24"/>
          <w:szCs w:val="24"/>
        </w:rPr>
        <w:t xml:space="preserve"> </w:t>
      </w:r>
      <w:r w:rsidRPr="004B1317">
        <w:rPr>
          <w:i/>
          <w:iCs/>
          <w:sz w:val="24"/>
          <w:szCs w:val="24"/>
        </w:rPr>
        <w:t>de paridad</w:t>
      </w:r>
      <w:r w:rsidRPr="004B1317">
        <w:rPr>
          <w:sz w:val="24"/>
          <w:szCs w:val="24"/>
        </w:rPr>
        <w:t xml:space="preserve"> dispone que los partidos políticos y coaliciones deberán postular más mujeres que hombres en el bloque de alto porcentaje de votación, en términos de lo señalado por el artículo 185 quinques fracción III de la</w:t>
      </w:r>
      <w:r w:rsidRPr="004B1317">
        <w:rPr>
          <w:i/>
          <w:iCs/>
          <w:sz w:val="24"/>
          <w:szCs w:val="24"/>
        </w:rPr>
        <w:t xml:space="preserve"> Ley Electoral local</w:t>
      </w:r>
      <w:r w:rsidRPr="004B1317">
        <w:rPr>
          <w:sz w:val="24"/>
          <w:szCs w:val="24"/>
        </w:rPr>
        <w:t>.</w:t>
      </w:r>
    </w:p>
    <w:p w14:paraId="7E74B4DE" w14:textId="77777777" w:rsidR="003B25C4" w:rsidRPr="003B25C4" w:rsidRDefault="003B25C4" w:rsidP="003B25C4">
      <w:pPr>
        <w:spacing w:before="100" w:beforeAutospacing="1" w:after="100" w:afterAutospacing="1" w:line="360" w:lineRule="auto"/>
        <w:jc w:val="both"/>
        <w:rPr>
          <w:sz w:val="24"/>
          <w:szCs w:val="24"/>
        </w:rPr>
      </w:pPr>
      <w:r w:rsidRPr="003B25C4">
        <w:rPr>
          <w:sz w:val="24"/>
          <w:szCs w:val="24"/>
        </w:rPr>
        <w:t>En esencia los referidos dispositivos disponen lo siguiente:</w:t>
      </w:r>
    </w:p>
    <w:p w14:paraId="5E4B9179" w14:textId="77777777" w:rsidR="003B25C4" w:rsidRPr="003B25C4" w:rsidRDefault="003B25C4" w:rsidP="003B25C4">
      <w:pPr>
        <w:spacing w:before="100" w:beforeAutospacing="1" w:after="100" w:afterAutospacing="1" w:line="360" w:lineRule="auto"/>
        <w:jc w:val="both"/>
        <w:rPr>
          <w:i/>
          <w:iCs/>
          <w:sz w:val="24"/>
          <w:szCs w:val="24"/>
        </w:rPr>
      </w:pPr>
      <w:r w:rsidRPr="003B25C4">
        <w:rPr>
          <w:i/>
          <w:iCs/>
          <w:sz w:val="24"/>
          <w:szCs w:val="24"/>
        </w:rPr>
        <w:t>Ley Electoral local</w:t>
      </w:r>
    </w:p>
    <w:p w14:paraId="1418C439" w14:textId="77777777" w:rsidR="003B25C4" w:rsidRPr="003B25C4" w:rsidRDefault="003B25C4" w:rsidP="003B25C4">
      <w:pPr>
        <w:numPr>
          <w:ilvl w:val="0"/>
          <w:numId w:val="18"/>
        </w:numPr>
        <w:spacing w:before="100" w:beforeAutospacing="1" w:after="100" w:afterAutospacing="1" w:line="360" w:lineRule="auto"/>
        <w:contextualSpacing/>
        <w:jc w:val="both"/>
        <w:rPr>
          <w:sz w:val="24"/>
          <w:szCs w:val="24"/>
        </w:rPr>
      </w:pPr>
      <w:r w:rsidRPr="003B25C4">
        <w:rPr>
          <w:sz w:val="24"/>
          <w:szCs w:val="24"/>
        </w:rPr>
        <w:t>Atendiendo a la votación obtenida por cada partido o coalición se conformarán tres bloques, el primero será el bloque de porcentaje de votación alto integrado por dieciséis municipios, un bloque con de porcentaje de votación media con quince municipios y un bloque de porcentaje de votación baja con quince municipios.</w:t>
      </w:r>
    </w:p>
    <w:p w14:paraId="152C7C73" w14:textId="77777777" w:rsidR="003B25C4" w:rsidRPr="003B25C4" w:rsidRDefault="003B25C4" w:rsidP="003B25C4">
      <w:pPr>
        <w:numPr>
          <w:ilvl w:val="0"/>
          <w:numId w:val="18"/>
        </w:numPr>
        <w:spacing w:before="100" w:beforeAutospacing="1" w:after="100" w:afterAutospacing="1" w:line="360" w:lineRule="auto"/>
        <w:contextualSpacing/>
        <w:jc w:val="both"/>
        <w:rPr>
          <w:sz w:val="24"/>
          <w:szCs w:val="24"/>
        </w:rPr>
      </w:pPr>
      <w:r w:rsidRPr="003B25C4">
        <w:rPr>
          <w:sz w:val="24"/>
          <w:szCs w:val="24"/>
        </w:rPr>
        <w:t>En el bloque de porcentaje de votación alto se postularán ocho mujeres y ocho hombres, en el bloque de votación medio se postularán ocho mujeres y siete hombres y en el bloque de porcentaje bajo siete mujeres y ocho hombres.</w:t>
      </w:r>
    </w:p>
    <w:p w14:paraId="66AF1507" w14:textId="77777777" w:rsidR="003B25C4" w:rsidRPr="003B25C4" w:rsidRDefault="003B25C4" w:rsidP="003B25C4">
      <w:pPr>
        <w:numPr>
          <w:ilvl w:val="0"/>
          <w:numId w:val="18"/>
        </w:numPr>
        <w:spacing w:before="100" w:beforeAutospacing="1" w:after="100" w:afterAutospacing="1" w:line="360" w:lineRule="auto"/>
        <w:contextualSpacing/>
        <w:jc w:val="both"/>
        <w:rPr>
          <w:sz w:val="24"/>
          <w:szCs w:val="24"/>
        </w:rPr>
      </w:pPr>
      <w:r w:rsidRPr="003B25C4">
        <w:rPr>
          <w:sz w:val="24"/>
          <w:szCs w:val="24"/>
        </w:rPr>
        <w:t>En el caso de que el número total de candidaturas en los municipios sea impar, el partido político o coalición deberá como excepción al principio de paridad postular en la candidatura impar restante a una mujer.</w:t>
      </w:r>
    </w:p>
    <w:p w14:paraId="77A23C01" w14:textId="77777777" w:rsidR="003B25C4" w:rsidRDefault="003B25C4" w:rsidP="003B25C4">
      <w:pPr>
        <w:spacing w:before="100" w:beforeAutospacing="1" w:after="100" w:afterAutospacing="1" w:line="360" w:lineRule="auto"/>
        <w:jc w:val="both"/>
        <w:rPr>
          <w:i/>
          <w:iCs/>
          <w:sz w:val="24"/>
          <w:szCs w:val="24"/>
        </w:rPr>
      </w:pPr>
    </w:p>
    <w:p w14:paraId="65C691CC" w14:textId="658698D6" w:rsidR="003B25C4" w:rsidRPr="003B25C4" w:rsidRDefault="003B25C4" w:rsidP="003B25C4">
      <w:pPr>
        <w:spacing w:before="100" w:beforeAutospacing="1" w:after="100" w:afterAutospacing="1" w:line="360" w:lineRule="auto"/>
        <w:jc w:val="both"/>
        <w:rPr>
          <w:i/>
          <w:iCs/>
          <w:sz w:val="24"/>
          <w:szCs w:val="24"/>
        </w:rPr>
      </w:pPr>
      <w:r w:rsidRPr="003B25C4">
        <w:rPr>
          <w:i/>
          <w:iCs/>
          <w:sz w:val="24"/>
          <w:szCs w:val="24"/>
        </w:rPr>
        <w:t>Lineamientos de paridad.</w:t>
      </w:r>
    </w:p>
    <w:p w14:paraId="0DD41A4D" w14:textId="77777777" w:rsidR="003B25C4" w:rsidRPr="003B25C4" w:rsidRDefault="003B25C4" w:rsidP="003B25C4">
      <w:pPr>
        <w:numPr>
          <w:ilvl w:val="0"/>
          <w:numId w:val="19"/>
        </w:numPr>
        <w:spacing w:before="100" w:beforeAutospacing="1" w:after="100" w:afterAutospacing="1" w:line="360" w:lineRule="auto"/>
        <w:contextualSpacing/>
        <w:jc w:val="both"/>
        <w:rPr>
          <w:sz w:val="24"/>
          <w:szCs w:val="24"/>
        </w:rPr>
      </w:pPr>
      <w:r w:rsidRPr="003B25C4">
        <w:rPr>
          <w:sz w:val="24"/>
          <w:szCs w:val="24"/>
        </w:rPr>
        <w:t>Los partidos políticos y coaliciones deberán postular más mujeres que hombres en el bloque de alto porcentaje de votación.</w:t>
      </w:r>
    </w:p>
    <w:p w14:paraId="5B3D5638" w14:textId="77777777" w:rsidR="003B25C4" w:rsidRDefault="003B25C4" w:rsidP="003B25C4">
      <w:pPr>
        <w:spacing w:before="100" w:beforeAutospacing="1" w:after="100" w:afterAutospacing="1" w:line="360" w:lineRule="auto"/>
        <w:jc w:val="both"/>
        <w:rPr>
          <w:sz w:val="24"/>
          <w:szCs w:val="24"/>
        </w:rPr>
      </w:pPr>
    </w:p>
    <w:p w14:paraId="1D01B1A0" w14:textId="25E4F2A4" w:rsidR="003B25C4" w:rsidRPr="003B25C4" w:rsidRDefault="003B25C4" w:rsidP="003B25C4">
      <w:pPr>
        <w:spacing w:before="100" w:beforeAutospacing="1" w:after="100" w:afterAutospacing="1" w:line="360" w:lineRule="auto"/>
        <w:jc w:val="both"/>
        <w:rPr>
          <w:sz w:val="24"/>
          <w:szCs w:val="24"/>
        </w:rPr>
      </w:pPr>
      <w:r w:rsidRPr="003B25C4">
        <w:rPr>
          <w:sz w:val="24"/>
          <w:szCs w:val="24"/>
        </w:rPr>
        <w:t>En ese sentido, las directrices para la postulación de candidaturas para este proceso en el Estado de Guanajuato establecen con claridad que, en el bloque de competitividad alto, con independencia de la obligación de paridad, es deber de los partidos y coaliciones postular mayoritariamente mujeres.</w:t>
      </w:r>
    </w:p>
    <w:p w14:paraId="6507FCB2" w14:textId="07644117" w:rsidR="003B25C4" w:rsidRPr="003B25C4" w:rsidRDefault="003B25C4" w:rsidP="003B25C4">
      <w:pPr>
        <w:spacing w:before="100" w:beforeAutospacing="1" w:after="100" w:afterAutospacing="1" w:line="360" w:lineRule="auto"/>
        <w:jc w:val="both"/>
        <w:rPr>
          <w:sz w:val="24"/>
          <w:szCs w:val="24"/>
        </w:rPr>
      </w:pPr>
      <w:r w:rsidRPr="003B25C4">
        <w:rPr>
          <w:sz w:val="24"/>
          <w:szCs w:val="24"/>
        </w:rPr>
        <w:t xml:space="preserve">El </w:t>
      </w:r>
      <w:r w:rsidR="002E0744" w:rsidRPr="003B25C4">
        <w:rPr>
          <w:i/>
          <w:iCs/>
          <w:sz w:val="24"/>
          <w:szCs w:val="24"/>
        </w:rPr>
        <w:t>Tribunal</w:t>
      </w:r>
      <w:r w:rsidR="002E0744" w:rsidRPr="003B25C4">
        <w:rPr>
          <w:sz w:val="24"/>
          <w:szCs w:val="24"/>
        </w:rPr>
        <w:t xml:space="preserve"> </w:t>
      </w:r>
      <w:r w:rsidRPr="003B25C4">
        <w:rPr>
          <w:i/>
          <w:iCs/>
          <w:sz w:val="24"/>
          <w:szCs w:val="24"/>
        </w:rPr>
        <w:t>local</w:t>
      </w:r>
      <w:r w:rsidRPr="003B25C4">
        <w:rPr>
          <w:sz w:val="24"/>
          <w:szCs w:val="24"/>
        </w:rPr>
        <w:t xml:space="preserve"> consideró en su sentencia que al haber renunciado las candidatas registrada</w:t>
      </w:r>
      <w:r w:rsidR="002E0744">
        <w:rPr>
          <w:sz w:val="24"/>
          <w:szCs w:val="24"/>
        </w:rPr>
        <w:t>s</w:t>
      </w:r>
      <w:r w:rsidRPr="003B25C4">
        <w:rPr>
          <w:sz w:val="24"/>
          <w:szCs w:val="24"/>
        </w:rPr>
        <w:t xml:space="preserve"> a la presidencia municipal y primera regiduría propietaria y suplente de la planilla propuesta para el ayuntamiento de Comonfort</w:t>
      </w:r>
      <w:r w:rsidR="003F32A3">
        <w:rPr>
          <w:sz w:val="24"/>
          <w:szCs w:val="24"/>
        </w:rPr>
        <w:t>,</w:t>
      </w:r>
      <w:r w:rsidRPr="003B25C4">
        <w:rPr>
          <w:sz w:val="24"/>
          <w:szCs w:val="24"/>
        </w:rPr>
        <w:t xml:space="preserve"> es que se realizó la sustitución por los candidatos que originalmente habían sido propuestos en el acuerdo CGIEEG/104/2021 por lo que el acuerdo CGIEEG/163/2021 que autorizó la sustitución no violenta lo dispuesto por el artículo 10 de los </w:t>
      </w:r>
      <w:r w:rsidRPr="003B25C4">
        <w:rPr>
          <w:i/>
          <w:iCs/>
          <w:sz w:val="24"/>
          <w:szCs w:val="24"/>
        </w:rPr>
        <w:t>lineamientos de paridad</w:t>
      </w:r>
      <w:r w:rsidRPr="003B25C4">
        <w:rPr>
          <w:sz w:val="24"/>
          <w:szCs w:val="24"/>
        </w:rPr>
        <w:t xml:space="preserve"> en el sentido de que </w:t>
      </w:r>
      <w:r w:rsidRPr="003B25C4">
        <w:rPr>
          <w:sz w:val="24"/>
          <w:szCs w:val="24"/>
        </w:rPr>
        <w:lastRenderedPageBreak/>
        <w:t>en este bloque los partidos deben postular más mujeres que hombres ello en razón a que después de la sustitución la integración del bloque de porcentaje alto de votación qued</w:t>
      </w:r>
      <w:r w:rsidR="003F32A3">
        <w:rPr>
          <w:sz w:val="24"/>
          <w:szCs w:val="24"/>
        </w:rPr>
        <w:t>ó</w:t>
      </w:r>
      <w:r w:rsidRPr="003B25C4">
        <w:rPr>
          <w:sz w:val="24"/>
          <w:szCs w:val="24"/>
        </w:rPr>
        <w:t xml:space="preserve"> </w:t>
      </w:r>
      <w:r w:rsidR="002E0744">
        <w:rPr>
          <w:sz w:val="24"/>
          <w:szCs w:val="24"/>
        </w:rPr>
        <w:t xml:space="preserve">integrado </w:t>
      </w:r>
      <w:r w:rsidRPr="003B25C4">
        <w:rPr>
          <w:sz w:val="24"/>
          <w:szCs w:val="24"/>
        </w:rPr>
        <w:t>con ocho mujeres y siete hombres.</w:t>
      </w:r>
    </w:p>
    <w:p w14:paraId="7E7633FE" w14:textId="2C21B39F" w:rsidR="003B25C4" w:rsidRPr="003B25C4" w:rsidRDefault="003B25C4" w:rsidP="003B25C4">
      <w:pPr>
        <w:spacing w:before="100" w:beforeAutospacing="1" w:after="100" w:afterAutospacing="1" w:line="360" w:lineRule="auto"/>
        <w:jc w:val="both"/>
        <w:rPr>
          <w:sz w:val="24"/>
          <w:szCs w:val="24"/>
        </w:rPr>
      </w:pPr>
      <w:r w:rsidRPr="003B25C4">
        <w:rPr>
          <w:sz w:val="24"/>
          <w:szCs w:val="24"/>
        </w:rPr>
        <w:t xml:space="preserve">Esta Sala Regional considera que si bien es cierto se deben de privilegiar las acciones que potencialicen el derecho de acceso a las mujeres a los cargos de elección popular, también lo es </w:t>
      </w:r>
      <w:bookmarkStart w:id="16" w:name="_Hlk73380331"/>
      <w:r w:rsidRPr="003B25C4">
        <w:rPr>
          <w:sz w:val="24"/>
          <w:szCs w:val="24"/>
        </w:rPr>
        <w:t xml:space="preserve">que el acuerdo en los términos en los que se </w:t>
      </w:r>
      <w:proofErr w:type="gramStart"/>
      <w:r w:rsidRPr="003B25C4">
        <w:rPr>
          <w:sz w:val="24"/>
          <w:szCs w:val="24"/>
        </w:rPr>
        <w:t>encuentra</w:t>
      </w:r>
      <w:r w:rsidR="003F32A3">
        <w:rPr>
          <w:sz w:val="24"/>
          <w:szCs w:val="24"/>
        </w:rPr>
        <w:t>,</w:t>
      </w:r>
      <w:proofErr w:type="gramEnd"/>
      <w:r w:rsidRPr="003B25C4">
        <w:rPr>
          <w:sz w:val="24"/>
          <w:szCs w:val="24"/>
        </w:rPr>
        <w:t xml:space="preserve"> no violenta lo dispuesto ni por la </w:t>
      </w:r>
      <w:r w:rsidRPr="002E0744">
        <w:rPr>
          <w:i/>
          <w:iCs/>
          <w:sz w:val="24"/>
          <w:szCs w:val="24"/>
        </w:rPr>
        <w:t>Ley Electoral local</w:t>
      </w:r>
      <w:r w:rsidRPr="003B25C4">
        <w:rPr>
          <w:sz w:val="24"/>
          <w:szCs w:val="24"/>
        </w:rPr>
        <w:t xml:space="preserve"> ni por los </w:t>
      </w:r>
      <w:r w:rsidRPr="002E0744">
        <w:rPr>
          <w:i/>
          <w:iCs/>
          <w:sz w:val="24"/>
          <w:szCs w:val="24"/>
        </w:rPr>
        <w:t>lineamientos de paridad</w:t>
      </w:r>
      <w:r w:rsidRPr="003B25C4">
        <w:rPr>
          <w:sz w:val="24"/>
          <w:szCs w:val="24"/>
        </w:rPr>
        <w:t>, ya que cumple en sus términos con lo ahí establecido al estar postulados en el bloque impugnado ocho mujeres y siete hombres</w:t>
      </w:r>
      <w:bookmarkEnd w:id="16"/>
      <w:r w:rsidRPr="003B25C4">
        <w:rPr>
          <w:sz w:val="24"/>
          <w:szCs w:val="24"/>
        </w:rPr>
        <w:t>.</w:t>
      </w:r>
    </w:p>
    <w:p w14:paraId="17B596BB" w14:textId="77777777" w:rsidR="003B25C4" w:rsidRPr="003B25C4" w:rsidRDefault="003B25C4" w:rsidP="003B25C4">
      <w:pPr>
        <w:spacing w:before="100" w:beforeAutospacing="1" w:after="100" w:afterAutospacing="1" w:line="360" w:lineRule="auto"/>
        <w:jc w:val="both"/>
        <w:rPr>
          <w:sz w:val="24"/>
          <w:szCs w:val="24"/>
        </w:rPr>
      </w:pPr>
      <w:r w:rsidRPr="003B25C4">
        <w:rPr>
          <w:sz w:val="24"/>
          <w:szCs w:val="24"/>
        </w:rPr>
        <w:t xml:space="preserve">En consecuencia, no se incumple con la norma ni se violentan los principios de certeza y legalidad que refiere el actor, de ahí lo </w:t>
      </w:r>
      <w:r w:rsidRPr="00595738">
        <w:rPr>
          <w:b/>
          <w:bCs/>
          <w:sz w:val="24"/>
          <w:szCs w:val="24"/>
        </w:rPr>
        <w:t>infundado</w:t>
      </w:r>
      <w:r w:rsidRPr="003B25C4">
        <w:rPr>
          <w:sz w:val="24"/>
          <w:szCs w:val="24"/>
        </w:rPr>
        <w:t xml:space="preserve"> del agravio.</w:t>
      </w:r>
    </w:p>
    <w:p w14:paraId="061AB9D6" w14:textId="3DEB7F05" w:rsidR="00595738" w:rsidRPr="00AD25A7" w:rsidRDefault="00595738" w:rsidP="00595738">
      <w:pPr>
        <w:spacing w:before="100" w:beforeAutospacing="1" w:after="100" w:afterAutospacing="1" w:line="360" w:lineRule="auto"/>
        <w:jc w:val="both"/>
        <w:rPr>
          <w:sz w:val="22"/>
          <w:szCs w:val="22"/>
        </w:rPr>
      </w:pPr>
      <w:r>
        <w:rPr>
          <w:sz w:val="24"/>
          <w:szCs w:val="24"/>
        </w:rPr>
        <w:t xml:space="preserve">Por lo que hace al </w:t>
      </w:r>
      <w:r w:rsidR="003F32A3">
        <w:rPr>
          <w:sz w:val="24"/>
          <w:szCs w:val="24"/>
        </w:rPr>
        <w:t xml:space="preserve">motivo de inconformidad </w:t>
      </w:r>
      <w:r>
        <w:rPr>
          <w:sz w:val="24"/>
          <w:szCs w:val="24"/>
        </w:rPr>
        <w:t xml:space="preserve">identificado con el </w:t>
      </w:r>
      <w:r w:rsidRPr="00595738">
        <w:rPr>
          <w:b/>
          <w:bCs/>
          <w:sz w:val="24"/>
          <w:szCs w:val="24"/>
        </w:rPr>
        <w:t>inciso B)</w:t>
      </w:r>
      <w:r>
        <w:rPr>
          <w:sz w:val="24"/>
          <w:szCs w:val="24"/>
        </w:rPr>
        <w:t xml:space="preserve"> de </w:t>
      </w:r>
      <w:r w:rsidRPr="00AD25A7">
        <w:rPr>
          <w:rFonts w:eastAsia="Calibri"/>
          <w:sz w:val="24"/>
          <w:szCs w:val="24"/>
        </w:rPr>
        <w:t>de</w:t>
      </w:r>
      <w:r>
        <w:rPr>
          <w:rFonts w:eastAsia="Calibri"/>
          <w:sz w:val="24"/>
          <w:szCs w:val="24"/>
        </w:rPr>
        <w:t xml:space="preserve">l apartado de agravios planteados ante esta </w:t>
      </w:r>
      <w:r w:rsidRPr="004B1317">
        <w:rPr>
          <w:rFonts w:eastAsia="Calibri"/>
          <w:sz w:val="24"/>
          <w:szCs w:val="24"/>
        </w:rPr>
        <w:t xml:space="preserve">Sala resulta </w:t>
      </w:r>
      <w:r w:rsidRPr="004B1317">
        <w:rPr>
          <w:rFonts w:eastAsia="Calibri"/>
          <w:b/>
          <w:bCs/>
          <w:sz w:val="24"/>
          <w:szCs w:val="24"/>
        </w:rPr>
        <w:t>in</w:t>
      </w:r>
      <w:r w:rsidR="00166BFF" w:rsidRPr="004B1317">
        <w:rPr>
          <w:rFonts w:eastAsia="Calibri"/>
          <w:b/>
          <w:bCs/>
          <w:sz w:val="24"/>
          <w:szCs w:val="24"/>
        </w:rPr>
        <w:t>suficiente</w:t>
      </w:r>
      <w:r w:rsidRPr="004B1317">
        <w:rPr>
          <w:rFonts w:eastAsia="Calibri"/>
          <w:b/>
          <w:bCs/>
          <w:sz w:val="24"/>
          <w:szCs w:val="24"/>
        </w:rPr>
        <w:t>.</w:t>
      </w:r>
    </w:p>
    <w:p w14:paraId="2C64365D" w14:textId="08709BCD" w:rsidR="003B25C4" w:rsidRPr="003B25C4" w:rsidRDefault="00595738" w:rsidP="003B25C4">
      <w:pPr>
        <w:spacing w:before="100" w:beforeAutospacing="1" w:after="100" w:afterAutospacing="1" w:line="360" w:lineRule="auto"/>
        <w:jc w:val="both"/>
        <w:rPr>
          <w:sz w:val="24"/>
          <w:szCs w:val="24"/>
        </w:rPr>
      </w:pPr>
      <w:r>
        <w:rPr>
          <w:sz w:val="24"/>
          <w:szCs w:val="24"/>
        </w:rPr>
        <w:t>E</w:t>
      </w:r>
      <w:r w:rsidR="003F32A3">
        <w:rPr>
          <w:sz w:val="24"/>
          <w:szCs w:val="24"/>
        </w:rPr>
        <w:t>n la demanda ante esta instancia, e</w:t>
      </w:r>
      <w:r>
        <w:rPr>
          <w:sz w:val="24"/>
          <w:szCs w:val="24"/>
        </w:rPr>
        <w:t xml:space="preserve">l partido actor </w:t>
      </w:r>
      <w:r w:rsidR="003B25C4" w:rsidRPr="003B25C4">
        <w:rPr>
          <w:sz w:val="24"/>
          <w:szCs w:val="24"/>
        </w:rPr>
        <w:t>re</w:t>
      </w:r>
      <w:r w:rsidR="003F32A3">
        <w:rPr>
          <w:sz w:val="24"/>
          <w:szCs w:val="24"/>
        </w:rPr>
        <w:t>itera</w:t>
      </w:r>
      <w:r w:rsidR="003B25C4" w:rsidRPr="003B25C4">
        <w:rPr>
          <w:sz w:val="24"/>
          <w:szCs w:val="24"/>
        </w:rPr>
        <w:t xml:space="preserve"> que no se dio cumplimiento a lo establecido por los artículos 16 y 18 de los </w:t>
      </w:r>
      <w:r w:rsidR="003B25C4" w:rsidRPr="003B25C4">
        <w:rPr>
          <w:i/>
          <w:iCs/>
          <w:sz w:val="24"/>
          <w:szCs w:val="24"/>
        </w:rPr>
        <w:t>lineamientos de paridad</w:t>
      </w:r>
      <w:r w:rsidR="003B25C4" w:rsidRPr="003B25C4">
        <w:rPr>
          <w:sz w:val="24"/>
          <w:szCs w:val="24"/>
        </w:rPr>
        <w:t xml:space="preserve">, así como 46 de los </w:t>
      </w:r>
      <w:r w:rsidR="003B25C4" w:rsidRPr="003B25C4">
        <w:rPr>
          <w:i/>
          <w:iCs/>
          <w:sz w:val="24"/>
          <w:szCs w:val="24"/>
        </w:rPr>
        <w:t>lineamientos de registro</w:t>
      </w:r>
      <w:r w:rsidR="003B25C4" w:rsidRPr="003B25C4">
        <w:rPr>
          <w:sz w:val="24"/>
          <w:szCs w:val="24"/>
        </w:rPr>
        <w:t xml:space="preserve"> y que el </w:t>
      </w:r>
      <w:r w:rsidR="002E0744" w:rsidRPr="002E0744">
        <w:rPr>
          <w:i/>
          <w:iCs/>
          <w:sz w:val="24"/>
          <w:szCs w:val="24"/>
        </w:rPr>
        <w:t>Tribunal</w:t>
      </w:r>
      <w:r w:rsidR="002E0744" w:rsidRPr="003B25C4">
        <w:rPr>
          <w:sz w:val="24"/>
          <w:szCs w:val="24"/>
        </w:rPr>
        <w:t xml:space="preserve"> </w:t>
      </w:r>
      <w:r w:rsidR="003B25C4" w:rsidRPr="002E0744">
        <w:rPr>
          <w:i/>
          <w:iCs/>
          <w:sz w:val="24"/>
          <w:szCs w:val="24"/>
        </w:rPr>
        <w:t>local</w:t>
      </w:r>
      <w:r w:rsidR="003B25C4" w:rsidRPr="003B25C4">
        <w:rPr>
          <w:sz w:val="24"/>
          <w:szCs w:val="24"/>
        </w:rPr>
        <w:t xml:space="preserve"> debió analizar la situación de oficio sin necesidad de que le agraviara de manera directa al partido actor</w:t>
      </w:r>
      <w:r w:rsidR="003F32A3">
        <w:rPr>
          <w:sz w:val="24"/>
          <w:szCs w:val="24"/>
        </w:rPr>
        <w:t>.</w:t>
      </w:r>
    </w:p>
    <w:p w14:paraId="1B864AA1" w14:textId="121B1F79" w:rsidR="003B25C4" w:rsidRPr="003B25C4" w:rsidRDefault="003B25C4" w:rsidP="003B25C4">
      <w:pPr>
        <w:spacing w:before="100" w:beforeAutospacing="1" w:after="100" w:afterAutospacing="1" w:line="360" w:lineRule="auto"/>
        <w:jc w:val="both"/>
        <w:rPr>
          <w:sz w:val="24"/>
          <w:szCs w:val="24"/>
        </w:rPr>
      </w:pPr>
      <w:r w:rsidRPr="003B25C4">
        <w:rPr>
          <w:sz w:val="24"/>
          <w:szCs w:val="24"/>
        </w:rPr>
        <w:t xml:space="preserve">El </w:t>
      </w:r>
      <w:r w:rsidR="00595738" w:rsidRPr="003B25C4">
        <w:rPr>
          <w:i/>
          <w:iCs/>
          <w:sz w:val="24"/>
          <w:szCs w:val="24"/>
        </w:rPr>
        <w:t>Tribunal</w:t>
      </w:r>
      <w:r w:rsidR="00595738" w:rsidRPr="003B25C4">
        <w:rPr>
          <w:sz w:val="24"/>
          <w:szCs w:val="24"/>
        </w:rPr>
        <w:t xml:space="preserve"> </w:t>
      </w:r>
      <w:r w:rsidRPr="003B25C4">
        <w:rPr>
          <w:i/>
          <w:iCs/>
          <w:sz w:val="24"/>
          <w:szCs w:val="24"/>
        </w:rPr>
        <w:t>local</w:t>
      </w:r>
      <w:r w:rsidRPr="003B25C4">
        <w:rPr>
          <w:sz w:val="24"/>
          <w:szCs w:val="24"/>
        </w:rPr>
        <w:t xml:space="preserve"> consideró </w:t>
      </w:r>
      <w:r w:rsidR="003F32A3">
        <w:rPr>
          <w:sz w:val="24"/>
          <w:szCs w:val="24"/>
        </w:rPr>
        <w:t xml:space="preserve">al respecto, </w:t>
      </w:r>
      <w:r w:rsidRPr="003B25C4">
        <w:rPr>
          <w:sz w:val="24"/>
          <w:szCs w:val="24"/>
        </w:rPr>
        <w:t xml:space="preserve">que </w:t>
      </w:r>
      <w:r w:rsidR="002E0744">
        <w:rPr>
          <w:sz w:val="24"/>
          <w:szCs w:val="24"/>
        </w:rPr>
        <w:t xml:space="preserve">por una </w:t>
      </w:r>
      <w:r w:rsidRPr="003B25C4">
        <w:rPr>
          <w:sz w:val="24"/>
          <w:szCs w:val="24"/>
        </w:rPr>
        <w:t>parte el agravio era fundado ya que efectivamente los dispositivos invocados señalan que, para las candidaturas de mujeres, sólo autoriza la sustitución por personas del mismo género, lo que en el acuerdo no se cumplió por la autoridad administrativa, al aprobar la sustitución de las mujeres que integraban la planilla de Comonfort, en la presidencia y primera regiduría propietaria y suplente, por hombres.</w:t>
      </w:r>
    </w:p>
    <w:p w14:paraId="09E9C8D9" w14:textId="011D7399" w:rsidR="003B25C4" w:rsidRPr="003B25C4" w:rsidRDefault="003B25C4" w:rsidP="003B25C4">
      <w:pPr>
        <w:spacing w:before="100" w:beforeAutospacing="1" w:after="100" w:afterAutospacing="1" w:line="360" w:lineRule="auto"/>
        <w:jc w:val="both"/>
        <w:rPr>
          <w:sz w:val="24"/>
          <w:szCs w:val="24"/>
        </w:rPr>
      </w:pPr>
      <w:r w:rsidRPr="003B25C4">
        <w:rPr>
          <w:sz w:val="24"/>
          <w:szCs w:val="24"/>
        </w:rPr>
        <w:t xml:space="preserve">No obstante, lo consideró inoperante en razón a que el </w:t>
      </w:r>
      <w:r w:rsidRPr="003B25C4">
        <w:rPr>
          <w:i/>
          <w:iCs/>
          <w:sz w:val="24"/>
          <w:szCs w:val="24"/>
        </w:rPr>
        <w:t>PAN</w:t>
      </w:r>
      <w:r w:rsidRPr="003B25C4">
        <w:rPr>
          <w:sz w:val="24"/>
          <w:szCs w:val="24"/>
        </w:rPr>
        <w:t xml:space="preserve"> fue omiso en especificar cuál fue el agravio que dicho incumplimiento normativo causaba a sus intereses, por lo que al ser el recurso de revisión un medio de impugnación de estricto derecho se encontraba imposibilitado para realizar un mayor abundamiento</w:t>
      </w:r>
      <w:r w:rsidR="003F32A3">
        <w:rPr>
          <w:sz w:val="24"/>
          <w:szCs w:val="24"/>
        </w:rPr>
        <w:t>, al haberse cumplido con los requerimientos de paridad</w:t>
      </w:r>
      <w:r w:rsidRPr="003B25C4">
        <w:rPr>
          <w:sz w:val="24"/>
          <w:szCs w:val="24"/>
        </w:rPr>
        <w:t>.</w:t>
      </w:r>
    </w:p>
    <w:p w14:paraId="68CAF5CF" w14:textId="34D85BD4" w:rsidR="003B25C4" w:rsidRPr="003B25C4" w:rsidRDefault="003B25C4" w:rsidP="003B25C4">
      <w:pPr>
        <w:spacing w:before="100" w:beforeAutospacing="1" w:after="100" w:afterAutospacing="1" w:line="360" w:lineRule="auto"/>
        <w:jc w:val="both"/>
        <w:rPr>
          <w:sz w:val="24"/>
          <w:szCs w:val="24"/>
        </w:rPr>
      </w:pPr>
      <w:r w:rsidRPr="003B25C4">
        <w:rPr>
          <w:sz w:val="24"/>
          <w:szCs w:val="24"/>
        </w:rPr>
        <w:t xml:space="preserve">Por otra parte, destacó que en el acuerdo impugnado, el </w:t>
      </w:r>
      <w:r w:rsidRPr="003B25C4">
        <w:rPr>
          <w:i/>
          <w:iCs/>
          <w:sz w:val="24"/>
          <w:szCs w:val="24"/>
        </w:rPr>
        <w:t xml:space="preserve">Instituto local </w:t>
      </w:r>
      <w:r w:rsidRPr="003B25C4">
        <w:rPr>
          <w:sz w:val="24"/>
          <w:szCs w:val="24"/>
        </w:rPr>
        <w:t xml:space="preserve">requirió a Morena la sustitución de las candidaturas en términos del artículo 194 de la </w:t>
      </w:r>
      <w:r w:rsidRPr="003B25C4">
        <w:rPr>
          <w:i/>
          <w:iCs/>
          <w:sz w:val="24"/>
          <w:szCs w:val="24"/>
        </w:rPr>
        <w:t>Ley electoral local</w:t>
      </w:r>
      <w:r w:rsidRPr="003B25C4">
        <w:rPr>
          <w:i/>
          <w:iCs/>
          <w:sz w:val="24"/>
          <w:szCs w:val="24"/>
          <w:vertAlign w:val="superscript"/>
        </w:rPr>
        <w:footnoteReference w:id="3"/>
      </w:r>
      <w:r w:rsidRPr="003B25C4">
        <w:rPr>
          <w:sz w:val="24"/>
          <w:szCs w:val="24"/>
        </w:rPr>
        <w:t xml:space="preserve"> sin hacer mención ni a los </w:t>
      </w:r>
      <w:r w:rsidRPr="002E0744">
        <w:rPr>
          <w:i/>
          <w:iCs/>
          <w:sz w:val="24"/>
          <w:szCs w:val="24"/>
        </w:rPr>
        <w:t>lineamientos de registro</w:t>
      </w:r>
      <w:r w:rsidRPr="003B25C4">
        <w:rPr>
          <w:sz w:val="24"/>
          <w:szCs w:val="24"/>
        </w:rPr>
        <w:t xml:space="preserve"> ni a los </w:t>
      </w:r>
      <w:r w:rsidRPr="002E0744">
        <w:rPr>
          <w:i/>
          <w:iCs/>
          <w:sz w:val="24"/>
          <w:szCs w:val="24"/>
        </w:rPr>
        <w:lastRenderedPageBreak/>
        <w:t>lineamientos de paridad</w:t>
      </w:r>
      <w:r w:rsidRPr="003B25C4">
        <w:rPr>
          <w:sz w:val="24"/>
          <w:szCs w:val="24"/>
        </w:rPr>
        <w:t>, situación que fue cumplimentada en sus términos por el partido político, por lo que consideró que no era imputable a Morena el incumplimiento a la citada normativa al no haber sido requerido en términos de lo dispuesto por los referidos lineamientos.</w:t>
      </w:r>
      <w:r w:rsidR="003F32A3">
        <w:rPr>
          <w:sz w:val="24"/>
          <w:szCs w:val="24"/>
        </w:rPr>
        <w:t xml:space="preserve"> Asimismo, que no existió una vulneración a los principios de paridad.</w:t>
      </w:r>
    </w:p>
    <w:p w14:paraId="4D450341" w14:textId="29D07A5A" w:rsidR="003B25C4" w:rsidRPr="003B25C4" w:rsidRDefault="003B25C4" w:rsidP="003B25C4">
      <w:pPr>
        <w:spacing w:before="100" w:beforeAutospacing="1" w:after="100" w:afterAutospacing="1" w:line="360" w:lineRule="auto"/>
        <w:jc w:val="both"/>
        <w:rPr>
          <w:sz w:val="24"/>
          <w:szCs w:val="24"/>
          <w:lang w:val="es-ES"/>
        </w:rPr>
      </w:pPr>
      <w:r w:rsidRPr="004B1317">
        <w:rPr>
          <w:sz w:val="24"/>
          <w:szCs w:val="24"/>
          <w:lang w:val="es-ES"/>
        </w:rPr>
        <w:t xml:space="preserve">El agravio no </w:t>
      </w:r>
      <w:r w:rsidR="003F32A3" w:rsidRPr="004B1317">
        <w:rPr>
          <w:sz w:val="24"/>
          <w:szCs w:val="24"/>
          <w:lang w:val="es-ES"/>
        </w:rPr>
        <w:t>combate</w:t>
      </w:r>
      <w:r w:rsidRPr="004B1317">
        <w:rPr>
          <w:sz w:val="24"/>
          <w:szCs w:val="24"/>
          <w:lang w:val="es-ES"/>
        </w:rPr>
        <w:t xml:space="preserve"> frontalmente</w:t>
      </w:r>
      <w:r w:rsidRPr="003B25C4">
        <w:rPr>
          <w:sz w:val="24"/>
          <w:szCs w:val="24"/>
          <w:lang w:val="es-ES"/>
        </w:rPr>
        <w:t xml:space="preserve"> dichos razonamientos, en </w:t>
      </w:r>
      <w:proofErr w:type="gramStart"/>
      <w:r w:rsidRPr="003B25C4">
        <w:rPr>
          <w:sz w:val="24"/>
          <w:szCs w:val="24"/>
          <w:lang w:val="es-ES"/>
        </w:rPr>
        <w:t>consecuencia</w:t>
      </w:r>
      <w:proofErr w:type="gramEnd"/>
      <w:r w:rsidRPr="003B25C4">
        <w:rPr>
          <w:sz w:val="24"/>
          <w:szCs w:val="24"/>
          <w:lang w:val="es-ES"/>
        </w:rPr>
        <w:t xml:space="preserve"> resulta insuficiente para </w:t>
      </w:r>
      <w:r w:rsidR="003F32A3">
        <w:rPr>
          <w:sz w:val="24"/>
          <w:szCs w:val="24"/>
          <w:lang w:val="es-ES"/>
        </w:rPr>
        <w:t xml:space="preserve">que esta Sala analice si son adecuadas o no </w:t>
      </w:r>
      <w:r w:rsidRPr="003B25C4">
        <w:rPr>
          <w:sz w:val="24"/>
          <w:szCs w:val="24"/>
          <w:lang w:val="es-ES"/>
        </w:rPr>
        <w:t xml:space="preserve">las consideraciones del </w:t>
      </w:r>
      <w:r w:rsidR="002E0744" w:rsidRPr="003B25C4">
        <w:rPr>
          <w:i/>
          <w:iCs/>
          <w:sz w:val="24"/>
          <w:szCs w:val="24"/>
          <w:lang w:val="es-ES"/>
        </w:rPr>
        <w:t>Tribunal</w:t>
      </w:r>
      <w:r w:rsidR="002E0744" w:rsidRPr="003B25C4">
        <w:rPr>
          <w:sz w:val="24"/>
          <w:szCs w:val="24"/>
          <w:lang w:val="es-ES"/>
        </w:rPr>
        <w:t xml:space="preserve"> </w:t>
      </w:r>
      <w:r w:rsidRPr="003B25C4">
        <w:rPr>
          <w:i/>
          <w:iCs/>
          <w:sz w:val="24"/>
          <w:szCs w:val="24"/>
          <w:lang w:val="es-ES"/>
        </w:rPr>
        <w:t>local</w:t>
      </w:r>
      <w:r w:rsidRPr="003B25C4">
        <w:rPr>
          <w:sz w:val="24"/>
          <w:szCs w:val="24"/>
          <w:lang w:val="es-ES"/>
        </w:rPr>
        <w:t>, de ahí la inoperancia de sus argumentos, pues dado el carácter extraordinario del juicio de revisión constitucional, esta Sala Regional no puede estudiar de oficio las consideraciones de la autoridad responsable.</w:t>
      </w:r>
    </w:p>
    <w:p w14:paraId="6B9AB485" w14:textId="79E81180" w:rsidR="003B25C4" w:rsidRDefault="004F5E3A" w:rsidP="003B25C4">
      <w:pPr>
        <w:spacing w:before="100" w:beforeAutospacing="1" w:after="100" w:afterAutospacing="1" w:line="360" w:lineRule="auto"/>
        <w:jc w:val="both"/>
        <w:rPr>
          <w:sz w:val="24"/>
          <w:szCs w:val="24"/>
          <w:lang w:val="es-ES"/>
        </w:rPr>
      </w:pPr>
      <w:r>
        <w:rPr>
          <w:sz w:val="24"/>
          <w:szCs w:val="24"/>
          <w:lang w:val="es-ES"/>
        </w:rPr>
        <w:t xml:space="preserve">En efecto, </w:t>
      </w:r>
      <w:r w:rsidR="003B25C4" w:rsidRPr="003B25C4">
        <w:rPr>
          <w:sz w:val="24"/>
          <w:szCs w:val="24"/>
          <w:lang w:val="es-ES"/>
        </w:rPr>
        <w:t xml:space="preserve">es evidente que el partido actor incumple con la carga procesal de combatir las consideraciones de la responsable respecto a la calificación y alcance de sus agravios, de tal forma, que al no reunirse los requisitos que la técnica jurídico-procesal establece para la expresión de agravios, es indiscutible que los argumentos vertidos por el </w:t>
      </w:r>
      <w:r w:rsidR="003B25C4" w:rsidRPr="003B25C4">
        <w:rPr>
          <w:i/>
          <w:iCs/>
          <w:sz w:val="24"/>
          <w:szCs w:val="24"/>
          <w:lang w:val="es-ES"/>
        </w:rPr>
        <w:t>tribunal local</w:t>
      </w:r>
      <w:r w:rsidR="003B25C4" w:rsidRPr="003B25C4">
        <w:rPr>
          <w:sz w:val="24"/>
          <w:szCs w:val="24"/>
          <w:lang w:val="es-ES"/>
        </w:rPr>
        <w:t xml:space="preserve"> continúen rigiendo el sentido de la resolución combatida, pues el juicio de revisión constitucional no constituye una repetición de la instancia primigenia, ni una revisión oficiosa de lo expresado en los motivos de inconformidad originalmente planteados, sino que constituye un auténtico medio de impugnación</w:t>
      </w:r>
      <w:r>
        <w:rPr>
          <w:sz w:val="24"/>
          <w:szCs w:val="24"/>
          <w:lang w:val="es-ES"/>
        </w:rPr>
        <w:t>,</w:t>
      </w:r>
      <w:r w:rsidR="003B25C4" w:rsidRPr="003B25C4">
        <w:rPr>
          <w:sz w:val="24"/>
          <w:szCs w:val="24"/>
          <w:lang w:val="es-ES"/>
        </w:rPr>
        <w:t xml:space="preserve"> en virtud del cual se analiza la constitucionalidad del acto reclamado a la luz de los agravios que al efecto deben expresarse</w:t>
      </w:r>
      <w:r>
        <w:rPr>
          <w:sz w:val="24"/>
          <w:szCs w:val="24"/>
          <w:lang w:val="es-ES"/>
        </w:rPr>
        <w:t>,</w:t>
      </w:r>
      <w:r w:rsidR="003B25C4" w:rsidRPr="003B25C4">
        <w:rPr>
          <w:sz w:val="24"/>
          <w:szCs w:val="24"/>
          <w:lang w:val="es-ES"/>
        </w:rPr>
        <w:t xml:space="preserve"> a fin de que este órgano jurisdiccional se encuentre en aptitud de analizar la resolución impugnada, situación que en la especie no acontece.</w:t>
      </w:r>
    </w:p>
    <w:p w14:paraId="56F45DF3" w14:textId="73DBAF82" w:rsidR="004F5E3A" w:rsidRDefault="004F5E3A" w:rsidP="003B25C4">
      <w:pPr>
        <w:spacing w:before="100" w:beforeAutospacing="1" w:after="100" w:afterAutospacing="1" w:line="360" w:lineRule="auto"/>
        <w:jc w:val="both"/>
        <w:rPr>
          <w:sz w:val="24"/>
          <w:szCs w:val="24"/>
          <w:lang w:val="es-ES"/>
        </w:rPr>
      </w:pPr>
      <w:r>
        <w:rPr>
          <w:sz w:val="24"/>
          <w:szCs w:val="24"/>
          <w:lang w:val="es-ES"/>
        </w:rPr>
        <w:t xml:space="preserve">Cabe señalar, que con </w:t>
      </w:r>
      <w:r w:rsidRPr="004B1317">
        <w:rPr>
          <w:sz w:val="24"/>
          <w:szCs w:val="24"/>
          <w:lang w:val="es-ES"/>
        </w:rPr>
        <w:t>independencia de la insuficiencia</w:t>
      </w:r>
      <w:r>
        <w:rPr>
          <w:sz w:val="24"/>
          <w:szCs w:val="24"/>
          <w:lang w:val="es-ES"/>
        </w:rPr>
        <w:t xml:space="preserve"> de los agravios para afrontar cabalmente las consideraciones dadas en la sentencia impugnada, no se desprende una violación al principio de legalidad, en cuanto el </w:t>
      </w:r>
      <w:r w:rsidRPr="004F5E3A">
        <w:rPr>
          <w:i/>
          <w:iCs/>
          <w:sz w:val="24"/>
          <w:szCs w:val="24"/>
          <w:lang w:val="es-ES"/>
        </w:rPr>
        <w:t>Tribunal local</w:t>
      </w:r>
      <w:r>
        <w:rPr>
          <w:sz w:val="24"/>
          <w:szCs w:val="24"/>
          <w:lang w:val="es-ES"/>
        </w:rPr>
        <w:t xml:space="preserve"> estimó que la lectura del artículo 46 de los </w:t>
      </w:r>
      <w:r w:rsidRPr="004F5E3A">
        <w:rPr>
          <w:i/>
          <w:iCs/>
          <w:sz w:val="24"/>
          <w:szCs w:val="24"/>
          <w:lang w:val="es-ES"/>
        </w:rPr>
        <w:t>lineamientos de registro</w:t>
      </w:r>
      <w:r>
        <w:rPr>
          <w:i/>
          <w:iCs/>
          <w:sz w:val="24"/>
          <w:szCs w:val="24"/>
          <w:lang w:val="es-ES"/>
        </w:rPr>
        <w:t>,</w:t>
      </w:r>
      <w:r>
        <w:rPr>
          <w:sz w:val="24"/>
          <w:szCs w:val="24"/>
          <w:lang w:val="es-ES"/>
        </w:rPr>
        <w:t xml:space="preserve"> no debe hacerse de forma aislada, pues su propio texto remite a los numerales 17 y 18 de los </w:t>
      </w:r>
      <w:r w:rsidRPr="004F5E3A">
        <w:rPr>
          <w:i/>
          <w:iCs/>
          <w:sz w:val="24"/>
          <w:szCs w:val="24"/>
          <w:lang w:val="es-ES"/>
        </w:rPr>
        <w:t>lineamientos de paridad</w:t>
      </w:r>
      <w:r>
        <w:rPr>
          <w:sz w:val="24"/>
          <w:szCs w:val="24"/>
          <w:lang w:val="es-ES"/>
        </w:rPr>
        <w:t>, los cuales son instrumentos para resguardar que se cumpla con las reglas de maximización de la igualdad sustantiva.</w:t>
      </w:r>
    </w:p>
    <w:p w14:paraId="4DE8FD0C" w14:textId="65B512BB" w:rsidR="004F5E3A" w:rsidRPr="003B25C4" w:rsidRDefault="004F5E3A" w:rsidP="003B25C4">
      <w:pPr>
        <w:spacing w:before="100" w:beforeAutospacing="1" w:after="100" w:afterAutospacing="1" w:line="360" w:lineRule="auto"/>
        <w:jc w:val="both"/>
        <w:rPr>
          <w:sz w:val="24"/>
          <w:szCs w:val="24"/>
          <w:lang w:val="es-ES"/>
        </w:rPr>
      </w:pPr>
      <w:r w:rsidRPr="004B1317">
        <w:rPr>
          <w:sz w:val="24"/>
          <w:szCs w:val="24"/>
          <w:lang w:val="es-ES"/>
        </w:rPr>
        <w:lastRenderedPageBreak/>
        <w:t xml:space="preserve">Es decir, </w:t>
      </w:r>
      <w:r w:rsidR="00166BFF" w:rsidRPr="004B1317">
        <w:rPr>
          <w:sz w:val="24"/>
          <w:szCs w:val="24"/>
        </w:rPr>
        <w:t>como una medida de protección a las mujeres postuladas a cargos de elección popular es que se ha establecido que en caso de presentarse una sustitución esta se realice por una persona del mismo género,</w:t>
      </w:r>
      <w:r w:rsidR="00166BFF" w:rsidRPr="004B1317">
        <w:rPr>
          <w:sz w:val="24"/>
          <w:szCs w:val="24"/>
          <w:lang w:val="es-ES"/>
        </w:rPr>
        <w:t xml:space="preserve"> sin embargo </w:t>
      </w:r>
      <w:r w:rsidRPr="004B1317">
        <w:rPr>
          <w:sz w:val="24"/>
          <w:szCs w:val="24"/>
          <w:lang w:val="es-ES"/>
        </w:rPr>
        <w:t xml:space="preserve">la previsión de sustitución por el mismo género, no es una regla de maximización en si misma, sino que tutela la posibilidad de que a través del registro y posterior sustitución, </w:t>
      </w:r>
      <w:r w:rsidR="00166BFF" w:rsidRPr="004B1317">
        <w:rPr>
          <w:sz w:val="24"/>
          <w:szCs w:val="24"/>
          <w:lang w:val="es-ES"/>
        </w:rPr>
        <w:t xml:space="preserve">no </w:t>
      </w:r>
      <w:r w:rsidRPr="004B1317">
        <w:rPr>
          <w:sz w:val="24"/>
          <w:szCs w:val="24"/>
          <w:lang w:val="es-ES"/>
        </w:rPr>
        <w:t>se provoque una situación fraudulenta a la regla de maximización que constituye la postulación mayoritaria del género femenino en el segmento de mayor competitividad</w:t>
      </w:r>
      <w:r w:rsidR="004B1317">
        <w:rPr>
          <w:sz w:val="24"/>
          <w:szCs w:val="24"/>
          <w:lang w:val="es-ES"/>
        </w:rPr>
        <w:t>.</w:t>
      </w:r>
    </w:p>
    <w:p w14:paraId="290C3F57" w14:textId="43C307E3" w:rsidR="003B25C4" w:rsidRPr="003B25C4" w:rsidRDefault="003B25C4" w:rsidP="003B25C4">
      <w:pPr>
        <w:spacing w:before="100" w:beforeAutospacing="1" w:after="100" w:afterAutospacing="1" w:line="360" w:lineRule="auto"/>
        <w:jc w:val="both"/>
        <w:rPr>
          <w:bCs/>
          <w:sz w:val="24"/>
          <w:szCs w:val="24"/>
          <w:lang w:val="es-ES"/>
        </w:rPr>
      </w:pPr>
      <w:r w:rsidRPr="003B25C4">
        <w:rPr>
          <w:bCs/>
          <w:sz w:val="24"/>
          <w:szCs w:val="24"/>
          <w:lang w:val="es-ES"/>
        </w:rPr>
        <w:t>En consecuencia, al resultar in</w:t>
      </w:r>
      <w:r w:rsidR="004F5E3A">
        <w:rPr>
          <w:bCs/>
          <w:sz w:val="24"/>
          <w:szCs w:val="24"/>
          <w:lang w:val="es-ES"/>
        </w:rPr>
        <w:t xml:space="preserve">eficaces </w:t>
      </w:r>
      <w:r w:rsidRPr="003B25C4">
        <w:rPr>
          <w:bCs/>
          <w:sz w:val="24"/>
          <w:szCs w:val="24"/>
          <w:lang w:val="es-ES"/>
        </w:rPr>
        <w:t>los motivos de disenso hechos valer por el recurrente, lo procedente conforme a Derecho es confirmar la sentencia impugnada.</w:t>
      </w:r>
    </w:p>
    <w:p w14:paraId="062C2206" w14:textId="77777777" w:rsidR="003B25C4" w:rsidRPr="003B25C4" w:rsidRDefault="003B25C4" w:rsidP="003B25C4">
      <w:pPr>
        <w:spacing w:before="100" w:beforeAutospacing="1" w:after="100" w:afterAutospacing="1" w:line="360" w:lineRule="auto"/>
        <w:jc w:val="both"/>
        <w:rPr>
          <w:b/>
          <w:bCs/>
          <w:sz w:val="24"/>
          <w:szCs w:val="24"/>
        </w:rPr>
      </w:pPr>
      <w:r w:rsidRPr="003B25C4">
        <w:rPr>
          <w:b/>
          <w:bCs/>
          <w:sz w:val="24"/>
          <w:szCs w:val="24"/>
        </w:rPr>
        <w:t xml:space="preserve">5. </w:t>
      </w:r>
      <w:r w:rsidRPr="003B25C4">
        <w:rPr>
          <w:b/>
          <w:bCs/>
          <w:sz w:val="24"/>
          <w:szCs w:val="24"/>
          <w:lang w:val="es-ES_tradnl"/>
        </w:rPr>
        <w:t>RESOLUTIVO</w:t>
      </w:r>
    </w:p>
    <w:p w14:paraId="6621F574" w14:textId="77777777" w:rsidR="003B25C4" w:rsidRPr="003B25C4" w:rsidRDefault="003B25C4" w:rsidP="003B25C4">
      <w:pPr>
        <w:spacing w:before="100" w:beforeAutospacing="1" w:after="100" w:afterAutospacing="1" w:line="360" w:lineRule="auto"/>
        <w:jc w:val="both"/>
        <w:rPr>
          <w:sz w:val="24"/>
          <w:szCs w:val="24"/>
          <w:lang w:val="es-ES_tradnl"/>
        </w:rPr>
      </w:pPr>
      <w:r w:rsidRPr="003B25C4">
        <w:rPr>
          <w:b/>
          <w:sz w:val="24"/>
          <w:szCs w:val="24"/>
          <w:lang w:val="es-ES_tradnl"/>
        </w:rPr>
        <w:t>ÚNICO.</w:t>
      </w:r>
      <w:r w:rsidRPr="003B25C4">
        <w:rPr>
          <w:sz w:val="24"/>
          <w:szCs w:val="24"/>
          <w:lang w:val="es-ES_tradnl"/>
        </w:rPr>
        <w:t xml:space="preserve"> Se confirma la sentencia impugnada.</w:t>
      </w:r>
    </w:p>
    <w:p w14:paraId="3FD24299" w14:textId="77777777" w:rsidR="003B25C4" w:rsidRPr="003B25C4" w:rsidRDefault="003B25C4" w:rsidP="003B25C4">
      <w:pPr>
        <w:spacing w:before="100" w:beforeAutospacing="1" w:after="100" w:afterAutospacing="1" w:line="360" w:lineRule="auto"/>
        <w:jc w:val="both"/>
        <w:rPr>
          <w:sz w:val="24"/>
          <w:szCs w:val="24"/>
          <w:lang w:val="es-ES_tradnl"/>
        </w:rPr>
      </w:pPr>
      <w:r w:rsidRPr="003B25C4">
        <w:rPr>
          <w:sz w:val="24"/>
          <w:szCs w:val="24"/>
          <w:lang w:val="es-ES_tradnl"/>
        </w:rPr>
        <w:t>En su oportunidad, archívese el expediente como asunto concluido y, en su caso, devuélvase la documentación remitida por la responsable.</w:t>
      </w:r>
    </w:p>
    <w:p w14:paraId="0051D129" w14:textId="77777777" w:rsidR="003B25C4" w:rsidRPr="003B25C4" w:rsidRDefault="003B25C4" w:rsidP="003B25C4">
      <w:pPr>
        <w:spacing w:before="100" w:beforeAutospacing="1" w:after="100" w:afterAutospacing="1" w:line="360" w:lineRule="auto"/>
        <w:jc w:val="both"/>
        <w:rPr>
          <w:sz w:val="24"/>
          <w:szCs w:val="24"/>
        </w:rPr>
      </w:pPr>
      <w:r w:rsidRPr="003B25C4">
        <w:rPr>
          <w:b/>
          <w:sz w:val="24"/>
          <w:szCs w:val="24"/>
        </w:rPr>
        <w:t>NOTIFÍQUESE.</w:t>
      </w:r>
      <w:r w:rsidRPr="003B25C4">
        <w:rPr>
          <w:sz w:val="24"/>
          <w:szCs w:val="24"/>
        </w:rPr>
        <w:t xml:space="preserve"> </w:t>
      </w:r>
    </w:p>
    <w:p w14:paraId="5DD1C2BF" w14:textId="0DE00DFE" w:rsidR="003B25C4" w:rsidRPr="003B25C4" w:rsidRDefault="003B25C4" w:rsidP="003B25C4">
      <w:pPr>
        <w:tabs>
          <w:tab w:val="left" w:pos="5461"/>
        </w:tabs>
        <w:spacing w:before="100" w:beforeAutospacing="1" w:after="100" w:afterAutospacing="1" w:line="360" w:lineRule="auto"/>
        <w:jc w:val="both"/>
        <w:rPr>
          <w:rFonts w:eastAsia="Calibri"/>
          <w:sz w:val="24"/>
          <w:szCs w:val="24"/>
        </w:rPr>
      </w:pPr>
      <w:r w:rsidRPr="003B25C4">
        <w:rPr>
          <w:rFonts w:eastAsia="Calibri"/>
          <w:sz w:val="24"/>
          <w:szCs w:val="24"/>
        </w:rPr>
        <w:t xml:space="preserve">Así lo resolvieron, por </w:t>
      </w:r>
      <w:r w:rsidR="00DF055F" w:rsidRPr="00DF055F">
        <w:rPr>
          <w:rFonts w:eastAsia="Calibri"/>
          <w:b/>
          <w:bCs/>
          <w:sz w:val="24"/>
          <w:szCs w:val="24"/>
        </w:rPr>
        <w:t>unanimidad</w:t>
      </w:r>
      <w:r w:rsidRPr="003B25C4">
        <w:rPr>
          <w:rFonts w:eastAsia="Calibri"/>
          <w:b/>
          <w:sz w:val="24"/>
          <w:szCs w:val="24"/>
        </w:rPr>
        <w:t xml:space="preserve"> </w:t>
      </w:r>
      <w:r w:rsidRPr="003B25C4">
        <w:rPr>
          <w:rFonts w:eastAsia="Calibri"/>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532903B6" w14:textId="77777777" w:rsidR="003B25C4" w:rsidRPr="003B25C4" w:rsidRDefault="003B25C4" w:rsidP="003B25C4">
      <w:pPr>
        <w:spacing w:before="100" w:beforeAutospacing="1" w:after="100" w:afterAutospacing="1" w:line="240" w:lineRule="auto"/>
        <w:jc w:val="both"/>
        <w:rPr>
          <w:rFonts w:eastAsia="Times New Roman"/>
          <w:i/>
          <w:iCs/>
          <w:sz w:val="24"/>
          <w:szCs w:val="24"/>
          <w:lang w:eastAsia="es-ES"/>
        </w:rPr>
      </w:pPr>
      <w:r w:rsidRPr="003B25C4">
        <w:rPr>
          <w:rFonts w:eastAsia="Times New Roman"/>
          <w:i/>
          <w:iCs/>
          <w:sz w:val="24"/>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3B25C4" w:rsidRPr="003B25C4" w:rsidSect="00C40DA8">
      <w:headerReference w:type="even" r:id="rId8"/>
      <w:headerReference w:type="default" r:id="rId9"/>
      <w:headerReference w:type="first" r:id="rId10"/>
      <w:pgSz w:w="12242" w:h="19295" w:code="200"/>
      <w:pgMar w:top="1418" w:right="1134" w:bottom="1134"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71EC" w14:textId="77777777" w:rsidR="009B3592" w:rsidRDefault="009B3592" w:rsidP="00F9011A">
      <w:pPr>
        <w:spacing w:after="0" w:line="240" w:lineRule="auto"/>
      </w:pPr>
      <w:r>
        <w:separator/>
      </w:r>
    </w:p>
  </w:endnote>
  <w:endnote w:type="continuationSeparator" w:id="0">
    <w:p w14:paraId="7E120DA5" w14:textId="77777777" w:rsidR="009B3592" w:rsidRDefault="009B3592"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8CC8" w14:textId="77777777" w:rsidR="009B3592" w:rsidRDefault="009B3592" w:rsidP="00F9011A">
      <w:pPr>
        <w:spacing w:after="0" w:line="240" w:lineRule="auto"/>
      </w:pPr>
      <w:r>
        <w:separator/>
      </w:r>
    </w:p>
  </w:footnote>
  <w:footnote w:type="continuationSeparator" w:id="0">
    <w:p w14:paraId="11D5407F" w14:textId="77777777" w:rsidR="009B3592" w:rsidRDefault="009B3592" w:rsidP="00F9011A">
      <w:pPr>
        <w:spacing w:after="0" w:line="240" w:lineRule="auto"/>
      </w:pPr>
      <w:r>
        <w:continuationSeparator/>
      </w:r>
    </w:p>
  </w:footnote>
  <w:footnote w:id="1">
    <w:p w14:paraId="070B3A7D" w14:textId="4DC0D77C" w:rsidR="005A635A" w:rsidRPr="00C40DA8" w:rsidRDefault="005A635A" w:rsidP="009271BD">
      <w:pPr>
        <w:pStyle w:val="Textonotapie"/>
        <w:jc w:val="both"/>
        <w:rPr>
          <w:lang w:val="es-ES"/>
        </w:rPr>
      </w:pPr>
      <w:r>
        <w:rPr>
          <w:rStyle w:val="Refdenotaalpie"/>
        </w:rPr>
        <w:footnoteRef/>
      </w:r>
      <w:r>
        <w:t xml:space="preserve"> </w:t>
      </w:r>
      <w:r>
        <w:rPr>
          <w:lang w:val="es-ES"/>
        </w:rPr>
        <w:t>Las fechas que se citan corresponden al año dos mil veintiuno, salvo distinta precisión.</w:t>
      </w:r>
    </w:p>
  </w:footnote>
  <w:footnote w:id="2">
    <w:p w14:paraId="3BE89B50" w14:textId="5D6BFF4D" w:rsidR="005A635A" w:rsidRPr="009C1AF5" w:rsidRDefault="005A635A" w:rsidP="009271BD">
      <w:pPr>
        <w:tabs>
          <w:tab w:val="left" w:pos="2254"/>
        </w:tabs>
        <w:spacing w:after="0" w:line="240" w:lineRule="auto"/>
        <w:jc w:val="both"/>
        <w:rPr>
          <w:bCs/>
        </w:rPr>
      </w:pPr>
      <w:r w:rsidRPr="009C1AF5">
        <w:rPr>
          <w:rStyle w:val="Refdenotaalpie"/>
        </w:rPr>
        <w:footnoteRef/>
      </w:r>
      <w:r w:rsidRPr="009C1AF5">
        <w:t xml:space="preserve"> </w:t>
      </w:r>
      <w:r>
        <w:t>D</w:t>
      </w:r>
      <w:r w:rsidRPr="009C1AF5">
        <w:t>e conformidad con lo previsto en los artículos 195, fracción III, de la Ley Orgánica del Poder Judicial de la Federación</w:t>
      </w:r>
      <w:r>
        <w:t>; y</w:t>
      </w:r>
      <w:r w:rsidRPr="009C1AF5">
        <w:t xml:space="preserve"> 87, párrafo 1, inciso b)</w:t>
      </w:r>
      <w:r w:rsidRPr="009C1AF5">
        <w:rPr>
          <w:bCs/>
        </w:rPr>
        <w:t xml:space="preserve">, de la </w:t>
      </w:r>
      <w:r w:rsidRPr="009C1AF5">
        <w:rPr>
          <w:bCs/>
          <w:i/>
        </w:rPr>
        <w:t>Ley de Medios</w:t>
      </w:r>
      <w:r w:rsidRPr="009C1AF5">
        <w:rPr>
          <w:bCs/>
        </w:rPr>
        <w:t xml:space="preserve">. </w:t>
      </w:r>
    </w:p>
  </w:footnote>
  <w:footnote w:id="3">
    <w:p w14:paraId="67803BAD" w14:textId="77777777" w:rsidR="005A635A" w:rsidRPr="001508E4" w:rsidRDefault="005A635A" w:rsidP="003B25C4">
      <w:pPr>
        <w:pStyle w:val="Textonotapie"/>
        <w:jc w:val="both"/>
      </w:pPr>
      <w:r w:rsidRPr="001508E4">
        <w:rPr>
          <w:rStyle w:val="Refdenotaalpie"/>
        </w:rPr>
        <w:footnoteRef/>
      </w:r>
      <w:r w:rsidRPr="001508E4">
        <w:t xml:space="preserve"> Artículo 194. Para la sustitución de candidatos, los partidos políticos lo solicitarán por escrito al Consejo General, respetando las reglas de paridad y observando las siguientes disposiciones:</w:t>
      </w:r>
    </w:p>
    <w:p w14:paraId="3D7E3E87" w14:textId="77777777" w:rsidR="005A635A" w:rsidRPr="001508E4" w:rsidRDefault="005A635A" w:rsidP="003B25C4">
      <w:pPr>
        <w:pStyle w:val="Textonotapie"/>
        <w:jc w:val="both"/>
      </w:pPr>
      <w:r>
        <w:t>[…]</w:t>
      </w:r>
    </w:p>
    <w:p w14:paraId="2F31A35A" w14:textId="77777777" w:rsidR="005A635A" w:rsidRPr="001508E4" w:rsidRDefault="005A635A" w:rsidP="003B25C4">
      <w:pPr>
        <w:pStyle w:val="Textonotapie"/>
        <w:jc w:val="both"/>
      </w:pPr>
      <w:r w:rsidRPr="001508E4">
        <w:t xml:space="preserve">II. Vencido el plazo a que se refiere la fracción anterior, exclusivamente podrán sustituirlos por causa de fallecimiento, inhabilitación, incapacidad o </w:t>
      </w:r>
      <w:r w:rsidRPr="001508E4">
        <w:rPr>
          <w:b/>
          <w:bCs/>
        </w:rPr>
        <w:t>renuncia</w:t>
      </w:r>
      <w:r w:rsidRPr="001508E4">
        <w:t>. No habrá modificación a las boletas electorales en caso de cancelación de registro o sustitución de uno o más candidatos, si estas ya estuvieran impresas, en los términos de la Ley General.</w:t>
      </w:r>
    </w:p>
    <w:p w14:paraId="1E547329" w14:textId="77777777" w:rsidR="005A635A" w:rsidRPr="001508E4" w:rsidRDefault="005A635A" w:rsidP="003B25C4">
      <w:pPr>
        <w:pStyle w:val="Textonotapie"/>
        <w:jc w:val="both"/>
      </w:pPr>
      <w:r w:rsidRPr="001508E4">
        <w:t>En el supuesto de que siendo necesaria una sustitución y ésta no se lleve a cabo por los partidos políticos correspondientes, se tendrá como si no hubiese registrado al candidato respectivo, y</w:t>
      </w:r>
    </w:p>
    <w:p w14:paraId="28D2BFF7" w14:textId="77777777" w:rsidR="005A635A" w:rsidRPr="001508E4" w:rsidRDefault="005A635A" w:rsidP="003B25C4">
      <w:pPr>
        <w:pStyle w:val="Textonotapie"/>
        <w:jc w:val="both"/>
      </w:pPr>
      <w:r w:rsidRPr="001508E4">
        <w:t xml:space="preserve">III. En los casos en que la </w:t>
      </w:r>
      <w:r w:rsidRPr="001508E4">
        <w:rPr>
          <w:b/>
          <w:bCs/>
        </w:rPr>
        <w:t>renuncia</w:t>
      </w:r>
      <w:r w:rsidRPr="001508E4">
        <w:t xml:space="preserve"> del candidato fuera notificada por éste al Consejo General, se hará por escrito del conocimiento del partido político que lo registro para que proceda, en su caso, a su sustitución.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555E" w14:textId="5F1F06DB" w:rsidR="005A635A" w:rsidRPr="00A324D6" w:rsidRDefault="005A635A"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5A635A" w:rsidRPr="009F45DC" w:rsidRDefault="005A635A">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" o:allowincell="f" stroked="f">
              <o:lock v:ext="edit" aspectratio="t"/>
              <v:textbox>
                <w:txbxContent>
                  <w:p w14:paraId="586A8C5F" w14:textId="77777777" w:rsidR="005A635A" w:rsidRPr="009F45DC" w:rsidRDefault="005A635A">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JRC-87/2021</w:t>
    </w:r>
  </w:p>
  <w:p w14:paraId="3DB0D436" w14:textId="77777777" w:rsidR="005A635A" w:rsidRPr="00046955" w:rsidRDefault="005A635A"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35D1" w14:textId="1BE5EF6E" w:rsidR="005A635A" w:rsidRDefault="005A635A"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5A635A" w:rsidRPr="009F45DC" w:rsidRDefault="005A635A">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" o:allowincell="f" stroked="f">
              <o:lock v:ext="edit" aspectratio="t"/>
              <v:textbox>
                <w:txbxContent>
                  <w:p w14:paraId="0172E14B" w14:textId="77777777" w:rsidR="005A635A" w:rsidRPr="009F45DC" w:rsidRDefault="005A635A">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JRC-87/2021</w:t>
    </w:r>
  </w:p>
  <w:p w14:paraId="583F7142" w14:textId="77777777" w:rsidR="005A635A" w:rsidRPr="00811BAE" w:rsidRDefault="005A635A"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7834" w14:textId="50237431" w:rsidR="005A635A" w:rsidRDefault="005A635A">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3CA3"/>
    <w:multiLevelType w:val="hybridMultilevel"/>
    <w:tmpl w:val="CACA37DC"/>
    <w:lvl w:ilvl="0" w:tplc="F6EA3934">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5C3F7E"/>
    <w:multiLevelType w:val="hybridMultilevel"/>
    <w:tmpl w:val="1D4C3CA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BA6615"/>
    <w:multiLevelType w:val="hybridMultilevel"/>
    <w:tmpl w:val="7C182594"/>
    <w:lvl w:ilvl="0" w:tplc="E7D46D4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20187C"/>
    <w:multiLevelType w:val="hybridMultilevel"/>
    <w:tmpl w:val="FB8E1F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0A7F3B"/>
    <w:multiLevelType w:val="hybridMultilevel"/>
    <w:tmpl w:val="9EE40576"/>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5" w15:restartNumberingAfterBreak="0">
    <w:nsid w:val="3D035690"/>
    <w:multiLevelType w:val="hybridMultilevel"/>
    <w:tmpl w:val="14C2D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604426"/>
    <w:multiLevelType w:val="hybridMultilevel"/>
    <w:tmpl w:val="DCB463B4"/>
    <w:lvl w:ilvl="0" w:tplc="7C6CA58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021419"/>
    <w:multiLevelType w:val="hybridMultilevel"/>
    <w:tmpl w:val="DCB463B4"/>
    <w:lvl w:ilvl="0" w:tplc="7C6CA58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0C0B9B"/>
    <w:multiLevelType w:val="hybridMultilevel"/>
    <w:tmpl w:val="F8B84DDE"/>
    <w:lvl w:ilvl="0" w:tplc="944A6F2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7B5824"/>
    <w:multiLevelType w:val="hybridMultilevel"/>
    <w:tmpl w:val="414695DC"/>
    <w:lvl w:ilvl="0" w:tplc="E03E5EF2">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6D30F9"/>
    <w:multiLevelType w:val="hybridMultilevel"/>
    <w:tmpl w:val="639A7B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8878A4"/>
    <w:multiLevelType w:val="hybridMultilevel"/>
    <w:tmpl w:val="9F26DD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D86ECC"/>
    <w:multiLevelType w:val="hybridMultilevel"/>
    <w:tmpl w:val="9EF47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AE1D38"/>
    <w:multiLevelType w:val="hybridMultilevel"/>
    <w:tmpl w:val="DCB463B4"/>
    <w:lvl w:ilvl="0" w:tplc="7C6CA58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8497D"/>
    <w:multiLevelType w:val="hybridMultilevel"/>
    <w:tmpl w:val="C1045402"/>
    <w:lvl w:ilvl="0" w:tplc="4A7CD1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0847BB"/>
    <w:multiLevelType w:val="hybridMultilevel"/>
    <w:tmpl w:val="6DE21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36D50"/>
    <w:multiLevelType w:val="hybridMultilevel"/>
    <w:tmpl w:val="639A7B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2A5D11"/>
    <w:multiLevelType w:val="hybridMultilevel"/>
    <w:tmpl w:val="DCB463B4"/>
    <w:lvl w:ilvl="0" w:tplc="7C6CA58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94368A"/>
    <w:multiLevelType w:val="hybridMultilevel"/>
    <w:tmpl w:val="639A7B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5"/>
  </w:num>
  <w:num w:numId="5">
    <w:abstractNumId w:val="16"/>
  </w:num>
  <w:num w:numId="6">
    <w:abstractNumId w:val="18"/>
  </w:num>
  <w:num w:numId="7">
    <w:abstractNumId w:val="10"/>
  </w:num>
  <w:num w:numId="8">
    <w:abstractNumId w:val="7"/>
  </w:num>
  <w:num w:numId="9">
    <w:abstractNumId w:val="11"/>
  </w:num>
  <w:num w:numId="10">
    <w:abstractNumId w:val="8"/>
  </w:num>
  <w:num w:numId="11">
    <w:abstractNumId w:val="3"/>
  </w:num>
  <w:num w:numId="12">
    <w:abstractNumId w:val="14"/>
  </w:num>
  <w:num w:numId="13">
    <w:abstractNumId w:val="13"/>
  </w:num>
  <w:num w:numId="14">
    <w:abstractNumId w:val="6"/>
  </w:num>
  <w:num w:numId="15">
    <w:abstractNumId w:val="17"/>
  </w:num>
  <w:num w:numId="16">
    <w:abstractNumId w:val="12"/>
  </w:num>
  <w:num w:numId="17">
    <w:abstractNumId w:val="1"/>
  </w:num>
  <w:num w:numId="18">
    <w:abstractNumId w:val="4"/>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0E8A"/>
    <w:rsid w:val="00001242"/>
    <w:rsid w:val="00001F59"/>
    <w:rsid w:val="00003FF3"/>
    <w:rsid w:val="00005C31"/>
    <w:rsid w:val="000065D7"/>
    <w:rsid w:val="00006E38"/>
    <w:rsid w:val="0000704F"/>
    <w:rsid w:val="000074D5"/>
    <w:rsid w:val="00010B83"/>
    <w:rsid w:val="00010FC9"/>
    <w:rsid w:val="00011054"/>
    <w:rsid w:val="000111E9"/>
    <w:rsid w:val="0001123E"/>
    <w:rsid w:val="00012136"/>
    <w:rsid w:val="00012EE0"/>
    <w:rsid w:val="00013044"/>
    <w:rsid w:val="00013778"/>
    <w:rsid w:val="00015610"/>
    <w:rsid w:val="00015853"/>
    <w:rsid w:val="00015C77"/>
    <w:rsid w:val="00016E41"/>
    <w:rsid w:val="000217E8"/>
    <w:rsid w:val="00022F4A"/>
    <w:rsid w:val="000231A2"/>
    <w:rsid w:val="0002324B"/>
    <w:rsid w:val="00025C28"/>
    <w:rsid w:val="00026555"/>
    <w:rsid w:val="00026632"/>
    <w:rsid w:val="00027761"/>
    <w:rsid w:val="0003062D"/>
    <w:rsid w:val="00031440"/>
    <w:rsid w:val="000319C1"/>
    <w:rsid w:val="00031F08"/>
    <w:rsid w:val="00032E0C"/>
    <w:rsid w:val="00032FA3"/>
    <w:rsid w:val="00034FBA"/>
    <w:rsid w:val="00035689"/>
    <w:rsid w:val="000363D3"/>
    <w:rsid w:val="00040F04"/>
    <w:rsid w:val="00042983"/>
    <w:rsid w:val="00043506"/>
    <w:rsid w:val="00044282"/>
    <w:rsid w:val="000442AA"/>
    <w:rsid w:val="00044D7F"/>
    <w:rsid w:val="00046955"/>
    <w:rsid w:val="00046FF0"/>
    <w:rsid w:val="0004779F"/>
    <w:rsid w:val="00047A08"/>
    <w:rsid w:val="000506F9"/>
    <w:rsid w:val="00050F2A"/>
    <w:rsid w:val="00051DFB"/>
    <w:rsid w:val="00051F8F"/>
    <w:rsid w:val="000520BF"/>
    <w:rsid w:val="00053D68"/>
    <w:rsid w:val="0005491B"/>
    <w:rsid w:val="00056215"/>
    <w:rsid w:val="000579EF"/>
    <w:rsid w:val="00057D68"/>
    <w:rsid w:val="000615E4"/>
    <w:rsid w:val="0006170A"/>
    <w:rsid w:val="00062336"/>
    <w:rsid w:val="00062F8A"/>
    <w:rsid w:val="00064CE6"/>
    <w:rsid w:val="0006533F"/>
    <w:rsid w:val="0007029B"/>
    <w:rsid w:val="00070D4F"/>
    <w:rsid w:val="00071100"/>
    <w:rsid w:val="00072D48"/>
    <w:rsid w:val="00072DDD"/>
    <w:rsid w:val="00074F20"/>
    <w:rsid w:val="000750AC"/>
    <w:rsid w:val="00075B45"/>
    <w:rsid w:val="0008070C"/>
    <w:rsid w:val="00082F21"/>
    <w:rsid w:val="0008393A"/>
    <w:rsid w:val="00084DEC"/>
    <w:rsid w:val="000856D4"/>
    <w:rsid w:val="00085B11"/>
    <w:rsid w:val="00087273"/>
    <w:rsid w:val="00092698"/>
    <w:rsid w:val="00092951"/>
    <w:rsid w:val="00092A9B"/>
    <w:rsid w:val="00093CA7"/>
    <w:rsid w:val="00094501"/>
    <w:rsid w:val="000946A1"/>
    <w:rsid w:val="00095607"/>
    <w:rsid w:val="00095907"/>
    <w:rsid w:val="000975DF"/>
    <w:rsid w:val="000A0690"/>
    <w:rsid w:val="000A2CF4"/>
    <w:rsid w:val="000A440C"/>
    <w:rsid w:val="000A4B15"/>
    <w:rsid w:val="000A4F7B"/>
    <w:rsid w:val="000A55A1"/>
    <w:rsid w:val="000A5C3F"/>
    <w:rsid w:val="000A70DF"/>
    <w:rsid w:val="000B0449"/>
    <w:rsid w:val="000B0F17"/>
    <w:rsid w:val="000B11AC"/>
    <w:rsid w:val="000B18B2"/>
    <w:rsid w:val="000B2178"/>
    <w:rsid w:val="000B366F"/>
    <w:rsid w:val="000B3AB3"/>
    <w:rsid w:val="000B3C92"/>
    <w:rsid w:val="000B58C6"/>
    <w:rsid w:val="000B5A1A"/>
    <w:rsid w:val="000B62D5"/>
    <w:rsid w:val="000B6C95"/>
    <w:rsid w:val="000B7817"/>
    <w:rsid w:val="000B7E16"/>
    <w:rsid w:val="000B7F4B"/>
    <w:rsid w:val="000C0981"/>
    <w:rsid w:val="000C13A8"/>
    <w:rsid w:val="000C1E9D"/>
    <w:rsid w:val="000C21B1"/>
    <w:rsid w:val="000C28EF"/>
    <w:rsid w:val="000C3745"/>
    <w:rsid w:val="000C3F37"/>
    <w:rsid w:val="000C59FD"/>
    <w:rsid w:val="000C5F2C"/>
    <w:rsid w:val="000C6BD6"/>
    <w:rsid w:val="000C7030"/>
    <w:rsid w:val="000C7891"/>
    <w:rsid w:val="000C7BEF"/>
    <w:rsid w:val="000D0488"/>
    <w:rsid w:val="000D0773"/>
    <w:rsid w:val="000D319D"/>
    <w:rsid w:val="000D3276"/>
    <w:rsid w:val="000D4910"/>
    <w:rsid w:val="000D4BD8"/>
    <w:rsid w:val="000D5792"/>
    <w:rsid w:val="000D5802"/>
    <w:rsid w:val="000D760D"/>
    <w:rsid w:val="000E0A60"/>
    <w:rsid w:val="000E2AB3"/>
    <w:rsid w:val="000E2AD7"/>
    <w:rsid w:val="000E4210"/>
    <w:rsid w:val="000E4712"/>
    <w:rsid w:val="000E4DB2"/>
    <w:rsid w:val="000E509B"/>
    <w:rsid w:val="000E7509"/>
    <w:rsid w:val="000E77FC"/>
    <w:rsid w:val="000E7AAE"/>
    <w:rsid w:val="000E7EA2"/>
    <w:rsid w:val="000E7F92"/>
    <w:rsid w:val="000F1808"/>
    <w:rsid w:val="000F183A"/>
    <w:rsid w:val="000F1A33"/>
    <w:rsid w:val="000F2B29"/>
    <w:rsid w:val="000F348A"/>
    <w:rsid w:val="000F509E"/>
    <w:rsid w:val="000F5926"/>
    <w:rsid w:val="000F5C24"/>
    <w:rsid w:val="000F6E3B"/>
    <w:rsid w:val="000F7274"/>
    <w:rsid w:val="000F7878"/>
    <w:rsid w:val="000F7CCC"/>
    <w:rsid w:val="001008A2"/>
    <w:rsid w:val="00101C82"/>
    <w:rsid w:val="00101D3D"/>
    <w:rsid w:val="00103085"/>
    <w:rsid w:val="00104A3C"/>
    <w:rsid w:val="001066C6"/>
    <w:rsid w:val="001076F8"/>
    <w:rsid w:val="00111FE3"/>
    <w:rsid w:val="00112208"/>
    <w:rsid w:val="00115ABC"/>
    <w:rsid w:val="0011693C"/>
    <w:rsid w:val="00120162"/>
    <w:rsid w:val="001205BD"/>
    <w:rsid w:val="001208E5"/>
    <w:rsid w:val="001215B2"/>
    <w:rsid w:val="00121B17"/>
    <w:rsid w:val="00121D85"/>
    <w:rsid w:val="00121EA5"/>
    <w:rsid w:val="00124437"/>
    <w:rsid w:val="00124483"/>
    <w:rsid w:val="00124786"/>
    <w:rsid w:val="001247E3"/>
    <w:rsid w:val="00125083"/>
    <w:rsid w:val="001277AD"/>
    <w:rsid w:val="00130569"/>
    <w:rsid w:val="001318FD"/>
    <w:rsid w:val="001319E9"/>
    <w:rsid w:val="00132667"/>
    <w:rsid w:val="00132B24"/>
    <w:rsid w:val="00132C85"/>
    <w:rsid w:val="00132ED3"/>
    <w:rsid w:val="0013301D"/>
    <w:rsid w:val="00133C0E"/>
    <w:rsid w:val="00135354"/>
    <w:rsid w:val="00136769"/>
    <w:rsid w:val="0013702B"/>
    <w:rsid w:val="00140229"/>
    <w:rsid w:val="00140944"/>
    <w:rsid w:val="001410B5"/>
    <w:rsid w:val="00141793"/>
    <w:rsid w:val="00142D56"/>
    <w:rsid w:val="00143218"/>
    <w:rsid w:val="00143E22"/>
    <w:rsid w:val="00144DED"/>
    <w:rsid w:val="0014505A"/>
    <w:rsid w:val="0014657F"/>
    <w:rsid w:val="00146AD7"/>
    <w:rsid w:val="0015071D"/>
    <w:rsid w:val="00150E6B"/>
    <w:rsid w:val="00153073"/>
    <w:rsid w:val="00154032"/>
    <w:rsid w:val="00155185"/>
    <w:rsid w:val="001552C9"/>
    <w:rsid w:val="00155987"/>
    <w:rsid w:val="00157D8E"/>
    <w:rsid w:val="0016167F"/>
    <w:rsid w:val="00161EBB"/>
    <w:rsid w:val="00161FEB"/>
    <w:rsid w:val="00165225"/>
    <w:rsid w:val="001655E0"/>
    <w:rsid w:val="00166BFF"/>
    <w:rsid w:val="00167883"/>
    <w:rsid w:val="0016793C"/>
    <w:rsid w:val="001707AE"/>
    <w:rsid w:val="0017119D"/>
    <w:rsid w:val="00172FB6"/>
    <w:rsid w:val="00173081"/>
    <w:rsid w:val="001746E8"/>
    <w:rsid w:val="00176362"/>
    <w:rsid w:val="001776A9"/>
    <w:rsid w:val="001802FB"/>
    <w:rsid w:val="00180CEA"/>
    <w:rsid w:val="00181F23"/>
    <w:rsid w:val="0018283A"/>
    <w:rsid w:val="001846A2"/>
    <w:rsid w:val="00184B72"/>
    <w:rsid w:val="00185888"/>
    <w:rsid w:val="00186FAE"/>
    <w:rsid w:val="00187D84"/>
    <w:rsid w:val="00190B80"/>
    <w:rsid w:val="00190CCB"/>
    <w:rsid w:val="0019114D"/>
    <w:rsid w:val="001919A6"/>
    <w:rsid w:val="00193AEF"/>
    <w:rsid w:val="001965C5"/>
    <w:rsid w:val="00196B5E"/>
    <w:rsid w:val="00196EAB"/>
    <w:rsid w:val="001A119E"/>
    <w:rsid w:val="001A14AE"/>
    <w:rsid w:val="001A232B"/>
    <w:rsid w:val="001A4BA5"/>
    <w:rsid w:val="001A7085"/>
    <w:rsid w:val="001B1CF9"/>
    <w:rsid w:val="001B2DA9"/>
    <w:rsid w:val="001B2E6D"/>
    <w:rsid w:val="001B2F19"/>
    <w:rsid w:val="001B40C9"/>
    <w:rsid w:val="001B4C0F"/>
    <w:rsid w:val="001B55E0"/>
    <w:rsid w:val="001B5623"/>
    <w:rsid w:val="001B5DE4"/>
    <w:rsid w:val="001B67EE"/>
    <w:rsid w:val="001B6BE5"/>
    <w:rsid w:val="001B7936"/>
    <w:rsid w:val="001B7EAF"/>
    <w:rsid w:val="001C04D8"/>
    <w:rsid w:val="001C0874"/>
    <w:rsid w:val="001C1056"/>
    <w:rsid w:val="001C10EA"/>
    <w:rsid w:val="001C1B05"/>
    <w:rsid w:val="001C203E"/>
    <w:rsid w:val="001C2897"/>
    <w:rsid w:val="001C2C8D"/>
    <w:rsid w:val="001C2CF6"/>
    <w:rsid w:val="001C3453"/>
    <w:rsid w:val="001C3F82"/>
    <w:rsid w:val="001C6CB5"/>
    <w:rsid w:val="001C7433"/>
    <w:rsid w:val="001D0E60"/>
    <w:rsid w:val="001D463D"/>
    <w:rsid w:val="001D4940"/>
    <w:rsid w:val="001D6796"/>
    <w:rsid w:val="001D6F1F"/>
    <w:rsid w:val="001D7817"/>
    <w:rsid w:val="001D7C14"/>
    <w:rsid w:val="001E1948"/>
    <w:rsid w:val="001E194E"/>
    <w:rsid w:val="001E30D3"/>
    <w:rsid w:val="001E4542"/>
    <w:rsid w:val="001E6195"/>
    <w:rsid w:val="001E6EF3"/>
    <w:rsid w:val="001E7014"/>
    <w:rsid w:val="001E71C1"/>
    <w:rsid w:val="001F1887"/>
    <w:rsid w:val="001F23B0"/>
    <w:rsid w:val="001F3610"/>
    <w:rsid w:val="001F4B76"/>
    <w:rsid w:val="001F4FEC"/>
    <w:rsid w:val="001F5206"/>
    <w:rsid w:val="001F634F"/>
    <w:rsid w:val="001F7A76"/>
    <w:rsid w:val="001F7F7E"/>
    <w:rsid w:val="002001AC"/>
    <w:rsid w:val="0020023F"/>
    <w:rsid w:val="002009CB"/>
    <w:rsid w:val="00201B2E"/>
    <w:rsid w:val="00201D6F"/>
    <w:rsid w:val="00201E47"/>
    <w:rsid w:val="002028DE"/>
    <w:rsid w:val="0020337F"/>
    <w:rsid w:val="002036CD"/>
    <w:rsid w:val="002039EC"/>
    <w:rsid w:val="00203E38"/>
    <w:rsid w:val="00205205"/>
    <w:rsid w:val="002066C8"/>
    <w:rsid w:val="00210AD0"/>
    <w:rsid w:val="00211A3E"/>
    <w:rsid w:val="002136DC"/>
    <w:rsid w:val="002165A6"/>
    <w:rsid w:val="0021703D"/>
    <w:rsid w:val="002171A0"/>
    <w:rsid w:val="00217213"/>
    <w:rsid w:val="002207D9"/>
    <w:rsid w:val="00220E10"/>
    <w:rsid w:val="002211FD"/>
    <w:rsid w:val="00221349"/>
    <w:rsid w:val="00221580"/>
    <w:rsid w:val="00221707"/>
    <w:rsid w:val="00222043"/>
    <w:rsid w:val="00222D48"/>
    <w:rsid w:val="00222DD6"/>
    <w:rsid w:val="002266CA"/>
    <w:rsid w:val="00226D8A"/>
    <w:rsid w:val="00230991"/>
    <w:rsid w:val="00231F62"/>
    <w:rsid w:val="002331F4"/>
    <w:rsid w:val="00233296"/>
    <w:rsid w:val="00234E20"/>
    <w:rsid w:val="00234EA9"/>
    <w:rsid w:val="002352E0"/>
    <w:rsid w:val="00235E85"/>
    <w:rsid w:val="002369B9"/>
    <w:rsid w:val="00237EB6"/>
    <w:rsid w:val="00241A13"/>
    <w:rsid w:val="0024369E"/>
    <w:rsid w:val="002438FF"/>
    <w:rsid w:val="00243CA9"/>
    <w:rsid w:val="00244030"/>
    <w:rsid w:val="00244103"/>
    <w:rsid w:val="0024515A"/>
    <w:rsid w:val="0024587A"/>
    <w:rsid w:val="00246C18"/>
    <w:rsid w:val="00247490"/>
    <w:rsid w:val="0025108A"/>
    <w:rsid w:val="00251499"/>
    <w:rsid w:val="00251CF6"/>
    <w:rsid w:val="002520AF"/>
    <w:rsid w:val="00254457"/>
    <w:rsid w:val="002548F1"/>
    <w:rsid w:val="0025493E"/>
    <w:rsid w:val="002558A7"/>
    <w:rsid w:val="00255B3D"/>
    <w:rsid w:val="00255CCA"/>
    <w:rsid w:val="0025698D"/>
    <w:rsid w:val="002603E2"/>
    <w:rsid w:val="00261415"/>
    <w:rsid w:val="00261FCF"/>
    <w:rsid w:val="00261FD1"/>
    <w:rsid w:val="00262D20"/>
    <w:rsid w:val="002633A6"/>
    <w:rsid w:val="0026392D"/>
    <w:rsid w:val="0026460D"/>
    <w:rsid w:val="00265655"/>
    <w:rsid w:val="00265C19"/>
    <w:rsid w:val="00266E60"/>
    <w:rsid w:val="002673E7"/>
    <w:rsid w:val="00270067"/>
    <w:rsid w:val="002703F3"/>
    <w:rsid w:val="00271CD0"/>
    <w:rsid w:val="00272EAA"/>
    <w:rsid w:val="00274BC3"/>
    <w:rsid w:val="00274E5F"/>
    <w:rsid w:val="002751F2"/>
    <w:rsid w:val="00275635"/>
    <w:rsid w:val="00275A4C"/>
    <w:rsid w:val="0027748D"/>
    <w:rsid w:val="0028001F"/>
    <w:rsid w:val="00280602"/>
    <w:rsid w:val="00280F9B"/>
    <w:rsid w:val="002810D7"/>
    <w:rsid w:val="00283479"/>
    <w:rsid w:val="00284431"/>
    <w:rsid w:val="00284A04"/>
    <w:rsid w:val="00285A8C"/>
    <w:rsid w:val="00285B22"/>
    <w:rsid w:val="00285BD3"/>
    <w:rsid w:val="00286607"/>
    <w:rsid w:val="00287268"/>
    <w:rsid w:val="00287978"/>
    <w:rsid w:val="00287A05"/>
    <w:rsid w:val="00291850"/>
    <w:rsid w:val="00292352"/>
    <w:rsid w:val="00293C87"/>
    <w:rsid w:val="00294E37"/>
    <w:rsid w:val="0029667A"/>
    <w:rsid w:val="00297A36"/>
    <w:rsid w:val="00297BFF"/>
    <w:rsid w:val="00297E29"/>
    <w:rsid w:val="002A1BEE"/>
    <w:rsid w:val="002A1EC6"/>
    <w:rsid w:val="002A1FAB"/>
    <w:rsid w:val="002A35EE"/>
    <w:rsid w:val="002A3CAD"/>
    <w:rsid w:val="002A4221"/>
    <w:rsid w:val="002A43A9"/>
    <w:rsid w:val="002A558F"/>
    <w:rsid w:val="002B38EB"/>
    <w:rsid w:val="002B3DF7"/>
    <w:rsid w:val="002B419F"/>
    <w:rsid w:val="002B47C4"/>
    <w:rsid w:val="002B4D8C"/>
    <w:rsid w:val="002B4F68"/>
    <w:rsid w:val="002B6279"/>
    <w:rsid w:val="002B6F9F"/>
    <w:rsid w:val="002B7052"/>
    <w:rsid w:val="002B7FF6"/>
    <w:rsid w:val="002C11D2"/>
    <w:rsid w:val="002C125E"/>
    <w:rsid w:val="002C12B7"/>
    <w:rsid w:val="002C7028"/>
    <w:rsid w:val="002C790E"/>
    <w:rsid w:val="002D0644"/>
    <w:rsid w:val="002D07EA"/>
    <w:rsid w:val="002D14A2"/>
    <w:rsid w:val="002D3219"/>
    <w:rsid w:val="002D4AD3"/>
    <w:rsid w:val="002D5579"/>
    <w:rsid w:val="002D5BE1"/>
    <w:rsid w:val="002D5FA4"/>
    <w:rsid w:val="002D61D9"/>
    <w:rsid w:val="002D75AF"/>
    <w:rsid w:val="002D7FED"/>
    <w:rsid w:val="002E0744"/>
    <w:rsid w:val="002E0D94"/>
    <w:rsid w:val="002E10D7"/>
    <w:rsid w:val="002E17AB"/>
    <w:rsid w:val="002E3781"/>
    <w:rsid w:val="002E3F23"/>
    <w:rsid w:val="002E3FC3"/>
    <w:rsid w:val="002E450D"/>
    <w:rsid w:val="002E4C6E"/>
    <w:rsid w:val="002E543F"/>
    <w:rsid w:val="002E5757"/>
    <w:rsid w:val="002E57C8"/>
    <w:rsid w:val="002E5C85"/>
    <w:rsid w:val="002E735A"/>
    <w:rsid w:val="002F1140"/>
    <w:rsid w:val="002F1CA1"/>
    <w:rsid w:val="002F225C"/>
    <w:rsid w:val="002F3327"/>
    <w:rsid w:val="002F3351"/>
    <w:rsid w:val="002F56C0"/>
    <w:rsid w:val="002F65FA"/>
    <w:rsid w:val="002F6CF5"/>
    <w:rsid w:val="002F6E49"/>
    <w:rsid w:val="002F7273"/>
    <w:rsid w:val="00302CA4"/>
    <w:rsid w:val="0030331E"/>
    <w:rsid w:val="003036F5"/>
    <w:rsid w:val="0030372A"/>
    <w:rsid w:val="0030680A"/>
    <w:rsid w:val="00306D3F"/>
    <w:rsid w:val="00306E10"/>
    <w:rsid w:val="00307ECA"/>
    <w:rsid w:val="00310904"/>
    <w:rsid w:val="00310B0A"/>
    <w:rsid w:val="00311ED5"/>
    <w:rsid w:val="00312898"/>
    <w:rsid w:val="0031306B"/>
    <w:rsid w:val="00313147"/>
    <w:rsid w:val="00317B3A"/>
    <w:rsid w:val="00320A23"/>
    <w:rsid w:val="0032124F"/>
    <w:rsid w:val="003215EA"/>
    <w:rsid w:val="00321DFB"/>
    <w:rsid w:val="00322242"/>
    <w:rsid w:val="00323213"/>
    <w:rsid w:val="0032391C"/>
    <w:rsid w:val="00323C63"/>
    <w:rsid w:val="00324444"/>
    <w:rsid w:val="00325C4E"/>
    <w:rsid w:val="00326E53"/>
    <w:rsid w:val="0033037B"/>
    <w:rsid w:val="0033063B"/>
    <w:rsid w:val="00330F26"/>
    <w:rsid w:val="00331E72"/>
    <w:rsid w:val="00332311"/>
    <w:rsid w:val="0033347C"/>
    <w:rsid w:val="003340B5"/>
    <w:rsid w:val="00334A8B"/>
    <w:rsid w:val="003365C6"/>
    <w:rsid w:val="0033684D"/>
    <w:rsid w:val="00336E57"/>
    <w:rsid w:val="003403FD"/>
    <w:rsid w:val="003407E9"/>
    <w:rsid w:val="0034087C"/>
    <w:rsid w:val="003409BA"/>
    <w:rsid w:val="00341727"/>
    <w:rsid w:val="0034185A"/>
    <w:rsid w:val="003427B0"/>
    <w:rsid w:val="003434DC"/>
    <w:rsid w:val="00343E8B"/>
    <w:rsid w:val="00345258"/>
    <w:rsid w:val="003454A4"/>
    <w:rsid w:val="00346561"/>
    <w:rsid w:val="00346F51"/>
    <w:rsid w:val="003471D8"/>
    <w:rsid w:val="00351A18"/>
    <w:rsid w:val="00354385"/>
    <w:rsid w:val="003544C1"/>
    <w:rsid w:val="00354BB3"/>
    <w:rsid w:val="00354C8E"/>
    <w:rsid w:val="00355935"/>
    <w:rsid w:val="00356473"/>
    <w:rsid w:val="00356AA6"/>
    <w:rsid w:val="00356CBA"/>
    <w:rsid w:val="0035716F"/>
    <w:rsid w:val="003606D6"/>
    <w:rsid w:val="00360FE0"/>
    <w:rsid w:val="00361E3F"/>
    <w:rsid w:val="00362326"/>
    <w:rsid w:val="00363CAA"/>
    <w:rsid w:val="0036458D"/>
    <w:rsid w:val="00365801"/>
    <w:rsid w:val="00365D57"/>
    <w:rsid w:val="0036776A"/>
    <w:rsid w:val="00367F44"/>
    <w:rsid w:val="003706BE"/>
    <w:rsid w:val="00373D38"/>
    <w:rsid w:val="003747B3"/>
    <w:rsid w:val="00376C44"/>
    <w:rsid w:val="003809AD"/>
    <w:rsid w:val="003814A9"/>
    <w:rsid w:val="00382F80"/>
    <w:rsid w:val="0038369C"/>
    <w:rsid w:val="00384F1D"/>
    <w:rsid w:val="00385D6D"/>
    <w:rsid w:val="0038663A"/>
    <w:rsid w:val="00387FDF"/>
    <w:rsid w:val="00390364"/>
    <w:rsid w:val="00390DF0"/>
    <w:rsid w:val="003912F1"/>
    <w:rsid w:val="00391313"/>
    <w:rsid w:val="003916F9"/>
    <w:rsid w:val="00392AD7"/>
    <w:rsid w:val="00392BD2"/>
    <w:rsid w:val="00392C42"/>
    <w:rsid w:val="0039355A"/>
    <w:rsid w:val="00394802"/>
    <w:rsid w:val="00395196"/>
    <w:rsid w:val="003A001E"/>
    <w:rsid w:val="003A08B4"/>
    <w:rsid w:val="003A0F7C"/>
    <w:rsid w:val="003A1870"/>
    <w:rsid w:val="003A31FF"/>
    <w:rsid w:val="003A4C80"/>
    <w:rsid w:val="003A52B0"/>
    <w:rsid w:val="003A74B1"/>
    <w:rsid w:val="003A7BB5"/>
    <w:rsid w:val="003A7C9F"/>
    <w:rsid w:val="003A7D79"/>
    <w:rsid w:val="003B244B"/>
    <w:rsid w:val="003B25C4"/>
    <w:rsid w:val="003B2600"/>
    <w:rsid w:val="003B2A58"/>
    <w:rsid w:val="003B37F2"/>
    <w:rsid w:val="003B3C07"/>
    <w:rsid w:val="003B458E"/>
    <w:rsid w:val="003B45F3"/>
    <w:rsid w:val="003B4DBD"/>
    <w:rsid w:val="003B6AE4"/>
    <w:rsid w:val="003C05A2"/>
    <w:rsid w:val="003C1444"/>
    <w:rsid w:val="003C15A5"/>
    <w:rsid w:val="003C3C91"/>
    <w:rsid w:val="003C433C"/>
    <w:rsid w:val="003C47D1"/>
    <w:rsid w:val="003C4C32"/>
    <w:rsid w:val="003C6EDC"/>
    <w:rsid w:val="003C7AD6"/>
    <w:rsid w:val="003C7C56"/>
    <w:rsid w:val="003C7C6E"/>
    <w:rsid w:val="003D02D6"/>
    <w:rsid w:val="003D081F"/>
    <w:rsid w:val="003D0EF1"/>
    <w:rsid w:val="003D1C0D"/>
    <w:rsid w:val="003D439F"/>
    <w:rsid w:val="003D4768"/>
    <w:rsid w:val="003D6829"/>
    <w:rsid w:val="003E084C"/>
    <w:rsid w:val="003E179A"/>
    <w:rsid w:val="003E2FD6"/>
    <w:rsid w:val="003E36AB"/>
    <w:rsid w:val="003E46DB"/>
    <w:rsid w:val="003E4EB0"/>
    <w:rsid w:val="003E54C3"/>
    <w:rsid w:val="003E5C1C"/>
    <w:rsid w:val="003E6F1E"/>
    <w:rsid w:val="003F2167"/>
    <w:rsid w:val="003F2D52"/>
    <w:rsid w:val="003F3028"/>
    <w:rsid w:val="003F32A3"/>
    <w:rsid w:val="003F3609"/>
    <w:rsid w:val="003F3C97"/>
    <w:rsid w:val="003F3CD2"/>
    <w:rsid w:val="003F3F87"/>
    <w:rsid w:val="003F5D85"/>
    <w:rsid w:val="003F6DA9"/>
    <w:rsid w:val="003F720C"/>
    <w:rsid w:val="003F77D8"/>
    <w:rsid w:val="003F7994"/>
    <w:rsid w:val="00400E13"/>
    <w:rsid w:val="00401E7F"/>
    <w:rsid w:val="004030F8"/>
    <w:rsid w:val="00403A17"/>
    <w:rsid w:val="00405793"/>
    <w:rsid w:val="004057CD"/>
    <w:rsid w:val="00405972"/>
    <w:rsid w:val="004059D3"/>
    <w:rsid w:val="00407074"/>
    <w:rsid w:val="004078EA"/>
    <w:rsid w:val="00407AFC"/>
    <w:rsid w:val="0041077A"/>
    <w:rsid w:val="00410E68"/>
    <w:rsid w:val="004143EF"/>
    <w:rsid w:val="00415956"/>
    <w:rsid w:val="00417630"/>
    <w:rsid w:val="00417A53"/>
    <w:rsid w:val="004201D7"/>
    <w:rsid w:val="004203A9"/>
    <w:rsid w:val="00420876"/>
    <w:rsid w:val="00420B4B"/>
    <w:rsid w:val="0042122E"/>
    <w:rsid w:val="0042135A"/>
    <w:rsid w:val="004231B6"/>
    <w:rsid w:val="004235E2"/>
    <w:rsid w:val="0042388A"/>
    <w:rsid w:val="00423950"/>
    <w:rsid w:val="00423DA8"/>
    <w:rsid w:val="0042707E"/>
    <w:rsid w:val="0042708D"/>
    <w:rsid w:val="00427870"/>
    <w:rsid w:val="00427C27"/>
    <w:rsid w:val="00431911"/>
    <w:rsid w:val="004326DA"/>
    <w:rsid w:val="0043324D"/>
    <w:rsid w:val="00433A67"/>
    <w:rsid w:val="00433AEA"/>
    <w:rsid w:val="00433B52"/>
    <w:rsid w:val="004343A1"/>
    <w:rsid w:val="00434431"/>
    <w:rsid w:val="00435740"/>
    <w:rsid w:val="00436392"/>
    <w:rsid w:val="00436C54"/>
    <w:rsid w:val="00436D40"/>
    <w:rsid w:val="00443F50"/>
    <w:rsid w:val="004442FA"/>
    <w:rsid w:val="00444340"/>
    <w:rsid w:val="0044503C"/>
    <w:rsid w:val="0044520E"/>
    <w:rsid w:val="004452DA"/>
    <w:rsid w:val="004457E0"/>
    <w:rsid w:val="00445E98"/>
    <w:rsid w:val="00446268"/>
    <w:rsid w:val="00446BE7"/>
    <w:rsid w:val="00447130"/>
    <w:rsid w:val="00450905"/>
    <w:rsid w:val="00450C9E"/>
    <w:rsid w:val="00451133"/>
    <w:rsid w:val="00451829"/>
    <w:rsid w:val="00451F47"/>
    <w:rsid w:val="004528DF"/>
    <w:rsid w:val="004531B1"/>
    <w:rsid w:val="00455BC2"/>
    <w:rsid w:val="004565A3"/>
    <w:rsid w:val="00456CDF"/>
    <w:rsid w:val="00457072"/>
    <w:rsid w:val="00461006"/>
    <w:rsid w:val="004622B0"/>
    <w:rsid w:val="00462959"/>
    <w:rsid w:val="004630F7"/>
    <w:rsid w:val="004631FE"/>
    <w:rsid w:val="00463998"/>
    <w:rsid w:val="0046405B"/>
    <w:rsid w:val="004645C3"/>
    <w:rsid w:val="00464743"/>
    <w:rsid w:val="00464D79"/>
    <w:rsid w:val="004657C1"/>
    <w:rsid w:val="00465E4D"/>
    <w:rsid w:val="00467854"/>
    <w:rsid w:val="00467897"/>
    <w:rsid w:val="00467E6F"/>
    <w:rsid w:val="0047161F"/>
    <w:rsid w:val="00472ED0"/>
    <w:rsid w:val="00473BCB"/>
    <w:rsid w:val="00475242"/>
    <w:rsid w:val="00475873"/>
    <w:rsid w:val="00475DE1"/>
    <w:rsid w:val="00476737"/>
    <w:rsid w:val="004769DB"/>
    <w:rsid w:val="00476B24"/>
    <w:rsid w:val="004809EC"/>
    <w:rsid w:val="00481877"/>
    <w:rsid w:val="00482223"/>
    <w:rsid w:val="0048251A"/>
    <w:rsid w:val="00483378"/>
    <w:rsid w:val="00484884"/>
    <w:rsid w:val="00484B60"/>
    <w:rsid w:val="00485EF1"/>
    <w:rsid w:val="0048633B"/>
    <w:rsid w:val="00486E7B"/>
    <w:rsid w:val="00487099"/>
    <w:rsid w:val="00487899"/>
    <w:rsid w:val="00490C1C"/>
    <w:rsid w:val="004910A4"/>
    <w:rsid w:val="004955F6"/>
    <w:rsid w:val="00495BCD"/>
    <w:rsid w:val="0049707E"/>
    <w:rsid w:val="004971EC"/>
    <w:rsid w:val="004A0C27"/>
    <w:rsid w:val="004A116E"/>
    <w:rsid w:val="004A119B"/>
    <w:rsid w:val="004A12E1"/>
    <w:rsid w:val="004A23F5"/>
    <w:rsid w:val="004A25F4"/>
    <w:rsid w:val="004A2898"/>
    <w:rsid w:val="004A31EF"/>
    <w:rsid w:val="004A4638"/>
    <w:rsid w:val="004A53AF"/>
    <w:rsid w:val="004A5425"/>
    <w:rsid w:val="004A5D0B"/>
    <w:rsid w:val="004A7196"/>
    <w:rsid w:val="004A73A5"/>
    <w:rsid w:val="004B1317"/>
    <w:rsid w:val="004B1833"/>
    <w:rsid w:val="004B305D"/>
    <w:rsid w:val="004B30AF"/>
    <w:rsid w:val="004B38DC"/>
    <w:rsid w:val="004B396D"/>
    <w:rsid w:val="004B60CF"/>
    <w:rsid w:val="004B6E8A"/>
    <w:rsid w:val="004B770C"/>
    <w:rsid w:val="004B78B2"/>
    <w:rsid w:val="004C031A"/>
    <w:rsid w:val="004C051A"/>
    <w:rsid w:val="004C054E"/>
    <w:rsid w:val="004C40F5"/>
    <w:rsid w:val="004C49C4"/>
    <w:rsid w:val="004C4B22"/>
    <w:rsid w:val="004C5A44"/>
    <w:rsid w:val="004C65E3"/>
    <w:rsid w:val="004C7A65"/>
    <w:rsid w:val="004D0C3B"/>
    <w:rsid w:val="004D1674"/>
    <w:rsid w:val="004D1B7B"/>
    <w:rsid w:val="004D1DE2"/>
    <w:rsid w:val="004D2C63"/>
    <w:rsid w:val="004D3932"/>
    <w:rsid w:val="004D4187"/>
    <w:rsid w:val="004D4E1B"/>
    <w:rsid w:val="004D6420"/>
    <w:rsid w:val="004D703A"/>
    <w:rsid w:val="004D79CF"/>
    <w:rsid w:val="004D7D1A"/>
    <w:rsid w:val="004E04F9"/>
    <w:rsid w:val="004E13D1"/>
    <w:rsid w:val="004E1BCD"/>
    <w:rsid w:val="004E1EC8"/>
    <w:rsid w:val="004E262D"/>
    <w:rsid w:val="004E43BE"/>
    <w:rsid w:val="004E4CDC"/>
    <w:rsid w:val="004E4F66"/>
    <w:rsid w:val="004E5147"/>
    <w:rsid w:val="004E523A"/>
    <w:rsid w:val="004E5555"/>
    <w:rsid w:val="004E6389"/>
    <w:rsid w:val="004E651D"/>
    <w:rsid w:val="004E7584"/>
    <w:rsid w:val="004E7CB8"/>
    <w:rsid w:val="004F1BF0"/>
    <w:rsid w:val="004F2B5B"/>
    <w:rsid w:val="004F3069"/>
    <w:rsid w:val="004F3620"/>
    <w:rsid w:val="004F3A5C"/>
    <w:rsid w:val="004F3D2C"/>
    <w:rsid w:val="004F3F01"/>
    <w:rsid w:val="004F49B2"/>
    <w:rsid w:val="004F5E3A"/>
    <w:rsid w:val="004F7F33"/>
    <w:rsid w:val="00501D76"/>
    <w:rsid w:val="00501EEC"/>
    <w:rsid w:val="0050236E"/>
    <w:rsid w:val="00502E12"/>
    <w:rsid w:val="00503235"/>
    <w:rsid w:val="005042F1"/>
    <w:rsid w:val="005048C8"/>
    <w:rsid w:val="00504EF9"/>
    <w:rsid w:val="00506B7E"/>
    <w:rsid w:val="00506C3E"/>
    <w:rsid w:val="00507035"/>
    <w:rsid w:val="005070A7"/>
    <w:rsid w:val="005074FE"/>
    <w:rsid w:val="005111F7"/>
    <w:rsid w:val="00511485"/>
    <w:rsid w:val="0051188F"/>
    <w:rsid w:val="00512058"/>
    <w:rsid w:val="00514ABC"/>
    <w:rsid w:val="0051552D"/>
    <w:rsid w:val="0051561D"/>
    <w:rsid w:val="005158F0"/>
    <w:rsid w:val="0051598A"/>
    <w:rsid w:val="00517D3D"/>
    <w:rsid w:val="00520515"/>
    <w:rsid w:val="00523537"/>
    <w:rsid w:val="005238E0"/>
    <w:rsid w:val="0052448A"/>
    <w:rsid w:val="00524CB5"/>
    <w:rsid w:val="00526318"/>
    <w:rsid w:val="005278F6"/>
    <w:rsid w:val="00527EE9"/>
    <w:rsid w:val="0053084B"/>
    <w:rsid w:val="00531365"/>
    <w:rsid w:val="0053146B"/>
    <w:rsid w:val="005319BF"/>
    <w:rsid w:val="00531D9E"/>
    <w:rsid w:val="0053374A"/>
    <w:rsid w:val="005340AD"/>
    <w:rsid w:val="00534667"/>
    <w:rsid w:val="005350A1"/>
    <w:rsid w:val="00535740"/>
    <w:rsid w:val="00535C11"/>
    <w:rsid w:val="00540DB9"/>
    <w:rsid w:val="0054202E"/>
    <w:rsid w:val="00542ABD"/>
    <w:rsid w:val="0054399E"/>
    <w:rsid w:val="0054420A"/>
    <w:rsid w:val="005465D8"/>
    <w:rsid w:val="00546C65"/>
    <w:rsid w:val="00546E5B"/>
    <w:rsid w:val="005473BA"/>
    <w:rsid w:val="00547D7E"/>
    <w:rsid w:val="00550E08"/>
    <w:rsid w:val="0055148E"/>
    <w:rsid w:val="00551588"/>
    <w:rsid w:val="00551D4F"/>
    <w:rsid w:val="00552E03"/>
    <w:rsid w:val="00552E50"/>
    <w:rsid w:val="005535BE"/>
    <w:rsid w:val="005535E4"/>
    <w:rsid w:val="00554AB5"/>
    <w:rsid w:val="00555408"/>
    <w:rsid w:val="00555903"/>
    <w:rsid w:val="00557A6D"/>
    <w:rsid w:val="00557ABC"/>
    <w:rsid w:val="00557B31"/>
    <w:rsid w:val="00557EA8"/>
    <w:rsid w:val="00560147"/>
    <w:rsid w:val="00560DBA"/>
    <w:rsid w:val="005611D5"/>
    <w:rsid w:val="005613BE"/>
    <w:rsid w:val="0056222C"/>
    <w:rsid w:val="00562F8F"/>
    <w:rsid w:val="0056353D"/>
    <w:rsid w:val="00563BB4"/>
    <w:rsid w:val="00563C4E"/>
    <w:rsid w:val="00563F17"/>
    <w:rsid w:val="005669C3"/>
    <w:rsid w:val="005669F9"/>
    <w:rsid w:val="00567128"/>
    <w:rsid w:val="0057002A"/>
    <w:rsid w:val="00570F58"/>
    <w:rsid w:val="0057107E"/>
    <w:rsid w:val="00571AEE"/>
    <w:rsid w:val="0057254B"/>
    <w:rsid w:val="00572558"/>
    <w:rsid w:val="005755BB"/>
    <w:rsid w:val="00576456"/>
    <w:rsid w:val="00577126"/>
    <w:rsid w:val="0058041F"/>
    <w:rsid w:val="00580464"/>
    <w:rsid w:val="00580722"/>
    <w:rsid w:val="0058325D"/>
    <w:rsid w:val="00583778"/>
    <w:rsid w:val="00583B6D"/>
    <w:rsid w:val="00583F8C"/>
    <w:rsid w:val="00584839"/>
    <w:rsid w:val="00585030"/>
    <w:rsid w:val="005914F8"/>
    <w:rsid w:val="00591910"/>
    <w:rsid w:val="0059275D"/>
    <w:rsid w:val="00593B7D"/>
    <w:rsid w:val="0059421A"/>
    <w:rsid w:val="00594979"/>
    <w:rsid w:val="005954C4"/>
    <w:rsid w:val="00595512"/>
    <w:rsid w:val="00595738"/>
    <w:rsid w:val="005968B7"/>
    <w:rsid w:val="005974F0"/>
    <w:rsid w:val="005A1707"/>
    <w:rsid w:val="005A34E0"/>
    <w:rsid w:val="005A40AF"/>
    <w:rsid w:val="005A40F8"/>
    <w:rsid w:val="005A48CE"/>
    <w:rsid w:val="005A4927"/>
    <w:rsid w:val="005A5D96"/>
    <w:rsid w:val="005A615C"/>
    <w:rsid w:val="005A635A"/>
    <w:rsid w:val="005A6938"/>
    <w:rsid w:val="005A7F57"/>
    <w:rsid w:val="005B11A1"/>
    <w:rsid w:val="005B11D6"/>
    <w:rsid w:val="005B1B53"/>
    <w:rsid w:val="005B213E"/>
    <w:rsid w:val="005B2143"/>
    <w:rsid w:val="005B3C31"/>
    <w:rsid w:val="005B4537"/>
    <w:rsid w:val="005B526E"/>
    <w:rsid w:val="005B5742"/>
    <w:rsid w:val="005B5F9F"/>
    <w:rsid w:val="005B6A38"/>
    <w:rsid w:val="005B788A"/>
    <w:rsid w:val="005C0DFF"/>
    <w:rsid w:val="005C1A1C"/>
    <w:rsid w:val="005C2452"/>
    <w:rsid w:val="005C2D7A"/>
    <w:rsid w:val="005C3DE2"/>
    <w:rsid w:val="005C4EB1"/>
    <w:rsid w:val="005C6244"/>
    <w:rsid w:val="005C6C9A"/>
    <w:rsid w:val="005D0240"/>
    <w:rsid w:val="005D1AF4"/>
    <w:rsid w:val="005D2CF1"/>
    <w:rsid w:val="005D44A9"/>
    <w:rsid w:val="005D4EF5"/>
    <w:rsid w:val="005D503B"/>
    <w:rsid w:val="005D5E69"/>
    <w:rsid w:val="005D7737"/>
    <w:rsid w:val="005D78B0"/>
    <w:rsid w:val="005D7DE1"/>
    <w:rsid w:val="005E210B"/>
    <w:rsid w:val="005E2461"/>
    <w:rsid w:val="005E3597"/>
    <w:rsid w:val="005E4328"/>
    <w:rsid w:val="005E4C7F"/>
    <w:rsid w:val="005E5574"/>
    <w:rsid w:val="005E6A4E"/>
    <w:rsid w:val="005F0A6E"/>
    <w:rsid w:val="005F1415"/>
    <w:rsid w:val="005F2D7F"/>
    <w:rsid w:val="005F3A73"/>
    <w:rsid w:val="005F6594"/>
    <w:rsid w:val="005F7234"/>
    <w:rsid w:val="00600927"/>
    <w:rsid w:val="00602E59"/>
    <w:rsid w:val="00604166"/>
    <w:rsid w:val="00604355"/>
    <w:rsid w:val="0060471D"/>
    <w:rsid w:val="00605FDE"/>
    <w:rsid w:val="00607673"/>
    <w:rsid w:val="00607DF7"/>
    <w:rsid w:val="006106FF"/>
    <w:rsid w:val="00610B1B"/>
    <w:rsid w:val="00611D19"/>
    <w:rsid w:val="00611D46"/>
    <w:rsid w:val="0061221D"/>
    <w:rsid w:val="00612CFC"/>
    <w:rsid w:val="00613231"/>
    <w:rsid w:val="006132E4"/>
    <w:rsid w:val="00613DBC"/>
    <w:rsid w:val="00614976"/>
    <w:rsid w:val="00614F4C"/>
    <w:rsid w:val="00615B02"/>
    <w:rsid w:val="00615F78"/>
    <w:rsid w:val="006169F7"/>
    <w:rsid w:val="006172A3"/>
    <w:rsid w:val="00617B9F"/>
    <w:rsid w:val="00617C6F"/>
    <w:rsid w:val="00620465"/>
    <w:rsid w:val="006204CB"/>
    <w:rsid w:val="00621387"/>
    <w:rsid w:val="006215CC"/>
    <w:rsid w:val="00621E38"/>
    <w:rsid w:val="006224B4"/>
    <w:rsid w:val="006224F6"/>
    <w:rsid w:val="00622726"/>
    <w:rsid w:val="00623244"/>
    <w:rsid w:val="0062360A"/>
    <w:rsid w:val="00623881"/>
    <w:rsid w:val="006239A3"/>
    <w:rsid w:val="00623A39"/>
    <w:rsid w:val="0062516E"/>
    <w:rsid w:val="00626294"/>
    <w:rsid w:val="00626B39"/>
    <w:rsid w:val="00626DA4"/>
    <w:rsid w:val="0062717D"/>
    <w:rsid w:val="00627628"/>
    <w:rsid w:val="00630F16"/>
    <w:rsid w:val="006315C5"/>
    <w:rsid w:val="00632C84"/>
    <w:rsid w:val="00633D9F"/>
    <w:rsid w:val="00634AEB"/>
    <w:rsid w:val="006358D1"/>
    <w:rsid w:val="00635EDC"/>
    <w:rsid w:val="006367CD"/>
    <w:rsid w:val="006374CA"/>
    <w:rsid w:val="00637B60"/>
    <w:rsid w:val="00641908"/>
    <w:rsid w:val="00641ED5"/>
    <w:rsid w:val="006426D4"/>
    <w:rsid w:val="00644B3F"/>
    <w:rsid w:val="00644FCC"/>
    <w:rsid w:val="00647B61"/>
    <w:rsid w:val="0065092F"/>
    <w:rsid w:val="00650B93"/>
    <w:rsid w:val="00650D4C"/>
    <w:rsid w:val="006520F0"/>
    <w:rsid w:val="00653490"/>
    <w:rsid w:val="00653BE8"/>
    <w:rsid w:val="00653F7B"/>
    <w:rsid w:val="006542BD"/>
    <w:rsid w:val="00654419"/>
    <w:rsid w:val="00655DCE"/>
    <w:rsid w:val="006561E1"/>
    <w:rsid w:val="006611A5"/>
    <w:rsid w:val="006617B9"/>
    <w:rsid w:val="0066197F"/>
    <w:rsid w:val="00661AE9"/>
    <w:rsid w:val="00661E8F"/>
    <w:rsid w:val="006620E6"/>
    <w:rsid w:val="0066318B"/>
    <w:rsid w:val="00663428"/>
    <w:rsid w:val="00663EA0"/>
    <w:rsid w:val="00665E9C"/>
    <w:rsid w:val="00666A3B"/>
    <w:rsid w:val="00666DA6"/>
    <w:rsid w:val="006670B4"/>
    <w:rsid w:val="00667BC6"/>
    <w:rsid w:val="00667D53"/>
    <w:rsid w:val="00670704"/>
    <w:rsid w:val="00671B8C"/>
    <w:rsid w:val="00671BB4"/>
    <w:rsid w:val="00672CEA"/>
    <w:rsid w:val="00672ECE"/>
    <w:rsid w:val="00673757"/>
    <w:rsid w:val="0067492C"/>
    <w:rsid w:val="00675737"/>
    <w:rsid w:val="00676060"/>
    <w:rsid w:val="00676162"/>
    <w:rsid w:val="006768BC"/>
    <w:rsid w:val="0067691F"/>
    <w:rsid w:val="00677CDF"/>
    <w:rsid w:val="006804E8"/>
    <w:rsid w:val="006813C3"/>
    <w:rsid w:val="0068338F"/>
    <w:rsid w:val="0068349B"/>
    <w:rsid w:val="006837D8"/>
    <w:rsid w:val="00683F49"/>
    <w:rsid w:val="00684528"/>
    <w:rsid w:val="006849BC"/>
    <w:rsid w:val="00685366"/>
    <w:rsid w:val="00687470"/>
    <w:rsid w:val="006874C0"/>
    <w:rsid w:val="00690619"/>
    <w:rsid w:val="0069083F"/>
    <w:rsid w:val="0069229C"/>
    <w:rsid w:val="006929F0"/>
    <w:rsid w:val="006961A8"/>
    <w:rsid w:val="00696E73"/>
    <w:rsid w:val="00696E9D"/>
    <w:rsid w:val="00697D58"/>
    <w:rsid w:val="00697E5A"/>
    <w:rsid w:val="006A01B2"/>
    <w:rsid w:val="006A0C7C"/>
    <w:rsid w:val="006A101A"/>
    <w:rsid w:val="006A2902"/>
    <w:rsid w:val="006A29B1"/>
    <w:rsid w:val="006A3BC4"/>
    <w:rsid w:val="006A768F"/>
    <w:rsid w:val="006B0248"/>
    <w:rsid w:val="006B0439"/>
    <w:rsid w:val="006B12CB"/>
    <w:rsid w:val="006B2E00"/>
    <w:rsid w:val="006B3971"/>
    <w:rsid w:val="006B571F"/>
    <w:rsid w:val="006B5827"/>
    <w:rsid w:val="006B6D77"/>
    <w:rsid w:val="006C0813"/>
    <w:rsid w:val="006C2240"/>
    <w:rsid w:val="006C28DC"/>
    <w:rsid w:val="006C3F2E"/>
    <w:rsid w:val="006C44F2"/>
    <w:rsid w:val="006C7DE8"/>
    <w:rsid w:val="006D0672"/>
    <w:rsid w:val="006D0ECD"/>
    <w:rsid w:val="006D11FE"/>
    <w:rsid w:val="006D178F"/>
    <w:rsid w:val="006D1F8A"/>
    <w:rsid w:val="006D221B"/>
    <w:rsid w:val="006D41BB"/>
    <w:rsid w:val="006D5841"/>
    <w:rsid w:val="006D6116"/>
    <w:rsid w:val="006D6462"/>
    <w:rsid w:val="006D79B7"/>
    <w:rsid w:val="006D7FF9"/>
    <w:rsid w:val="006E0920"/>
    <w:rsid w:val="006E11E0"/>
    <w:rsid w:val="006E16E2"/>
    <w:rsid w:val="006E1C54"/>
    <w:rsid w:val="006E27B2"/>
    <w:rsid w:val="006E30BF"/>
    <w:rsid w:val="006E40A7"/>
    <w:rsid w:val="006E428E"/>
    <w:rsid w:val="006E5438"/>
    <w:rsid w:val="006E7315"/>
    <w:rsid w:val="006E7BAC"/>
    <w:rsid w:val="006F13EF"/>
    <w:rsid w:val="006F1F52"/>
    <w:rsid w:val="006F2FC1"/>
    <w:rsid w:val="006F32A8"/>
    <w:rsid w:val="006F4CB4"/>
    <w:rsid w:val="006F59F2"/>
    <w:rsid w:val="006F614C"/>
    <w:rsid w:val="006F70B7"/>
    <w:rsid w:val="006F7A4D"/>
    <w:rsid w:val="007008C5"/>
    <w:rsid w:val="007019A3"/>
    <w:rsid w:val="007024D4"/>
    <w:rsid w:val="00703381"/>
    <w:rsid w:val="00703572"/>
    <w:rsid w:val="00704A59"/>
    <w:rsid w:val="00704C71"/>
    <w:rsid w:val="00704FD8"/>
    <w:rsid w:val="007057C9"/>
    <w:rsid w:val="007064EB"/>
    <w:rsid w:val="00706653"/>
    <w:rsid w:val="00706966"/>
    <w:rsid w:val="00706F4B"/>
    <w:rsid w:val="0071027D"/>
    <w:rsid w:val="007102E4"/>
    <w:rsid w:val="00710E0E"/>
    <w:rsid w:val="00711424"/>
    <w:rsid w:val="0071174F"/>
    <w:rsid w:val="00713802"/>
    <w:rsid w:val="00713D6E"/>
    <w:rsid w:val="00713E1A"/>
    <w:rsid w:val="0071577B"/>
    <w:rsid w:val="0071661B"/>
    <w:rsid w:val="00716705"/>
    <w:rsid w:val="00716C87"/>
    <w:rsid w:val="00717AE7"/>
    <w:rsid w:val="00721053"/>
    <w:rsid w:val="00722030"/>
    <w:rsid w:val="00722558"/>
    <w:rsid w:val="00723A02"/>
    <w:rsid w:val="00724500"/>
    <w:rsid w:val="00726E5A"/>
    <w:rsid w:val="00727E3E"/>
    <w:rsid w:val="007303F5"/>
    <w:rsid w:val="007304BB"/>
    <w:rsid w:val="0073051B"/>
    <w:rsid w:val="007306CE"/>
    <w:rsid w:val="00730938"/>
    <w:rsid w:val="007311B2"/>
    <w:rsid w:val="00731E59"/>
    <w:rsid w:val="00734988"/>
    <w:rsid w:val="00734D01"/>
    <w:rsid w:val="0073570B"/>
    <w:rsid w:val="00736EAC"/>
    <w:rsid w:val="0073763B"/>
    <w:rsid w:val="00737EB3"/>
    <w:rsid w:val="0074192B"/>
    <w:rsid w:val="00741BA8"/>
    <w:rsid w:val="00741D5F"/>
    <w:rsid w:val="00744FF1"/>
    <w:rsid w:val="00746345"/>
    <w:rsid w:val="00747E75"/>
    <w:rsid w:val="00747F15"/>
    <w:rsid w:val="00750237"/>
    <w:rsid w:val="00750299"/>
    <w:rsid w:val="0075215F"/>
    <w:rsid w:val="007536AF"/>
    <w:rsid w:val="007545C4"/>
    <w:rsid w:val="007548CF"/>
    <w:rsid w:val="00754AD1"/>
    <w:rsid w:val="00755AE1"/>
    <w:rsid w:val="007564C8"/>
    <w:rsid w:val="007607DA"/>
    <w:rsid w:val="00760B61"/>
    <w:rsid w:val="00760D10"/>
    <w:rsid w:val="0076108A"/>
    <w:rsid w:val="00761C8A"/>
    <w:rsid w:val="0076211F"/>
    <w:rsid w:val="007623D4"/>
    <w:rsid w:val="007629C2"/>
    <w:rsid w:val="00764018"/>
    <w:rsid w:val="00764563"/>
    <w:rsid w:val="00764B44"/>
    <w:rsid w:val="00767D19"/>
    <w:rsid w:val="007700DE"/>
    <w:rsid w:val="0077035B"/>
    <w:rsid w:val="0077114F"/>
    <w:rsid w:val="00771CB3"/>
    <w:rsid w:val="00771FEF"/>
    <w:rsid w:val="007732CF"/>
    <w:rsid w:val="00774397"/>
    <w:rsid w:val="007743D0"/>
    <w:rsid w:val="00774B8E"/>
    <w:rsid w:val="00774F11"/>
    <w:rsid w:val="007760BC"/>
    <w:rsid w:val="00776C97"/>
    <w:rsid w:val="00776CB2"/>
    <w:rsid w:val="00777E89"/>
    <w:rsid w:val="00780641"/>
    <w:rsid w:val="00781502"/>
    <w:rsid w:val="00783033"/>
    <w:rsid w:val="00783879"/>
    <w:rsid w:val="00784890"/>
    <w:rsid w:val="00791815"/>
    <w:rsid w:val="0079192A"/>
    <w:rsid w:val="007930C4"/>
    <w:rsid w:val="007934DD"/>
    <w:rsid w:val="0079361B"/>
    <w:rsid w:val="00793BA9"/>
    <w:rsid w:val="007942F2"/>
    <w:rsid w:val="00794FAC"/>
    <w:rsid w:val="00795547"/>
    <w:rsid w:val="00797445"/>
    <w:rsid w:val="00797C3C"/>
    <w:rsid w:val="007A15D7"/>
    <w:rsid w:val="007A1804"/>
    <w:rsid w:val="007A2591"/>
    <w:rsid w:val="007A559D"/>
    <w:rsid w:val="007A7540"/>
    <w:rsid w:val="007B12E4"/>
    <w:rsid w:val="007B294E"/>
    <w:rsid w:val="007B3BFB"/>
    <w:rsid w:val="007B5ED4"/>
    <w:rsid w:val="007B7430"/>
    <w:rsid w:val="007B7466"/>
    <w:rsid w:val="007B790C"/>
    <w:rsid w:val="007B7A9B"/>
    <w:rsid w:val="007B7BF8"/>
    <w:rsid w:val="007B7E52"/>
    <w:rsid w:val="007C0726"/>
    <w:rsid w:val="007C074A"/>
    <w:rsid w:val="007C1C7E"/>
    <w:rsid w:val="007C1FA9"/>
    <w:rsid w:val="007C22F2"/>
    <w:rsid w:val="007C2DE2"/>
    <w:rsid w:val="007C2EDA"/>
    <w:rsid w:val="007C3B8D"/>
    <w:rsid w:val="007C3B93"/>
    <w:rsid w:val="007C50F9"/>
    <w:rsid w:val="007D1F0D"/>
    <w:rsid w:val="007D3BD4"/>
    <w:rsid w:val="007D3E3B"/>
    <w:rsid w:val="007D5657"/>
    <w:rsid w:val="007D6BD6"/>
    <w:rsid w:val="007D6CE4"/>
    <w:rsid w:val="007D74A5"/>
    <w:rsid w:val="007E0502"/>
    <w:rsid w:val="007E08B2"/>
    <w:rsid w:val="007E1AF6"/>
    <w:rsid w:val="007E27B4"/>
    <w:rsid w:val="007E317F"/>
    <w:rsid w:val="007E4266"/>
    <w:rsid w:val="007E4854"/>
    <w:rsid w:val="007E4F88"/>
    <w:rsid w:val="007E71F4"/>
    <w:rsid w:val="007F02E0"/>
    <w:rsid w:val="007F177C"/>
    <w:rsid w:val="007F42C6"/>
    <w:rsid w:val="007F46D9"/>
    <w:rsid w:val="007F4F30"/>
    <w:rsid w:val="007F5C92"/>
    <w:rsid w:val="007F5C9D"/>
    <w:rsid w:val="007F639E"/>
    <w:rsid w:val="007F6DFF"/>
    <w:rsid w:val="007F7749"/>
    <w:rsid w:val="008005A0"/>
    <w:rsid w:val="00803D81"/>
    <w:rsid w:val="00803D8D"/>
    <w:rsid w:val="00803D9A"/>
    <w:rsid w:val="00804443"/>
    <w:rsid w:val="00804AAD"/>
    <w:rsid w:val="008066B6"/>
    <w:rsid w:val="0081187C"/>
    <w:rsid w:val="0081230A"/>
    <w:rsid w:val="00812F0B"/>
    <w:rsid w:val="008144D9"/>
    <w:rsid w:val="00814A41"/>
    <w:rsid w:val="008154E1"/>
    <w:rsid w:val="00815818"/>
    <w:rsid w:val="0081644A"/>
    <w:rsid w:val="00816455"/>
    <w:rsid w:val="0082023D"/>
    <w:rsid w:val="0082033D"/>
    <w:rsid w:val="008205D2"/>
    <w:rsid w:val="008208C6"/>
    <w:rsid w:val="00820CF7"/>
    <w:rsid w:val="00821175"/>
    <w:rsid w:val="00821B98"/>
    <w:rsid w:val="008226F9"/>
    <w:rsid w:val="0082611E"/>
    <w:rsid w:val="00826385"/>
    <w:rsid w:val="0083001C"/>
    <w:rsid w:val="008306C0"/>
    <w:rsid w:val="00831199"/>
    <w:rsid w:val="008316B3"/>
    <w:rsid w:val="00831887"/>
    <w:rsid w:val="00831A1F"/>
    <w:rsid w:val="008322CC"/>
    <w:rsid w:val="00833D29"/>
    <w:rsid w:val="008364ED"/>
    <w:rsid w:val="00836638"/>
    <w:rsid w:val="00837539"/>
    <w:rsid w:val="00840025"/>
    <w:rsid w:val="008406FA"/>
    <w:rsid w:val="00840C86"/>
    <w:rsid w:val="0084146F"/>
    <w:rsid w:val="00841BAB"/>
    <w:rsid w:val="00842547"/>
    <w:rsid w:val="00842BFF"/>
    <w:rsid w:val="00842DF0"/>
    <w:rsid w:val="00843165"/>
    <w:rsid w:val="0084795D"/>
    <w:rsid w:val="00850374"/>
    <w:rsid w:val="00850567"/>
    <w:rsid w:val="008512E6"/>
    <w:rsid w:val="008541A8"/>
    <w:rsid w:val="008549DA"/>
    <w:rsid w:val="00855EBC"/>
    <w:rsid w:val="00861DB7"/>
    <w:rsid w:val="00861FBB"/>
    <w:rsid w:val="008621A1"/>
    <w:rsid w:val="00863043"/>
    <w:rsid w:val="00863579"/>
    <w:rsid w:val="00863BC2"/>
    <w:rsid w:val="00864224"/>
    <w:rsid w:val="00864989"/>
    <w:rsid w:val="008656B9"/>
    <w:rsid w:val="0087028B"/>
    <w:rsid w:val="008718B7"/>
    <w:rsid w:val="0087358C"/>
    <w:rsid w:val="00873D87"/>
    <w:rsid w:val="00874B67"/>
    <w:rsid w:val="00874B7A"/>
    <w:rsid w:val="0087540E"/>
    <w:rsid w:val="0087730C"/>
    <w:rsid w:val="0087746C"/>
    <w:rsid w:val="00877DC8"/>
    <w:rsid w:val="008808C4"/>
    <w:rsid w:val="008811C0"/>
    <w:rsid w:val="0088295F"/>
    <w:rsid w:val="0088314D"/>
    <w:rsid w:val="008838D2"/>
    <w:rsid w:val="008847E1"/>
    <w:rsid w:val="00885473"/>
    <w:rsid w:val="008859E7"/>
    <w:rsid w:val="008872BA"/>
    <w:rsid w:val="00887DE3"/>
    <w:rsid w:val="00890918"/>
    <w:rsid w:val="0089114E"/>
    <w:rsid w:val="00891991"/>
    <w:rsid w:val="00892195"/>
    <w:rsid w:val="008931BF"/>
    <w:rsid w:val="008942A3"/>
    <w:rsid w:val="008957AC"/>
    <w:rsid w:val="00896E0B"/>
    <w:rsid w:val="008979F4"/>
    <w:rsid w:val="008A0F8A"/>
    <w:rsid w:val="008A24C3"/>
    <w:rsid w:val="008A2EFD"/>
    <w:rsid w:val="008A33AB"/>
    <w:rsid w:val="008A5630"/>
    <w:rsid w:val="008A694B"/>
    <w:rsid w:val="008A77F6"/>
    <w:rsid w:val="008A7E6C"/>
    <w:rsid w:val="008B0402"/>
    <w:rsid w:val="008B0412"/>
    <w:rsid w:val="008B0F53"/>
    <w:rsid w:val="008B2B2A"/>
    <w:rsid w:val="008B39AE"/>
    <w:rsid w:val="008B3B8A"/>
    <w:rsid w:val="008B5E0B"/>
    <w:rsid w:val="008B5EF9"/>
    <w:rsid w:val="008B6128"/>
    <w:rsid w:val="008B63D5"/>
    <w:rsid w:val="008B66CE"/>
    <w:rsid w:val="008B66DA"/>
    <w:rsid w:val="008B7875"/>
    <w:rsid w:val="008C021A"/>
    <w:rsid w:val="008C05BF"/>
    <w:rsid w:val="008C06DD"/>
    <w:rsid w:val="008C0B84"/>
    <w:rsid w:val="008C1213"/>
    <w:rsid w:val="008C1C12"/>
    <w:rsid w:val="008C38C4"/>
    <w:rsid w:val="008C3AE3"/>
    <w:rsid w:val="008C3D53"/>
    <w:rsid w:val="008C43E0"/>
    <w:rsid w:val="008C44C0"/>
    <w:rsid w:val="008C4990"/>
    <w:rsid w:val="008C4EA6"/>
    <w:rsid w:val="008C62B8"/>
    <w:rsid w:val="008D08C2"/>
    <w:rsid w:val="008D2276"/>
    <w:rsid w:val="008D34EB"/>
    <w:rsid w:val="008D42D7"/>
    <w:rsid w:val="008D4ADD"/>
    <w:rsid w:val="008D53C4"/>
    <w:rsid w:val="008D5514"/>
    <w:rsid w:val="008D5CA8"/>
    <w:rsid w:val="008D6073"/>
    <w:rsid w:val="008D66DE"/>
    <w:rsid w:val="008D69B6"/>
    <w:rsid w:val="008E06FE"/>
    <w:rsid w:val="008E0A91"/>
    <w:rsid w:val="008E0CFF"/>
    <w:rsid w:val="008E198B"/>
    <w:rsid w:val="008E46F3"/>
    <w:rsid w:val="008E62E4"/>
    <w:rsid w:val="008E6A81"/>
    <w:rsid w:val="008E714D"/>
    <w:rsid w:val="008E72A3"/>
    <w:rsid w:val="008E7379"/>
    <w:rsid w:val="008E764B"/>
    <w:rsid w:val="008F18C7"/>
    <w:rsid w:val="008F245B"/>
    <w:rsid w:val="008F25D0"/>
    <w:rsid w:val="008F2A4C"/>
    <w:rsid w:val="008F3138"/>
    <w:rsid w:val="008F3447"/>
    <w:rsid w:val="008F5294"/>
    <w:rsid w:val="008F6841"/>
    <w:rsid w:val="00900122"/>
    <w:rsid w:val="00900ACC"/>
    <w:rsid w:val="00901D00"/>
    <w:rsid w:val="00902BEA"/>
    <w:rsid w:val="009031E9"/>
    <w:rsid w:val="00903F20"/>
    <w:rsid w:val="009055C3"/>
    <w:rsid w:val="00905BA9"/>
    <w:rsid w:val="00907CDD"/>
    <w:rsid w:val="0091011F"/>
    <w:rsid w:val="009108F0"/>
    <w:rsid w:val="00913791"/>
    <w:rsid w:val="00913FA0"/>
    <w:rsid w:val="009144C1"/>
    <w:rsid w:val="00914CCD"/>
    <w:rsid w:val="00914EF3"/>
    <w:rsid w:val="00916846"/>
    <w:rsid w:val="00917650"/>
    <w:rsid w:val="009214AA"/>
    <w:rsid w:val="00921753"/>
    <w:rsid w:val="00923334"/>
    <w:rsid w:val="00924900"/>
    <w:rsid w:val="009250AF"/>
    <w:rsid w:val="00925651"/>
    <w:rsid w:val="009264C7"/>
    <w:rsid w:val="0092656B"/>
    <w:rsid w:val="00926DDC"/>
    <w:rsid w:val="009271BD"/>
    <w:rsid w:val="00927CA6"/>
    <w:rsid w:val="00927D93"/>
    <w:rsid w:val="00930FD5"/>
    <w:rsid w:val="0093361D"/>
    <w:rsid w:val="0093475A"/>
    <w:rsid w:val="00934B76"/>
    <w:rsid w:val="00940149"/>
    <w:rsid w:val="009424BD"/>
    <w:rsid w:val="009434CF"/>
    <w:rsid w:val="009455CC"/>
    <w:rsid w:val="00945C85"/>
    <w:rsid w:val="00950998"/>
    <w:rsid w:val="0095196C"/>
    <w:rsid w:val="0095242D"/>
    <w:rsid w:val="00952F6D"/>
    <w:rsid w:val="00953809"/>
    <w:rsid w:val="009548FF"/>
    <w:rsid w:val="0095493B"/>
    <w:rsid w:val="0095532F"/>
    <w:rsid w:val="00955AA3"/>
    <w:rsid w:val="00955D9A"/>
    <w:rsid w:val="00957322"/>
    <w:rsid w:val="00960092"/>
    <w:rsid w:val="009606D6"/>
    <w:rsid w:val="00961157"/>
    <w:rsid w:val="00962C7D"/>
    <w:rsid w:val="00963565"/>
    <w:rsid w:val="009639D9"/>
    <w:rsid w:val="00963BAA"/>
    <w:rsid w:val="00963D42"/>
    <w:rsid w:val="00963D80"/>
    <w:rsid w:val="009652EC"/>
    <w:rsid w:val="009662D6"/>
    <w:rsid w:val="00966E8C"/>
    <w:rsid w:val="009715E7"/>
    <w:rsid w:val="00971E9C"/>
    <w:rsid w:val="0097392C"/>
    <w:rsid w:val="009742D6"/>
    <w:rsid w:val="00974975"/>
    <w:rsid w:val="00975247"/>
    <w:rsid w:val="00976B4F"/>
    <w:rsid w:val="009810AD"/>
    <w:rsid w:val="00981142"/>
    <w:rsid w:val="009811D4"/>
    <w:rsid w:val="009820F9"/>
    <w:rsid w:val="009823AC"/>
    <w:rsid w:val="009837A8"/>
    <w:rsid w:val="00983B62"/>
    <w:rsid w:val="009843AF"/>
    <w:rsid w:val="00986012"/>
    <w:rsid w:val="009866B2"/>
    <w:rsid w:val="0099034F"/>
    <w:rsid w:val="009903F3"/>
    <w:rsid w:val="00990ABF"/>
    <w:rsid w:val="00990C3F"/>
    <w:rsid w:val="00992BBB"/>
    <w:rsid w:val="00992F22"/>
    <w:rsid w:val="009936B2"/>
    <w:rsid w:val="00993A6F"/>
    <w:rsid w:val="009944BE"/>
    <w:rsid w:val="009953CC"/>
    <w:rsid w:val="0099591B"/>
    <w:rsid w:val="00996107"/>
    <w:rsid w:val="009965F5"/>
    <w:rsid w:val="00996BAC"/>
    <w:rsid w:val="00996E47"/>
    <w:rsid w:val="009A0ED8"/>
    <w:rsid w:val="009A30C9"/>
    <w:rsid w:val="009A4552"/>
    <w:rsid w:val="009A4922"/>
    <w:rsid w:val="009A5162"/>
    <w:rsid w:val="009A60B4"/>
    <w:rsid w:val="009B067F"/>
    <w:rsid w:val="009B0B62"/>
    <w:rsid w:val="009B3592"/>
    <w:rsid w:val="009B3E7D"/>
    <w:rsid w:val="009B485D"/>
    <w:rsid w:val="009B56C9"/>
    <w:rsid w:val="009B5C41"/>
    <w:rsid w:val="009B6E05"/>
    <w:rsid w:val="009C127B"/>
    <w:rsid w:val="009C14D8"/>
    <w:rsid w:val="009C192F"/>
    <w:rsid w:val="009C2183"/>
    <w:rsid w:val="009C233C"/>
    <w:rsid w:val="009C2483"/>
    <w:rsid w:val="009C2826"/>
    <w:rsid w:val="009C315E"/>
    <w:rsid w:val="009C3970"/>
    <w:rsid w:val="009C3D79"/>
    <w:rsid w:val="009C3E83"/>
    <w:rsid w:val="009C5CFD"/>
    <w:rsid w:val="009C6124"/>
    <w:rsid w:val="009C6336"/>
    <w:rsid w:val="009C6D5D"/>
    <w:rsid w:val="009C6DF0"/>
    <w:rsid w:val="009D0168"/>
    <w:rsid w:val="009D0468"/>
    <w:rsid w:val="009D0538"/>
    <w:rsid w:val="009D05B2"/>
    <w:rsid w:val="009D137D"/>
    <w:rsid w:val="009D14E9"/>
    <w:rsid w:val="009D2938"/>
    <w:rsid w:val="009D3778"/>
    <w:rsid w:val="009D3D4F"/>
    <w:rsid w:val="009D4922"/>
    <w:rsid w:val="009D5228"/>
    <w:rsid w:val="009D58F4"/>
    <w:rsid w:val="009D674E"/>
    <w:rsid w:val="009E033E"/>
    <w:rsid w:val="009E1E87"/>
    <w:rsid w:val="009E2CF1"/>
    <w:rsid w:val="009E3601"/>
    <w:rsid w:val="009E3BD6"/>
    <w:rsid w:val="009E40EA"/>
    <w:rsid w:val="009E45FE"/>
    <w:rsid w:val="009E46E6"/>
    <w:rsid w:val="009E561F"/>
    <w:rsid w:val="009E58D9"/>
    <w:rsid w:val="009E667F"/>
    <w:rsid w:val="009E6F25"/>
    <w:rsid w:val="009E77CC"/>
    <w:rsid w:val="009F0433"/>
    <w:rsid w:val="009F08E7"/>
    <w:rsid w:val="009F0BE5"/>
    <w:rsid w:val="009F2623"/>
    <w:rsid w:val="009F3084"/>
    <w:rsid w:val="009F3DF1"/>
    <w:rsid w:val="009F54B1"/>
    <w:rsid w:val="009F5865"/>
    <w:rsid w:val="009F7E54"/>
    <w:rsid w:val="00A00119"/>
    <w:rsid w:val="00A002EB"/>
    <w:rsid w:val="00A0037E"/>
    <w:rsid w:val="00A02786"/>
    <w:rsid w:val="00A02877"/>
    <w:rsid w:val="00A02D3E"/>
    <w:rsid w:val="00A03BD2"/>
    <w:rsid w:val="00A04302"/>
    <w:rsid w:val="00A05030"/>
    <w:rsid w:val="00A06259"/>
    <w:rsid w:val="00A06924"/>
    <w:rsid w:val="00A06CC4"/>
    <w:rsid w:val="00A1076A"/>
    <w:rsid w:val="00A108D0"/>
    <w:rsid w:val="00A10A7A"/>
    <w:rsid w:val="00A11485"/>
    <w:rsid w:val="00A11CD1"/>
    <w:rsid w:val="00A1274F"/>
    <w:rsid w:val="00A14B4B"/>
    <w:rsid w:val="00A14BB2"/>
    <w:rsid w:val="00A166CA"/>
    <w:rsid w:val="00A17ADF"/>
    <w:rsid w:val="00A20061"/>
    <w:rsid w:val="00A20C58"/>
    <w:rsid w:val="00A213AB"/>
    <w:rsid w:val="00A241EC"/>
    <w:rsid w:val="00A24758"/>
    <w:rsid w:val="00A25B0E"/>
    <w:rsid w:val="00A30A98"/>
    <w:rsid w:val="00A31216"/>
    <w:rsid w:val="00A3129E"/>
    <w:rsid w:val="00A318BD"/>
    <w:rsid w:val="00A31A14"/>
    <w:rsid w:val="00A33184"/>
    <w:rsid w:val="00A33B68"/>
    <w:rsid w:val="00A346B5"/>
    <w:rsid w:val="00A35638"/>
    <w:rsid w:val="00A36710"/>
    <w:rsid w:val="00A36841"/>
    <w:rsid w:val="00A36E20"/>
    <w:rsid w:val="00A40AE1"/>
    <w:rsid w:val="00A438E5"/>
    <w:rsid w:val="00A44B56"/>
    <w:rsid w:val="00A466BF"/>
    <w:rsid w:val="00A46815"/>
    <w:rsid w:val="00A47396"/>
    <w:rsid w:val="00A47B7C"/>
    <w:rsid w:val="00A50F83"/>
    <w:rsid w:val="00A51DFE"/>
    <w:rsid w:val="00A528E3"/>
    <w:rsid w:val="00A52AF8"/>
    <w:rsid w:val="00A52C25"/>
    <w:rsid w:val="00A530FA"/>
    <w:rsid w:val="00A54D42"/>
    <w:rsid w:val="00A56011"/>
    <w:rsid w:val="00A60ABA"/>
    <w:rsid w:val="00A625FC"/>
    <w:rsid w:val="00A63B6B"/>
    <w:rsid w:val="00A63DEA"/>
    <w:rsid w:val="00A63FBB"/>
    <w:rsid w:val="00A64C77"/>
    <w:rsid w:val="00A6525E"/>
    <w:rsid w:val="00A65FCB"/>
    <w:rsid w:val="00A67D7D"/>
    <w:rsid w:val="00A72268"/>
    <w:rsid w:val="00A73463"/>
    <w:rsid w:val="00A7351E"/>
    <w:rsid w:val="00A735F6"/>
    <w:rsid w:val="00A73BD9"/>
    <w:rsid w:val="00A759FA"/>
    <w:rsid w:val="00A76190"/>
    <w:rsid w:val="00A7646D"/>
    <w:rsid w:val="00A77B60"/>
    <w:rsid w:val="00A80776"/>
    <w:rsid w:val="00A809B4"/>
    <w:rsid w:val="00A80BC9"/>
    <w:rsid w:val="00A83126"/>
    <w:rsid w:val="00A83226"/>
    <w:rsid w:val="00A836C8"/>
    <w:rsid w:val="00A8375B"/>
    <w:rsid w:val="00A839DE"/>
    <w:rsid w:val="00A844C2"/>
    <w:rsid w:val="00A848EE"/>
    <w:rsid w:val="00A85E3B"/>
    <w:rsid w:val="00A86DE7"/>
    <w:rsid w:val="00A9004B"/>
    <w:rsid w:val="00A9176F"/>
    <w:rsid w:val="00A91CDD"/>
    <w:rsid w:val="00A91D3C"/>
    <w:rsid w:val="00A91D46"/>
    <w:rsid w:val="00A93F8F"/>
    <w:rsid w:val="00A961A9"/>
    <w:rsid w:val="00A97430"/>
    <w:rsid w:val="00AA0327"/>
    <w:rsid w:val="00AA0ACA"/>
    <w:rsid w:val="00AA0FC7"/>
    <w:rsid w:val="00AA1686"/>
    <w:rsid w:val="00AA2CAE"/>
    <w:rsid w:val="00AA3669"/>
    <w:rsid w:val="00AA3DB1"/>
    <w:rsid w:val="00AA3FF1"/>
    <w:rsid w:val="00AA431A"/>
    <w:rsid w:val="00AA4E90"/>
    <w:rsid w:val="00AA57F3"/>
    <w:rsid w:val="00AA6409"/>
    <w:rsid w:val="00AB01D4"/>
    <w:rsid w:val="00AB1940"/>
    <w:rsid w:val="00AB2A8A"/>
    <w:rsid w:val="00AB2DFA"/>
    <w:rsid w:val="00AB317C"/>
    <w:rsid w:val="00AB4D8C"/>
    <w:rsid w:val="00AB4F37"/>
    <w:rsid w:val="00AB4FF1"/>
    <w:rsid w:val="00AB51EE"/>
    <w:rsid w:val="00AB58EC"/>
    <w:rsid w:val="00AB77AC"/>
    <w:rsid w:val="00AB7BA5"/>
    <w:rsid w:val="00AC03EA"/>
    <w:rsid w:val="00AC1C8A"/>
    <w:rsid w:val="00AC218D"/>
    <w:rsid w:val="00AC2654"/>
    <w:rsid w:val="00AC284B"/>
    <w:rsid w:val="00AC35AB"/>
    <w:rsid w:val="00AC40B8"/>
    <w:rsid w:val="00AC4288"/>
    <w:rsid w:val="00AC4A5D"/>
    <w:rsid w:val="00AC5C9C"/>
    <w:rsid w:val="00AC6152"/>
    <w:rsid w:val="00AC65CA"/>
    <w:rsid w:val="00AC6785"/>
    <w:rsid w:val="00AC6AD2"/>
    <w:rsid w:val="00AC70E6"/>
    <w:rsid w:val="00AC7430"/>
    <w:rsid w:val="00AC74B6"/>
    <w:rsid w:val="00AC7DA1"/>
    <w:rsid w:val="00AD04CB"/>
    <w:rsid w:val="00AD0784"/>
    <w:rsid w:val="00AD1A8F"/>
    <w:rsid w:val="00AD24F5"/>
    <w:rsid w:val="00AD25A7"/>
    <w:rsid w:val="00AD3358"/>
    <w:rsid w:val="00AD57A4"/>
    <w:rsid w:val="00AD651E"/>
    <w:rsid w:val="00AD664C"/>
    <w:rsid w:val="00AE0097"/>
    <w:rsid w:val="00AE0D07"/>
    <w:rsid w:val="00AE0E65"/>
    <w:rsid w:val="00AE1AB5"/>
    <w:rsid w:val="00AE2DF9"/>
    <w:rsid w:val="00AE2EB3"/>
    <w:rsid w:val="00AE3130"/>
    <w:rsid w:val="00AE3161"/>
    <w:rsid w:val="00AE3D2D"/>
    <w:rsid w:val="00AE4984"/>
    <w:rsid w:val="00AE5348"/>
    <w:rsid w:val="00AE54FA"/>
    <w:rsid w:val="00AE58BD"/>
    <w:rsid w:val="00AE728A"/>
    <w:rsid w:val="00AE7AB2"/>
    <w:rsid w:val="00AF067C"/>
    <w:rsid w:val="00AF0A91"/>
    <w:rsid w:val="00AF1485"/>
    <w:rsid w:val="00AF24E3"/>
    <w:rsid w:val="00AF28B5"/>
    <w:rsid w:val="00AF28DC"/>
    <w:rsid w:val="00AF3DCD"/>
    <w:rsid w:val="00AF4ACC"/>
    <w:rsid w:val="00AF6602"/>
    <w:rsid w:val="00AF660C"/>
    <w:rsid w:val="00B01634"/>
    <w:rsid w:val="00B024D1"/>
    <w:rsid w:val="00B045ED"/>
    <w:rsid w:val="00B046B4"/>
    <w:rsid w:val="00B052D0"/>
    <w:rsid w:val="00B05CA3"/>
    <w:rsid w:val="00B07091"/>
    <w:rsid w:val="00B102BA"/>
    <w:rsid w:val="00B1186C"/>
    <w:rsid w:val="00B11902"/>
    <w:rsid w:val="00B11E3D"/>
    <w:rsid w:val="00B128A0"/>
    <w:rsid w:val="00B13130"/>
    <w:rsid w:val="00B14BFA"/>
    <w:rsid w:val="00B15E23"/>
    <w:rsid w:val="00B24F0F"/>
    <w:rsid w:val="00B25EB2"/>
    <w:rsid w:val="00B26079"/>
    <w:rsid w:val="00B272F3"/>
    <w:rsid w:val="00B311E0"/>
    <w:rsid w:val="00B31966"/>
    <w:rsid w:val="00B31B8D"/>
    <w:rsid w:val="00B32B28"/>
    <w:rsid w:val="00B337CB"/>
    <w:rsid w:val="00B3479D"/>
    <w:rsid w:val="00B34A1A"/>
    <w:rsid w:val="00B35C82"/>
    <w:rsid w:val="00B36168"/>
    <w:rsid w:val="00B40B56"/>
    <w:rsid w:val="00B417B9"/>
    <w:rsid w:val="00B41849"/>
    <w:rsid w:val="00B43163"/>
    <w:rsid w:val="00B436B4"/>
    <w:rsid w:val="00B43DBB"/>
    <w:rsid w:val="00B4407B"/>
    <w:rsid w:val="00B44C67"/>
    <w:rsid w:val="00B45EAC"/>
    <w:rsid w:val="00B467D4"/>
    <w:rsid w:val="00B479B3"/>
    <w:rsid w:val="00B503D7"/>
    <w:rsid w:val="00B50AED"/>
    <w:rsid w:val="00B5129D"/>
    <w:rsid w:val="00B51E6C"/>
    <w:rsid w:val="00B5316F"/>
    <w:rsid w:val="00B5409B"/>
    <w:rsid w:val="00B5507D"/>
    <w:rsid w:val="00B57417"/>
    <w:rsid w:val="00B60C81"/>
    <w:rsid w:val="00B62BAA"/>
    <w:rsid w:val="00B62BD0"/>
    <w:rsid w:val="00B63244"/>
    <w:rsid w:val="00B63A41"/>
    <w:rsid w:val="00B63D67"/>
    <w:rsid w:val="00B704E1"/>
    <w:rsid w:val="00B71309"/>
    <w:rsid w:val="00B7213E"/>
    <w:rsid w:val="00B722BC"/>
    <w:rsid w:val="00B72F15"/>
    <w:rsid w:val="00B733E4"/>
    <w:rsid w:val="00B7617A"/>
    <w:rsid w:val="00B7625A"/>
    <w:rsid w:val="00B776F0"/>
    <w:rsid w:val="00B77CA8"/>
    <w:rsid w:val="00B8019A"/>
    <w:rsid w:val="00B80BEE"/>
    <w:rsid w:val="00B80FF8"/>
    <w:rsid w:val="00B824C5"/>
    <w:rsid w:val="00B83053"/>
    <w:rsid w:val="00B9034E"/>
    <w:rsid w:val="00B907F0"/>
    <w:rsid w:val="00B90D0E"/>
    <w:rsid w:val="00B90D68"/>
    <w:rsid w:val="00B9349F"/>
    <w:rsid w:val="00B94C98"/>
    <w:rsid w:val="00B94F10"/>
    <w:rsid w:val="00B9542D"/>
    <w:rsid w:val="00BA05BB"/>
    <w:rsid w:val="00BA5052"/>
    <w:rsid w:val="00BA752F"/>
    <w:rsid w:val="00BA7EAB"/>
    <w:rsid w:val="00BB4130"/>
    <w:rsid w:val="00BB7008"/>
    <w:rsid w:val="00BB7674"/>
    <w:rsid w:val="00BC0A04"/>
    <w:rsid w:val="00BC0C1B"/>
    <w:rsid w:val="00BC10A4"/>
    <w:rsid w:val="00BC207F"/>
    <w:rsid w:val="00BC2D89"/>
    <w:rsid w:val="00BC30A7"/>
    <w:rsid w:val="00BC404A"/>
    <w:rsid w:val="00BC5B81"/>
    <w:rsid w:val="00BC6160"/>
    <w:rsid w:val="00BC6D5E"/>
    <w:rsid w:val="00BC78DA"/>
    <w:rsid w:val="00BD0098"/>
    <w:rsid w:val="00BD061F"/>
    <w:rsid w:val="00BD0913"/>
    <w:rsid w:val="00BD1A86"/>
    <w:rsid w:val="00BD22AC"/>
    <w:rsid w:val="00BD2675"/>
    <w:rsid w:val="00BD2856"/>
    <w:rsid w:val="00BD2982"/>
    <w:rsid w:val="00BD29C6"/>
    <w:rsid w:val="00BD2F36"/>
    <w:rsid w:val="00BD5780"/>
    <w:rsid w:val="00BD5A8F"/>
    <w:rsid w:val="00BD668C"/>
    <w:rsid w:val="00BE01B4"/>
    <w:rsid w:val="00BE046C"/>
    <w:rsid w:val="00BE0FE7"/>
    <w:rsid w:val="00BE10ED"/>
    <w:rsid w:val="00BE2472"/>
    <w:rsid w:val="00BE2901"/>
    <w:rsid w:val="00BE2D78"/>
    <w:rsid w:val="00BE41DA"/>
    <w:rsid w:val="00BE4348"/>
    <w:rsid w:val="00BE4FA0"/>
    <w:rsid w:val="00BE535A"/>
    <w:rsid w:val="00BE54E0"/>
    <w:rsid w:val="00BE62A3"/>
    <w:rsid w:val="00BE698B"/>
    <w:rsid w:val="00BE76B0"/>
    <w:rsid w:val="00BE7F01"/>
    <w:rsid w:val="00BF0E09"/>
    <w:rsid w:val="00BF1002"/>
    <w:rsid w:val="00BF1782"/>
    <w:rsid w:val="00BF3653"/>
    <w:rsid w:val="00BF37F5"/>
    <w:rsid w:val="00BF3C05"/>
    <w:rsid w:val="00BF4014"/>
    <w:rsid w:val="00BF471C"/>
    <w:rsid w:val="00BF4CA1"/>
    <w:rsid w:val="00BF58CF"/>
    <w:rsid w:val="00BF6076"/>
    <w:rsid w:val="00BF7819"/>
    <w:rsid w:val="00C0106B"/>
    <w:rsid w:val="00C0392F"/>
    <w:rsid w:val="00C05B70"/>
    <w:rsid w:val="00C05CBA"/>
    <w:rsid w:val="00C0755D"/>
    <w:rsid w:val="00C10EF7"/>
    <w:rsid w:val="00C129FC"/>
    <w:rsid w:val="00C13C07"/>
    <w:rsid w:val="00C140A3"/>
    <w:rsid w:val="00C146F4"/>
    <w:rsid w:val="00C16B21"/>
    <w:rsid w:val="00C204FC"/>
    <w:rsid w:val="00C21CCE"/>
    <w:rsid w:val="00C21E93"/>
    <w:rsid w:val="00C240ED"/>
    <w:rsid w:val="00C2454F"/>
    <w:rsid w:val="00C24882"/>
    <w:rsid w:val="00C24A03"/>
    <w:rsid w:val="00C26CC6"/>
    <w:rsid w:val="00C26D55"/>
    <w:rsid w:val="00C30C19"/>
    <w:rsid w:val="00C30ED6"/>
    <w:rsid w:val="00C32CE1"/>
    <w:rsid w:val="00C3366A"/>
    <w:rsid w:val="00C3455C"/>
    <w:rsid w:val="00C34A08"/>
    <w:rsid w:val="00C34F09"/>
    <w:rsid w:val="00C3661E"/>
    <w:rsid w:val="00C37753"/>
    <w:rsid w:val="00C40124"/>
    <w:rsid w:val="00C40DA8"/>
    <w:rsid w:val="00C423F9"/>
    <w:rsid w:val="00C4265E"/>
    <w:rsid w:val="00C426D5"/>
    <w:rsid w:val="00C4293C"/>
    <w:rsid w:val="00C449DC"/>
    <w:rsid w:val="00C4595E"/>
    <w:rsid w:val="00C46430"/>
    <w:rsid w:val="00C46A3A"/>
    <w:rsid w:val="00C46D98"/>
    <w:rsid w:val="00C52214"/>
    <w:rsid w:val="00C527BE"/>
    <w:rsid w:val="00C530F3"/>
    <w:rsid w:val="00C5417D"/>
    <w:rsid w:val="00C54B74"/>
    <w:rsid w:val="00C54F1F"/>
    <w:rsid w:val="00C56801"/>
    <w:rsid w:val="00C56EBC"/>
    <w:rsid w:val="00C57634"/>
    <w:rsid w:val="00C62B81"/>
    <w:rsid w:val="00C62BCC"/>
    <w:rsid w:val="00C63B54"/>
    <w:rsid w:val="00C642E3"/>
    <w:rsid w:val="00C64597"/>
    <w:rsid w:val="00C64A58"/>
    <w:rsid w:val="00C64E28"/>
    <w:rsid w:val="00C650F4"/>
    <w:rsid w:val="00C65AF3"/>
    <w:rsid w:val="00C65B24"/>
    <w:rsid w:val="00C65E91"/>
    <w:rsid w:val="00C66F0B"/>
    <w:rsid w:val="00C6724A"/>
    <w:rsid w:val="00C677CB"/>
    <w:rsid w:val="00C67B0D"/>
    <w:rsid w:val="00C70226"/>
    <w:rsid w:val="00C7235F"/>
    <w:rsid w:val="00C72362"/>
    <w:rsid w:val="00C73290"/>
    <w:rsid w:val="00C736BC"/>
    <w:rsid w:val="00C73C79"/>
    <w:rsid w:val="00C747D3"/>
    <w:rsid w:val="00C75027"/>
    <w:rsid w:val="00C7610C"/>
    <w:rsid w:val="00C76812"/>
    <w:rsid w:val="00C805DA"/>
    <w:rsid w:val="00C81686"/>
    <w:rsid w:val="00C81950"/>
    <w:rsid w:val="00C8315C"/>
    <w:rsid w:val="00C8434E"/>
    <w:rsid w:val="00C855C8"/>
    <w:rsid w:val="00C8774C"/>
    <w:rsid w:val="00C87BFA"/>
    <w:rsid w:val="00C90067"/>
    <w:rsid w:val="00C90334"/>
    <w:rsid w:val="00C9285D"/>
    <w:rsid w:val="00C95372"/>
    <w:rsid w:val="00C96E0F"/>
    <w:rsid w:val="00C97663"/>
    <w:rsid w:val="00C97981"/>
    <w:rsid w:val="00CA0BC8"/>
    <w:rsid w:val="00CA0D3A"/>
    <w:rsid w:val="00CA2725"/>
    <w:rsid w:val="00CA380B"/>
    <w:rsid w:val="00CA3FEF"/>
    <w:rsid w:val="00CA407D"/>
    <w:rsid w:val="00CA4CCC"/>
    <w:rsid w:val="00CA4DDB"/>
    <w:rsid w:val="00CA501D"/>
    <w:rsid w:val="00CA5BD3"/>
    <w:rsid w:val="00CA68C8"/>
    <w:rsid w:val="00CA7ED2"/>
    <w:rsid w:val="00CB094D"/>
    <w:rsid w:val="00CB1ED6"/>
    <w:rsid w:val="00CB3508"/>
    <w:rsid w:val="00CB3B06"/>
    <w:rsid w:val="00CB4256"/>
    <w:rsid w:val="00CB4A37"/>
    <w:rsid w:val="00CB4FE5"/>
    <w:rsid w:val="00CB6062"/>
    <w:rsid w:val="00CB73B4"/>
    <w:rsid w:val="00CB7DE2"/>
    <w:rsid w:val="00CB7FF4"/>
    <w:rsid w:val="00CC00AF"/>
    <w:rsid w:val="00CC01EC"/>
    <w:rsid w:val="00CC2BC4"/>
    <w:rsid w:val="00CC41AB"/>
    <w:rsid w:val="00CC47AE"/>
    <w:rsid w:val="00CC5702"/>
    <w:rsid w:val="00CC62D7"/>
    <w:rsid w:val="00CC6BB4"/>
    <w:rsid w:val="00CC73EC"/>
    <w:rsid w:val="00CD0426"/>
    <w:rsid w:val="00CD06A5"/>
    <w:rsid w:val="00CD0C56"/>
    <w:rsid w:val="00CD0D29"/>
    <w:rsid w:val="00CD219E"/>
    <w:rsid w:val="00CD234B"/>
    <w:rsid w:val="00CD4C71"/>
    <w:rsid w:val="00CD5942"/>
    <w:rsid w:val="00CD5CB9"/>
    <w:rsid w:val="00CD6DB2"/>
    <w:rsid w:val="00CE2CC4"/>
    <w:rsid w:val="00CE37C0"/>
    <w:rsid w:val="00CE4870"/>
    <w:rsid w:val="00CE5136"/>
    <w:rsid w:val="00CE5562"/>
    <w:rsid w:val="00CE5E1B"/>
    <w:rsid w:val="00CE7917"/>
    <w:rsid w:val="00CF15C1"/>
    <w:rsid w:val="00CF1BA2"/>
    <w:rsid w:val="00CF39DB"/>
    <w:rsid w:val="00CF39F0"/>
    <w:rsid w:val="00CF40E9"/>
    <w:rsid w:val="00CF5429"/>
    <w:rsid w:val="00CF5490"/>
    <w:rsid w:val="00CF5A54"/>
    <w:rsid w:val="00CF5EC5"/>
    <w:rsid w:val="00CF6420"/>
    <w:rsid w:val="00CF66C3"/>
    <w:rsid w:val="00CF6739"/>
    <w:rsid w:val="00CF6DF3"/>
    <w:rsid w:val="00CF7567"/>
    <w:rsid w:val="00D000F3"/>
    <w:rsid w:val="00D00480"/>
    <w:rsid w:val="00D0093F"/>
    <w:rsid w:val="00D027DA"/>
    <w:rsid w:val="00D02FBC"/>
    <w:rsid w:val="00D04235"/>
    <w:rsid w:val="00D06511"/>
    <w:rsid w:val="00D0755E"/>
    <w:rsid w:val="00D1035F"/>
    <w:rsid w:val="00D11161"/>
    <w:rsid w:val="00D167BD"/>
    <w:rsid w:val="00D16DC9"/>
    <w:rsid w:val="00D171B7"/>
    <w:rsid w:val="00D1772E"/>
    <w:rsid w:val="00D21C46"/>
    <w:rsid w:val="00D21EFB"/>
    <w:rsid w:val="00D23321"/>
    <w:rsid w:val="00D23FFF"/>
    <w:rsid w:val="00D24BA3"/>
    <w:rsid w:val="00D24DF6"/>
    <w:rsid w:val="00D32003"/>
    <w:rsid w:val="00D326FF"/>
    <w:rsid w:val="00D32AE1"/>
    <w:rsid w:val="00D32F91"/>
    <w:rsid w:val="00D3566F"/>
    <w:rsid w:val="00D3652F"/>
    <w:rsid w:val="00D372D4"/>
    <w:rsid w:val="00D408BD"/>
    <w:rsid w:val="00D40CE1"/>
    <w:rsid w:val="00D429F6"/>
    <w:rsid w:val="00D4304F"/>
    <w:rsid w:val="00D44631"/>
    <w:rsid w:val="00D46C5C"/>
    <w:rsid w:val="00D474EF"/>
    <w:rsid w:val="00D477EF"/>
    <w:rsid w:val="00D47EC6"/>
    <w:rsid w:val="00D501F7"/>
    <w:rsid w:val="00D502DA"/>
    <w:rsid w:val="00D5239B"/>
    <w:rsid w:val="00D526CF"/>
    <w:rsid w:val="00D52BE2"/>
    <w:rsid w:val="00D52BFB"/>
    <w:rsid w:val="00D53224"/>
    <w:rsid w:val="00D53BFF"/>
    <w:rsid w:val="00D54940"/>
    <w:rsid w:val="00D553AB"/>
    <w:rsid w:val="00D55AB8"/>
    <w:rsid w:val="00D56CCC"/>
    <w:rsid w:val="00D611A8"/>
    <w:rsid w:val="00D61E1E"/>
    <w:rsid w:val="00D61EDB"/>
    <w:rsid w:val="00D630DE"/>
    <w:rsid w:val="00D6462D"/>
    <w:rsid w:val="00D64DF3"/>
    <w:rsid w:val="00D71317"/>
    <w:rsid w:val="00D7195A"/>
    <w:rsid w:val="00D7384D"/>
    <w:rsid w:val="00D747CD"/>
    <w:rsid w:val="00D75BBC"/>
    <w:rsid w:val="00D76017"/>
    <w:rsid w:val="00D76FAE"/>
    <w:rsid w:val="00D8007A"/>
    <w:rsid w:val="00D800DD"/>
    <w:rsid w:val="00D80264"/>
    <w:rsid w:val="00D80FD0"/>
    <w:rsid w:val="00D812ED"/>
    <w:rsid w:val="00D819DF"/>
    <w:rsid w:val="00D81A87"/>
    <w:rsid w:val="00D82477"/>
    <w:rsid w:val="00D8269E"/>
    <w:rsid w:val="00D82E22"/>
    <w:rsid w:val="00D8380A"/>
    <w:rsid w:val="00D83AC7"/>
    <w:rsid w:val="00D83C03"/>
    <w:rsid w:val="00D83E90"/>
    <w:rsid w:val="00D85149"/>
    <w:rsid w:val="00D85294"/>
    <w:rsid w:val="00D8547E"/>
    <w:rsid w:val="00D85A55"/>
    <w:rsid w:val="00D864EE"/>
    <w:rsid w:val="00D86BAA"/>
    <w:rsid w:val="00D86F30"/>
    <w:rsid w:val="00D872BD"/>
    <w:rsid w:val="00D873DD"/>
    <w:rsid w:val="00D87807"/>
    <w:rsid w:val="00D90164"/>
    <w:rsid w:val="00D9020C"/>
    <w:rsid w:val="00D91896"/>
    <w:rsid w:val="00D92028"/>
    <w:rsid w:val="00D93CA5"/>
    <w:rsid w:val="00D93F3E"/>
    <w:rsid w:val="00D9400E"/>
    <w:rsid w:val="00D94DA9"/>
    <w:rsid w:val="00D94EB1"/>
    <w:rsid w:val="00D952CF"/>
    <w:rsid w:val="00D95F17"/>
    <w:rsid w:val="00D9614C"/>
    <w:rsid w:val="00D9636B"/>
    <w:rsid w:val="00D9757B"/>
    <w:rsid w:val="00DA0D1D"/>
    <w:rsid w:val="00DA10A4"/>
    <w:rsid w:val="00DA1839"/>
    <w:rsid w:val="00DA1BE9"/>
    <w:rsid w:val="00DA245F"/>
    <w:rsid w:val="00DA25A0"/>
    <w:rsid w:val="00DA25AF"/>
    <w:rsid w:val="00DA2EBC"/>
    <w:rsid w:val="00DA42FF"/>
    <w:rsid w:val="00DA450D"/>
    <w:rsid w:val="00DA4CB2"/>
    <w:rsid w:val="00DA6D2D"/>
    <w:rsid w:val="00DB05C4"/>
    <w:rsid w:val="00DB2036"/>
    <w:rsid w:val="00DB3114"/>
    <w:rsid w:val="00DB4284"/>
    <w:rsid w:val="00DB45E0"/>
    <w:rsid w:val="00DB5077"/>
    <w:rsid w:val="00DB5216"/>
    <w:rsid w:val="00DB5939"/>
    <w:rsid w:val="00DB643D"/>
    <w:rsid w:val="00DB6A9C"/>
    <w:rsid w:val="00DC02FE"/>
    <w:rsid w:val="00DC1936"/>
    <w:rsid w:val="00DC2F71"/>
    <w:rsid w:val="00DC37ED"/>
    <w:rsid w:val="00DC47F8"/>
    <w:rsid w:val="00DC4877"/>
    <w:rsid w:val="00DC4EFB"/>
    <w:rsid w:val="00DC585F"/>
    <w:rsid w:val="00DC67AD"/>
    <w:rsid w:val="00DC6D3C"/>
    <w:rsid w:val="00DD0450"/>
    <w:rsid w:val="00DD061C"/>
    <w:rsid w:val="00DD0696"/>
    <w:rsid w:val="00DD0B81"/>
    <w:rsid w:val="00DD11F2"/>
    <w:rsid w:val="00DD1732"/>
    <w:rsid w:val="00DD1F27"/>
    <w:rsid w:val="00DD32B7"/>
    <w:rsid w:val="00DD3CF7"/>
    <w:rsid w:val="00DD4039"/>
    <w:rsid w:val="00DD4072"/>
    <w:rsid w:val="00DD493A"/>
    <w:rsid w:val="00DD4B5E"/>
    <w:rsid w:val="00DD6E58"/>
    <w:rsid w:val="00DE0BF4"/>
    <w:rsid w:val="00DE3F70"/>
    <w:rsid w:val="00DE405A"/>
    <w:rsid w:val="00DE4266"/>
    <w:rsid w:val="00DE4D3E"/>
    <w:rsid w:val="00DE696B"/>
    <w:rsid w:val="00DE722B"/>
    <w:rsid w:val="00DE72A7"/>
    <w:rsid w:val="00DE75B2"/>
    <w:rsid w:val="00DF055F"/>
    <w:rsid w:val="00DF0D90"/>
    <w:rsid w:val="00DF1525"/>
    <w:rsid w:val="00DF199E"/>
    <w:rsid w:val="00DF27B3"/>
    <w:rsid w:val="00DF2925"/>
    <w:rsid w:val="00DF2DB0"/>
    <w:rsid w:val="00DF36EC"/>
    <w:rsid w:val="00DF3F59"/>
    <w:rsid w:val="00DF419A"/>
    <w:rsid w:val="00DF4D2B"/>
    <w:rsid w:val="00DF59C2"/>
    <w:rsid w:val="00DF66A1"/>
    <w:rsid w:val="00E000D5"/>
    <w:rsid w:val="00E010BD"/>
    <w:rsid w:val="00E02533"/>
    <w:rsid w:val="00E047F0"/>
    <w:rsid w:val="00E0523D"/>
    <w:rsid w:val="00E05585"/>
    <w:rsid w:val="00E07ACE"/>
    <w:rsid w:val="00E105CE"/>
    <w:rsid w:val="00E106DE"/>
    <w:rsid w:val="00E10B45"/>
    <w:rsid w:val="00E10E0B"/>
    <w:rsid w:val="00E111D9"/>
    <w:rsid w:val="00E139FE"/>
    <w:rsid w:val="00E13C4B"/>
    <w:rsid w:val="00E147FC"/>
    <w:rsid w:val="00E148CF"/>
    <w:rsid w:val="00E14E64"/>
    <w:rsid w:val="00E15E50"/>
    <w:rsid w:val="00E1757F"/>
    <w:rsid w:val="00E17707"/>
    <w:rsid w:val="00E17FAC"/>
    <w:rsid w:val="00E17FD4"/>
    <w:rsid w:val="00E21F96"/>
    <w:rsid w:val="00E221C7"/>
    <w:rsid w:val="00E23296"/>
    <w:rsid w:val="00E24477"/>
    <w:rsid w:val="00E24CB1"/>
    <w:rsid w:val="00E26242"/>
    <w:rsid w:val="00E263B3"/>
    <w:rsid w:val="00E30205"/>
    <w:rsid w:val="00E310F9"/>
    <w:rsid w:val="00E317EA"/>
    <w:rsid w:val="00E34B05"/>
    <w:rsid w:val="00E353BB"/>
    <w:rsid w:val="00E3544F"/>
    <w:rsid w:val="00E37BC0"/>
    <w:rsid w:val="00E37C58"/>
    <w:rsid w:val="00E41C8C"/>
    <w:rsid w:val="00E43B01"/>
    <w:rsid w:val="00E44020"/>
    <w:rsid w:val="00E44F46"/>
    <w:rsid w:val="00E457CD"/>
    <w:rsid w:val="00E45986"/>
    <w:rsid w:val="00E468AF"/>
    <w:rsid w:val="00E47F75"/>
    <w:rsid w:val="00E50CC1"/>
    <w:rsid w:val="00E5177A"/>
    <w:rsid w:val="00E5263B"/>
    <w:rsid w:val="00E52672"/>
    <w:rsid w:val="00E53A17"/>
    <w:rsid w:val="00E53A3A"/>
    <w:rsid w:val="00E54B25"/>
    <w:rsid w:val="00E55762"/>
    <w:rsid w:val="00E55E0E"/>
    <w:rsid w:val="00E56C47"/>
    <w:rsid w:val="00E56F5B"/>
    <w:rsid w:val="00E61AC8"/>
    <w:rsid w:val="00E62194"/>
    <w:rsid w:val="00E62E1F"/>
    <w:rsid w:val="00E62E37"/>
    <w:rsid w:val="00E65383"/>
    <w:rsid w:val="00E65963"/>
    <w:rsid w:val="00E662D3"/>
    <w:rsid w:val="00E66479"/>
    <w:rsid w:val="00E66619"/>
    <w:rsid w:val="00E66921"/>
    <w:rsid w:val="00E70820"/>
    <w:rsid w:val="00E70BF6"/>
    <w:rsid w:val="00E710E5"/>
    <w:rsid w:val="00E756CA"/>
    <w:rsid w:val="00E7762C"/>
    <w:rsid w:val="00E77E9A"/>
    <w:rsid w:val="00E77F3C"/>
    <w:rsid w:val="00E8038E"/>
    <w:rsid w:val="00E809EF"/>
    <w:rsid w:val="00E82EFE"/>
    <w:rsid w:val="00E830D4"/>
    <w:rsid w:val="00E8516A"/>
    <w:rsid w:val="00E8582B"/>
    <w:rsid w:val="00E85BA8"/>
    <w:rsid w:val="00E86CF3"/>
    <w:rsid w:val="00E90C50"/>
    <w:rsid w:val="00E9137F"/>
    <w:rsid w:val="00E91C12"/>
    <w:rsid w:val="00E922B2"/>
    <w:rsid w:val="00E92AF1"/>
    <w:rsid w:val="00E93C0A"/>
    <w:rsid w:val="00E97CC6"/>
    <w:rsid w:val="00EA001B"/>
    <w:rsid w:val="00EA22EE"/>
    <w:rsid w:val="00EA2621"/>
    <w:rsid w:val="00EA61EE"/>
    <w:rsid w:val="00EA63B9"/>
    <w:rsid w:val="00EA6A77"/>
    <w:rsid w:val="00EA7874"/>
    <w:rsid w:val="00EA7A80"/>
    <w:rsid w:val="00EB2DC3"/>
    <w:rsid w:val="00EB395D"/>
    <w:rsid w:val="00EB3F47"/>
    <w:rsid w:val="00EB517D"/>
    <w:rsid w:val="00EB546E"/>
    <w:rsid w:val="00EB616E"/>
    <w:rsid w:val="00EB686E"/>
    <w:rsid w:val="00EB7C5B"/>
    <w:rsid w:val="00EB7DE2"/>
    <w:rsid w:val="00EC0258"/>
    <w:rsid w:val="00EC0963"/>
    <w:rsid w:val="00EC0C5F"/>
    <w:rsid w:val="00EC20A0"/>
    <w:rsid w:val="00EC2A9D"/>
    <w:rsid w:val="00EC2F27"/>
    <w:rsid w:val="00EC51A4"/>
    <w:rsid w:val="00EC5B05"/>
    <w:rsid w:val="00ED0FFF"/>
    <w:rsid w:val="00ED118F"/>
    <w:rsid w:val="00ED27C9"/>
    <w:rsid w:val="00ED2E61"/>
    <w:rsid w:val="00ED33B2"/>
    <w:rsid w:val="00ED3BC0"/>
    <w:rsid w:val="00ED4E89"/>
    <w:rsid w:val="00ED6571"/>
    <w:rsid w:val="00ED6CA9"/>
    <w:rsid w:val="00ED73AA"/>
    <w:rsid w:val="00ED7F02"/>
    <w:rsid w:val="00EE0195"/>
    <w:rsid w:val="00EE020A"/>
    <w:rsid w:val="00EE0A6C"/>
    <w:rsid w:val="00EE3058"/>
    <w:rsid w:val="00EE3A4A"/>
    <w:rsid w:val="00EE3D32"/>
    <w:rsid w:val="00EE42A6"/>
    <w:rsid w:val="00EE497E"/>
    <w:rsid w:val="00EE624F"/>
    <w:rsid w:val="00EF1629"/>
    <w:rsid w:val="00EF2696"/>
    <w:rsid w:val="00EF30D4"/>
    <w:rsid w:val="00EF4322"/>
    <w:rsid w:val="00F00192"/>
    <w:rsid w:val="00F004A6"/>
    <w:rsid w:val="00F00BA1"/>
    <w:rsid w:val="00F0119A"/>
    <w:rsid w:val="00F0153A"/>
    <w:rsid w:val="00F023D0"/>
    <w:rsid w:val="00F03498"/>
    <w:rsid w:val="00F0349B"/>
    <w:rsid w:val="00F051B6"/>
    <w:rsid w:val="00F05ACC"/>
    <w:rsid w:val="00F06410"/>
    <w:rsid w:val="00F06682"/>
    <w:rsid w:val="00F10399"/>
    <w:rsid w:val="00F110A9"/>
    <w:rsid w:val="00F127B5"/>
    <w:rsid w:val="00F13254"/>
    <w:rsid w:val="00F1346C"/>
    <w:rsid w:val="00F15B80"/>
    <w:rsid w:val="00F15CFF"/>
    <w:rsid w:val="00F17BE8"/>
    <w:rsid w:val="00F2071B"/>
    <w:rsid w:val="00F2105B"/>
    <w:rsid w:val="00F2200C"/>
    <w:rsid w:val="00F22B7C"/>
    <w:rsid w:val="00F245B2"/>
    <w:rsid w:val="00F246E0"/>
    <w:rsid w:val="00F25192"/>
    <w:rsid w:val="00F25E72"/>
    <w:rsid w:val="00F25FCE"/>
    <w:rsid w:val="00F3013F"/>
    <w:rsid w:val="00F3046A"/>
    <w:rsid w:val="00F30B5A"/>
    <w:rsid w:val="00F312BE"/>
    <w:rsid w:val="00F31537"/>
    <w:rsid w:val="00F31600"/>
    <w:rsid w:val="00F324E5"/>
    <w:rsid w:val="00F32716"/>
    <w:rsid w:val="00F32D1A"/>
    <w:rsid w:val="00F33249"/>
    <w:rsid w:val="00F34D51"/>
    <w:rsid w:val="00F36F27"/>
    <w:rsid w:val="00F37226"/>
    <w:rsid w:val="00F40076"/>
    <w:rsid w:val="00F4256F"/>
    <w:rsid w:val="00F42917"/>
    <w:rsid w:val="00F43A89"/>
    <w:rsid w:val="00F43C83"/>
    <w:rsid w:val="00F44614"/>
    <w:rsid w:val="00F4500D"/>
    <w:rsid w:val="00F46340"/>
    <w:rsid w:val="00F469CD"/>
    <w:rsid w:val="00F50807"/>
    <w:rsid w:val="00F52CD5"/>
    <w:rsid w:val="00F5375E"/>
    <w:rsid w:val="00F542A8"/>
    <w:rsid w:val="00F54318"/>
    <w:rsid w:val="00F5628B"/>
    <w:rsid w:val="00F57D08"/>
    <w:rsid w:val="00F60704"/>
    <w:rsid w:val="00F61C83"/>
    <w:rsid w:val="00F62875"/>
    <w:rsid w:val="00F62A25"/>
    <w:rsid w:val="00F64F83"/>
    <w:rsid w:val="00F650C4"/>
    <w:rsid w:val="00F65604"/>
    <w:rsid w:val="00F65985"/>
    <w:rsid w:val="00F66CB2"/>
    <w:rsid w:val="00F67637"/>
    <w:rsid w:val="00F67B17"/>
    <w:rsid w:val="00F702D7"/>
    <w:rsid w:val="00F707D7"/>
    <w:rsid w:val="00F7092D"/>
    <w:rsid w:val="00F7162D"/>
    <w:rsid w:val="00F71AA3"/>
    <w:rsid w:val="00F71AF8"/>
    <w:rsid w:val="00F73C44"/>
    <w:rsid w:val="00F747B2"/>
    <w:rsid w:val="00F75B5B"/>
    <w:rsid w:val="00F76729"/>
    <w:rsid w:val="00F77302"/>
    <w:rsid w:val="00F7743E"/>
    <w:rsid w:val="00F77524"/>
    <w:rsid w:val="00F77C15"/>
    <w:rsid w:val="00F812FC"/>
    <w:rsid w:val="00F81AF5"/>
    <w:rsid w:val="00F83E9A"/>
    <w:rsid w:val="00F861D6"/>
    <w:rsid w:val="00F868AF"/>
    <w:rsid w:val="00F87340"/>
    <w:rsid w:val="00F8799A"/>
    <w:rsid w:val="00F9011A"/>
    <w:rsid w:val="00F905BD"/>
    <w:rsid w:val="00F935B7"/>
    <w:rsid w:val="00F93EDD"/>
    <w:rsid w:val="00F9433A"/>
    <w:rsid w:val="00F94365"/>
    <w:rsid w:val="00F956DC"/>
    <w:rsid w:val="00F9650A"/>
    <w:rsid w:val="00F9718F"/>
    <w:rsid w:val="00F9758B"/>
    <w:rsid w:val="00F97C67"/>
    <w:rsid w:val="00F97CB4"/>
    <w:rsid w:val="00FA01D9"/>
    <w:rsid w:val="00FA1316"/>
    <w:rsid w:val="00FA1377"/>
    <w:rsid w:val="00FA19DB"/>
    <w:rsid w:val="00FA1B67"/>
    <w:rsid w:val="00FA1EA7"/>
    <w:rsid w:val="00FA2303"/>
    <w:rsid w:val="00FA6584"/>
    <w:rsid w:val="00FA6F81"/>
    <w:rsid w:val="00FA712C"/>
    <w:rsid w:val="00FB00CC"/>
    <w:rsid w:val="00FB3500"/>
    <w:rsid w:val="00FB354A"/>
    <w:rsid w:val="00FB3D27"/>
    <w:rsid w:val="00FB4CAC"/>
    <w:rsid w:val="00FB4FF6"/>
    <w:rsid w:val="00FB5647"/>
    <w:rsid w:val="00FB5CA4"/>
    <w:rsid w:val="00FB6415"/>
    <w:rsid w:val="00FB6AC0"/>
    <w:rsid w:val="00FB7033"/>
    <w:rsid w:val="00FB7BC3"/>
    <w:rsid w:val="00FC0DB4"/>
    <w:rsid w:val="00FC2D73"/>
    <w:rsid w:val="00FC2D83"/>
    <w:rsid w:val="00FC2F9A"/>
    <w:rsid w:val="00FC4E48"/>
    <w:rsid w:val="00FC58AB"/>
    <w:rsid w:val="00FC62F6"/>
    <w:rsid w:val="00FC6414"/>
    <w:rsid w:val="00FC6790"/>
    <w:rsid w:val="00FC6F43"/>
    <w:rsid w:val="00FD0015"/>
    <w:rsid w:val="00FD079E"/>
    <w:rsid w:val="00FD097A"/>
    <w:rsid w:val="00FD1858"/>
    <w:rsid w:val="00FD1DE6"/>
    <w:rsid w:val="00FD2445"/>
    <w:rsid w:val="00FD2A53"/>
    <w:rsid w:val="00FD3548"/>
    <w:rsid w:val="00FD4541"/>
    <w:rsid w:val="00FD4B8B"/>
    <w:rsid w:val="00FD57FD"/>
    <w:rsid w:val="00FD59DF"/>
    <w:rsid w:val="00FD6DD9"/>
    <w:rsid w:val="00FD7A35"/>
    <w:rsid w:val="00FE0973"/>
    <w:rsid w:val="00FE0A54"/>
    <w:rsid w:val="00FE1412"/>
    <w:rsid w:val="00FE317A"/>
    <w:rsid w:val="00FE3B17"/>
    <w:rsid w:val="00FE4478"/>
    <w:rsid w:val="00FE490B"/>
    <w:rsid w:val="00FE5477"/>
    <w:rsid w:val="00FE5A3A"/>
    <w:rsid w:val="00FE6833"/>
    <w:rsid w:val="00FE68FB"/>
    <w:rsid w:val="00FE6FBF"/>
    <w:rsid w:val="00FE77C5"/>
    <w:rsid w:val="00FF05B0"/>
    <w:rsid w:val="00FF0DE2"/>
    <w:rsid w:val="00FF1097"/>
    <w:rsid w:val="00FF1C5C"/>
    <w:rsid w:val="00FF1FD5"/>
    <w:rsid w:val="00FF2716"/>
    <w:rsid w:val="00FF5024"/>
    <w:rsid w:val="00FF63A8"/>
    <w:rsid w:val="00FF6F35"/>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D5"/>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0E4DB2"/>
    <w:pPr>
      <w:keepNext/>
      <w:keepLines/>
      <w:spacing w:before="200" w:after="0" w:line="360" w:lineRule="auto"/>
      <w:jc w:val="both"/>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0E4DB2"/>
    <w:pPr>
      <w:keepNext/>
      <w:keepLines/>
      <w:spacing w:before="40" w:after="0" w:line="360" w:lineRule="auto"/>
      <w:jc w:val="both"/>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0E4DB2"/>
    <w:pPr>
      <w:keepNext/>
      <w:keepLines/>
      <w:spacing w:before="40" w:after="0" w:line="360" w:lineRule="auto"/>
      <w:jc w:val="both"/>
      <w:outlineLvl w:val="3"/>
    </w:pPr>
    <w:rPr>
      <w:rFonts w:eastAsiaTheme="majorEastAsia"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0E4DB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0E4DB2"/>
    <w:rPr>
      <w:rFonts w:ascii="Arial" w:eastAsiaTheme="majorEastAsia" w:hAnsi="Arial" w:cstheme="majorBidi"/>
      <w:b/>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F9011A"/>
    <w:pPr>
      <w:spacing w:after="100"/>
      <w:ind w:left="400"/>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character" w:styleId="Mencinsinresolver">
    <w:name w:val="Unresolved Mention"/>
    <w:basedOn w:val="Fuentedeprrafopredeter"/>
    <w:uiPriority w:val="99"/>
    <w:semiHidden/>
    <w:unhideWhenUsed/>
    <w:rsid w:val="00527EE9"/>
    <w:rPr>
      <w:color w:val="605E5C"/>
      <w:shd w:val="clear" w:color="auto" w:fill="E1DFDD"/>
    </w:rPr>
  </w:style>
  <w:style w:type="character" w:styleId="Hipervnculovisitado">
    <w:name w:val="FollowedHyperlink"/>
    <w:basedOn w:val="Fuentedeprrafopredeter"/>
    <w:uiPriority w:val="99"/>
    <w:semiHidden/>
    <w:unhideWhenUsed/>
    <w:rsid w:val="00E0523D"/>
    <w:rPr>
      <w:color w:val="954F72" w:themeColor="followedHyperlink"/>
      <w:u w:val="single"/>
    </w:rPr>
  </w:style>
  <w:style w:type="table" w:customStyle="1" w:styleId="Tablaconcuadrcula4">
    <w:name w:val="Tabla con cuadrícula4"/>
    <w:basedOn w:val="Tablanormal"/>
    <w:next w:val="Tablaconcuadrcula"/>
    <w:uiPriority w:val="39"/>
    <w:rsid w:val="00C9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F44614"/>
    <w:pPr>
      <w:spacing w:before="80" w:after="80" w:line="240" w:lineRule="auto"/>
      <w:jc w:val="both"/>
    </w:pPr>
    <w:rPr>
      <w:rFonts w:eastAsia="Times New Roman"/>
      <w:color w:val="000000"/>
      <w:lang w:eastAsia="es-MX"/>
    </w:rPr>
  </w:style>
  <w:style w:type="character" w:customStyle="1" w:styleId="NotaalpieCar">
    <w:name w:val="Nota al pie Car"/>
    <w:basedOn w:val="Fuentedeprrafopredeter"/>
    <w:link w:val="Notaalpie"/>
    <w:rsid w:val="00F44614"/>
    <w:rPr>
      <w:rFonts w:ascii="Arial" w:eastAsia="Times New Roman" w:hAnsi="Arial" w:cs="Arial"/>
      <w:color w:val="000000"/>
      <w:sz w:val="20"/>
      <w:szCs w:val="20"/>
      <w:lang w:eastAsia="es-MX"/>
    </w:rPr>
  </w:style>
  <w:style w:type="table" w:customStyle="1" w:styleId="Tablaconcuadrcula11">
    <w:name w:val="Tabla con cuadrícula11"/>
    <w:basedOn w:val="Tablanormal"/>
    <w:next w:val="Tablaconcuadrcula"/>
    <w:uiPriority w:val="39"/>
    <w:rsid w:val="00C40DA8"/>
    <w:pPr>
      <w:spacing w:after="20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0E4DB2"/>
    <w:rPr>
      <w:rFonts w:ascii="Arial" w:eastAsiaTheme="majorEastAsia" w:hAnsi="Arial" w:cstheme="majorBidi"/>
      <w:b/>
      <w:iCs/>
      <w:sz w:val="24"/>
      <w:szCs w:val="20"/>
    </w:rPr>
  </w:style>
  <w:style w:type="table" w:customStyle="1" w:styleId="Tablaconcuadrcula6">
    <w:name w:val="Tabla con cuadrícula6"/>
    <w:basedOn w:val="Tablanormal"/>
    <w:next w:val="Tablaconcuadrcula"/>
    <w:uiPriority w:val="39"/>
    <w:rsid w:val="00F7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53166543">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013535870">
      <w:bodyDiv w:val="1"/>
      <w:marLeft w:val="0"/>
      <w:marRight w:val="0"/>
      <w:marTop w:val="0"/>
      <w:marBottom w:val="0"/>
      <w:divBdr>
        <w:top w:val="none" w:sz="0" w:space="0" w:color="auto"/>
        <w:left w:val="none" w:sz="0" w:space="0" w:color="auto"/>
        <w:bottom w:val="none" w:sz="0" w:space="0" w:color="auto"/>
        <w:right w:val="none" w:sz="0" w:space="0" w:color="auto"/>
      </w:divBdr>
    </w:div>
    <w:div w:id="1019936981">
      <w:bodyDiv w:val="1"/>
      <w:marLeft w:val="0"/>
      <w:marRight w:val="0"/>
      <w:marTop w:val="0"/>
      <w:marBottom w:val="0"/>
      <w:divBdr>
        <w:top w:val="none" w:sz="0" w:space="0" w:color="auto"/>
        <w:left w:val="none" w:sz="0" w:space="0" w:color="auto"/>
        <w:bottom w:val="none" w:sz="0" w:space="0" w:color="auto"/>
        <w:right w:val="none" w:sz="0" w:space="0" w:color="auto"/>
      </w:divBdr>
      <w:divsChild>
        <w:div w:id="604197405">
          <w:marLeft w:val="0"/>
          <w:marRight w:val="0"/>
          <w:marTop w:val="0"/>
          <w:marBottom w:val="0"/>
          <w:divBdr>
            <w:top w:val="none" w:sz="0" w:space="0" w:color="auto"/>
            <w:left w:val="none" w:sz="0" w:space="0" w:color="auto"/>
            <w:bottom w:val="none" w:sz="0" w:space="0" w:color="auto"/>
            <w:right w:val="none" w:sz="0" w:space="0" w:color="auto"/>
          </w:divBdr>
        </w:div>
      </w:divsChild>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6358-2CB7-482C-9D77-9A9D1CE4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4301</Words>
  <Characters>23657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Homero Treviño Landin</dc:creator>
  <cp:lastModifiedBy>Marcotulio Córdoba García</cp:lastModifiedBy>
  <cp:revision>2</cp:revision>
  <cp:lastPrinted>2021-06-01T00:47:00Z</cp:lastPrinted>
  <dcterms:created xsi:type="dcterms:W3CDTF">2021-06-14T18:50:00Z</dcterms:created>
  <dcterms:modified xsi:type="dcterms:W3CDTF">2021-06-14T18:50:00Z</dcterms:modified>
</cp:coreProperties>
</file>