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E0FBE" w14:textId="77777777" w:rsidR="007027C8" w:rsidRPr="007027C8" w:rsidRDefault="007027C8" w:rsidP="007027C8">
      <w:pPr>
        <w:tabs>
          <w:tab w:val="left" w:pos="4485"/>
        </w:tabs>
        <w:ind w:firstLine="3119"/>
        <w:rPr>
          <w:rFonts w:eastAsia="Calibri" w:cs="Arial"/>
        </w:rPr>
      </w:pPr>
      <w:bookmarkStart w:id="0" w:name="_Hlk513051795"/>
      <w:bookmarkStart w:id="1" w:name="_Hlk38013615"/>
      <w:bookmarkStart w:id="2" w:name="_Hlk38013993"/>
      <w:bookmarkStart w:id="3" w:name="_Hlk29472263"/>
      <w:r w:rsidRPr="007027C8">
        <w:rPr>
          <w:rFonts w:eastAsia="Calibri" w:cs="Arial"/>
          <w:b/>
        </w:rPr>
        <w:t>EXPEDIENTE:</w:t>
      </w:r>
      <w:r w:rsidRPr="007027C8">
        <w:rPr>
          <w:rFonts w:eastAsia="Calibri" w:cs="Arial"/>
        </w:rPr>
        <w:t xml:space="preserve"> SUP-REC-567/2021</w:t>
      </w:r>
    </w:p>
    <w:p w14:paraId="4FBEDC1E" w14:textId="77777777" w:rsidR="007027C8" w:rsidRPr="007027C8" w:rsidRDefault="007027C8" w:rsidP="007027C8">
      <w:pPr>
        <w:ind w:left="3119"/>
        <w:rPr>
          <w:rFonts w:eastAsia="Calibri" w:cs="Arial"/>
        </w:rPr>
      </w:pPr>
      <w:r w:rsidRPr="007027C8">
        <w:rPr>
          <w:rFonts w:eastAsia="Calibri" w:cs="Arial"/>
          <w:b/>
        </w:rPr>
        <w:t>PONENTE:</w:t>
      </w:r>
      <w:r w:rsidRPr="007027C8">
        <w:rPr>
          <w:rFonts w:eastAsia="Calibri" w:cs="Arial"/>
        </w:rPr>
        <w:t xml:space="preserve"> MAGISTRADO FELIPE DE LA MATA PIZAÑA</w:t>
      </w:r>
      <w:r w:rsidRPr="007027C8">
        <w:rPr>
          <w:rFonts w:eastAsia="Calibri" w:cs="Arial"/>
          <w:vertAlign w:val="superscript"/>
        </w:rPr>
        <w:footnoteReference w:id="1"/>
      </w:r>
    </w:p>
    <w:p w14:paraId="680F3A8C" w14:textId="275AC4F5" w:rsidR="007027C8" w:rsidRPr="007027C8" w:rsidRDefault="007027C8" w:rsidP="007027C8">
      <w:pPr>
        <w:widowControl w:val="0"/>
        <w:spacing w:before="200" w:after="200" w:line="336" w:lineRule="auto"/>
        <w:rPr>
          <w:rFonts w:cs="Arial"/>
          <w:lang w:eastAsia="es-MX"/>
        </w:rPr>
      </w:pPr>
      <w:bookmarkStart w:id="4" w:name="_Toc496171372"/>
      <w:r w:rsidRPr="007027C8">
        <w:rPr>
          <w:rFonts w:cs="Arial"/>
          <w:lang w:eastAsia="es-MX"/>
        </w:rPr>
        <w:t xml:space="preserve">Ciudad de México, a </w:t>
      </w:r>
      <w:r>
        <w:rPr>
          <w:rFonts w:cs="Arial"/>
          <w:lang w:eastAsia="es-MX"/>
        </w:rPr>
        <w:t>veintiséis</w:t>
      </w:r>
      <w:r w:rsidRPr="007027C8">
        <w:rPr>
          <w:rFonts w:cs="Arial"/>
          <w:lang w:eastAsia="es-MX"/>
        </w:rPr>
        <w:t xml:space="preserve"> de mayo de </w:t>
      </w:r>
      <w:proofErr w:type="gramStart"/>
      <w:r w:rsidRPr="007027C8">
        <w:rPr>
          <w:rFonts w:cs="Arial"/>
          <w:lang w:eastAsia="es-MX"/>
        </w:rPr>
        <w:t>dos mil veintiuno</w:t>
      </w:r>
      <w:proofErr w:type="gramEnd"/>
      <w:r w:rsidRPr="007027C8">
        <w:rPr>
          <w:rFonts w:cs="Arial"/>
          <w:lang w:eastAsia="es-MX"/>
        </w:rPr>
        <w:t>.</w:t>
      </w:r>
    </w:p>
    <w:p w14:paraId="2B45E9EC" w14:textId="77777777" w:rsidR="007027C8" w:rsidRPr="007027C8" w:rsidRDefault="007027C8" w:rsidP="007027C8">
      <w:pPr>
        <w:widowControl w:val="0"/>
        <w:spacing w:before="200" w:after="200" w:line="336" w:lineRule="auto"/>
        <w:rPr>
          <w:rFonts w:cs="Arial"/>
          <w:b/>
          <w:lang w:eastAsia="es-MX"/>
        </w:rPr>
      </w:pPr>
      <w:r w:rsidRPr="007027C8">
        <w:rPr>
          <w:rFonts w:cs="Arial"/>
          <w:bCs/>
          <w:lang w:eastAsia="es-MX"/>
        </w:rPr>
        <w:t xml:space="preserve">Sentencia que </w:t>
      </w:r>
      <w:r w:rsidRPr="007027C8">
        <w:rPr>
          <w:rFonts w:cs="Arial"/>
          <w:b/>
          <w:lang w:eastAsia="es-MX"/>
        </w:rPr>
        <w:t>desecha</w:t>
      </w:r>
      <w:r w:rsidRPr="007027C8">
        <w:rPr>
          <w:rFonts w:cs="Arial"/>
          <w:bCs/>
          <w:lang w:eastAsia="es-MX"/>
        </w:rPr>
        <w:t xml:space="preserve"> de plano</w:t>
      </w:r>
      <w:r w:rsidRPr="007027C8">
        <w:rPr>
          <w:rFonts w:cs="Arial"/>
          <w:lang w:eastAsia="es-MX"/>
        </w:rPr>
        <w:t xml:space="preserve"> la demanda presentada por </w:t>
      </w:r>
      <w:r w:rsidRPr="007027C8">
        <w:rPr>
          <w:rFonts w:cs="Arial"/>
          <w:b/>
          <w:bCs/>
          <w:lang w:eastAsia="es-MX"/>
        </w:rPr>
        <w:t>José Manuel Cabrera Sixto y otros</w:t>
      </w:r>
      <w:r w:rsidRPr="007027C8">
        <w:rPr>
          <w:rFonts w:cs="Arial"/>
          <w:b/>
          <w:bCs/>
          <w:vertAlign w:val="superscript"/>
          <w:lang w:eastAsia="es-MX"/>
        </w:rPr>
        <w:footnoteReference w:id="2"/>
      </w:r>
      <w:r w:rsidRPr="007027C8">
        <w:rPr>
          <w:rFonts w:cs="Arial"/>
          <w:lang w:eastAsia="es-MX"/>
        </w:rPr>
        <w:t>, a fin de impugnar la sentencia emitida por la Sala Regional Monterrey</w:t>
      </w:r>
      <w:r w:rsidRPr="007027C8">
        <w:rPr>
          <w:rFonts w:cs="Arial"/>
          <w:b/>
          <w:lang w:eastAsia="es-MX"/>
        </w:rPr>
        <w:t xml:space="preserve"> </w:t>
      </w:r>
      <w:r w:rsidRPr="007027C8">
        <w:rPr>
          <w:rFonts w:cs="Arial"/>
          <w:lang w:eastAsia="es-MX"/>
        </w:rPr>
        <w:t xml:space="preserve">de este Tribunal Electoral, en el juicio para la protección de los derechos político-electorales </w:t>
      </w:r>
      <w:r w:rsidRPr="007027C8">
        <w:rPr>
          <w:rFonts w:cs="Arial"/>
          <w:bCs/>
          <w:lang w:eastAsia="es-MX"/>
        </w:rPr>
        <w:t>SM-JDC-302/2021.</w:t>
      </w:r>
    </w:p>
    <w:sdt>
      <w:sdtPr>
        <w:rPr>
          <w:rFonts w:eastAsia="Calibri" w:cs="Arial"/>
          <w:b/>
          <w:highlight w:val="lightGray"/>
          <w:lang w:val="es-ES"/>
        </w:rPr>
        <w:id w:val="-1362895272"/>
        <w:docPartObj>
          <w:docPartGallery w:val="Table of Contents"/>
          <w:docPartUnique/>
        </w:docPartObj>
      </w:sdtPr>
      <w:sdtEndPr>
        <w:rPr>
          <w:b w:val="0"/>
          <w:bCs/>
        </w:rPr>
      </w:sdtEndPr>
      <w:sdtContent>
        <w:bookmarkStart w:id="5" w:name="_GoBack" w:displacedByCustomXml="prev"/>
        <w:bookmarkEnd w:id="5" w:displacedByCustomXml="prev"/>
        <w:p w14:paraId="342BCD24" w14:textId="77777777" w:rsidR="007027C8" w:rsidRPr="007027C8" w:rsidRDefault="007027C8" w:rsidP="007027C8">
          <w:pPr>
            <w:keepNext/>
            <w:keepLines/>
            <w:spacing w:before="0" w:beforeAutospacing="0" w:after="0" w:afterAutospacing="0" w:line="240" w:lineRule="auto"/>
            <w:ind w:right="-36"/>
            <w:jc w:val="center"/>
            <w:rPr>
              <w:rFonts w:cs="Arial"/>
              <w:bCs/>
              <w:sz w:val="18"/>
              <w:szCs w:val="18"/>
              <w:lang w:eastAsia="es-MX"/>
            </w:rPr>
          </w:pPr>
          <w:r w:rsidRPr="007027C8">
            <w:rPr>
              <w:rFonts w:eastAsia="Calibri" w:cs="Arial"/>
              <w:bCs/>
              <w:sz w:val="18"/>
              <w:szCs w:val="18"/>
              <w:lang w:val="es-ES"/>
            </w:rPr>
            <w:t>ÍNDICE</w:t>
          </w:r>
        </w:p>
        <w:p w14:paraId="0F699FB8" w14:textId="3858DF15" w:rsidR="007027C8" w:rsidRPr="007027C8" w:rsidRDefault="007027C8" w:rsidP="007027C8">
          <w:pPr>
            <w:tabs>
              <w:tab w:val="right" w:leader="dot" w:pos="7696"/>
            </w:tabs>
            <w:spacing w:before="0" w:beforeAutospacing="0" w:after="0" w:afterAutospacing="0" w:line="240" w:lineRule="auto"/>
            <w:rPr>
              <w:rFonts w:asciiTheme="minorHAnsi" w:eastAsiaTheme="minorEastAsia" w:hAnsiTheme="minorHAnsi"/>
              <w:bCs/>
              <w:noProof/>
              <w:sz w:val="18"/>
              <w:szCs w:val="18"/>
              <w:lang w:eastAsia="es-MX"/>
            </w:rPr>
          </w:pPr>
          <w:r w:rsidRPr="007027C8">
            <w:rPr>
              <w:rFonts w:eastAsia="Times New Roman" w:cs="Arial"/>
              <w:bCs/>
              <w:noProof/>
              <w:sz w:val="18"/>
              <w:szCs w:val="18"/>
              <w:highlight w:val="lightGray"/>
              <w:lang w:eastAsia="es-MX"/>
            </w:rPr>
            <w:fldChar w:fldCharType="begin"/>
          </w:r>
          <w:r w:rsidRPr="007027C8">
            <w:rPr>
              <w:rFonts w:cs="Arial"/>
              <w:bCs/>
              <w:noProof/>
              <w:sz w:val="18"/>
              <w:szCs w:val="18"/>
              <w:highlight w:val="lightGray"/>
              <w:lang w:eastAsia="es-MX"/>
            </w:rPr>
            <w:instrText xml:space="preserve"> TOC \o "1-3" \h \z \u </w:instrText>
          </w:r>
          <w:r w:rsidRPr="007027C8">
            <w:rPr>
              <w:rFonts w:eastAsia="Times New Roman" w:cs="Arial"/>
              <w:bCs/>
              <w:noProof/>
              <w:sz w:val="18"/>
              <w:szCs w:val="18"/>
              <w:highlight w:val="lightGray"/>
              <w:lang w:eastAsia="es-MX"/>
            </w:rPr>
            <w:fldChar w:fldCharType="separate"/>
          </w:r>
          <w:hyperlink w:anchor="_Toc72770442" w:history="1">
            <w:r w:rsidRPr="007027C8">
              <w:rPr>
                <w:rFonts w:cs="Arial"/>
                <w:bCs/>
                <w:noProof/>
                <w:sz w:val="18"/>
                <w:szCs w:val="18"/>
                <w:lang w:eastAsia="es-MX"/>
              </w:rPr>
              <w:t>I. ANTECEDENTES</w:t>
            </w:r>
            <w:r w:rsidRPr="007027C8">
              <w:rPr>
                <w:bCs/>
                <w:noProof/>
                <w:webHidden/>
                <w:sz w:val="18"/>
                <w:szCs w:val="18"/>
              </w:rPr>
              <w:tab/>
            </w:r>
            <w:r w:rsidRPr="007027C8">
              <w:rPr>
                <w:bCs/>
                <w:noProof/>
                <w:webHidden/>
                <w:sz w:val="18"/>
                <w:szCs w:val="18"/>
              </w:rPr>
              <w:fldChar w:fldCharType="begin"/>
            </w:r>
            <w:r w:rsidRPr="007027C8">
              <w:rPr>
                <w:bCs/>
                <w:noProof/>
                <w:webHidden/>
                <w:sz w:val="18"/>
                <w:szCs w:val="18"/>
              </w:rPr>
              <w:instrText xml:space="preserve"> PAGEREF _Toc72770442 \h </w:instrText>
            </w:r>
            <w:r w:rsidRPr="007027C8">
              <w:rPr>
                <w:bCs/>
                <w:noProof/>
                <w:webHidden/>
                <w:sz w:val="18"/>
                <w:szCs w:val="18"/>
              </w:rPr>
            </w:r>
            <w:r w:rsidRPr="007027C8">
              <w:rPr>
                <w:bCs/>
                <w:noProof/>
                <w:webHidden/>
                <w:sz w:val="18"/>
                <w:szCs w:val="18"/>
              </w:rPr>
              <w:fldChar w:fldCharType="separate"/>
            </w:r>
            <w:r w:rsidR="00822AD1">
              <w:rPr>
                <w:bCs/>
                <w:noProof/>
                <w:webHidden/>
                <w:sz w:val="18"/>
                <w:szCs w:val="18"/>
              </w:rPr>
              <w:t>2</w:t>
            </w:r>
            <w:r w:rsidRPr="007027C8">
              <w:rPr>
                <w:bCs/>
                <w:noProof/>
                <w:webHidden/>
                <w:sz w:val="18"/>
                <w:szCs w:val="18"/>
              </w:rPr>
              <w:fldChar w:fldCharType="end"/>
            </w:r>
          </w:hyperlink>
        </w:p>
        <w:p w14:paraId="62210DD0" w14:textId="0C7198EA" w:rsidR="007027C8" w:rsidRPr="007027C8" w:rsidRDefault="00822AD1" w:rsidP="007027C8">
          <w:pPr>
            <w:tabs>
              <w:tab w:val="right" w:leader="dot" w:pos="7696"/>
            </w:tabs>
            <w:spacing w:before="0" w:beforeAutospacing="0" w:after="0" w:afterAutospacing="0" w:line="240" w:lineRule="auto"/>
            <w:rPr>
              <w:rFonts w:asciiTheme="minorHAnsi" w:eastAsiaTheme="minorEastAsia" w:hAnsiTheme="minorHAnsi"/>
              <w:bCs/>
              <w:noProof/>
              <w:sz w:val="18"/>
              <w:szCs w:val="18"/>
              <w:lang w:eastAsia="es-MX"/>
            </w:rPr>
          </w:pPr>
          <w:hyperlink w:anchor="_Toc72770443" w:history="1">
            <w:r w:rsidR="007027C8" w:rsidRPr="007027C8">
              <w:rPr>
                <w:rFonts w:cs="Arial"/>
                <w:bCs/>
                <w:noProof/>
                <w:sz w:val="18"/>
                <w:szCs w:val="18"/>
                <w:lang w:eastAsia="es-MX"/>
              </w:rPr>
              <w:t>II. COMPETENCIA</w:t>
            </w:r>
            <w:r w:rsidR="007027C8" w:rsidRPr="007027C8">
              <w:rPr>
                <w:bCs/>
                <w:noProof/>
                <w:webHidden/>
                <w:sz w:val="18"/>
                <w:szCs w:val="18"/>
              </w:rPr>
              <w:tab/>
            </w:r>
            <w:r w:rsidR="007027C8" w:rsidRPr="007027C8">
              <w:rPr>
                <w:bCs/>
                <w:noProof/>
                <w:webHidden/>
                <w:sz w:val="18"/>
                <w:szCs w:val="18"/>
              </w:rPr>
              <w:fldChar w:fldCharType="begin"/>
            </w:r>
            <w:r w:rsidR="007027C8" w:rsidRPr="007027C8">
              <w:rPr>
                <w:bCs/>
                <w:noProof/>
                <w:webHidden/>
                <w:sz w:val="18"/>
                <w:szCs w:val="18"/>
              </w:rPr>
              <w:instrText xml:space="preserve"> PAGEREF _Toc72770443 \h </w:instrText>
            </w:r>
            <w:r w:rsidR="007027C8" w:rsidRPr="007027C8">
              <w:rPr>
                <w:bCs/>
                <w:noProof/>
                <w:webHidden/>
                <w:sz w:val="18"/>
                <w:szCs w:val="18"/>
              </w:rPr>
            </w:r>
            <w:r w:rsidR="007027C8" w:rsidRPr="007027C8">
              <w:rPr>
                <w:bCs/>
                <w:noProof/>
                <w:webHidden/>
                <w:sz w:val="18"/>
                <w:szCs w:val="18"/>
              </w:rPr>
              <w:fldChar w:fldCharType="separate"/>
            </w:r>
            <w:r>
              <w:rPr>
                <w:bCs/>
                <w:noProof/>
                <w:webHidden/>
                <w:sz w:val="18"/>
                <w:szCs w:val="18"/>
              </w:rPr>
              <w:t>4</w:t>
            </w:r>
            <w:r w:rsidR="007027C8" w:rsidRPr="007027C8">
              <w:rPr>
                <w:bCs/>
                <w:noProof/>
                <w:webHidden/>
                <w:sz w:val="18"/>
                <w:szCs w:val="18"/>
              </w:rPr>
              <w:fldChar w:fldCharType="end"/>
            </w:r>
          </w:hyperlink>
        </w:p>
        <w:p w14:paraId="291BD8B4" w14:textId="1D58CE74" w:rsidR="007027C8" w:rsidRPr="007027C8" w:rsidRDefault="00822AD1" w:rsidP="007027C8">
          <w:pPr>
            <w:tabs>
              <w:tab w:val="right" w:leader="dot" w:pos="7696"/>
            </w:tabs>
            <w:spacing w:before="0" w:beforeAutospacing="0" w:after="0" w:afterAutospacing="0" w:line="240" w:lineRule="auto"/>
            <w:rPr>
              <w:rFonts w:asciiTheme="minorHAnsi" w:eastAsiaTheme="minorEastAsia" w:hAnsiTheme="minorHAnsi"/>
              <w:bCs/>
              <w:noProof/>
              <w:sz w:val="18"/>
              <w:szCs w:val="18"/>
              <w:lang w:eastAsia="es-MX"/>
            </w:rPr>
          </w:pPr>
          <w:hyperlink w:anchor="_Toc72770444" w:history="1">
            <w:r w:rsidR="007027C8" w:rsidRPr="007027C8">
              <w:rPr>
                <w:rFonts w:cs="Arial"/>
                <w:bCs/>
                <w:noProof/>
                <w:sz w:val="18"/>
                <w:szCs w:val="18"/>
                <w:lang w:eastAsia="es-MX"/>
              </w:rPr>
              <w:t>III. JUSTIFICACIÓN PARA RESOLVER EN SESIÓN NO PRESENCIAL</w:t>
            </w:r>
            <w:r w:rsidR="007027C8" w:rsidRPr="007027C8">
              <w:rPr>
                <w:bCs/>
                <w:noProof/>
                <w:webHidden/>
                <w:sz w:val="18"/>
                <w:szCs w:val="18"/>
              </w:rPr>
              <w:tab/>
            </w:r>
            <w:r w:rsidR="007027C8" w:rsidRPr="007027C8">
              <w:rPr>
                <w:bCs/>
                <w:noProof/>
                <w:webHidden/>
                <w:sz w:val="18"/>
                <w:szCs w:val="18"/>
              </w:rPr>
              <w:fldChar w:fldCharType="begin"/>
            </w:r>
            <w:r w:rsidR="007027C8" w:rsidRPr="007027C8">
              <w:rPr>
                <w:bCs/>
                <w:noProof/>
                <w:webHidden/>
                <w:sz w:val="18"/>
                <w:szCs w:val="18"/>
              </w:rPr>
              <w:instrText xml:space="preserve"> PAGEREF _Toc72770444 \h </w:instrText>
            </w:r>
            <w:r w:rsidR="007027C8" w:rsidRPr="007027C8">
              <w:rPr>
                <w:bCs/>
                <w:noProof/>
                <w:webHidden/>
                <w:sz w:val="18"/>
                <w:szCs w:val="18"/>
              </w:rPr>
            </w:r>
            <w:r w:rsidR="007027C8" w:rsidRPr="007027C8">
              <w:rPr>
                <w:bCs/>
                <w:noProof/>
                <w:webHidden/>
                <w:sz w:val="18"/>
                <w:szCs w:val="18"/>
              </w:rPr>
              <w:fldChar w:fldCharType="separate"/>
            </w:r>
            <w:r>
              <w:rPr>
                <w:bCs/>
                <w:noProof/>
                <w:webHidden/>
                <w:sz w:val="18"/>
                <w:szCs w:val="18"/>
              </w:rPr>
              <w:t>4</w:t>
            </w:r>
            <w:r w:rsidR="007027C8" w:rsidRPr="007027C8">
              <w:rPr>
                <w:bCs/>
                <w:noProof/>
                <w:webHidden/>
                <w:sz w:val="18"/>
                <w:szCs w:val="18"/>
              </w:rPr>
              <w:fldChar w:fldCharType="end"/>
            </w:r>
          </w:hyperlink>
        </w:p>
        <w:p w14:paraId="2C5539B3" w14:textId="3B8F4096" w:rsidR="007027C8" w:rsidRPr="007027C8" w:rsidRDefault="00822AD1" w:rsidP="007027C8">
          <w:pPr>
            <w:tabs>
              <w:tab w:val="right" w:leader="dot" w:pos="7696"/>
            </w:tabs>
            <w:spacing w:before="0" w:beforeAutospacing="0" w:after="0" w:afterAutospacing="0" w:line="240" w:lineRule="auto"/>
            <w:rPr>
              <w:rFonts w:asciiTheme="minorHAnsi" w:eastAsiaTheme="minorEastAsia" w:hAnsiTheme="minorHAnsi"/>
              <w:bCs/>
              <w:noProof/>
              <w:sz w:val="18"/>
              <w:szCs w:val="18"/>
              <w:lang w:eastAsia="es-MX"/>
            </w:rPr>
          </w:pPr>
          <w:hyperlink w:anchor="_Toc72770445" w:history="1">
            <w:r w:rsidR="007027C8" w:rsidRPr="007027C8">
              <w:rPr>
                <w:rFonts w:cs="Arial"/>
                <w:bCs/>
                <w:noProof/>
                <w:sz w:val="18"/>
                <w:szCs w:val="18"/>
                <w:lang w:val="it-IT" w:eastAsia="es-MX"/>
              </w:rPr>
              <w:t xml:space="preserve">IV. </w:t>
            </w:r>
            <w:r w:rsidR="007027C8" w:rsidRPr="007027C8">
              <w:rPr>
                <w:rFonts w:cs="Arial"/>
                <w:bCs/>
                <w:noProof/>
                <w:sz w:val="18"/>
                <w:szCs w:val="18"/>
                <w:lang w:eastAsia="es-MX"/>
              </w:rPr>
              <w:t>IMPROCEDENCIA</w:t>
            </w:r>
            <w:r w:rsidR="007027C8" w:rsidRPr="007027C8">
              <w:rPr>
                <w:bCs/>
                <w:noProof/>
                <w:webHidden/>
                <w:sz w:val="18"/>
                <w:szCs w:val="18"/>
              </w:rPr>
              <w:tab/>
            </w:r>
            <w:r w:rsidR="007027C8" w:rsidRPr="007027C8">
              <w:rPr>
                <w:bCs/>
                <w:noProof/>
                <w:webHidden/>
                <w:sz w:val="18"/>
                <w:szCs w:val="18"/>
              </w:rPr>
              <w:fldChar w:fldCharType="begin"/>
            </w:r>
            <w:r w:rsidR="007027C8" w:rsidRPr="007027C8">
              <w:rPr>
                <w:bCs/>
                <w:noProof/>
                <w:webHidden/>
                <w:sz w:val="18"/>
                <w:szCs w:val="18"/>
              </w:rPr>
              <w:instrText xml:space="preserve"> PAGEREF _Toc72770445 \h </w:instrText>
            </w:r>
            <w:r w:rsidR="007027C8" w:rsidRPr="007027C8">
              <w:rPr>
                <w:bCs/>
                <w:noProof/>
                <w:webHidden/>
                <w:sz w:val="18"/>
                <w:szCs w:val="18"/>
              </w:rPr>
            </w:r>
            <w:r w:rsidR="007027C8" w:rsidRPr="007027C8">
              <w:rPr>
                <w:bCs/>
                <w:noProof/>
                <w:webHidden/>
                <w:sz w:val="18"/>
                <w:szCs w:val="18"/>
              </w:rPr>
              <w:fldChar w:fldCharType="separate"/>
            </w:r>
            <w:r>
              <w:rPr>
                <w:bCs/>
                <w:noProof/>
                <w:webHidden/>
                <w:sz w:val="18"/>
                <w:szCs w:val="18"/>
              </w:rPr>
              <w:t>4</w:t>
            </w:r>
            <w:r w:rsidR="007027C8" w:rsidRPr="007027C8">
              <w:rPr>
                <w:bCs/>
                <w:noProof/>
                <w:webHidden/>
                <w:sz w:val="18"/>
                <w:szCs w:val="18"/>
              </w:rPr>
              <w:fldChar w:fldCharType="end"/>
            </w:r>
          </w:hyperlink>
        </w:p>
        <w:p w14:paraId="5C93465E" w14:textId="784073A8" w:rsidR="007027C8" w:rsidRPr="007027C8" w:rsidRDefault="00822AD1" w:rsidP="007027C8">
          <w:pPr>
            <w:tabs>
              <w:tab w:val="right" w:leader="dot" w:pos="7696"/>
            </w:tabs>
            <w:spacing w:before="0" w:beforeAutospacing="0" w:after="0" w:afterAutospacing="0" w:line="240" w:lineRule="auto"/>
            <w:rPr>
              <w:rFonts w:asciiTheme="minorHAnsi" w:eastAsiaTheme="minorEastAsia" w:hAnsiTheme="minorHAnsi"/>
              <w:bCs/>
              <w:noProof/>
              <w:sz w:val="18"/>
              <w:szCs w:val="18"/>
              <w:lang w:eastAsia="es-MX"/>
            </w:rPr>
          </w:pPr>
          <w:hyperlink w:anchor="_Toc72770446" w:history="1">
            <w:r w:rsidR="007027C8" w:rsidRPr="007027C8">
              <w:rPr>
                <w:rFonts w:eastAsia="Calibri" w:cs="Arial"/>
                <w:bCs/>
                <w:noProof/>
                <w:sz w:val="18"/>
                <w:szCs w:val="18"/>
              </w:rPr>
              <w:t>1. Decisión</w:t>
            </w:r>
            <w:r w:rsidR="007027C8" w:rsidRPr="007027C8">
              <w:rPr>
                <w:bCs/>
                <w:noProof/>
                <w:webHidden/>
                <w:sz w:val="18"/>
                <w:szCs w:val="18"/>
              </w:rPr>
              <w:tab/>
            </w:r>
            <w:r w:rsidR="007027C8" w:rsidRPr="007027C8">
              <w:rPr>
                <w:bCs/>
                <w:noProof/>
                <w:webHidden/>
                <w:sz w:val="18"/>
                <w:szCs w:val="18"/>
              </w:rPr>
              <w:fldChar w:fldCharType="begin"/>
            </w:r>
            <w:r w:rsidR="007027C8" w:rsidRPr="007027C8">
              <w:rPr>
                <w:bCs/>
                <w:noProof/>
                <w:webHidden/>
                <w:sz w:val="18"/>
                <w:szCs w:val="18"/>
              </w:rPr>
              <w:instrText xml:space="preserve"> PAGEREF _Toc72770446 \h </w:instrText>
            </w:r>
            <w:r w:rsidR="007027C8" w:rsidRPr="007027C8">
              <w:rPr>
                <w:bCs/>
                <w:noProof/>
                <w:webHidden/>
                <w:sz w:val="18"/>
                <w:szCs w:val="18"/>
              </w:rPr>
            </w:r>
            <w:r w:rsidR="007027C8" w:rsidRPr="007027C8">
              <w:rPr>
                <w:bCs/>
                <w:noProof/>
                <w:webHidden/>
                <w:sz w:val="18"/>
                <w:szCs w:val="18"/>
              </w:rPr>
              <w:fldChar w:fldCharType="separate"/>
            </w:r>
            <w:r>
              <w:rPr>
                <w:bCs/>
                <w:noProof/>
                <w:webHidden/>
                <w:sz w:val="18"/>
                <w:szCs w:val="18"/>
              </w:rPr>
              <w:t>4</w:t>
            </w:r>
            <w:r w:rsidR="007027C8" w:rsidRPr="007027C8">
              <w:rPr>
                <w:bCs/>
                <w:noProof/>
                <w:webHidden/>
                <w:sz w:val="18"/>
                <w:szCs w:val="18"/>
              </w:rPr>
              <w:fldChar w:fldCharType="end"/>
            </w:r>
          </w:hyperlink>
        </w:p>
        <w:p w14:paraId="18FF62C9" w14:textId="6C326C5A" w:rsidR="007027C8" w:rsidRPr="007027C8" w:rsidRDefault="00822AD1" w:rsidP="007027C8">
          <w:pPr>
            <w:tabs>
              <w:tab w:val="right" w:leader="dot" w:pos="7696"/>
            </w:tabs>
            <w:spacing w:before="0" w:beforeAutospacing="0" w:after="0" w:afterAutospacing="0" w:line="240" w:lineRule="auto"/>
            <w:rPr>
              <w:rFonts w:asciiTheme="minorHAnsi" w:eastAsiaTheme="minorEastAsia" w:hAnsiTheme="minorHAnsi"/>
              <w:bCs/>
              <w:noProof/>
              <w:sz w:val="18"/>
              <w:szCs w:val="18"/>
              <w:lang w:eastAsia="es-MX"/>
            </w:rPr>
          </w:pPr>
          <w:hyperlink w:anchor="_Toc72770447" w:history="1">
            <w:r w:rsidR="007027C8" w:rsidRPr="007027C8">
              <w:rPr>
                <w:rFonts w:eastAsia="Calibri" w:cs="Arial"/>
                <w:bCs/>
                <w:noProof/>
                <w:sz w:val="18"/>
                <w:szCs w:val="18"/>
              </w:rPr>
              <w:t>2. Marco jurídico</w:t>
            </w:r>
            <w:r w:rsidR="007027C8" w:rsidRPr="007027C8">
              <w:rPr>
                <w:bCs/>
                <w:noProof/>
                <w:webHidden/>
                <w:sz w:val="18"/>
                <w:szCs w:val="18"/>
              </w:rPr>
              <w:tab/>
            </w:r>
            <w:r w:rsidR="007027C8" w:rsidRPr="007027C8">
              <w:rPr>
                <w:bCs/>
                <w:noProof/>
                <w:webHidden/>
                <w:sz w:val="18"/>
                <w:szCs w:val="18"/>
              </w:rPr>
              <w:fldChar w:fldCharType="begin"/>
            </w:r>
            <w:r w:rsidR="007027C8" w:rsidRPr="007027C8">
              <w:rPr>
                <w:bCs/>
                <w:noProof/>
                <w:webHidden/>
                <w:sz w:val="18"/>
                <w:szCs w:val="18"/>
              </w:rPr>
              <w:instrText xml:space="preserve"> PAGEREF _Toc72770447 \h </w:instrText>
            </w:r>
            <w:r w:rsidR="007027C8" w:rsidRPr="007027C8">
              <w:rPr>
                <w:bCs/>
                <w:noProof/>
                <w:webHidden/>
                <w:sz w:val="18"/>
                <w:szCs w:val="18"/>
              </w:rPr>
            </w:r>
            <w:r w:rsidR="007027C8" w:rsidRPr="007027C8">
              <w:rPr>
                <w:bCs/>
                <w:noProof/>
                <w:webHidden/>
                <w:sz w:val="18"/>
                <w:szCs w:val="18"/>
              </w:rPr>
              <w:fldChar w:fldCharType="separate"/>
            </w:r>
            <w:r>
              <w:rPr>
                <w:bCs/>
                <w:noProof/>
                <w:webHidden/>
                <w:sz w:val="18"/>
                <w:szCs w:val="18"/>
              </w:rPr>
              <w:t>5</w:t>
            </w:r>
            <w:r w:rsidR="007027C8" w:rsidRPr="007027C8">
              <w:rPr>
                <w:bCs/>
                <w:noProof/>
                <w:webHidden/>
                <w:sz w:val="18"/>
                <w:szCs w:val="18"/>
              </w:rPr>
              <w:fldChar w:fldCharType="end"/>
            </w:r>
          </w:hyperlink>
        </w:p>
        <w:p w14:paraId="187D7C4F" w14:textId="22F0C83C" w:rsidR="007027C8" w:rsidRPr="007027C8" w:rsidRDefault="00822AD1" w:rsidP="007027C8">
          <w:pPr>
            <w:tabs>
              <w:tab w:val="right" w:leader="dot" w:pos="7696"/>
            </w:tabs>
            <w:spacing w:before="0" w:beforeAutospacing="0" w:after="0" w:afterAutospacing="0" w:line="240" w:lineRule="auto"/>
            <w:rPr>
              <w:rFonts w:asciiTheme="minorHAnsi" w:eastAsiaTheme="minorEastAsia" w:hAnsiTheme="minorHAnsi"/>
              <w:bCs/>
              <w:noProof/>
              <w:sz w:val="18"/>
              <w:szCs w:val="18"/>
              <w:lang w:eastAsia="es-MX"/>
            </w:rPr>
          </w:pPr>
          <w:hyperlink w:anchor="_Toc72770448" w:history="1">
            <w:r w:rsidR="007027C8" w:rsidRPr="007027C8">
              <w:rPr>
                <w:rFonts w:eastAsia="Calibri" w:cs="Arial"/>
                <w:bCs/>
                <w:noProof/>
                <w:sz w:val="18"/>
                <w:szCs w:val="18"/>
              </w:rPr>
              <w:t>3. Caso concreto</w:t>
            </w:r>
            <w:r w:rsidR="007027C8" w:rsidRPr="007027C8">
              <w:rPr>
                <w:bCs/>
                <w:noProof/>
                <w:webHidden/>
                <w:sz w:val="18"/>
                <w:szCs w:val="18"/>
              </w:rPr>
              <w:tab/>
            </w:r>
            <w:r w:rsidR="007027C8" w:rsidRPr="007027C8">
              <w:rPr>
                <w:bCs/>
                <w:noProof/>
                <w:webHidden/>
                <w:sz w:val="18"/>
                <w:szCs w:val="18"/>
              </w:rPr>
              <w:fldChar w:fldCharType="begin"/>
            </w:r>
            <w:r w:rsidR="007027C8" w:rsidRPr="007027C8">
              <w:rPr>
                <w:bCs/>
                <w:noProof/>
                <w:webHidden/>
                <w:sz w:val="18"/>
                <w:szCs w:val="18"/>
              </w:rPr>
              <w:instrText xml:space="preserve"> PAGEREF _Toc72770448 \h </w:instrText>
            </w:r>
            <w:r w:rsidR="007027C8" w:rsidRPr="007027C8">
              <w:rPr>
                <w:bCs/>
                <w:noProof/>
                <w:webHidden/>
                <w:sz w:val="18"/>
                <w:szCs w:val="18"/>
              </w:rPr>
            </w:r>
            <w:r w:rsidR="007027C8" w:rsidRPr="007027C8">
              <w:rPr>
                <w:bCs/>
                <w:noProof/>
                <w:webHidden/>
                <w:sz w:val="18"/>
                <w:szCs w:val="18"/>
              </w:rPr>
              <w:fldChar w:fldCharType="separate"/>
            </w:r>
            <w:r>
              <w:rPr>
                <w:bCs/>
                <w:noProof/>
                <w:webHidden/>
                <w:sz w:val="18"/>
                <w:szCs w:val="18"/>
              </w:rPr>
              <w:t>7</w:t>
            </w:r>
            <w:r w:rsidR="007027C8" w:rsidRPr="007027C8">
              <w:rPr>
                <w:bCs/>
                <w:noProof/>
                <w:webHidden/>
                <w:sz w:val="18"/>
                <w:szCs w:val="18"/>
              </w:rPr>
              <w:fldChar w:fldCharType="end"/>
            </w:r>
          </w:hyperlink>
        </w:p>
        <w:p w14:paraId="21169A86" w14:textId="1535C121" w:rsidR="007027C8" w:rsidRPr="007027C8" w:rsidRDefault="00822AD1" w:rsidP="007027C8">
          <w:pPr>
            <w:tabs>
              <w:tab w:val="right" w:leader="dot" w:pos="7696"/>
            </w:tabs>
            <w:spacing w:before="0" w:beforeAutospacing="0" w:after="0" w:afterAutospacing="0" w:line="240" w:lineRule="auto"/>
            <w:rPr>
              <w:rFonts w:asciiTheme="minorHAnsi" w:eastAsiaTheme="minorEastAsia" w:hAnsiTheme="minorHAnsi"/>
              <w:bCs/>
              <w:noProof/>
              <w:sz w:val="18"/>
              <w:szCs w:val="18"/>
              <w:lang w:eastAsia="es-MX"/>
            </w:rPr>
          </w:pPr>
          <w:hyperlink w:anchor="_Toc72770449" w:history="1">
            <w:r w:rsidR="007027C8" w:rsidRPr="007027C8">
              <w:rPr>
                <w:rFonts w:eastAsia="Calibri" w:cs="Arial"/>
                <w:bCs/>
                <w:noProof/>
                <w:sz w:val="18"/>
                <w:szCs w:val="18"/>
              </w:rPr>
              <w:t>¿Qué resolvió la Sala Monterrey?</w:t>
            </w:r>
            <w:r w:rsidR="007027C8" w:rsidRPr="007027C8">
              <w:rPr>
                <w:bCs/>
                <w:noProof/>
                <w:webHidden/>
                <w:sz w:val="18"/>
                <w:szCs w:val="18"/>
              </w:rPr>
              <w:tab/>
            </w:r>
            <w:r w:rsidR="007027C8" w:rsidRPr="007027C8">
              <w:rPr>
                <w:bCs/>
                <w:noProof/>
                <w:webHidden/>
                <w:sz w:val="18"/>
                <w:szCs w:val="18"/>
              </w:rPr>
              <w:fldChar w:fldCharType="begin"/>
            </w:r>
            <w:r w:rsidR="007027C8" w:rsidRPr="007027C8">
              <w:rPr>
                <w:bCs/>
                <w:noProof/>
                <w:webHidden/>
                <w:sz w:val="18"/>
                <w:szCs w:val="18"/>
              </w:rPr>
              <w:instrText xml:space="preserve"> PAGEREF _Toc72770449 \h </w:instrText>
            </w:r>
            <w:r w:rsidR="007027C8" w:rsidRPr="007027C8">
              <w:rPr>
                <w:bCs/>
                <w:noProof/>
                <w:webHidden/>
                <w:sz w:val="18"/>
                <w:szCs w:val="18"/>
              </w:rPr>
            </w:r>
            <w:r w:rsidR="007027C8" w:rsidRPr="007027C8">
              <w:rPr>
                <w:bCs/>
                <w:noProof/>
                <w:webHidden/>
                <w:sz w:val="18"/>
                <w:szCs w:val="18"/>
              </w:rPr>
              <w:fldChar w:fldCharType="separate"/>
            </w:r>
            <w:r>
              <w:rPr>
                <w:bCs/>
                <w:noProof/>
                <w:webHidden/>
                <w:sz w:val="18"/>
                <w:szCs w:val="18"/>
              </w:rPr>
              <w:t>7</w:t>
            </w:r>
            <w:r w:rsidR="007027C8" w:rsidRPr="007027C8">
              <w:rPr>
                <w:bCs/>
                <w:noProof/>
                <w:webHidden/>
                <w:sz w:val="18"/>
                <w:szCs w:val="18"/>
              </w:rPr>
              <w:fldChar w:fldCharType="end"/>
            </w:r>
          </w:hyperlink>
        </w:p>
        <w:p w14:paraId="7B32C684" w14:textId="67B0DEA1" w:rsidR="007027C8" w:rsidRPr="007027C8" w:rsidRDefault="00822AD1" w:rsidP="007027C8">
          <w:pPr>
            <w:tabs>
              <w:tab w:val="right" w:leader="dot" w:pos="7696"/>
            </w:tabs>
            <w:spacing w:before="0" w:beforeAutospacing="0" w:after="0" w:afterAutospacing="0" w:line="240" w:lineRule="auto"/>
            <w:rPr>
              <w:rFonts w:asciiTheme="minorHAnsi" w:eastAsiaTheme="minorEastAsia" w:hAnsiTheme="minorHAnsi"/>
              <w:bCs/>
              <w:noProof/>
              <w:sz w:val="18"/>
              <w:szCs w:val="18"/>
              <w:lang w:eastAsia="es-MX"/>
            </w:rPr>
          </w:pPr>
          <w:hyperlink w:anchor="_Toc72770450" w:history="1">
            <w:r w:rsidR="007027C8" w:rsidRPr="007027C8">
              <w:rPr>
                <w:rFonts w:eastAsia="Calibri" w:cs="Arial"/>
                <w:bCs/>
                <w:noProof/>
                <w:sz w:val="18"/>
                <w:szCs w:val="18"/>
              </w:rPr>
              <w:t>¿Qué exponen los recurrentes?</w:t>
            </w:r>
            <w:r w:rsidR="007027C8" w:rsidRPr="007027C8">
              <w:rPr>
                <w:bCs/>
                <w:noProof/>
                <w:webHidden/>
                <w:sz w:val="18"/>
                <w:szCs w:val="18"/>
              </w:rPr>
              <w:tab/>
            </w:r>
            <w:r w:rsidR="007027C8" w:rsidRPr="007027C8">
              <w:rPr>
                <w:bCs/>
                <w:noProof/>
                <w:webHidden/>
                <w:sz w:val="18"/>
                <w:szCs w:val="18"/>
              </w:rPr>
              <w:fldChar w:fldCharType="begin"/>
            </w:r>
            <w:r w:rsidR="007027C8" w:rsidRPr="007027C8">
              <w:rPr>
                <w:bCs/>
                <w:noProof/>
                <w:webHidden/>
                <w:sz w:val="18"/>
                <w:szCs w:val="18"/>
              </w:rPr>
              <w:instrText xml:space="preserve"> PAGEREF _Toc72770450 \h </w:instrText>
            </w:r>
            <w:r w:rsidR="007027C8" w:rsidRPr="007027C8">
              <w:rPr>
                <w:bCs/>
                <w:noProof/>
                <w:webHidden/>
                <w:sz w:val="18"/>
                <w:szCs w:val="18"/>
              </w:rPr>
            </w:r>
            <w:r w:rsidR="007027C8" w:rsidRPr="007027C8">
              <w:rPr>
                <w:bCs/>
                <w:noProof/>
                <w:webHidden/>
                <w:sz w:val="18"/>
                <w:szCs w:val="18"/>
              </w:rPr>
              <w:fldChar w:fldCharType="separate"/>
            </w:r>
            <w:r>
              <w:rPr>
                <w:bCs/>
                <w:noProof/>
                <w:webHidden/>
                <w:sz w:val="18"/>
                <w:szCs w:val="18"/>
              </w:rPr>
              <w:t>8</w:t>
            </w:r>
            <w:r w:rsidR="007027C8" w:rsidRPr="007027C8">
              <w:rPr>
                <w:bCs/>
                <w:noProof/>
                <w:webHidden/>
                <w:sz w:val="18"/>
                <w:szCs w:val="18"/>
              </w:rPr>
              <w:fldChar w:fldCharType="end"/>
            </w:r>
          </w:hyperlink>
        </w:p>
        <w:p w14:paraId="65F6ACDD" w14:textId="176805A9" w:rsidR="007027C8" w:rsidRPr="007027C8" w:rsidRDefault="00822AD1" w:rsidP="007027C8">
          <w:pPr>
            <w:tabs>
              <w:tab w:val="right" w:leader="dot" w:pos="7696"/>
            </w:tabs>
            <w:spacing w:before="0" w:beforeAutospacing="0" w:after="0" w:afterAutospacing="0" w:line="240" w:lineRule="auto"/>
            <w:rPr>
              <w:rFonts w:asciiTheme="minorHAnsi" w:eastAsiaTheme="minorEastAsia" w:hAnsiTheme="minorHAnsi"/>
              <w:bCs/>
              <w:noProof/>
              <w:sz w:val="18"/>
              <w:szCs w:val="18"/>
              <w:lang w:eastAsia="es-MX"/>
            </w:rPr>
          </w:pPr>
          <w:hyperlink w:anchor="_Toc72770451" w:history="1">
            <w:r w:rsidR="007027C8" w:rsidRPr="007027C8">
              <w:rPr>
                <w:rFonts w:eastAsia="Calibri" w:cs="Arial"/>
                <w:bCs/>
                <w:noProof/>
                <w:sz w:val="18"/>
                <w:szCs w:val="18"/>
              </w:rPr>
              <w:t>¿Cuál es la determinación de esta Sala Superior?</w:t>
            </w:r>
            <w:r w:rsidR="007027C8" w:rsidRPr="007027C8">
              <w:rPr>
                <w:bCs/>
                <w:noProof/>
                <w:webHidden/>
                <w:sz w:val="18"/>
                <w:szCs w:val="18"/>
              </w:rPr>
              <w:tab/>
            </w:r>
            <w:r w:rsidR="007027C8" w:rsidRPr="007027C8">
              <w:rPr>
                <w:bCs/>
                <w:noProof/>
                <w:webHidden/>
                <w:sz w:val="18"/>
                <w:szCs w:val="18"/>
              </w:rPr>
              <w:fldChar w:fldCharType="begin"/>
            </w:r>
            <w:r w:rsidR="007027C8" w:rsidRPr="007027C8">
              <w:rPr>
                <w:bCs/>
                <w:noProof/>
                <w:webHidden/>
                <w:sz w:val="18"/>
                <w:szCs w:val="18"/>
              </w:rPr>
              <w:instrText xml:space="preserve"> PAGEREF _Toc72770451 \h </w:instrText>
            </w:r>
            <w:r w:rsidR="007027C8" w:rsidRPr="007027C8">
              <w:rPr>
                <w:bCs/>
                <w:noProof/>
                <w:webHidden/>
                <w:sz w:val="18"/>
                <w:szCs w:val="18"/>
              </w:rPr>
            </w:r>
            <w:r w:rsidR="007027C8" w:rsidRPr="007027C8">
              <w:rPr>
                <w:bCs/>
                <w:noProof/>
                <w:webHidden/>
                <w:sz w:val="18"/>
                <w:szCs w:val="18"/>
              </w:rPr>
              <w:fldChar w:fldCharType="separate"/>
            </w:r>
            <w:r>
              <w:rPr>
                <w:bCs/>
                <w:noProof/>
                <w:webHidden/>
                <w:sz w:val="18"/>
                <w:szCs w:val="18"/>
              </w:rPr>
              <w:t>9</w:t>
            </w:r>
            <w:r w:rsidR="007027C8" w:rsidRPr="007027C8">
              <w:rPr>
                <w:bCs/>
                <w:noProof/>
                <w:webHidden/>
                <w:sz w:val="18"/>
                <w:szCs w:val="18"/>
              </w:rPr>
              <w:fldChar w:fldCharType="end"/>
            </w:r>
          </w:hyperlink>
        </w:p>
        <w:p w14:paraId="43527E51" w14:textId="0602A362" w:rsidR="007027C8" w:rsidRPr="007027C8" w:rsidRDefault="00822AD1" w:rsidP="007027C8">
          <w:pPr>
            <w:tabs>
              <w:tab w:val="right" w:leader="dot" w:pos="7696"/>
            </w:tabs>
            <w:spacing w:before="0" w:beforeAutospacing="0" w:after="0" w:afterAutospacing="0" w:line="240" w:lineRule="auto"/>
            <w:rPr>
              <w:rFonts w:asciiTheme="minorHAnsi" w:eastAsiaTheme="minorEastAsia" w:hAnsiTheme="minorHAnsi"/>
              <w:bCs/>
              <w:noProof/>
              <w:sz w:val="18"/>
              <w:szCs w:val="18"/>
              <w:lang w:eastAsia="es-MX"/>
            </w:rPr>
          </w:pPr>
          <w:hyperlink w:anchor="_Toc72770452" w:history="1">
            <w:r w:rsidR="007027C8" w:rsidRPr="007027C8">
              <w:rPr>
                <w:rFonts w:cs="Arial"/>
                <w:bCs/>
                <w:noProof/>
                <w:sz w:val="18"/>
                <w:szCs w:val="18"/>
              </w:rPr>
              <w:t xml:space="preserve">V. </w:t>
            </w:r>
            <w:r w:rsidR="007027C8" w:rsidRPr="007027C8">
              <w:rPr>
                <w:rFonts w:cs="Arial"/>
                <w:bCs/>
                <w:noProof/>
                <w:sz w:val="18"/>
                <w:szCs w:val="18"/>
                <w:lang w:eastAsia="es-MX"/>
              </w:rPr>
              <w:t>RESUELVE</w:t>
            </w:r>
            <w:r w:rsidR="007027C8" w:rsidRPr="007027C8">
              <w:rPr>
                <w:bCs/>
                <w:noProof/>
                <w:webHidden/>
                <w:sz w:val="18"/>
                <w:szCs w:val="18"/>
              </w:rPr>
              <w:tab/>
            </w:r>
            <w:r w:rsidR="007027C8" w:rsidRPr="007027C8">
              <w:rPr>
                <w:bCs/>
                <w:noProof/>
                <w:webHidden/>
                <w:sz w:val="18"/>
                <w:szCs w:val="18"/>
              </w:rPr>
              <w:fldChar w:fldCharType="begin"/>
            </w:r>
            <w:r w:rsidR="007027C8" w:rsidRPr="007027C8">
              <w:rPr>
                <w:bCs/>
                <w:noProof/>
                <w:webHidden/>
                <w:sz w:val="18"/>
                <w:szCs w:val="18"/>
              </w:rPr>
              <w:instrText xml:space="preserve"> PAGEREF _Toc72770452 \h </w:instrText>
            </w:r>
            <w:r w:rsidR="007027C8" w:rsidRPr="007027C8">
              <w:rPr>
                <w:bCs/>
                <w:noProof/>
                <w:webHidden/>
                <w:sz w:val="18"/>
                <w:szCs w:val="18"/>
              </w:rPr>
            </w:r>
            <w:r w:rsidR="007027C8" w:rsidRPr="007027C8">
              <w:rPr>
                <w:bCs/>
                <w:noProof/>
                <w:webHidden/>
                <w:sz w:val="18"/>
                <w:szCs w:val="18"/>
              </w:rPr>
              <w:fldChar w:fldCharType="separate"/>
            </w:r>
            <w:r>
              <w:rPr>
                <w:bCs/>
                <w:noProof/>
                <w:webHidden/>
                <w:sz w:val="18"/>
                <w:szCs w:val="18"/>
              </w:rPr>
              <w:t>11</w:t>
            </w:r>
            <w:r w:rsidR="007027C8" w:rsidRPr="007027C8">
              <w:rPr>
                <w:bCs/>
                <w:noProof/>
                <w:webHidden/>
                <w:sz w:val="18"/>
                <w:szCs w:val="18"/>
              </w:rPr>
              <w:fldChar w:fldCharType="end"/>
            </w:r>
          </w:hyperlink>
        </w:p>
        <w:p w14:paraId="4EC4AFB5" w14:textId="77777777" w:rsidR="007027C8" w:rsidRPr="007027C8" w:rsidRDefault="007027C8" w:rsidP="007027C8">
          <w:pPr>
            <w:tabs>
              <w:tab w:val="right" w:leader="dot" w:pos="7694"/>
            </w:tabs>
            <w:spacing w:before="0" w:beforeAutospacing="0" w:after="0" w:afterAutospacing="0" w:line="240" w:lineRule="auto"/>
            <w:rPr>
              <w:rFonts w:eastAsia="Calibri" w:cs="Arial"/>
              <w:bCs/>
              <w:highlight w:val="lightGray"/>
              <w:lang w:val="es-ES"/>
            </w:rPr>
          </w:pPr>
          <w:r w:rsidRPr="007027C8">
            <w:rPr>
              <w:rFonts w:eastAsia="Calibri" w:cs="Arial"/>
              <w:bCs/>
              <w:sz w:val="18"/>
              <w:szCs w:val="18"/>
              <w:highlight w:val="lightGray"/>
            </w:rPr>
            <w:fldChar w:fldCharType="end"/>
          </w:r>
        </w:p>
      </w:sdtContent>
    </w:sdt>
    <w:p w14:paraId="6A959B20" w14:textId="77777777" w:rsidR="007027C8" w:rsidRPr="007027C8" w:rsidRDefault="007027C8" w:rsidP="007027C8">
      <w:pPr>
        <w:jc w:val="center"/>
        <w:rPr>
          <w:rFonts w:eastAsia="Calibri" w:cs="Arial"/>
          <w:bCs/>
          <w:sz w:val="18"/>
          <w:szCs w:val="18"/>
        </w:rPr>
      </w:pPr>
      <w:bookmarkStart w:id="6" w:name="_Toc496171374"/>
      <w:bookmarkEnd w:id="4"/>
      <w:r w:rsidRPr="007027C8">
        <w:rPr>
          <w:rFonts w:eastAsia="Calibri" w:cs="Arial"/>
          <w:bCs/>
          <w:sz w:val="18"/>
          <w:szCs w:val="18"/>
        </w:rPr>
        <w:t>GLOSARIO</w:t>
      </w:r>
    </w:p>
    <w:tbl>
      <w:tblPr>
        <w:tblW w:w="7650" w:type="dxa"/>
        <w:tblLook w:val="01E0" w:firstRow="1" w:lastRow="1" w:firstColumn="1" w:lastColumn="1" w:noHBand="0" w:noVBand="0"/>
      </w:tblPr>
      <w:tblGrid>
        <w:gridCol w:w="2410"/>
        <w:gridCol w:w="5240"/>
      </w:tblGrid>
      <w:tr w:rsidR="007027C8" w:rsidRPr="007027C8" w14:paraId="420C81E8" w14:textId="77777777" w:rsidTr="00153201">
        <w:trPr>
          <w:trHeight w:val="227"/>
        </w:trPr>
        <w:tc>
          <w:tcPr>
            <w:tcW w:w="2410" w:type="dxa"/>
            <w:vAlign w:val="center"/>
          </w:tcPr>
          <w:p w14:paraId="086D1BCE" w14:textId="77777777" w:rsidR="007027C8" w:rsidRPr="007027C8" w:rsidRDefault="007027C8" w:rsidP="007027C8">
            <w:pPr>
              <w:rPr>
                <w:rFonts w:eastAsia="Calibri" w:cs="Arial"/>
                <w:b/>
                <w:sz w:val="18"/>
                <w:szCs w:val="18"/>
              </w:rPr>
            </w:pPr>
            <w:r w:rsidRPr="007027C8">
              <w:rPr>
                <w:rFonts w:eastAsia="Calibri" w:cs="Arial"/>
                <w:b/>
                <w:sz w:val="18"/>
                <w:szCs w:val="18"/>
              </w:rPr>
              <w:t xml:space="preserve">Ayuntamiento: </w:t>
            </w:r>
          </w:p>
        </w:tc>
        <w:tc>
          <w:tcPr>
            <w:tcW w:w="5240" w:type="dxa"/>
            <w:vAlign w:val="center"/>
          </w:tcPr>
          <w:p w14:paraId="5CD06701" w14:textId="77777777" w:rsidR="007027C8" w:rsidRPr="007027C8" w:rsidRDefault="007027C8" w:rsidP="007027C8">
            <w:pPr>
              <w:rPr>
                <w:rFonts w:eastAsia="Calibri" w:cs="Arial"/>
                <w:sz w:val="18"/>
                <w:szCs w:val="18"/>
                <w:lang w:eastAsia="es-MX"/>
              </w:rPr>
            </w:pPr>
            <w:r w:rsidRPr="007027C8">
              <w:rPr>
                <w:rFonts w:eastAsia="Calibri" w:cs="Arial"/>
                <w:sz w:val="18"/>
                <w:szCs w:val="18"/>
                <w:lang w:eastAsia="es-MX"/>
              </w:rPr>
              <w:t>Ayuntamiento de Salamanca Guanajuato.</w:t>
            </w:r>
          </w:p>
        </w:tc>
      </w:tr>
      <w:tr w:rsidR="007027C8" w:rsidRPr="007027C8" w14:paraId="075AE10F" w14:textId="77777777" w:rsidTr="00153201">
        <w:trPr>
          <w:trHeight w:val="227"/>
        </w:trPr>
        <w:tc>
          <w:tcPr>
            <w:tcW w:w="2410" w:type="dxa"/>
            <w:vAlign w:val="center"/>
          </w:tcPr>
          <w:p w14:paraId="74E07460" w14:textId="77777777" w:rsidR="007027C8" w:rsidRPr="007027C8" w:rsidRDefault="007027C8" w:rsidP="007027C8">
            <w:pPr>
              <w:rPr>
                <w:rFonts w:eastAsia="Calibri" w:cs="Arial"/>
                <w:b/>
                <w:sz w:val="18"/>
                <w:szCs w:val="18"/>
              </w:rPr>
            </w:pPr>
            <w:r w:rsidRPr="007027C8">
              <w:rPr>
                <w:rFonts w:eastAsia="Calibri" w:cs="Arial"/>
                <w:b/>
                <w:sz w:val="18"/>
                <w:szCs w:val="18"/>
              </w:rPr>
              <w:t>Constitución:</w:t>
            </w:r>
          </w:p>
        </w:tc>
        <w:tc>
          <w:tcPr>
            <w:tcW w:w="5240" w:type="dxa"/>
            <w:vAlign w:val="center"/>
          </w:tcPr>
          <w:p w14:paraId="61DD7192" w14:textId="77777777" w:rsidR="007027C8" w:rsidRPr="007027C8" w:rsidRDefault="007027C8" w:rsidP="007027C8">
            <w:pPr>
              <w:rPr>
                <w:rFonts w:eastAsia="Calibri" w:cs="Arial"/>
                <w:sz w:val="18"/>
                <w:szCs w:val="18"/>
                <w:lang w:eastAsia="es-MX"/>
              </w:rPr>
            </w:pPr>
            <w:r w:rsidRPr="007027C8">
              <w:rPr>
                <w:rFonts w:eastAsia="Calibri" w:cs="Arial"/>
                <w:sz w:val="18"/>
                <w:szCs w:val="18"/>
                <w:lang w:eastAsia="es-MX"/>
              </w:rPr>
              <w:t>Constitución Política de los Estados Unidos Mexicanos.</w:t>
            </w:r>
          </w:p>
        </w:tc>
      </w:tr>
      <w:tr w:rsidR="007027C8" w:rsidRPr="007027C8" w14:paraId="05B72F21" w14:textId="77777777" w:rsidTr="00153201">
        <w:trPr>
          <w:trHeight w:val="227"/>
        </w:trPr>
        <w:tc>
          <w:tcPr>
            <w:tcW w:w="2410" w:type="dxa"/>
            <w:vAlign w:val="center"/>
          </w:tcPr>
          <w:p w14:paraId="4478A8F5" w14:textId="77777777" w:rsidR="007027C8" w:rsidRPr="007027C8" w:rsidRDefault="007027C8" w:rsidP="007027C8">
            <w:pPr>
              <w:rPr>
                <w:rFonts w:eastAsia="Calibri" w:cs="Arial"/>
                <w:b/>
                <w:sz w:val="18"/>
                <w:szCs w:val="18"/>
              </w:rPr>
            </w:pPr>
            <w:r w:rsidRPr="007027C8">
              <w:rPr>
                <w:rFonts w:eastAsia="Calibri" w:cs="Arial"/>
                <w:b/>
                <w:sz w:val="18"/>
                <w:szCs w:val="18"/>
              </w:rPr>
              <w:t>Instituto local/OPLE:</w:t>
            </w:r>
          </w:p>
        </w:tc>
        <w:tc>
          <w:tcPr>
            <w:tcW w:w="5240" w:type="dxa"/>
            <w:vAlign w:val="center"/>
          </w:tcPr>
          <w:p w14:paraId="63F694CC" w14:textId="77777777" w:rsidR="007027C8" w:rsidRPr="007027C8" w:rsidRDefault="007027C8" w:rsidP="007027C8">
            <w:pPr>
              <w:rPr>
                <w:rFonts w:eastAsia="Calibri" w:cs="Arial"/>
                <w:sz w:val="18"/>
                <w:szCs w:val="18"/>
                <w:lang w:eastAsia="es-MX"/>
              </w:rPr>
            </w:pPr>
            <w:r w:rsidRPr="007027C8">
              <w:rPr>
                <w:rFonts w:eastAsia="Calibri" w:cs="Arial"/>
                <w:sz w:val="18"/>
                <w:szCs w:val="18"/>
                <w:lang w:eastAsia="es-MX"/>
              </w:rPr>
              <w:t>Instituto Electoral del Estado de Guanajuato.</w:t>
            </w:r>
          </w:p>
        </w:tc>
      </w:tr>
      <w:tr w:rsidR="007027C8" w:rsidRPr="007027C8" w14:paraId="5538911D" w14:textId="77777777" w:rsidTr="00153201">
        <w:trPr>
          <w:trHeight w:val="227"/>
        </w:trPr>
        <w:tc>
          <w:tcPr>
            <w:tcW w:w="2410" w:type="dxa"/>
            <w:vAlign w:val="center"/>
          </w:tcPr>
          <w:p w14:paraId="5F97B05F" w14:textId="77777777" w:rsidR="007027C8" w:rsidRPr="007027C8" w:rsidRDefault="007027C8" w:rsidP="007027C8">
            <w:pPr>
              <w:rPr>
                <w:rFonts w:eastAsia="Calibri" w:cs="Arial"/>
                <w:b/>
                <w:sz w:val="18"/>
                <w:szCs w:val="18"/>
              </w:rPr>
            </w:pPr>
            <w:r w:rsidRPr="007027C8">
              <w:rPr>
                <w:rFonts w:eastAsia="Calibri" w:cs="Arial"/>
                <w:b/>
                <w:sz w:val="18"/>
                <w:szCs w:val="18"/>
              </w:rPr>
              <w:t>Juicio ciudadano:</w:t>
            </w:r>
          </w:p>
        </w:tc>
        <w:tc>
          <w:tcPr>
            <w:tcW w:w="5240" w:type="dxa"/>
            <w:vAlign w:val="center"/>
          </w:tcPr>
          <w:p w14:paraId="59560CDE" w14:textId="77777777" w:rsidR="007027C8" w:rsidRPr="007027C8" w:rsidRDefault="007027C8" w:rsidP="007027C8">
            <w:pPr>
              <w:rPr>
                <w:rFonts w:eastAsia="Calibri" w:cs="Arial"/>
                <w:sz w:val="18"/>
                <w:szCs w:val="18"/>
                <w:lang w:eastAsia="es-MX"/>
              </w:rPr>
            </w:pPr>
            <w:r w:rsidRPr="007027C8">
              <w:rPr>
                <w:rFonts w:eastAsia="Calibri" w:cs="Arial"/>
                <w:sz w:val="18"/>
                <w:szCs w:val="18"/>
                <w:lang w:eastAsia="es-MX"/>
              </w:rPr>
              <w:t>Juicio para la protección de los derechos político-electorales del ciudadano.</w:t>
            </w:r>
          </w:p>
        </w:tc>
      </w:tr>
      <w:tr w:rsidR="007027C8" w:rsidRPr="007027C8" w14:paraId="5506E55A" w14:textId="77777777" w:rsidTr="00153201">
        <w:trPr>
          <w:trHeight w:val="227"/>
        </w:trPr>
        <w:tc>
          <w:tcPr>
            <w:tcW w:w="2410" w:type="dxa"/>
            <w:vAlign w:val="center"/>
          </w:tcPr>
          <w:p w14:paraId="7623F806" w14:textId="77777777" w:rsidR="007027C8" w:rsidRPr="007027C8" w:rsidRDefault="007027C8" w:rsidP="007027C8">
            <w:pPr>
              <w:rPr>
                <w:rFonts w:eastAsia="Calibri" w:cs="Arial"/>
                <w:b/>
                <w:sz w:val="18"/>
                <w:szCs w:val="18"/>
              </w:rPr>
            </w:pPr>
            <w:r w:rsidRPr="007027C8">
              <w:rPr>
                <w:rFonts w:eastAsia="Calibri" w:cs="Arial"/>
                <w:b/>
                <w:sz w:val="18"/>
                <w:szCs w:val="18"/>
              </w:rPr>
              <w:t>Ley Electoral local:</w:t>
            </w:r>
          </w:p>
        </w:tc>
        <w:tc>
          <w:tcPr>
            <w:tcW w:w="5240" w:type="dxa"/>
            <w:vAlign w:val="center"/>
          </w:tcPr>
          <w:p w14:paraId="5CEEECFF" w14:textId="77777777" w:rsidR="007027C8" w:rsidRPr="007027C8" w:rsidRDefault="007027C8" w:rsidP="007027C8">
            <w:pPr>
              <w:rPr>
                <w:rFonts w:eastAsia="Calibri" w:cs="Arial"/>
                <w:sz w:val="18"/>
                <w:szCs w:val="18"/>
                <w:lang w:eastAsia="es-MX"/>
              </w:rPr>
            </w:pPr>
            <w:r w:rsidRPr="007027C8">
              <w:rPr>
                <w:rFonts w:eastAsia="Calibri" w:cs="Arial"/>
                <w:sz w:val="18"/>
                <w:szCs w:val="18"/>
                <w:lang w:eastAsia="es-MX"/>
              </w:rPr>
              <w:t>Ley de Instituciones y Procedimientos Electorales para el Estado de Guanajuato</w:t>
            </w:r>
          </w:p>
        </w:tc>
      </w:tr>
      <w:tr w:rsidR="007027C8" w:rsidRPr="007027C8" w14:paraId="56948D4D" w14:textId="77777777" w:rsidTr="00153201">
        <w:trPr>
          <w:trHeight w:val="227"/>
        </w:trPr>
        <w:tc>
          <w:tcPr>
            <w:tcW w:w="2410" w:type="dxa"/>
            <w:vAlign w:val="center"/>
          </w:tcPr>
          <w:p w14:paraId="04998B0F" w14:textId="77777777" w:rsidR="007027C8" w:rsidRPr="007027C8" w:rsidRDefault="007027C8" w:rsidP="007027C8">
            <w:pPr>
              <w:rPr>
                <w:rFonts w:eastAsia="Calibri" w:cs="Arial"/>
                <w:b/>
                <w:sz w:val="18"/>
                <w:szCs w:val="18"/>
              </w:rPr>
            </w:pPr>
            <w:r w:rsidRPr="007027C8">
              <w:rPr>
                <w:rFonts w:eastAsia="Calibri" w:cs="Arial"/>
                <w:b/>
                <w:sz w:val="18"/>
                <w:szCs w:val="18"/>
              </w:rPr>
              <w:t>Ley de Medios:</w:t>
            </w:r>
          </w:p>
        </w:tc>
        <w:tc>
          <w:tcPr>
            <w:tcW w:w="5240" w:type="dxa"/>
            <w:vAlign w:val="center"/>
          </w:tcPr>
          <w:p w14:paraId="11787E5E" w14:textId="77777777" w:rsidR="007027C8" w:rsidRPr="007027C8" w:rsidRDefault="007027C8" w:rsidP="007027C8">
            <w:pPr>
              <w:rPr>
                <w:rFonts w:eastAsia="Calibri" w:cs="Arial"/>
                <w:sz w:val="18"/>
                <w:szCs w:val="18"/>
                <w:lang w:eastAsia="es-MX"/>
              </w:rPr>
            </w:pPr>
            <w:r w:rsidRPr="007027C8">
              <w:rPr>
                <w:rFonts w:eastAsia="Calibri" w:cs="Arial"/>
                <w:sz w:val="18"/>
                <w:szCs w:val="18"/>
                <w:lang w:eastAsia="es-MX"/>
              </w:rPr>
              <w:t>Ley General del Sistema de Medios de Impugnación en Materia Electoral.</w:t>
            </w:r>
          </w:p>
        </w:tc>
      </w:tr>
      <w:tr w:rsidR="007027C8" w:rsidRPr="007027C8" w14:paraId="11EB5371" w14:textId="77777777" w:rsidTr="00153201">
        <w:trPr>
          <w:trHeight w:val="227"/>
        </w:trPr>
        <w:tc>
          <w:tcPr>
            <w:tcW w:w="2410" w:type="dxa"/>
            <w:vAlign w:val="center"/>
          </w:tcPr>
          <w:p w14:paraId="1BFDA2CF" w14:textId="77777777" w:rsidR="007027C8" w:rsidRPr="007027C8" w:rsidRDefault="007027C8" w:rsidP="007027C8">
            <w:pPr>
              <w:rPr>
                <w:rFonts w:eastAsia="Calibri" w:cs="Arial"/>
                <w:b/>
                <w:sz w:val="18"/>
                <w:szCs w:val="18"/>
              </w:rPr>
            </w:pPr>
            <w:r w:rsidRPr="007027C8">
              <w:rPr>
                <w:rFonts w:eastAsia="Calibri" w:cs="Arial"/>
                <w:b/>
                <w:sz w:val="18"/>
                <w:szCs w:val="18"/>
              </w:rPr>
              <w:t>Ley Orgánica:</w:t>
            </w:r>
          </w:p>
        </w:tc>
        <w:tc>
          <w:tcPr>
            <w:tcW w:w="5240" w:type="dxa"/>
            <w:vAlign w:val="center"/>
          </w:tcPr>
          <w:p w14:paraId="6C5B9EE3" w14:textId="77777777" w:rsidR="007027C8" w:rsidRPr="007027C8" w:rsidRDefault="007027C8" w:rsidP="007027C8">
            <w:pPr>
              <w:rPr>
                <w:rFonts w:eastAsia="Calibri" w:cs="Arial"/>
                <w:sz w:val="18"/>
                <w:szCs w:val="18"/>
                <w:lang w:eastAsia="es-MX"/>
              </w:rPr>
            </w:pPr>
            <w:r w:rsidRPr="007027C8">
              <w:rPr>
                <w:rFonts w:eastAsia="Calibri" w:cs="Arial"/>
                <w:sz w:val="18"/>
                <w:szCs w:val="18"/>
                <w:lang w:eastAsia="es-MX"/>
              </w:rPr>
              <w:t>Ley Orgánica del Poder Judicial de la Federación.</w:t>
            </w:r>
          </w:p>
        </w:tc>
      </w:tr>
      <w:tr w:rsidR="007027C8" w:rsidRPr="007027C8" w14:paraId="79EA33F8" w14:textId="77777777" w:rsidTr="00153201">
        <w:trPr>
          <w:trHeight w:val="227"/>
        </w:trPr>
        <w:tc>
          <w:tcPr>
            <w:tcW w:w="2410" w:type="dxa"/>
            <w:vAlign w:val="center"/>
          </w:tcPr>
          <w:p w14:paraId="0BECDBF6" w14:textId="77777777" w:rsidR="007027C8" w:rsidRPr="007027C8" w:rsidRDefault="007027C8" w:rsidP="007027C8">
            <w:pPr>
              <w:rPr>
                <w:rFonts w:eastAsia="Calibri" w:cs="Arial"/>
                <w:b/>
                <w:sz w:val="18"/>
                <w:szCs w:val="18"/>
              </w:rPr>
            </w:pPr>
            <w:r w:rsidRPr="007027C8">
              <w:rPr>
                <w:rFonts w:eastAsia="Calibri" w:cs="Arial"/>
                <w:b/>
                <w:sz w:val="18"/>
                <w:szCs w:val="18"/>
              </w:rPr>
              <w:lastRenderedPageBreak/>
              <w:t>Lineamientos:</w:t>
            </w:r>
          </w:p>
        </w:tc>
        <w:tc>
          <w:tcPr>
            <w:tcW w:w="5240" w:type="dxa"/>
            <w:vAlign w:val="center"/>
          </w:tcPr>
          <w:p w14:paraId="18BF31E7" w14:textId="77777777" w:rsidR="007027C8" w:rsidRPr="007027C8" w:rsidRDefault="007027C8" w:rsidP="007027C8">
            <w:pPr>
              <w:rPr>
                <w:rFonts w:eastAsia="Calibri" w:cs="Arial"/>
                <w:sz w:val="18"/>
                <w:szCs w:val="18"/>
                <w:lang w:eastAsia="es-MX"/>
              </w:rPr>
            </w:pPr>
            <w:r w:rsidRPr="007027C8">
              <w:rPr>
                <w:rFonts w:eastAsia="Calibri" w:cs="Arial"/>
                <w:sz w:val="18"/>
                <w:szCs w:val="18"/>
                <w:lang w:eastAsia="es-MX"/>
              </w:rPr>
              <w:t>Lineamientos para el registro de candidaturas en el Proceso Electoral Local Ordinario 2020-2021</w:t>
            </w:r>
          </w:p>
        </w:tc>
      </w:tr>
      <w:tr w:rsidR="007027C8" w:rsidRPr="007027C8" w14:paraId="1E9DB5B7" w14:textId="77777777" w:rsidTr="00153201">
        <w:trPr>
          <w:trHeight w:val="227"/>
        </w:trPr>
        <w:tc>
          <w:tcPr>
            <w:tcW w:w="2410" w:type="dxa"/>
            <w:vAlign w:val="center"/>
          </w:tcPr>
          <w:p w14:paraId="28D8B51F" w14:textId="77777777" w:rsidR="007027C8" w:rsidRPr="007027C8" w:rsidRDefault="007027C8" w:rsidP="007027C8">
            <w:pPr>
              <w:rPr>
                <w:rFonts w:eastAsia="Calibri" w:cs="Arial"/>
                <w:b/>
                <w:sz w:val="18"/>
                <w:szCs w:val="18"/>
              </w:rPr>
            </w:pPr>
            <w:r w:rsidRPr="007027C8">
              <w:rPr>
                <w:rFonts w:eastAsia="Calibri" w:cs="Arial"/>
                <w:b/>
                <w:sz w:val="18"/>
                <w:szCs w:val="18"/>
              </w:rPr>
              <w:t xml:space="preserve">Sala Monterrey o Sala Regional: </w:t>
            </w:r>
          </w:p>
        </w:tc>
        <w:tc>
          <w:tcPr>
            <w:tcW w:w="5240" w:type="dxa"/>
            <w:vAlign w:val="center"/>
          </w:tcPr>
          <w:p w14:paraId="1CA91BD7" w14:textId="77777777" w:rsidR="007027C8" w:rsidRPr="007027C8" w:rsidRDefault="007027C8" w:rsidP="007027C8">
            <w:pPr>
              <w:rPr>
                <w:rFonts w:eastAsia="Calibri" w:cs="Arial"/>
                <w:sz w:val="18"/>
                <w:szCs w:val="18"/>
                <w:lang w:eastAsia="es-MX"/>
              </w:rPr>
            </w:pPr>
            <w:r w:rsidRPr="007027C8">
              <w:rPr>
                <w:rFonts w:eastAsia="Calibri" w:cs="Arial"/>
                <w:sz w:val="18"/>
                <w:szCs w:val="18"/>
                <w:lang w:eastAsia="es-MX"/>
              </w:rPr>
              <w:t>Sala Regional del Tribunal Electoral del Poder Judicial de la Federación, correspondiente a la Segunda Circunscripción Plurinominal Electoral, con sede en Monterrey.</w:t>
            </w:r>
          </w:p>
        </w:tc>
      </w:tr>
      <w:tr w:rsidR="007027C8" w:rsidRPr="007027C8" w14:paraId="1774EB55" w14:textId="77777777" w:rsidTr="00153201">
        <w:trPr>
          <w:trHeight w:val="227"/>
        </w:trPr>
        <w:tc>
          <w:tcPr>
            <w:tcW w:w="2410" w:type="dxa"/>
            <w:vAlign w:val="center"/>
          </w:tcPr>
          <w:p w14:paraId="2350E036" w14:textId="77777777" w:rsidR="007027C8" w:rsidRPr="007027C8" w:rsidRDefault="007027C8" w:rsidP="007027C8">
            <w:pPr>
              <w:rPr>
                <w:rFonts w:eastAsia="Calibri" w:cs="Arial"/>
                <w:b/>
                <w:sz w:val="18"/>
                <w:szCs w:val="18"/>
              </w:rPr>
            </w:pPr>
            <w:r w:rsidRPr="007027C8">
              <w:rPr>
                <w:rFonts w:eastAsia="Calibri" w:cs="Arial"/>
                <w:b/>
                <w:sz w:val="18"/>
                <w:szCs w:val="18"/>
              </w:rPr>
              <w:t>Sala Superior:</w:t>
            </w:r>
          </w:p>
        </w:tc>
        <w:tc>
          <w:tcPr>
            <w:tcW w:w="5240" w:type="dxa"/>
            <w:vAlign w:val="center"/>
          </w:tcPr>
          <w:p w14:paraId="70B629F7" w14:textId="77777777" w:rsidR="007027C8" w:rsidRPr="007027C8" w:rsidRDefault="007027C8" w:rsidP="007027C8">
            <w:pPr>
              <w:rPr>
                <w:rFonts w:eastAsia="Calibri" w:cs="Arial"/>
                <w:sz w:val="18"/>
                <w:szCs w:val="18"/>
                <w:lang w:eastAsia="es-MX"/>
              </w:rPr>
            </w:pPr>
            <w:r w:rsidRPr="007027C8">
              <w:rPr>
                <w:rFonts w:eastAsia="Calibri"/>
                <w:sz w:val="18"/>
                <w:szCs w:val="18"/>
              </w:rPr>
              <w:t>Sala Superior del Tribunal Electoral del Poder Judicial de la Federación.</w:t>
            </w:r>
          </w:p>
        </w:tc>
      </w:tr>
      <w:tr w:rsidR="007027C8" w:rsidRPr="007027C8" w14:paraId="2A3DF0CC" w14:textId="77777777" w:rsidTr="00153201">
        <w:trPr>
          <w:trHeight w:val="227"/>
        </w:trPr>
        <w:tc>
          <w:tcPr>
            <w:tcW w:w="2410" w:type="dxa"/>
            <w:vAlign w:val="center"/>
          </w:tcPr>
          <w:p w14:paraId="7B74E66E" w14:textId="77777777" w:rsidR="007027C8" w:rsidRPr="007027C8" w:rsidRDefault="007027C8" w:rsidP="007027C8">
            <w:pPr>
              <w:rPr>
                <w:rFonts w:eastAsia="Calibri" w:cs="Arial"/>
                <w:b/>
                <w:sz w:val="18"/>
                <w:szCs w:val="18"/>
              </w:rPr>
            </w:pPr>
            <w:r w:rsidRPr="007027C8">
              <w:rPr>
                <w:rFonts w:eastAsia="Calibri" w:cs="Arial"/>
                <w:b/>
                <w:sz w:val="18"/>
                <w:szCs w:val="18"/>
              </w:rPr>
              <w:t>Tribunal Electoral:</w:t>
            </w:r>
          </w:p>
        </w:tc>
        <w:tc>
          <w:tcPr>
            <w:tcW w:w="5240" w:type="dxa"/>
            <w:vAlign w:val="center"/>
          </w:tcPr>
          <w:p w14:paraId="4EB8FFE6" w14:textId="77777777" w:rsidR="007027C8" w:rsidRPr="007027C8" w:rsidRDefault="007027C8" w:rsidP="007027C8">
            <w:pPr>
              <w:rPr>
                <w:rFonts w:eastAsia="Calibri"/>
                <w:sz w:val="18"/>
                <w:szCs w:val="18"/>
              </w:rPr>
            </w:pPr>
            <w:r w:rsidRPr="007027C8">
              <w:rPr>
                <w:rFonts w:eastAsia="Calibri"/>
                <w:sz w:val="18"/>
                <w:szCs w:val="18"/>
              </w:rPr>
              <w:t>Tribunal Electoral del Poder Judicial de la Federación</w:t>
            </w:r>
          </w:p>
        </w:tc>
      </w:tr>
      <w:tr w:rsidR="007027C8" w:rsidRPr="007027C8" w14:paraId="1D41DFD8" w14:textId="77777777" w:rsidTr="00153201">
        <w:trPr>
          <w:trHeight w:val="227"/>
        </w:trPr>
        <w:tc>
          <w:tcPr>
            <w:tcW w:w="2410" w:type="dxa"/>
            <w:vAlign w:val="center"/>
          </w:tcPr>
          <w:p w14:paraId="254B9E93" w14:textId="77777777" w:rsidR="007027C8" w:rsidRPr="007027C8" w:rsidRDefault="007027C8" w:rsidP="007027C8">
            <w:pPr>
              <w:rPr>
                <w:rFonts w:eastAsia="Calibri" w:cs="Arial"/>
                <w:b/>
                <w:sz w:val="18"/>
                <w:szCs w:val="18"/>
              </w:rPr>
            </w:pPr>
            <w:r w:rsidRPr="007027C8">
              <w:rPr>
                <w:rFonts w:eastAsia="Calibri" w:cs="Arial"/>
                <w:b/>
                <w:sz w:val="18"/>
                <w:szCs w:val="18"/>
              </w:rPr>
              <w:t>Tribunal local:</w:t>
            </w:r>
          </w:p>
        </w:tc>
        <w:tc>
          <w:tcPr>
            <w:tcW w:w="5240" w:type="dxa"/>
            <w:vAlign w:val="center"/>
          </w:tcPr>
          <w:p w14:paraId="610F266C" w14:textId="77777777" w:rsidR="007027C8" w:rsidRPr="007027C8" w:rsidRDefault="007027C8" w:rsidP="007027C8">
            <w:pPr>
              <w:rPr>
                <w:rFonts w:eastAsia="Calibri"/>
                <w:sz w:val="18"/>
                <w:szCs w:val="18"/>
              </w:rPr>
            </w:pPr>
            <w:r w:rsidRPr="007027C8">
              <w:rPr>
                <w:rFonts w:eastAsia="Calibri"/>
                <w:sz w:val="18"/>
                <w:szCs w:val="18"/>
              </w:rPr>
              <w:t>Tribunal Estatal Electoral de Guanajuato.</w:t>
            </w:r>
          </w:p>
        </w:tc>
      </w:tr>
    </w:tbl>
    <w:p w14:paraId="03351672" w14:textId="77777777" w:rsidR="007027C8" w:rsidRPr="007027C8" w:rsidRDefault="007027C8" w:rsidP="007027C8">
      <w:pPr>
        <w:widowControl w:val="0"/>
        <w:spacing w:line="336" w:lineRule="auto"/>
        <w:jc w:val="center"/>
        <w:outlineLvl w:val="0"/>
        <w:rPr>
          <w:rFonts w:cs="Arial"/>
          <w:bCs/>
          <w:lang w:eastAsia="es-MX"/>
        </w:rPr>
      </w:pPr>
      <w:bookmarkStart w:id="7" w:name="_Toc63260983"/>
      <w:bookmarkStart w:id="8" w:name="_Toc63261466"/>
      <w:bookmarkStart w:id="9" w:name="_Toc68179758"/>
      <w:bookmarkStart w:id="10" w:name="_Toc72770442"/>
      <w:r w:rsidRPr="007027C8">
        <w:rPr>
          <w:rFonts w:cs="Arial"/>
          <w:b/>
          <w:bCs/>
          <w:lang w:eastAsia="es-MX"/>
        </w:rPr>
        <w:t>I. ANTECEDENTES</w:t>
      </w:r>
      <w:bookmarkEnd w:id="7"/>
      <w:bookmarkEnd w:id="8"/>
      <w:bookmarkEnd w:id="9"/>
      <w:bookmarkEnd w:id="10"/>
    </w:p>
    <w:p w14:paraId="26AAD700" w14:textId="7DE542A4" w:rsidR="007027C8" w:rsidRPr="007027C8" w:rsidRDefault="007027C8" w:rsidP="00F10B47">
      <w:pPr>
        <w:widowControl w:val="0"/>
        <w:spacing w:line="312" w:lineRule="auto"/>
        <w:rPr>
          <w:rFonts w:cs="Arial"/>
          <w:bCs/>
          <w:lang w:eastAsia="es-MX"/>
        </w:rPr>
      </w:pPr>
      <w:bookmarkStart w:id="11" w:name="_Toc483331436"/>
      <w:bookmarkStart w:id="12" w:name="_Toc500932786"/>
      <w:r w:rsidRPr="007027C8">
        <w:rPr>
          <w:rFonts w:cs="Arial"/>
          <w:b/>
          <w:lang w:eastAsia="es-MX"/>
        </w:rPr>
        <w:t>1.Convocatoria</w:t>
      </w:r>
      <w:r w:rsidRPr="007027C8">
        <w:rPr>
          <w:rFonts w:cs="Arial"/>
          <w:bCs/>
          <w:lang w:eastAsia="es-MX"/>
        </w:rPr>
        <w:t>. El siete de septiembre de dos mil veinte, el OPLE emitió la convocatoria para elegir, entre otros, a los integrantes del ayuntamiento de Salamanca, Guanajuato durante el proceso electoral local 2020-2021</w:t>
      </w:r>
      <w:r w:rsidRPr="007027C8">
        <w:rPr>
          <w:rFonts w:cs="Arial"/>
          <w:bCs/>
          <w:vertAlign w:val="superscript"/>
          <w:lang w:eastAsia="es-MX"/>
        </w:rPr>
        <w:footnoteReference w:id="3"/>
      </w:r>
      <w:r w:rsidRPr="007027C8">
        <w:rPr>
          <w:rFonts w:cs="Arial"/>
          <w:bCs/>
          <w:lang w:eastAsia="es-MX"/>
        </w:rPr>
        <w:t>.</w:t>
      </w:r>
    </w:p>
    <w:p w14:paraId="0306EEB4" w14:textId="77777777" w:rsidR="007027C8" w:rsidRPr="007027C8" w:rsidRDefault="007027C8" w:rsidP="00F10B47">
      <w:pPr>
        <w:widowControl w:val="0"/>
        <w:spacing w:line="312" w:lineRule="auto"/>
        <w:rPr>
          <w:rFonts w:cs="Arial"/>
          <w:bCs/>
          <w:lang w:eastAsia="es-MX"/>
        </w:rPr>
      </w:pPr>
      <w:r w:rsidRPr="007027C8">
        <w:rPr>
          <w:rFonts w:cs="Arial"/>
          <w:b/>
          <w:lang w:eastAsia="es-MX"/>
        </w:rPr>
        <w:t>2. Registro de aspirantes</w:t>
      </w:r>
      <w:r w:rsidRPr="007027C8">
        <w:rPr>
          <w:rFonts w:cs="Arial"/>
          <w:bCs/>
          <w:lang w:eastAsia="es-MX"/>
        </w:rPr>
        <w:t>. El cinco de diciembre siguiente, el OPLE expidió a favor de los recurrentes la constancia como aspirantes a candidaturas independientes a cargos del ayuntamiento</w:t>
      </w:r>
      <w:r w:rsidRPr="007027C8">
        <w:rPr>
          <w:rFonts w:cs="Arial"/>
          <w:bCs/>
          <w:vertAlign w:val="superscript"/>
          <w:lang w:eastAsia="es-MX"/>
        </w:rPr>
        <w:footnoteReference w:id="4"/>
      </w:r>
      <w:r w:rsidRPr="007027C8">
        <w:rPr>
          <w:rFonts w:cs="Arial"/>
          <w:bCs/>
          <w:lang w:eastAsia="es-MX"/>
        </w:rPr>
        <w:t>.</w:t>
      </w:r>
    </w:p>
    <w:p w14:paraId="3C000F63" w14:textId="77777777" w:rsidR="007027C8" w:rsidRPr="007027C8" w:rsidRDefault="007027C8" w:rsidP="00F10B47">
      <w:pPr>
        <w:widowControl w:val="0"/>
        <w:spacing w:line="312" w:lineRule="auto"/>
        <w:rPr>
          <w:rFonts w:cs="Arial"/>
          <w:bCs/>
          <w:lang w:eastAsia="es-MX"/>
        </w:rPr>
      </w:pPr>
      <w:r w:rsidRPr="007027C8">
        <w:rPr>
          <w:rFonts w:cs="Arial"/>
          <w:b/>
          <w:lang w:eastAsia="es-MX"/>
        </w:rPr>
        <w:t>3. Acreditación de apoyo</w:t>
      </w:r>
      <w:r w:rsidRPr="007027C8">
        <w:rPr>
          <w:rFonts w:cs="Arial"/>
          <w:bCs/>
          <w:lang w:eastAsia="es-MX"/>
        </w:rPr>
        <w:t>. El siete de marzo</w:t>
      </w:r>
      <w:r w:rsidRPr="007027C8">
        <w:rPr>
          <w:rFonts w:cs="Arial"/>
          <w:bCs/>
          <w:vertAlign w:val="superscript"/>
          <w:lang w:eastAsia="es-MX"/>
        </w:rPr>
        <w:footnoteReference w:id="5"/>
      </w:r>
      <w:r w:rsidRPr="007027C8">
        <w:rPr>
          <w:rFonts w:cs="Arial"/>
          <w:bCs/>
          <w:lang w:eastAsia="es-MX"/>
        </w:rPr>
        <w:t>, el OPLE determinó que los recurrentes obtuvieron el apoyo ciudadano para participar en el actual proceso electoral</w:t>
      </w:r>
      <w:r w:rsidRPr="007027C8">
        <w:rPr>
          <w:rFonts w:cs="Arial"/>
          <w:bCs/>
          <w:vertAlign w:val="superscript"/>
          <w:lang w:eastAsia="es-MX"/>
        </w:rPr>
        <w:footnoteReference w:id="6"/>
      </w:r>
      <w:r w:rsidRPr="007027C8">
        <w:rPr>
          <w:rFonts w:cs="Arial"/>
          <w:bCs/>
          <w:lang w:eastAsia="es-MX"/>
        </w:rPr>
        <w:t>.</w:t>
      </w:r>
    </w:p>
    <w:p w14:paraId="695B11F2" w14:textId="77777777" w:rsidR="007027C8" w:rsidRPr="007027C8" w:rsidRDefault="007027C8" w:rsidP="00F10B47">
      <w:pPr>
        <w:widowControl w:val="0"/>
        <w:spacing w:line="312" w:lineRule="auto"/>
        <w:rPr>
          <w:rFonts w:cs="Arial"/>
          <w:bCs/>
          <w:lang w:eastAsia="es-MX"/>
        </w:rPr>
      </w:pPr>
      <w:r w:rsidRPr="007027C8">
        <w:rPr>
          <w:rFonts w:cs="Arial"/>
          <w:b/>
          <w:lang w:eastAsia="es-MX"/>
        </w:rPr>
        <w:t>4. Lineamientos.</w:t>
      </w:r>
      <w:r w:rsidRPr="007027C8">
        <w:rPr>
          <w:rFonts w:cs="Arial"/>
          <w:bCs/>
          <w:lang w:eastAsia="es-MX"/>
        </w:rPr>
        <w:t xml:space="preserve"> El nueve de marzo, el OPLE aprobó los Lineamientos aplicables a candidaturas independientes</w:t>
      </w:r>
      <w:r w:rsidRPr="007027C8">
        <w:rPr>
          <w:rFonts w:cs="Arial"/>
          <w:bCs/>
          <w:vertAlign w:val="superscript"/>
          <w:lang w:eastAsia="es-MX"/>
        </w:rPr>
        <w:footnoteReference w:id="7"/>
      </w:r>
      <w:r w:rsidRPr="007027C8">
        <w:rPr>
          <w:rFonts w:cs="Arial"/>
          <w:bCs/>
          <w:lang w:eastAsia="es-MX"/>
        </w:rPr>
        <w:t>.</w:t>
      </w:r>
    </w:p>
    <w:p w14:paraId="65CC5E9B" w14:textId="77777777" w:rsidR="007027C8" w:rsidRPr="007027C8" w:rsidRDefault="007027C8" w:rsidP="00F10B47">
      <w:pPr>
        <w:widowControl w:val="0"/>
        <w:spacing w:line="312" w:lineRule="auto"/>
        <w:rPr>
          <w:rFonts w:cs="Arial"/>
          <w:bCs/>
          <w:lang w:eastAsia="es-MX"/>
        </w:rPr>
      </w:pPr>
      <w:r w:rsidRPr="007027C8">
        <w:rPr>
          <w:rFonts w:cs="Arial"/>
          <w:b/>
          <w:lang w:eastAsia="es-MX"/>
        </w:rPr>
        <w:t>5. Solicitud de sustitución</w:t>
      </w:r>
      <w:r w:rsidRPr="007027C8">
        <w:rPr>
          <w:rFonts w:cs="Arial"/>
          <w:bCs/>
          <w:lang w:eastAsia="es-MX"/>
        </w:rPr>
        <w:t>. El veinticuatro de marzo, los recurrentes solicitaron ante OPLE, entre otras cuestiones, la sustitución de Carlos Alberto Córdova Prieto, aspirante a candidato a la regiduría propietaria 2, y se registrara en su lugar a José Cabrera Sixto.</w:t>
      </w:r>
    </w:p>
    <w:p w14:paraId="6C565D83" w14:textId="77777777" w:rsidR="007027C8" w:rsidRPr="007027C8" w:rsidRDefault="007027C8" w:rsidP="00F10B47">
      <w:pPr>
        <w:widowControl w:val="0"/>
        <w:spacing w:line="312" w:lineRule="auto"/>
        <w:rPr>
          <w:rFonts w:cs="Arial"/>
          <w:bCs/>
          <w:lang w:eastAsia="es-MX"/>
        </w:rPr>
      </w:pPr>
      <w:r w:rsidRPr="007027C8">
        <w:rPr>
          <w:rFonts w:cs="Arial"/>
          <w:b/>
          <w:lang w:eastAsia="es-MX"/>
        </w:rPr>
        <w:t>6. Solicitud de registro de candidaturas</w:t>
      </w:r>
      <w:r w:rsidRPr="007027C8">
        <w:rPr>
          <w:rFonts w:cs="Arial"/>
          <w:bCs/>
          <w:lang w:eastAsia="es-MX"/>
        </w:rPr>
        <w:t xml:space="preserve">. El veintiséis de marzo, los recurrentes solicitaron el registro de la planilla de candidaturas </w:t>
      </w:r>
      <w:r w:rsidRPr="007027C8">
        <w:rPr>
          <w:rFonts w:cs="Arial"/>
          <w:bCs/>
          <w:lang w:eastAsia="es-MX"/>
        </w:rPr>
        <w:lastRenderedPageBreak/>
        <w:t>independientes para integrar el ayuntamiento.</w:t>
      </w:r>
    </w:p>
    <w:p w14:paraId="484E586F" w14:textId="77777777" w:rsidR="007027C8" w:rsidRPr="007027C8" w:rsidRDefault="007027C8" w:rsidP="00F10B47">
      <w:pPr>
        <w:widowControl w:val="0"/>
        <w:spacing w:line="312" w:lineRule="auto"/>
        <w:rPr>
          <w:rFonts w:cs="Arial"/>
          <w:bCs/>
          <w:lang w:eastAsia="es-MX"/>
        </w:rPr>
      </w:pPr>
      <w:r w:rsidRPr="007027C8">
        <w:rPr>
          <w:rFonts w:cs="Arial"/>
          <w:b/>
          <w:lang w:eastAsia="es-MX"/>
        </w:rPr>
        <w:t>7. Comparecencia</w:t>
      </w:r>
      <w:r w:rsidRPr="007027C8">
        <w:rPr>
          <w:rFonts w:cs="Arial"/>
          <w:bCs/>
          <w:lang w:eastAsia="es-MX"/>
        </w:rPr>
        <w:t>. El veintiocho de marzo, Carlos Alberto Córdova Prieto presentó un escrito ante el OPLE, mediante el cual manifestó que no era su deseo renunciar a su candidatura.</w:t>
      </w:r>
    </w:p>
    <w:p w14:paraId="00A37F42" w14:textId="77777777" w:rsidR="007027C8" w:rsidRPr="007027C8" w:rsidRDefault="007027C8" w:rsidP="00F10B47">
      <w:pPr>
        <w:widowControl w:val="0"/>
        <w:spacing w:line="312" w:lineRule="auto"/>
        <w:rPr>
          <w:rFonts w:cs="Arial"/>
          <w:bCs/>
          <w:lang w:eastAsia="es-MX"/>
        </w:rPr>
      </w:pPr>
      <w:r w:rsidRPr="007027C8">
        <w:rPr>
          <w:rFonts w:cs="Arial"/>
          <w:b/>
          <w:lang w:eastAsia="es-MX"/>
        </w:rPr>
        <w:t>8. Negativa de registro</w:t>
      </w:r>
      <w:r w:rsidRPr="007027C8">
        <w:rPr>
          <w:rFonts w:cs="Arial"/>
          <w:bCs/>
          <w:lang w:eastAsia="es-MX"/>
        </w:rPr>
        <w:t>. El cuatro de abril, el OPLE negó el registro de la planilla Salamanca Digna A.C., porque no cumplieron con todos los requisitos y declaró la inelegibilidad de Carlos Alberto Córdova Prieto porque había sido integrante del Consejo Municipal durante el proceso electoral 2017-2018</w:t>
      </w:r>
      <w:r w:rsidRPr="007027C8">
        <w:rPr>
          <w:rFonts w:cs="Arial"/>
          <w:bCs/>
          <w:vertAlign w:val="superscript"/>
          <w:lang w:eastAsia="es-MX"/>
        </w:rPr>
        <w:footnoteReference w:id="8"/>
      </w:r>
      <w:r w:rsidRPr="007027C8">
        <w:rPr>
          <w:rFonts w:cs="Arial"/>
          <w:bCs/>
          <w:lang w:eastAsia="es-MX"/>
        </w:rPr>
        <w:t>.</w:t>
      </w:r>
    </w:p>
    <w:p w14:paraId="1B55ADCB" w14:textId="77777777" w:rsidR="007027C8" w:rsidRPr="007027C8" w:rsidRDefault="007027C8" w:rsidP="00F10B47">
      <w:pPr>
        <w:widowControl w:val="0"/>
        <w:spacing w:line="312" w:lineRule="auto"/>
        <w:rPr>
          <w:rFonts w:cs="Arial"/>
          <w:bCs/>
          <w:lang w:eastAsia="es-MX"/>
        </w:rPr>
      </w:pPr>
      <w:r w:rsidRPr="007027C8">
        <w:rPr>
          <w:rFonts w:cs="Arial"/>
          <w:b/>
          <w:lang w:eastAsia="es-MX"/>
        </w:rPr>
        <w:t>9. Recursos locales</w:t>
      </w:r>
      <w:r w:rsidRPr="007027C8">
        <w:rPr>
          <w:rFonts w:cs="Arial"/>
          <w:bCs/>
          <w:lang w:eastAsia="es-MX"/>
        </w:rPr>
        <w:t>. El nueve y doce de abril, los recurrentes y Carlos Alberto Córdova Prieto, respectivamente, se inconformaron por la determinación anterior ante el Tribunal local.</w:t>
      </w:r>
    </w:p>
    <w:p w14:paraId="40F8FBAC" w14:textId="77777777" w:rsidR="007027C8" w:rsidRPr="007027C8" w:rsidRDefault="007027C8" w:rsidP="00F10B47">
      <w:pPr>
        <w:widowControl w:val="0"/>
        <w:spacing w:line="312" w:lineRule="auto"/>
        <w:rPr>
          <w:rFonts w:cs="Arial"/>
          <w:bCs/>
          <w:lang w:eastAsia="es-MX"/>
        </w:rPr>
      </w:pPr>
      <w:r w:rsidRPr="007027C8">
        <w:rPr>
          <w:rFonts w:cs="Arial"/>
          <w:b/>
          <w:lang w:eastAsia="es-MX"/>
        </w:rPr>
        <w:t>10. Resolución local</w:t>
      </w:r>
      <w:r w:rsidRPr="007027C8">
        <w:rPr>
          <w:rFonts w:cs="Arial"/>
          <w:bCs/>
          <w:lang w:eastAsia="es-MX"/>
        </w:rPr>
        <w:t xml:space="preserve">. El veintidós de abril, el Tribunal Local revocó el acuerdo impugnado y dejó sin efectos la inelegibilidad de Carlos Alberto Córdova Prieto como candidato a regidor propietario, porque </w:t>
      </w:r>
      <w:r w:rsidRPr="007027C8">
        <w:t>conforme el artículo 30 de los Lineamientos, la sustitución de aspirantes a candidaturas independientes a integrar ayuntamientos sólo procede por fallecimiento, inelegibilidad, incapacidad o renuncia</w:t>
      </w:r>
    </w:p>
    <w:p w14:paraId="2ADBB9EF" w14:textId="77777777" w:rsidR="007027C8" w:rsidRPr="007027C8" w:rsidRDefault="007027C8" w:rsidP="00F10B47">
      <w:pPr>
        <w:widowControl w:val="0"/>
        <w:spacing w:line="312" w:lineRule="auto"/>
        <w:rPr>
          <w:rFonts w:cs="Arial"/>
          <w:bCs/>
          <w:lang w:eastAsia="es-MX"/>
        </w:rPr>
      </w:pPr>
      <w:r w:rsidRPr="007027C8">
        <w:rPr>
          <w:rFonts w:cs="Arial"/>
          <w:bCs/>
          <w:lang w:eastAsia="es-MX"/>
        </w:rPr>
        <w:t xml:space="preserve">En consecuencia, el referido Tribunal, ordenó al OPLE emitir un nuevo acuerdo, en el cual se concediera el registro solicitado. </w:t>
      </w:r>
    </w:p>
    <w:p w14:paraId="4A78C9B5" w14:textId="77777777" w:rsidR="007027C8" w:rsidRPr="007027C8" w:rsidRDefault="007027C8" w:rsidP="00F10B47">
      <w:pPr>
        <w:widowControl w:val="0"/>
        <w:spacing w:line="312" w:lineRule="auto"/>
        <w:rPr>
          <w:rFonts w:cs="Arial"/>
          <w:bCs/>
          <w:lang w:eastAsia="es-MX"/>
        </w:rPr>
      </w:pPr>
      <w:r w:rsidRPr="007027C8">
        <w:rPr>
          <w:rFonts w:cs="Arial"/>
          <w:b/>
          <w:lang w:eastAsia="es-MX"/>
        </w:rPr>
        <w:t>11. Juicio ciudadano</w:t>
      </w:r>
      <w:r w:rsidRPr="007027C8">
        <w:rPr>
          <w:rFonts w:cs="Arial"/>
          <w:bCs/>
          <w:lang w:eastAsia="es-MX"/>
        </w:rPr>
        <w:t>. El veintisiete de abril, los recurrentes presentaron demanda de juicio ciudadano, a fin de controvertir la sentencia del Tribunal Local.</w:t>
      </w:r>
    </w:p>
    <w:p w14:paraId="16DF1453" w14:textId="77777777" w:rsidR="007027C8" w:rsidRPr="007027C8" w:rsidRDefault="007027C8" w:rsidP="00F10B47">
      <w:pPr>
        <w:widowControl w:val="0"/>
        <w:spacing w:line="312" w:lineRule="auto"/>
        <w:rPr>
          <w:rFonts w:cs="Arial"/>
          <w:bCs/>
          <w:lang w:eastAsia="es-MX"/>
        </w:rPr>
      </w:pPr>
      <w:r w:rsidRPr="007027C8">
        <w:rPr>
          <w:rFonts w:cs="Arial"/>
          <w:b/>
          <w:lang w:eastAsia="es-MX"/>
        </w:rPr>
        <w:t xml:space="preserve">12. Sentencia impugnada. </w:t>
      </w:r>
      <w:r w:rsidRPr="007027C8">
        <w:rPr>
          <w:rFonts w:cs="Arial"/>
          <w:bCs/>
          <w:lang w:eastAsia="es-MX"/>
        </w:rPr>
        <w:t>El diecinueve de mayo, Sala Monterrey resolvió confirmar la sentencia dictada por el Tribunal local.</w:t>
      </w:r>
    </w:p>
    <w:p w14:paraId="071B7964" w14:textId="77777777" w:rsidR="007027C8" w:rsidRPr="007027C8" w:rsidRDefault="007027C8" w:rsidP="00F10B47">
      <w:pPr>
        <w:widowControl w:val="0"/>
        <w:spacing w:line="312" w:lineRule="auto"/>
        <w:rPr>
          <w:rFonts w:cs="Arial"/>
          <w:b/>
          <w:lang w:eastAsia="es-MX"/>
        </w:rPr>
      </w:pPr>
      <w:r w:rsidRPr="007027C8">
        <w:rPr>
          <w:rFonts w:cs="Arial"/>
          <w:b/>
          <w:lang w:eastAsia="es-MX"/>
        </w:rPr>
        <w:t>13. Recurso de reconsideración.</w:t>
      </w:r>
    </w:p>
    <w:p w14:paraId="440C9E83" w14:textId="77777777" w:rsidR="007027C8" w:rsidRPr="007027C8" w:rsidRDefault="007027C8" w:rsidP="00F10B47">
      <w:pPr>
        <w:widowControl w:val="0"/>
        <w:spacing w:line="312" w:lineRule="auto"/>
        <w:rPr>
          <w:rFonts w:cs="Arial"/>
          <w:lang w:eastAsia="es-MX"/>
        </w:rPr>
      </w:pPr>
      <w:r w:rsidRPr="007027C8">
        <w:rPr>
          <w:rFonts w:cs="Arial"/>
          <w:b/>
          <w:lang w:eastAsia="es-MX"/>
        </w:rPr>
        <w:t>a) Demanda.</w:t>
      </w:r>
      <w:r w:rsidRPr="007027C8">
        <w:rPr>
          <w:rFonts w:cs="Arial"/>
          <w:lang w:eastAsia="es-MX"/>
        </w:rPr>
        <w:t xml:space="preserve"> El veintitrés de mayo, los recurrentes interpusieron demanda de recurso de reconsideración directamente ante esta Sala </w:t>
      </w:r>
      <w:r w:rsidRPr="007027C8">
        <w:rPr>
          <w:rFonts w:cs="Arial"/>
          <w:lang w:eastAsia="es-MX"/>
        </w:rPr>
        <w:lastRenderedPageBreak/>
        <w:t>Superior.</w:t>
      </w:r>
    </w:p>
    <w:p w14:paraId="3329CF5F" w14:textId="77777777" w:rsidR="007027C8" w:rsidRPr="007027C8" w:rsidRDefault="007027C8" w:rsidP="00F10B47">
      <w:pPr>
        <w:widowControl w:val="0"/>
        <w:spacing w:line="312" w:lineRule="auto"/>
        <w:rPr>
          <w:rFonts w:eastAsia="Calibri" w:cs="Arial"/>
        </w:rPr>
      </w:pPr>
      <w:r w:rsidRPr="007027C8">
        <w:rPr>
          <w:rFonts w:eastAsia="Calibri" w:cs="Arial"/>
          <w:b/>
        </w:rPr>
        <w:t xml:space="preserve">b) Trámite. </w:t>
      </w:r>
      <w:r w:rsidRPr="007027C8">
        <w:rPr>
          <w:rFonts w:eastAsia="Calibri" w:cs="Arial"/>
        </w:rPr>
        <w:t xml:space="preserve">El Magistrado Presidente, mediante el respectivo acuerdo, ordenó integrar el expediente </w:t>
      </w:r>
      <w:r w:rsidRPr="007027C8">
        <w:rPr>
          <w:rFonts w:eastAsia="Calibri" w:cs="Arial"/>
          <w:b/>
          <w:bCs/>
        </w:rPr>
        <w:t xml:space="preserve">SUP-REC-567/2021 </w:t>
      </w:r>
      <w:r w:rsidRPr="007027C8">
        <w:rPr>
          <w:rFonts w:eastAsia="Calibri" w:cs="Arial"/>
        </w:rPr>
        <w:t>y turnarlo a la ponencia del Magistrado Felipe de la Mata Pizaña.</w:t>
      </w:r>
    </w:p>
    <w:p w14:paraId="660549CC" w14:textId="77777777" w:rsidR="007027C8" w:rsidRPr="007027C8" w:rsidRDefault="007027C8" w:rsidP="00352063">
      <w:pPr>
        <w:widowControl w:val="0"/>
        <w:jc w:val="center"/>
        <w:outlineLvl w:val="0"/>
        <w:rPr>
          <w:rFonts w:cs="Arial"/>
          <w:bCs/>
          <w:lang w:eastAsia="es-MX"/>
        </w:rPr>
      </w:pPr>
      <w:bookmarkStart w:id="13" w:name="_Toc63260984"/>
      <w:bookmarkStart w:id="14" w:name="_Toc63261467"/>
      <w:bookmarkStart w:id="15" w:name="_Toc68179759"/>
      <w:bookmarkStart w:id="16" w:name="_Toc72770443"/>
      <w:r w:rsidRPr="007027C8">
        <w:rPr>
          <w:rFonts w:cs="Arial"/>
          <w:b/>
          <w:bCs/>
          <w:lang w:eastAsia="es-MX"/>
        </w:rPr>
        <w:t>II. COMPETENCIA</w:t>
      </w:r>
      <w:bookmarkEnd w:id="11"/>
      <w:bookmarkEnd w:id="12"/>
      <w:bookmarkEnd w:id="13"/>
      <w:bookmarkEnd w:id="14"/>
      <w:bookmarkEnd w:id="15"/>
      <w:bookmarkEnd w:id="16"/>
    </w:p>
    <w:p w14:paraId="73ED1297" w14:textId="77777777" w:rsidR="007027C8" w:rsidRPr="007027C8" w:rsidRDefault="007027C8" w:rsidP="00352063">
      <w:pPr>
        <w:widowControl w:val="0"/>
        <w:rPr>
          <w:rFonts w:cs="Arial"/>
          <w:lang w:eastAsia="es-MX"/>
        </w:rPr>
      </w:pPr>
      <w:r w:rsidRPr="007027C8">
        <w:rPr>
          <w:rFonts w:cs="Arial"/>
          <w:lang w:eastAsia="es-MX"/>
        </w:rPr>
        <w:t xml:space="preserve">Esta Sala Superior </w:t>
      </w:r>
      <w:r w:rsidRPr="007027C8">
        <w:rPr>
          <w:rFonts w:cs="Arial"/>
          <w:bCs/>
          <w:lang w:eastAsia="es-MX"/>
        </w:rPr>
        <w:t>es competente</w:t>
      </w:r>
      <w:r w:rsidRPr="007027C8">
        <w:rPr>
          <w:rFonts w:cs="Arial"/>
          <w:lang w:eastAsia="es-MX"/>
        </w:rPr>
        <w:t xml:space="preserve"> para conocer el medio de impugnación, porque se trata de un recurso de reconsideración, cuya facultad para resolverlo le corresponde en forma exclusiva.</w:t>
      </w:r>
      <w:r w:rsidRPr="007027C8">
        <w:rPr>
          <w:rFonts w:cs="Arial"/>
          <w:vertAlign w:val="superscript"/>
          <w:lang w:eastAsia="es-MX"/>
        </w:rPr>
        <w:footnoteReference w:id="9"/>
      </w:r>
    </w:p>
    <w:p w14:paraId="68EF11E1" w14:textId="77777777" w:rsidR="007027C8" w:rsidRPr="007027C8" w:rsidRDefault="007027C8" w:rsidP="00352063">
      <w:pPr>
        <w:keepNext/>
        <w:keepLines/>
        <w:jc w:val="center"/>
        <w:outlineLvl w:val="0"/>
        <w:rPr>
          <w:rFonts w:cs="Arial"/>
          <w:bCs/>
          <w:lang w:eastAsia="es-MX"/>
        </w:rPr>
      </w:pPr>
      <w:bookmarkStart w:id="17" w:name="_Toc44430011"/>
      <w:bookmarkStart w:id="18" w:name="_Toc44599500"/>
      <w:bookmarkStart w:id="19" w:name="_Toc72770444"/>
      <w:bookmarkStart w:id="20" w:name="_Toc521004023"/>
      <w:bookmarkStart w:id="21" w:name="_Toc496171375"/>
      <w:bookmarkEnd w:id="6"/>
      <w:r w:rsidRPr="007027C8">
        <w:rPr>
          <w:rFonts w:cs="Arial"/>
          <w:b/>
          <w:bCs/>
          <w:lang w:eastAsia="es-MX"/>
        </w:rPr>
        <w:t xml:space="preserve">III. </w:t>
      </w:r>
      <w:bookmarkEnd w:id="17"/>
      <w:bookmarkEnd w:id="18"/>
      <w:r w:rsidRPr="007027C8">
        <w:rPr>
          <w:rFonts w:cs="Arial"/>
          <w:b/>
          <w:bCs/>
          <w:lang w:eastAsia="es-MX"/>
        </w:rPr>
        <w:t>JUSTIFICACIÓN PARA RESOLVER EN SESIÓN NO PRESENCIAL</w:t>
      </w:r>
      <w:bookmarkEnd w:id="19"/>
    </w:p>
    <w:p w14:paraId="368DDBA6" w14:textId="77777777" w:rsidR="007027C8" w:rsidRPr="007027C8" w:rsidRDefault="007027C8" w:rsidP="00352063">
      <w:pPr>
        <w:rPr>
          <w:rFonts w:eastAsia="Calibri" w:cs="Arial"/>
          <w:bdr w:val="none" w:sz="0" w:space="0" w:color="auto" w:frame="1"/>
          <w:lang w:val="es-ES"/>
        </w:rPr>
      </w:pPr>
      <w:r w:rsidRPr="007027C8">
        <w:rPr>
          <w:rFonts w:eastAsia="Calibri" w:cs="Arial"/>
          <w:bdr w:val="none" w:sz="0" w:space="0" w:color="auto" w:frame="1"/>
          <w:lang w:val="es-ES"/>
        </w:rPr>
        <w:t>Esta Sala Superior emitió el acuerdo 8/2020</w:t>
      </w:r>
      <w:r w:rsidRPr="007027C8">
        <w:rPr>
          <w:rFonts w:eastAsia="Calibri" w:cs="Arial"/>
          <w:bdr w:val="none" w:sz="0" w:space="0" w:color="auto" w:frame="1"/>
          <w:vertAlign w:val="superscript"/>
          <w:lang w:val="es-ES"/>
        </w:rPr>
        <w:footnoteReference w:id="10"/>
      </w:r>
      <w:r w:rsidRPr="007027C8">
        <w:rPr>
          <w:rFonts w:eastAsia="Calibri" w:cs="Arial"/>
          <w:bdr w:val="none" w:sz="0" w:space="0" w:color="auto" w:frame="1"/>
          <w:lang w:val="es-ES"/>
        </w:rPr>
        <w:t xml:space="preserve"> en el cual, si bien reestableció la resolución de todos los medios de impugnación, en su punto de acuerdo segundo determinó que las sesiones continuarán realizándose por medio de videoconferencias, hasta que el Pleno de esta Sala Superior determine alguna cuestión distinta.</w:t>
      </w:r>
    </w:p>
    <w:p w14:paraId="7B305341" w14:textId="77777777" w:rsidR="007027C8" w:rsidRPr="007027C8" w:rsidRDefault="007027C8" w:rsidP="00352063">
      <w:pPr>
        <w:rPr>
          <w:rFonts w:eastAsia="Calibri" w:cs="Arial"/>
        </w:rPr>
      </w:pPr>
      <w:r w:rsidRPr="007027C8">
        <w:rPr>
          <w:rFonts w:eastAsia="Calibri" w:cs="Arial"/>
          <w:bdr w:val="none" w:sz="0" w:space="0" w:color="auto" w:frame="1"/>
          <w:lang w:val="es-ES"/>
        </w:rPr>
        <w:t>En ese sentido, se justifica la resolución de los recursos de reconsideración de manera no presencial.</w:t>
      </w:r>
    </w:p>
    <w:p w14:paraId="07F6F0A8" w14:textId="77777777" w:rsidR="007027C8" w:rsidRPr="007027C8" w:rsidRDefault="007027C8" w:rsidP="00352063">
      <w:pPr>
        <w:widowControl w:val="0"/>
        <w:jc w:val="center"/>
        <w:outlineLvl w:val="0"/>
        <w:rPr>
          <w:rFonts w:cs="Arial"/>
          <w:b/>
          <w:lang w:eastAsia="es-MX"/>
        </w:rPr>
      </w:pPr>
      <w:bookmarkStart w:id="22" w:name="_Toc72770445"/>
      <w:r w:rsidRPr="007027C8">
        <w:rPr>
          <w:rFonts w:cs="Arial"/>
          <w:b/>
          <w:lang w:val="it-IT" w:eastAsia="es-MX"/>
        </w:rPr>
        <w:t xml:space="preserve">IV. </w:t>
      </w:r>
      <w:bookmarkEnd w:id="20"/>
      <w:bookmarkEnd w:id="21"/>
      <w:r w:rsidRPr="007027C8">
        <w:rPr>
          <w:rFonts w:cs="Arial"/>
          <w:b/>
          <w:lang w:eastAsia="es-MX"/>
        </w:rPr>
        <w:t>IMPROCEDENCIA</w:t>
      </w:r>
      <w:bookmarkStart w:id="23" w:name="_Toc524370472"/>
      <w:bookmarkEnd w:id="22"/>
    </w:p>
    <w:p w14:paraId="277B233E" w14:textId="77777777" w:rsidR="007027C8" w:rsidRPr="007027C8" w:rsidRDefault="007027C8" w:rsidP="00352063">
      <w:pPr>
        <w:widowControl w:val="0"/>
        <w:outlineLvl w:val="0"/>
        <w:rPr>
          <w:rFonts w:eastAsia="Calibri" w:cs="Arial"/>
          <w:bCs/>
        </w:rPr>
      </w:pPr>
      <w:bookmarkStart w:id="24" w:name="_Toc72770446"/>
      <w:r w:rsidRPr="007027C8">
        <w:rPr>
          <w:rFonts w:eastAsia="Calibri" w:cs="Arial"/>
          <w:b/>
          <w:bCs/>
        </w:rPr>
        <w:t>1. Decisión</w:t>
      </w:r>
      <w:bookmarkEnd w:id="23"/>
      <w:bookmarkEnd w:id="24"/>
    </w:p>
    <w:p w14:paraId="3A03BC91" w14:textId="77777777" w:rsidR="007027C8" w:rsidRPr="007027C8" w:rsidRDefault="007027C8" w:rsidP="00352063">
      <w:pPr>
        <w:widowControl w:val="0"/>
        <w:rPr>
          <w:rFonts w:cs="Arial"/>
          <w:lang w:eastAsia="es-MX"/>
        </w:rPr>
      </w:pPr>
      <w:bookmarkStart w:id="25" w:name="_Hlk44663578"/>
      <w:r w:rsidRPr="007027C8">
        <w:rPr>
          <w:rFonts w:cs="Arial"/>
          <w:lang w:eastAsia="es-MX"/>
        </w:rPr>
        <w:t xml:space="preserve">Esta </w:t>
      </w:r>
      <w:r w:rsidRPr="007027C8">
        <w:rPr>
          <w:rFonts w:cs="Arial"/>
          <w:color w:val="000000"/>
          <w:lang w:eastAsia="es-MX"/>
        </w:rPr>
        <w:t xml:space="preserve">Sala Superior considera que, el recurso de reconsideración es improcedente, ya que en la sentencia reclamada </w:t>
      </w:r>
      <w:r w:rsidRPr="007027C8">
        <w:rPr>
          <w:rFonts w:cs="Arial"/>
          <w:lang w:eastAsia="es-MX"/>
        </w:rPr>
        <w:t>no se analizaron cuestiones de constitucionalidad y/o convencionalidad de alguna norma jurídica</w:t>
      </w:r>
      <w:bookmarkEnd w:id="25"/>
      <w:r w:rsidRPr="007027C8">
        <w:rPr>
          <w:rFonts w:cs="Arial"/>
          <w:color w:val="000000"/>
          <w:vertAlign w:val="superscript"/>
          <w:lang w:eastAsia="es-MX"/>
        </w:rPr>
        <w:footnoteReference w:id="11"/>
      </w:r>
      <w:r w:rsidRPr="007027C8">
        <w:rPr>
          <w:rFonts w:cs="Arial"/>
          <w:color w:val="000000"/>
          <w:lang w:eastAsia="es-MX"/>
        </w:rPr>
        <w:t>.</w:t>
      </w:r>
    </w:p>
    <w:p w14:paraId="3C65E59C" w14:textId="77777777" w:rsidR="007027C8" w:rsidRPr="007027C8" w:rsidRDefault="007027C8" w:rsidP="00352063">
      <w:pPr>
        <w:widowControl w:val="0"/>
        <w:outlineLvl w:val="0"/>
        <w:rPr>
          <w:rFonts w:eastAsia="Calibri" w:cs="Arial"/>
          <w:bCs/>
        </w:rPr>
      </w:pPr>
      <w:bookmarkStart w:id="26" w:name="_Toc72770447"/>
      <w:bookmarkStart w:id="27" w:name="_Toc496171377"/>
      <w:bookmarkStart w:id="28" w:name="_Toc518147569"/>
      <w:r w:rsidRPr="007027C8">
        <w:rPr>
          <w:rFonts w:eastAsia="Calibri" w:cs="Arial"/>
          <w:b/>
          <w:bCs/>
        </w:rPr>
        <w:lastRenderedPageBreak/>
        <w:t>2. Marco jurídico</w:t>
      </w:r>
      <w:bookmarkEnd w:id="26"/>
    </w:p>
    <w:p w14:paraId="2C2670D5" w14:textId="77777777" w:rsidR="007027C8" w:rsidRPr="007027C8" w:rsidRDefault="007027C8" w:rsidP="00352063">
      <w:pPr>
        <w:rPr>
          <w:rFonts w:cs="Arial"/>
          <w:lang w:eastAsia="es-MX"/>
        </w:rPr>
      </w:pPr>
      <w:r w:rsidRPr="007027C8">
        <w:rPr>
          <w:rFonts w:cs="Arial"/>
          <w:lang w:eastAsia="es-MX"/>
        </w:rPr>
        <w:t>La normativa prevé desechar las demandas cuando el recurso o juicio de que se trate sea notoriamente improcedente</w:t>
      </w:r>
      <w:r w:rsidRPr="007027C8">
        <w:rPr>
          <w:rFonts w:cs="Arial"/>
          <w:vertAlign w:val="superscript"/>
          <w:lang w:eastAsia="es-MX"/>
        </w:rPr>
        <w:footnoteReference w:id="12"/>
      </w:r>
      <w:r w:rsidRPr="007027C8">
        <w:rPr>
          <w:rFonts w:cs="Arial"/>
          <w:lang w:eastAsia="es-MX"/>
        </w:rPr>
        <w:t xml:space="preserve">. </w:t>
      </w:r>
    </w:p>
    <w:p w14:paraId="59C36914" w14:textId="77777777" w:rsidR="007027C8" w:rsidRPr="007027C8" w:rsidRDefault="007027C8" w:rsidP="00352063">
      <w:pPr>
        <w:rPr>
          <w:rFonts w:cs="Arial"/>
          <w:lang w:eastAsia="es-MX"/>
        </w:rPr>
      </w:pPr>
      <w:r w:rsidRPr="007027C8">
        <w:rPr>
          <w:rFonts w:cs="Arial"/>
          <w:lang w:eastAsia="es-MX"/>
        </w:rPr>
        <w:t>Por otro lado, se establece que las sentencias dictadas por las Salas Regionales del Tribunal Electoral son definitivas e inatacables y adquieren la calidad de cosa juzgada, a excepción de aquellas que se puedan controvertir mediante el presente recurso</w:t>
      </w:r>
      <w:r w:rsidRPr="007027C8">
        <w:rPr>
          <w:rFonts w:cs="Arial"/>
          <w:vertAlign w:val="superscript"/>
          <w:lang w:eastAsia="es-MX"/>
        </w:rPr>
        <w:footnoteReference w:id="13"/>
      </w:r>
      <w:r w:rsidRPr="007027C8">
        <w:rPr>
          <w:rFonts w:cs="Arial"/>
          <w:lang w:eastAsia="es-MX"/>
        </w:rPr>
        <w:t>.</w:t>
      </w:r>
    </w:p>
    <w:p w14:paraId="38A30BF8" w14:textId="77777777" w:rsidR="007027C8" w:rsidRPr="007027C8" w:rsidRDefault="007027C8" w:rsidP="00352063">
      <w:pPr>
        <w:spacing w:line="336" w:lineRule="auto"/>
        <w:rPr>
          <w:rFonts w:cs="Arial"/>
          <w:lang w:eastAsia="es-MX"/>
        </w:rPr>
      </w:pPr>
      <w:r w:rsidRPr="007027C8">
        <w:rPr>
          <w:rFonts w:cs="Arial"/>
          <w:lang w:eastAsia="es-MX"/>
        </w:rPr>
        <w:t>Por su parte, el recurso procede para impugnar las sentencias de fondo</w:t>
      </w:r>
      <w:r w:rsidRPr="007027C8">
        <w:rPr>
          <w:rFonts w:cs="Arial"/>
          <w:vertAlign w:val="superscript"/>
          <w:lang w:eastAsia="es-MX"/>
        </w:rPr>
        <w:footnoteReference w:id="14"/>
      </w:r>
      <w:r w:rsidRPr="007027C8">
        <w:rPr>
          <w:rFonts w:cs="Arial"/>
          <w:lang w:eastAsia="es-MX"/>
        </w:rPr>
        <w:t xml:space="preserve"> dictadas por las Salas Regionales en los casos siguientes: </w:t>
      </w:r>
    </w:p>
    <w:p w14:paraId="620EEB8E" w14:textId="77777777" w:rsidR="007027C8" w:rsidRPr="007027C8" w:rsidRDefault="007027C8" w:rsidP="00352063">
      <w:pPr>
        <w:spacing w:line="336" w:lineRule="auto"/>
        <w:rPr>
          <w:rFonts w:cs="Arial"/>
          <w:lang w:eastAsia="es-MX"/>
        </w:rPr>
      </w:pPr>
      <w:r w:rsidRPr="007027C8">
        <w:rPr>
          <w:rFonts w:cs="Arial"/>
          <w:b/>
          <w:lang w:eastAsia="es-MX"/>
        </w:rPr>
        <w:t>A.</w:t>
      </w:r>
      <w:r w:rsidRPr="007027C8">
        <w:rPr>
          <w:rFonts w:cs="Arial"/>
          <w:lang w:eastAsia="es-MX"/>
        </w:rPr>
        <w:t xml:space="preserve"> En los juicios de inconformidad promovidos para impugnar los resultados de las elecciones de diputados federales y senadores.</w:t>
      </w:r>
    </w:p>
    <w:p w14:paraId="716F84D8" w14:textId="77777777" w:rsidR="007027C8" w:rsidRPr="007027C8" w:rsidRDefault="007027C8" w:rsidP="00352063">
      <w:pPr>
        <w:spacing w:line="336" w:lineRule="auto"/>
        <w:rPr>
          <w:rFonts w:cs="Arial"/>
          <w:lang w:eastAsia="es-MX"/>
        </w:rPr>
      </w:pPr>
      <w:r w:rsidRPr="007027C8">
        <w:rPr>
          <w:rFonts w:cs="Arial"/>
          <w:b/>
          <w:lang w:eastAsia="es-MX"/>
        </w:rPr>
        <w:t>B.</w:t>
      </w:r>
      <w:r w:rsidRPr="007027C8">
        <w:rPr>
          <w:rFonts w:cs="Arial"/>
          <w:lang w:eastAsia="es-MX"/>
        </w:rPr>
        <w:t xml:space="preserve"> En los demás juicios o recursos, cuando se determine la inaplicación de una norma por considerarla contraria a la Constitución.</w:t>
      </w:r>
    </w:p>
    <w:p w14:paraId="5E483FA3" w14:textId="77777777" w:rsidR="007027C8" w:rsidRPr="007027C8" w:rsidRDefault="007027C8" w:rsidP="00352063">
      <w:pPr>
        <w:spacing w:line="336" w:lineRule="auto"/>
        <w:rPr>
          <w:rFonts w:cs="Arial"/>
          <w:lang w:eastAsia="es-MX"/>
        </w:rPr>
      </w:pPr>
      <w:r w:rsidRPr="007027C8">
        <w:rPr>
          <w:rFonts w:cs="Arial"/>
          <w:lang w:eastAsia="es-MX"/>
        </w:rPr>
        <w:t xml:space="preserve">Asimismo, se ha ampliado la procedencia de la reconsideración, cuando: </w:t>
      </w:r>
    </w:p>
    <w:p w14:paraId="14BE4315" w14:textId="77777777" w:rsidR="007027C8" w:rsidRPr="007027C8" w:rsidRDefault="007027C8" w:rsidP="00352063">
      <w:pPr>
        <w:spacing w:line="336" w:lineRule="auto"/>
        <w:rPr>
          <w:rFonts w:cs="Arial"/>
          <w:lang w:eastAsia="es-MX"/>
        </w:rPr>
      </w:pPr>
      <w:r w:rsidRPr="007027C8">
        <w:rPr>
          <w:rFonts w:cs="Arial"/>
          <w:lang w:eastAsia="es-MX"/>
        </w:rPr>
        <w:t>-Expresa o implícitamente se inapliquen leyes electorales,</w:t>
      </w:r>
      <w:r w:rsidRPr="007027C8">
        <w:rPr>
          <w:rFonts w:cs="Arial"/>
          <w:vertAlign w:val="superscript"/>
          <w:lang w:eastAsia="es-MX"/>
        </w:rPr>
        <w:footnoteReference w:id="15"/>
      </w:r>
      <w:r w:rsidRPr="007027C8">
        <w:rPr>
          <w:rFonts w:cs="Arial"/>
          <w:lang w:eastAsia="es-MX"/>
        </w:rPr>
        <w:t xml:space="preserve"> normas partidistas</w:t>
      </w:r>
      <w:r w:rsidRPr="007027C8">
        <w:rPr>
          <w:rFonts w:cs="Arial"/>
          <w:vertAlign w:val="superscript"/>
          <w:lang w:eastAsia="es-MX"/>
        </w:rPr>
        <w:footnoteReference w:id="16"/>
      </w:r>
      <w:r w:rsidRPr="007027C8">
        <w:rPr>
          <w:rFonts w:cs="Arial"/>
          <w:lang w:eastAsia="es-MX"/>
        </w:rPr>
        <w:t xml:space="preserve"> o consuetudinarias de carácter electoral</w:t>
      </w:r>
      <w:r w:rsidRPr="007027C8">
        <w:rPr>
          <w:rFonts w:cs="Arial"/>
          <w:vertAlign w:val="superscript"/>
          <w:lang w:eastAsia="es-MX"/>
        </w:rPr>
        <w:footnoteReference w:id="17"/>
      </w:r>
      <w:r w:rsidRPr="007027C8">
        <w:rPr>
          <w:rFonts w:cs="Arial"/>
          <w:lang w:eastAsia="es-MX"/>
        </w:rPr>
        <w:t>.</w:t>
      </w:r>
    </w:p>
    <w:p w14:paraId="62204190" w14:textId="77777777" w:rsidR="007027C8" w:rsidRPr="007027C8" w:rsidRDefault="007027C8" w:rsidP="00352063">
      <w:pPr>
        <w:spacing w:line="336" w:lineRule="auto"/>
        <w:rPr>
          <w:rFonts w:cs="Arial"/>
          <w:lang w:eastAsia="es-MX"/>
        </w:rPr>
      </w:pPr>
      <w:r w:rsidRPr="007027C8">
        <w:rPr>
          <w:rFonts w:cs="Arial"/>
          <w:lang w:eastAsia="es-MX"/>
        </w:rPr>
        <w:lastRenderedPageBreak/>
        <w:t>-Se omita el estudio o se declaren inoperantes los argumentos relacionados con la inconstitucionalidad de normas electorales</w:t>
      </w:r>
      <w:r w:rsidRPr="007027C8">
        <w:rPr>
          <w:rFonts w:cs="Arial"/>
          <w:vertAlign w:val="superscript"/>
          <w:lang w:eastAsia="es-MX"/>
        </w:rPr>
        <w:footnoteReference w:id="18"/>
      </w:r>
      <w:r w:rsidRPr="007027C8">
        <w:rPr>
          <w:rFonts w:cs="Arial"/>
          <w:lang w:eastAsia="es-MX"/>
        </w:rPr>
        <w:t>.</w:t>
      </w:r>
    </w:p>
    <w:p w14:paraId="0A800F5A" w14:textId="77777777" w:rsidR="007027C8" w:rsidRPr="007027C8" w:rsidRDefault="007027C8" w:rsidP="00352063">
      <w:pPr>
        <w:spacing w:line="336" w:lineRule="auto"/>
        <w:rPr>
          <w:rFonts w:cs="Arial"/>
          <w:lang w:eastAsia="es-MX"/>
        </w:rPr>
      </w:pPr>
      <w:r w:rsidRPr="007027C8">
        <w:rPr>
          <w:rFonts w:cs="Arial"/>
          <w:lang w:eastAsia="es-MX"/>
        </w:rPr>
        <w:t>-Se declaren infundados los planteamientos de inconstitucionalidad</w:t>
      </w:r>
      <w:r w:rsidRPr="007027C8">
        <w:rPr>
          <w:rFonts w:cs="Arial"/>
          <w:vertAlign w:val="superscript"/>
          <w:lang w:eastAsia="es-MX"/>
        </w:rPr>
        <w:footnoteReference w:id="19"/>
      </w:r>
      <w:r w:rsidRPr="007027C8">
        <w:rPr>
          <w:rFonts w:cs="Arial"/>
          <w:lang w:eastAsia="es-MX"/>
        </w:rPr>
        <w:t>.</w:t>
      </w:r>
    </w:p>
    <w:p w14:paraId="6DD9A198" w14:textId="77777777" w:rsidR="007027C8" w:rsidRPr="007027C8" w:rsidRDefault="007027C8" w:rsidP="00352063">
      <w:pPr>
        <w:spacing w:line="336" w:lineRule="auto"/>
        <w:rPr>
          <w:rFonts w:cs="Arial"/>
          <w:lang w:eastAsia="es-MX"/>
        </w:rPr>
      </w:pPr>
      <w:r w:rsidRPr="007027C8">
        <w:rPr>
          <w:rFonts w:cs="Arial"/>
          <w:lang w:eastAsia="es-MX"/>
        </w:rPr>
        <w:t>-Exista pronunciamiento sobre la interpretación de preceptos constitucionales, orientativo para aplicar normas secundarias</w:t>
      </w:r>
      <w:r w:rsidRPr="007027C8">
        <w:rPr>
          <w:rFonts w:cs="Arial"/>
          <w:vertAlign w:val="superscript"/>
          <w:lang w:eastAsia="es-MX"/>
        </w:rPr>
        <w:footnoteReference w:id="20"/>
      </w:r>
      <w:r w:rsidRPr="007027C8">
        <w:rPr>
          <w:rFonts w:cs="Arial"/>
          <w:lang w:eastAsia="es-MX"/>
        </w:rPr>
        <w:t>.</w:t>
      </w:r>
    </w:p>
    <w:p w14:paraId="5119435F" w14:textId="77777777" w:rsidR="007027C8" w:rsidRPr="007027C8" w:rsidRDefault="007027C8" w:rsidP="00352063">
      <w:pPr>
        <w:spacing w:line="336" w:lineRule="auto"/>
        <w:rPr>
          <w:rFonts w:cs="Arial"/>
          <w:lang w:eastAsia="es-MX"/>
        </w:rPr>
      </w:pPr>
      <w:r w:rsidRPr="007027C8">
        <w:rPr>
          <w:rFonts w:cs="Arial"/>
          <w:lang w:eastAsia="es-MX"/>
        </w:rPr>
        <w:t>-Se ejerció control de convencionalidad</w:t>
      </w:r>
      <w:r w:rsidRPr="007027C8">
        <w:rPr>
          <w:rFonts w:cs="Arial"/>
          <w:vertAlign w:val="superscript"/>
          <w:lang w:eastAsia="es-MX"/>
        </w:rPr>
        <w:footnoteReference w:id="21"/>
      </w:r>
      <w:r w:rsidRPr="007027C8">
        <w:rPr>
          <w:rFonts w:cs="Arial"/>
          <w:lang w:eastAsia="es-MX"/>
        </w:rPr>
        <w:t>.</w:t>
      </w:r>
    </w:p>
    <w:p w14:paraId="513A76CA" w14:textId="77777777" w:rsidR="007027C8" w:rsidRPr="007027C8" w:rsidRDefault="007027C8" w:rsidP="00352063">
      <w:pPr>
        <w:spacing w:line="336" w:lineRule="auto"/>
        <w:rPr>
          <w:rFonts w:cs="Arial"/>
          <w:lang w:eastAsia="es-MX"/>
        </w:rPr>
      </w:pPr>
      <w:r w:rsidRPr="007027C8">
        <w:rPr>
          <w:rFonts w:cs="Arial"/>
          <w:lang w:eastAsia="es-MX"/>
        </w:rPr>
        <w:t>-Se aduzca la existencia de irregularidades graves con la posibilidad de vulnerar principios constitucionales y convencionales exigidos para la validez de las elecciones, respecto de las cuales la Sala Regional omitió adoptar medidas necesarias para garantizar su observancia y hacerlos efectivos; o bien, se deje de realizar el análisis de tales irregularidades</w:t>
      </w:r>
      <w:r w:rsidRPr="007027C8">
        <w:rPr>
          <w:rFonts w:cs="Arial"/>
          <w:vertAlign w:val="superscript"/>
          <w:lang w:eastAsia="es-MX"/>
        </w:rPr>
        <w:footnoteReference w:id="22"/>
      </w:r>
      <w:r w:rsidRPr="007027C8">
        <w:rPr>
          <w:rFonts w:cs="Arial"/>
          <w:lang w:eastAsia="es-MX"/>
        </w:rPr>
        <w:t>.</w:t>
      </w:r>
    </w:p>
    <w:p w14:paraId="4AEC1712" w14:textId="77777777" w:rsidR="007027C8" w:rsidRPr="007027C8" w:rsidRDefault="007027C8" w:rsidP="00352063">
      <w:pPr>
        <w:spacing w:line="336" w:lineRule="auto"/>
        <w:rPr>
          <w:rFonts w:cs="Arial"/>
          <w:lang w:eastAsia="es-MX"/>
        </w:rPr>
      </w:pPr>
      <w:r w:rsidRPr="007027C8">
        <w:rPr>
          <w:rFonts w:cs="Arial"/>
          <w:lang w:eastAsia="es-MX"/>
        </w:rPr>
        <w:t>-Se alegue el indebido análisis u omisión de estudio sobre la constitucionalidad de normas legales impugnadas con motivo de su acto de aplicación</w:t>
      </w:r>
      <w:r w:rsidRPr="007027C8">
        <w:rPr>
          <w:rFonts w:cs="Arial"/>
          <w:vertAlign w:val="superscript"/>
          <w:lang w:eastAsia="es-MX"/>
        </w:rPr>
        <w:footnoteReference w:id="23"/>
      </w:r>
      <w:r w:rsidRPr="007027C8">
        <w:rPr>
          <w:rFonts w:cs="Arial"/>
          <w:lang w:eastAsia="es-MX"/>
        </w:rPr>
        <w:t>.</w:t>
      </w:r>
    </w:p>
    <w:p w14:paraId="5E3DF8C3" w14:textId="77777777" w:rsidR="007027C8" w:rsidRPr="007027C8" w:rsidRDefault="007027C8" w:rsidP="00352063">
      <w:pPr>
        <w:spacing w:line="336" w:lineRule="auto"/>
        <w:rPr>
          <w:rFonts w:cs="Arial"/>
          <w:lang w:eastAsia="es-MX"/>
        </w:rPr>
      </w:pPr>
      <w:r w:rsidRPr="007027C8">
        <w:rPr>
          <w:rFonts w:cs="Arial"/>
          <w:lang w:eastAsia="es-MX"/>
        </w:rPr>
        <w:lastRenderedPageBreak/>
        <w:t>- Cuando se advierta una violación manifiesta al debido proceso o en caso de notorio error judicial, aun cuando no se realice un estudio de fondo</w:t>
      </w:r>
      <w:r w:rsidRPr="007027C8">
        <w:rPr>
          <w:rFonts w:cs="Arial"/>
          <w:vertAlign w:val="superscript"/>
          <w:lang w:eastAsia="es-MX"/>
        </w:rPr>
        <w:footnoteReference w:id="24"/>
      </w:r>
      <w:r w:rsidRPr="007027C8">
        <w:rPr>
          <w:rFonts w:cs="Arial"/>
          <w:lang w:eastAsia="es-MX"/>
        </w:rPr>
        <w:t>.</w:t>
      </w:r>
    </w:p>
    <w:p w14:paraId="0A7D27E9" w14:textId="77777777" w:rsidR="007027C8" w:rsidRPr="007027C8" w:rsidRDefault="007027C8" w:rsidP="00352063">
      <w:pPr>
        <w:spacing w:line="336" w:lineRule="auto"/>
        <w:rPr>
          <w:rFonts w:cs="Arial"/>
          <w:lang w:eastAsia="es-MX"/>
        </w:rPr>
      </w:pPr>
      <w:r w:rsidRPr="007027C8">
        <w:rPr>
          <w:rFonts w:cs="Arial"/>
          <w:lang w:eastAsia="es-MX"/>
        </w:rPr>
        <w:t>- Cuando la Sala Superior considere que se trata de asuntos inéditos o que impliquen un alto nivel de importancia y trascendencia que generen un criterio de interpretación útil para el orden jurídico nacional, respecto de sentencias de las Salas Regionales</w:t>
      </w:r>
      <w:r w:rsidRPr="007027C8">
        <w:rPr>
          <w:rFonts w:cs="Arial"/>
          <w:vertAlign w:val="superscript"/>
          <w:lang w:eastAsia="es-MX"/>
        </w:rPr>
        <w:footnoteReference w:id="25"/>
      </w:r>
      <w:r w:rsidRPr="007027C8">
        <w:rPr>
          <w:rFonts w:cs="Arial"/>
          <w:lang w:eastAsia="es-MX"/>
        </w:rPr>
        <w:t>.</w:t>
      </w:r>
    </w:p>
    <w:p w14:paraId="7E70CBAA" w14:textId="77777777" w:rsidR="007027C8" w:rsidRPr="007027C8" w:rsidRDefault="007027C8" w:rsidP="00352063">
      <w:pPr>
        <w:spacing w:line="336" w:lineRule="auto"/>
        <w:rPr>
          <w:rFonts w:cs="Arial"/>
          <w:lang w:eastAsia="es-MX"/>
        </w:rPr>
      </w:pPr>
      <w:r w:rsidRPr="007027C8">
        <w:rPr>
          <w:rFonts w:cs="Arial"/>
          <w:lang w:eastAsia="es-MX"/>
        </w:rPr>
        <w:t>Acorde con lo anterior, si se deja de actualizar alguno de los supuestos mencionados, la reconsideración será improcedente</w:t>
      </w:r>
      <w:r w:rsidRPr="007027C8">
        <w:rPr>
          <w:rFonts w:cs="Arial"/>
          <w:vertAlign w:val="superscript"/>
          <w:lang w:eastAsia="es-MX"/>
        </w:rPr>
        <w:footnoteReference w:id="26"/>
      </w:r>
      <w:r w:rsidRPr="007027C8">
        <w:rPr>
          <w:rFonts w:cs="Arial"/>
          <w:lang w:eastAsia="es-MX"/>
        </w:rPr>
        <w:t>.</w:t>
      </w:r>
    </w:p>
    <w:p w14:paraId="48423789" w14:textId="77777777" w:rsidR="007027C8" w:rsidRPr="007027C8" w:rsidRDefault="007027C8" w:rsidP="00352063">
      <w:pPr>
        <w:widowControl w:val="0"/>
        <w:spacing w:line="336" w:lineRule="auto"/>
        <w:outlineLvl w:val="0"/>
        <w:rPr>
          <w:rFonts w:eastAsia="Calibri" w:cs="Arial"/>
          <w:bCs/>
        </w:rPr>
      </w:pPr>
      <w:bookmarkStart w:id="29" w:name="_Toc483331439"/>
      <w:bookmarkStart w:id="30" w:name="_Toc485226370"/>
      <w:bookmarkStart w:id="31" w:name="_Toc500932789"/>
      <w:bookmarkStart w:id="32" w:name="_Toc14953358"/>
      <w:bookmarkStart w:id="33" w:name="_Toc72770448"/>
      <w:bookmarkEnd w:id="27"/>
      <w:r w:rsidRPr="007027C8">
        <w:rPr>
          <w:rFonts w:eastAsia="Calibri" w:cs="Arial"/>
          <w:b/>
          <w:bCs/>
        </w:rPr>
        <w:t>3. Caso concreto</w:t>
      </w:r>
      <w:bookmarkEnd w:id="29"/>
      <w:bookmarkEnd w:id="30"/>
      <w:bookmarkEnd w:id="31"/>
      <w:bookmarkEnd w:id="32"/>
      <w:bookmarkEnd w:id="33"/>
    </w:p>
    <w:p w14:paraId="2F59697F" w14:textId="77777777" w:rsidR="007027C8" w:rsidRPr="007027C8" w:rsidRDefault="007027C8" w:rsidP="00352063">
      <w:pPr>
        <w:widowControl w:val="0"/>
        <w:spacing w:line="336" w:lineRule="auto"/>
        <w:outlineLvl w:val="0"/>
        <w:rPr>
          <w:rFonts w:eastAsia="Calibri" w:cs="Arial"/>
          <w:b/>
          <w:bCs/>
        </w:rPr>
      </w:pPr>
      <w:bookmarkStart w:id="34" w:name="_Toc72770449"/>
      <w:bookmarkEnd w:id="0"/>
      <w:bookmarkEnd w:id="1"/>
      <w:bookmarkEnd w:id="2"/>
      <w:bookmarkEnd w:id="3"/>
      <w:bookmarkEnd w:id="28"/>
      <w:r w:rsidRPr="007027C8">
        <w:rPr>
          <w:rFonts w:eastAsia="Calibri" w:cs="Arial"/>
          <w:b/>
          <w:bCs/>
        </w:rPr>
        <w:t>¿Qué resolvió la Sala Monterrey?</w:t>
      </w:r>
      <w:bookmarkEnd w:id="34"/>
    </w:p>
    <w:p w14:paraId="1431081A" w14:textId="77777777" w:rsidR="007027C8" w:rsidRPr="007027C8" w:rsidRDefault="007027C8" w:rsidP="00352063">
      <w:pPr>
        <w:widowControl w:val="0"/>
        <w:spacing w:line="336" w:lineRule="auto"/>
        <w:rPr>
          <w:rFonts w:eastAsia="Arial Unicode MS" w:cs="Arial"/>
          <w:bCs/>
          <w:iCs/>
          <w:lang w:eastAsia="es-MX"/>
        </w:rPr>
      </w:pPr>
      <w:r w:rsidRPr="007027C8">
        <w:rPr>
          <w:rFonts w:eastAsia="Arial Unicode MS" w:cs="Arial"/>
          <w:bCs/>
          <w:iCs/>
          <w:lang w:eastAsia="es-MX"/>
        </w:rPr>
        <w:t xml:space="preserve">La Sala Regional determinó </w:t>
      </w:r>
      <w:r w:rsidRPr="007027C8">
        <w:rPr>
          <w:rFonts w:eastAsia="Arial Unicode MS" w:cs="Arial"/>
          <w:b/>
          <w:iCs/>
          <w:lang w:eastAsia="es-MX"/>
        </w:rPr>
        <w:t>confirmar</w:t>
      </w:r>
      <w:r w:rsidRPr="007027C8">
        <w:rPr>
          <w:rFonts w:eastAsia="Arial Unicode MS" w:cs="Arial"/>
          <w:bCs/>
          <w:iCs/>
          <w:lang w:eastAsia="es-MX"/>
        </w:rPr>
        <w:t xml:space="preserve"> la sentencia del Tribunal local, con base al siguiente estudio.</w:t>
      </w:r>
    </w:p>
    <w:p w14:paraId="3810948E" w14:textId="77777777" w:rsidR="007027C8" w:rsidRPr="007027C8" w:rsidRDefault="007027C8" w:rsidP="00352063">
      <w:pPr>
        <w:spacing w:before="240" w:after="240" w:line="336" w:lineRule="auto"/>
        <w:rPr>
          <w:rFonts w:cs="Arial"/>
          <w:b/>
          <w:bCs/>
        </w:rPr>
      </w:pPr>
      <w:bookmarkStart w:id="35" w:name="_Toc31283124"/>
      <w:r w:rsidRPr="007027C8">
        <w:rPr>
          <w:rFonts w:cs="Arial"/>
          <w:b/>
          <w:bCs/>
        </w:rPr>
        <w:t xml:space="preserve">a. Fue correcto que el Tribunal local se apegara a lo dispuesto en los Lineamientos. </w:t>
      </w:r>
    </w:p>
    <w:p w14:paraId="6F1FCD85" w14:textId="77777777" w:rsidR="007027C8" w:rsidRPr="007027C8" w:rsidRDefault="007027C8" w:rsidP="00352063">
      <w:pPr>
        <w:spacing w:before="240" w:after="240" w:line="336" w:lineRule="auto"/>
        <w:rPr>
          <w:rFonts w:cs="Arial"/>
        </w:rPr>
      </w:pPr>
      <w:r w:rsidRPr="007027C8">
        <w:rPr>
          <w:rFonts w:cs="Arial"/>
        </w:rPr>
        <w:t>Al resolver la controversia, la Sala regional e</w:t>
      </w:r>
      <w:r w:rsidRPr="007027C8">
        <w:rPr>
          <w:rFonts w:cs="Arial"/>
          <w:szCs w:val="24"/>
        </w:rPr>
        <w:t xml:space="preserve">stimó que fue correcto que el </w:t>
      </w:r>
      <w:r w:rsidRPr="007027C8">
        <w:rPr>
          <w:rFonts w:cs="Arial"/>
          <w:iCs/>
          <w:szCs w:val="24"/>
        </w:rPr>
        <w:t>Tribunal Local</w:t>
      </w:r>
      <w:r w:rsidRPr="007027C8">
        <w:rPr>
          <w:rFonts w:cs="Arial"/>
          <w:szCs w:val="24"/>
        </w:rPr>
        <w:t xml:space="preserve"> revocara el acuerdo del OPLE, mediante el cual determinó improcedente la sustitución de candidatura de Carlos Alberto Córdova Prieto </w:t>
      </w:r>
      <w:r w:rsidRPr="007027C8">
        <w:rPr>
          <w:rFonts w:cs="Arial"/>
        </w:rPr>
        <w:t xml:space="preserve">como candidato a 2 regidor propietario de la planilla, porque: </w:t>
      </w:r>
    </w:p>
    <w:p w14:paraId="321C6187" w14:textId="77777777" w:rsidR="007027C8" w:rsidRPr="007027C8" w:rsidRDefault="007027C8" w:rsidP="00352063">
      <w:pPr>
        <w:spacing w:before="240" w:after="240" w:line="336" w:lineRule="auto"/>
        <w:rPr>
          <w:rFonts w:cs="Arial"/>
          <w:szCs w:val="24"/>
        </w:rPr>
      </w:pPr>
      <w:r w:rsidRPr="007027C8">
        <w:rPr>
          <w:rFonts w:cs="Arial"/>
          <w:szCs w:val="24"/>
        </w:rPr>
        <w:t xml:space="preserve">- Contrario a lo sostenido por los ahora recurrentes, el artículo 194, fracción I, de la Ley Electoral local, es una disposición normativa prevista para los partidos políticos en cuanto la libertad de sustitución de candidaturas, que no puede ser aplicada de forma análoga a las </w:t>
      </w:r>
      <w:r w:rsidRPr="007027C8">
        <w:rPr>
          <w:rFonts w:cs="Arial"/>
          <w:szCs w:val="24"/>
        </w:rPr>
        <w:lastRenderedPageBreak/>
        <w:t>candidaturas independientes, por atender a instituciones jurídicas distintas.</w:t>
      </w:r>
    </w:p>
    <w:p w14:paraId="05D6356A" w14:textId="77777777" w:rsidR="007027C8" w:rsidRPr="007027C8" w:rsidRDefault="007027C8" w:rsidP="00352063">
      <w:pPr>
        <w:spacing w:before="240" w:after="240" w:line="336" w:lineRule="auto"/>
        <w:rPr>
          <w:rFonts w:cs="Arial"/>
          <w:szCs w:val="24"/>
        </w:rPr>
      </w:pPr>
      <w:r w:rsidRPr="007027C8">
        <w:rPr>
          <w:rFonts w:cs="Arial"/>
          <w:szCs w:val="24"/>
        </w:rPr>
        <w:t xml:space="preserve">- Los </w:t>
      </w:r>
      <w:r w:rsidRPr="007027C8">
        <w:rPr>
          <w:rFonts w:cs="Arial"/>
          <w:iCs/>
          <w:szCs w:val="24"/>
        </w:rPr>
        <w:t xml:space="preserve">Lineamientos </w:t>
      </w:r>
      <w:r w:rsidRPr="007027C8">
        <w:rPr>
          <w:rFonts w:cs="Arial"/>
          <w:szCs w:val="24"/>
        </w:rPr>
        <w:t>expresamente prevén como requisitos para la sustitución de aspirantes a candidaturas independientes, que ésta se dé por fallecimiento, inelegibilidad, incapacidad o renuncia, sin que ninguno de dichos supuestos se hubiera actualizado</w:t>
      </w:r>
      <w:r w:rsidRPr="007027C8">
        <w:rPr>
          <w:rFonts w:cs="Arial"/>
          <w:szCs w:val="24"/>
          <w:vertAlign w:val="superscript"/>
        </w:rPr>
        <w:footnoteReference w:id="27"/>
      </w:r>
      <w:r w:rsidRPr="007027C8">
        <w:rPr>
          <w:rFonts w:cs="Arial"/>
          <w:szCs w:val="24"/>
        </w:rPr>
        <w:t>; y</w:t>
      </w:r>
    </w:p>
    <w:p w14:paraId="05CBCDEC" w14:textId="77777777" w:rsidR="007027C8" w:rsidRPr="007027C8" w:rsidRDefault="007027C8" w:rsidP="00352063">
      <w:pPr>
        <w:spacing w:before="240" w:after="240" w:line="336" w:lineRule="auto"/>
        <w:rPr>
          <w:rFonts w:cs="Arial"/>
          <w:szCs w:val="24"/>
        </w:rPr>
      </w:pPr>
      <w:r w:rsidRPr="007027C8">
        <w:rPr>
          <w:rFonts w:cs="Arial"/>
          <w:szCs w:val="24"/>
        </w:rPr>
        <w:t>- En dado caso, la norma de la Ley Electoral local invocada por los recurrentes solo podía ser aplicada en el caso, de que no estuviera regulada la sustitución de candidaturas independientes; sin embargo, al existir los Lineamientos la solicitud de los recurrentes no era factible.</w:t>
      </w:r>
    </w:p>
    <w:p w14:paraId="76A782DD" w14:textId="77777777" w:rsidR="007027C8" w:rsidRPr="007027C8" w:rsidRDefault="007027C8" w:rsidP="00352063">
      <w:pPr>
        <w:spacing w:before="240" w:after="240" w:line="336" w:lineRule="auto"/>
        <w:rPr>
          <w:rFonts w:cs="Arial"/>
          <w:b/>
          <w:bCs/>
        </w:rPr>
      </w:pPr>
      <w:r w:rsidRPr="007027C8">
        <w:rPr>
          <w:rFonts w:cs="Arial"/>
          <w:b/>
          <w:bCs/>
        </w:rPr>
        <w:t>b. Agravio ineficaz.</w:t>
      </w:r>
    </w:p>
    <w:p w14:paraId="135457F7" w14:textId="77777777" w:rsidR="007027C8" w:rsidRPr="007027C8" w:rsidRDefault="007027C8" w:rsidP="00352063">
      <w:pPr>
        <w:spacing w:before="240" w:after="240" w:line="336" w:lineRule="auto"/>
        <w:rPr>
          <w:rFonts w:cs="Arial"/>
        </w:rPr>
      </w:pPr>
      <w:r w:rsidRPr="007027C8">
        <w:rPr>
          <w:rFonts w:cs="Arial"/>
        </w:rPr>
        <w:t>Por último, la Sala regional declaró ineficaz el agravio en el que los recurrentes señalaron que el Tribunal local no aplicó un control de convencionalidad de manera oficiosa cuando era su obligación hacerlo. Ello, al ser una manifestación genérica de los recurrentes.</w:t>
      </w:r>
    </w:p>
    <w:p w14:paraId="25BF65FD" w14:textId="77777777" w:rsidR="007027C8" w:rsidRPr="007027C8" w:rsidRDefault="007027C8" w:rsidP="00352063">
      <w:pPr>
        <w:widowControl w:val="0"/>
        <w:spacing w:line="336" w:lineRule="auto"/>
        <w:outlineLvl w:val="0"/>
        <w:rPr>
          <w:rFonts w:eastAsia="Calibri" w:cs="Arial"/>
          <w:b/>
          <w:bCs/>
        </w:rPr>
      </w:pPr>
      <w:bookmarkStart w:id="36" w:name="_Toc72770450"/>
      <w:r w:rsidRPr="007027C8">
        <w:rPr>
          <w:rFonts w:eastAsia="Calibri" w:cs="Arial"/>
          <w:b/>
          <w:bCs/>
        </w:rPr>
        <w:t>¿Qué exponen los recurrentes?</w:t>
      </w:r>
      <w:bookmarkEnd w:id="35"/>
      <w:bookmarkEnd w:id="36"/>
    </w:p>
    <w:p w14:paraId="3AB86AC9" w14:textId="77777777" w:rsidR="007027C8" w:rsidRPr="007027C8" w:rsidRDefault="007027C8" w:rsidP="00352063">
      <w:pPr>
        <w:spacing w:line="336" w:lineRule="auto"/>
        <w:rPr>
          <w:rFonts w:eastAsia="Calibri" w:cs="Arial"/>
        </w:rPr>
      </w:pPr>
      <w:r w:rsidRPr="007027C8">
        <w:rPr>
          <w:rFonts w:eastAsia="Calibri" w:cs="Arial"/>
        </w:rPr>
        <w:t xml:space="preserve">Los recurrentes en su demanda de reconsideración alegan que la Sala Monterrey: </w:t>
      </w:r>
    </w:p>
    <w:p w14:paraId="4FE56C9F" w14:textId="77777777" w:rsidR="007027C8" w:rsidRPr="007027C8" w:rsidRDefault="007027C8" w:rsidP="00352063">
      <w:pPr>
        <w:spacing w:before="240" w:after="240" w:line="336" w:lineRule="auto"/>
        <w:rPr>
          <w:rFonts w:cs="Arial"/>
        </w:rPr>
      </w:pPr>
      <w:bookmarkStart w:id="37" w:name="_Toc31283125"/>
      <w:r w:rsidRPr="007027C8">
        <w:rPr>
          <w:rFonts w:cs="Arial"/>
          <w:b/>
          <w:bCs/>
        </w:rPr>
        <w:t>a. No fue exhaustiva</w:t>
      </w:r>
      <w:r w:rsidRPr="007027C8">
        <w:rPr>
          <w:rFonts w:cs="Arial"/>
        </w:rPr>
        <w:t xml:space="preserve">. Porque no tomó en consideración que la sustitución de candidaturas se podía realizar del veinte al veintiséis de abril y que, conforme al artículo 194 de la Ley Electoral local se encontraban facultados para sustituirla, derivado de que dicho precepto sí les puede ser aplicado por analogía a las candidaturas independientes. </w:t>
      </w:r>
    </w:p>
    <w:p w14:paraId="2F84F42B" w14:textId="77777777" w:rsidR="007027C8" w:rsidRPr="007027C8" w:rsidRDefault="007027C8" w:rsidP="00352063">
      <w:pPr>
        <w:spacing w:before="240" w:after="240" w:line="336" w:lineRule="auto"/>
        <w:rPr>
          <w:rFonts w:cs="Arial"/>
        </w:rPr>
      </w:pPr>
      <w:r w:rsidRPr="007027C8">
        <w:rPr>
          <w:rFonts w:cs="Arial"/>
          <w:b/>
          <w:bCs/>
        </w:rPr>
        <w:t>b. Realizó un indebida fundamentación y motivación</w:t>
      </w:r>
      <w:r w:rsidRPr="007027C8">
        <w:rPr>
          <w:rFonts w:cs="Arial"/>
        </w:rPr>
        <w:t xml:space="preserve">. Porque la sustitución de Carlos Alberto Córdova Prieto no fue por motivos de que fuera inelegible, sino por el ejercicio real que tienen como asociación civil para sustituir libremente a sus candidatos. </w:t>
      </w:r>
    </w:p>
    <w:p w14:paraId="1A97D863" w14:textId="77777777" w:rsidR="007027C8" w:rsidRPr="007027C8" w:rsidRDefault="007027C8" w:rsidP="00352063">
      <w:pPr>
        <w:spacing w:before="240" w:after="240" w:line="336" w:lineRule="auto"/>
        <w:rPr>
          <w:rFonts w:cs="Arial"/>
        </w:rPr>
      </w:pPr>
      <w:r w:rsidRPr="007027C8">
        <w:rPr>
          <w:rFonts w:cs="Arial"/>
        </w:rPr>
        <w:lastRenderedPageBreak/>
        <w:t xml:space="preserve">Asimismo, aseveran que la sentencia carece de debida fundamentación y motivación, porque la Sala responsable no refirió la norma en que se sustentó para señalar que una asociación civil es de carácter temporal y un partido político es permanente, ello, aun cuando ambas instituciones contribuyen a la vida democrática del país. </w:t>
      </w:r>
    </w:p>
    <w:p w14:paraId="4E54FB5F" w14:textId="77777777" w:rsidR="007027C8" w:rsidRPr="007027C8" w:rsidRDefault="007027C8" w:rsidP="00352063">
      <w:pPr>
        <w:spacing w:before="240" w:after="240" w:line="336" w:lineRule="auto"/>
        <w:rPr>
          <w:rFonts w:cs="Arial"/>
        </w:rPr>
      </w:pPr>
      <w:r w:rsidRPr="007027C8">
        <w:rPr>
          <w:rFonts w:cs="Arial"/>
          <w:b/>
          <w:bCs/>
        </w:rPr>
        <w:t>c. Violentó los principios de equidad e igualdad</w:t>
      </w:r>
      <w:r w:rsidRPr="007027C8">
        <w:rPr>
          <w:rFonts w:cs="Arial"/>
        </w:rPr>
        <w:t xml:space="preserve">. Porque no se les permite sustituir las candidaturas sustentándose en la Ley Electoral local como a los partidos políticos. </w:t>
      </w:r>
    </w:p>
    <w:p w14:paraId="2D3C4833" w14:textId="77777777" w:rsidR="007027C8" w:rsidRPr="007027C8" w:rsidRDefault="007027C8" w:rsidP="00352063">
      <w:pPr>
        <w:spacing w:before="240" w:after="240" w:line="336" w:lineRule="auto"/>
        <w:rPr>
          <w:rFonts w:cs="Arial"/>
          <w:iCs/>
        </w:rPr>
      </w:pPr>
      <w:r w:rsidRPr="007027C8">
        <w:rPr>
          <w:rFonts w:cs="Arial"/>
          <w:b/>
          <w:bCs/>
        </w:rPr>
        <w:t>d. Estaba o</w:t>
      </w:r>
      <w:r w:rsidRPr="007027C8">
        <w:rPr>
          <w:rFonts w:cs="Arial"/>
          <w:b/>
          <w:bCs/>
          <w:iCs/>
        </w:rPr>
        <w:t>bligada aplicar control de convencionalidad</w:t>
      </w:r>
      <w:r w:rsidRPr="007027C8">
        <w:rPr>
          <w:rFonts w:cs="Arial"/>
          <w:iCs/>
        </w:rPr>
        <w:t>. Sostienen los recurrentes que la Sala regional no realizó un control de convencionalidad aun cuando estaba obligada a hacerlo.</w:t>
      </w:r>
    </w:p>
    <w:p w14:paraId="7CAA9A73" w14:textId="77777777" w:rsidR="007027C8" w:rsidRPr="007027C8" w:rsidRDefault="007027C8" w:rsidP="00352063">
      <w:pPr>
        <w:spacing w:before="240" w:after="240" w:line="336" w:lineRule="auto"/>
        <w:rPr>
          <w:rFonts w:cs="Arial"/>
        </w:rPr>
      </w:pPr>
      <w:r w:rsidRPr="007027C8">
        <w:rPr>
          <w:rFonts w:cs="Arial"/>
        </w:rPr>
        <w:t xml:space="preserve">Aunado a lo anterior, los recurrentes vierten agravios relativos a controvertir los lineamientos y la posible afectación que se pudiera suscitar al no permitírseles sustituir al candidato materia de la controversia, así manifiestan: </w:t>
      </w:r>
    </w:p>
    <w:p w14:paraId="37F42A62" w14:textId="77777777" w:rsidR="007027C8" w:rsidRPr="007027C8" w:rsidRDefault="007027C8" w:rsidP="00352063">
      <w:pPr>
        <w:spacing w:before="240" w:after="240" w:line="336" w:lineRule="auto"/>
        <w:rPr>
          <w:rFonts w:cs="Arial"/>
        </w:rPr>
      </w:pPr>
      <w:r w:rsidRPr="007027C8">
        <w:rPr>
          <w:rFonts w:cs="Arial"/>
        </w:rPr>
        <w:t>- Los Lineamientos debieron emitirse previamente al registro y no con posterioridad, porque estos fueron emitidos el nueve de marzo, y el periodo de registro fue del veinte al veintiséis de ese mismo mes. Situación que no les permitió conocerlos y,</w:t>
      </w:r>
    </w:p>
    <w:p w14:paraId="2D0ACE24" w14:textId="77777777" w:rsidR="007027C8" w:rsidRPr="007027C8" w:rsidRDefault="007027C8" w:rsidP="00352063">
      <w:pPr>
        <w:spacing w:before="240" w:after="240" w:line="336" w:lineRule="auto"/>
        <w:rPr>
          <w:rFonts w:cs="Arial"/>
          <w:iCs/>
        </w:rPr>
      </w:pPr>
      <w:r w:rsidRPr="007027C8">
        <w:rPr>
          <w:rFonts w:cs="Arial"/>
          <w:iCs/>
        </w:rPr>
        <w:t>- El no permitírseles realizar la sustitución de las candidaturas puede afectarles en la votación, derivado de que es importante la influencia que ejerce quien encabeza la planilla y, ante esas circunstancias fue que determinaron mejor bajar al candidato a la segunda fórmula de regidor.</w:t>
      </w:r>
    </w:p>
    <w:p w14:paraId="1292FB12" w14:textId="77777777" w:rsidR="007027C8" w:rsidRPr="007027C8" w:rsidRDefault="007027C8" w:rsidP="00352063">
      <w:pPr>
        <w:widowControl w:val="0"/>
        <w:spacing w:line="336" w:lineRule="auto"/>
        <w:outlineLvl w:val="0"/>
        <w:rPr>
          <w:rFonts w:eastAsia="Calibri" w:cs="Arial"/>
          <w:b/>
          <w:bCs/>
        </w:rPr>
      </w:pPr>
      <w:bookmarkStart w:id="38" w:name="_Toc72770451"/>
      <w:r w:rsidRPr="007027C8">
        <w:rPr>
          <w:rFonts w:eastAsia="Calibri" w:cs="Arial"/>
          <w:b/>
          <w:bCs/>
        </w:rPr>
        <w:t>¿Cuál es la determinación de esta Sala Superior?</w:t>
      </w:r>
      <w:bookmarkEnd w:id="37"/>
      <w:bookmarkEnd w:id="38"/>
    </w:p>
    <w:p w14:paraId="2BB699A9" w14:textId="77777777" w:rsidR="007027C8" w:rsidRPr="007027C8" w:rsidRDefault="007027C8" w:rsidP="00352063">
      <w:pPr>
        <w:spacing w:before="240" w:after="240" w:line="336" w:lineRule="auto"/>
        <w:rPr>
          <w:rFonts w:cs="Arial"/>
          <w:szCs w:val="24"/>
          <w:lang w:val="es-ES"/>
        </w:rPr>
      </w:pPr>
      <w:bookmarkStart w:id="39" w:name="_Toc31283127"/>
      <w:r w:rsidRPr="007027C8">
        <w:rPr>
          <w:rFonts w:cs="Arial"/>
          <w:szCs w:val="24"/>
          <w:lang w:val="es-ES"/>
        </w:rPr>
        <w:t>Esta Sala Superior concluye que el recurso de reconsideración no satisface el requisito especial de procedencia porque, tanto la sentencia impugnada, como la demanda de los recurrentes no atienden cuestiones de constitucionalidad o convencionalidad.</w:t>
      </w:r>
    </w:p>
    <w:p w14:paraId="1731C41C" w14:textId="77777777" w:rsidR="007027C8" w:rsidRPr="007027C8" w:rsidRDefault="007027C8" w:rsidP="00822AD1">
      <w:pPr>
        <w:spacing w:line="312" w:lineRule="auto"/>
        <w:rPr>
          <w:rFonts w:cs="Arial"/>
        </w:rPr>
      </w:pPr>
      <w:bookmarkStart w:id="40" w:name="_Hlk72778711"/>
      <w:r w:rsidRPr="007027C8">
        <w:rPr>
          <w:rFonts w:cs="Arial"/>
          <w:bCs/>
          <w:lang w:val="es-ES"/>
        </w:rPr>
        <w:t xml:space="preserve">Lo anterior porque la Sala Monterrey únicamente se limitó a señalar que había sido correcto el actuar del Tribunal local al declarar </w:t>
      </w:r>
      <w:r w:rsidRPr="007027C8">
        <w:rPr>
          <w:rFonts w:cs="Arial"/>
          <w:szCs w:val="24"/>
        </w:rPr>
        <w:t>improcedente</w:t>
      </w:r>
      <w:r w:rsidRPr="007027C8">
        <w:rPr>
          <w:rFonts w:cs="Arial"/>
        </w:rPr>
        <w:t xml:space="preserve"> </w:t>
      </w:r>
      <w:r w:rsidRPr="007027C8">
        <w:rPr>
          <w:rFonts w:cs="Arial"/>
        </w:rPr>
        <w:lastRenderedPageBreak/>
        <w:t>la sustitución de la candidatura de Carlos Alberto Córdova Prieto, porque se apegó a los Lineamientos emitidos por el OPLE y, que no asistía razón a los recurrentes el pretender que se les aplicara por analogía una norma prevista en la Ley Electoral local.</w:t>
      </w:r>
    </w:p>
    <w:bookmarkEnd w:id="40"/>
    <w:p w14:paraId="6B3D263C" w14:textId="77777777" w:rsidR="007027C8" w:rsidRPr="007027C8" w:rsidRDefault="007027C8" w:rsidP="00822AD1">
      <w:pPr>
        <w:spacing w:line="312" w:lineRule="auto"/>
        <w:rPr>
          <w:rFonts w:cs="Arial"/>
          <w:szCs w:val="24"/>
          <w:lang w:val="es-ES"/>
        </w:rPr>
      </w:pPr>
      <w:r w:rsidRPr="007027C8">
        <w:rPr>
          <w:rFonts w:cs="Arial"/>
          <w:szCs w:val="24"/>
          <w:lang w:val="es-ES"/>
        </w:rPr>
        <w:t>En ese sentido, la sentencia que se pretende recurrir en este medio de impugnación se limitó a resolver planteamientos de mera legalidad, que no son revisables a través del recurso de reconsideración.</w:t>
      </w:r>
    </w:p>
    <w:p w14:paraId="23F0B140" w14:textId="77777777" w:rsidR="007027C8" w:rsidRPr="007027C8" w:rsidRDefault="007027C8" w:rsidP="00822AD1">
      <w:pPr>
        <w:spacing w:line="312" w:lineRule="auto"/>
        <w:rPr>
          <w:rFonts w:cs="Arial"/>
          <w:szCs w:val="24"/>
          <w:lang w:val="es-ES"/>
        </w:rPr>
      </w:pPr>
      <w:bookmarkStart w:id="41" w:name="_Hlk72778740"/>
      <w:r w:rsidRPr="007027C8">
        <w:rPr>
          <w:rFonts w:cs="Arial"/>
          <w:szCs w:val="24"/>
          <w:lang w:val="es-ES"/>
        </w:rPr>
        <w:t>Ahora bien, por su parte los recurrentes, argumentan que la sentencia impugnada carece de exhaustividad y de debida fundamentación y motivación.</w:t>
      </w:r>
    </w:p>
    <w:bookmarkEnd w:id="41"/>
    <w:p w14:paraId="63CCBBFD" w14:textId="77777777" w:rsidR="007027C8" w:rsidRPr="007027C8" w:rsidRDefault="007027C8" w:rsidP="00822AD1">
      <w:pPr>
        <w:spacing w:line="312" w:lineRule="auto"/>
        <w:rPr>
          <w:rFonts w:cs="Arial"/>
          <w:szCs w:val="24"/>
          <w:lang w:val="es-ES"/>
        </w:rPr>
      </w:pPr>
      <w:r w:rsidRPr="007027C8">
        <w:rPr>
          <w:rFonts w:cs="Arial"/>
          <w:szCs w:val="24"/>
          <w:lang w:val="es-ES"/>
        </w:rPr>
        <w:t>Asimismo, insisten en que, se les debe permitir sustituir la candidatura materia de controversia, con base a que se les debe aplicar la Ley Electoral local y no los Lineamientos; derivado de que, incluso los desconocían y que, el hecho de no permitirles la sustitución les afectará en los sufragios que pudieran obtener.</w:t>
      </w:r>
    </w:p>
    <w:p w14:paraId="4054CDA6" w14:textId="77777777" w:rsidR="007027C8" w:rsidRPr="007027C8" w:rsidRDefault="007027C8" w:rsidP="00822AD1">
      <w:pPr>
        <w:spacing w:line="312" w:lineRule="auto"/>
        <w:rPr>
          <w:rFonts w:cs="Arial"/>
          <w:bCs/>
          <w:lang w:val="es-ES"/>
        </w:rPr>
      </w:pPr>
      <w:r w:rsidRPr="007027C8">
        <w:rPr>
          <w:rFonts w:cs="Arial"/>
          <w:bCs/>
          <w:lang w:val="es-ES"/>
        </w:rPr>
        <w:t xml:space="preserve">En ese sentido, se advierte que no está presente algún planteamiento de constitucionalidad que permita a esta Sala Superior estudiar las cuestiones planteadas por los recurrentes, dado que sus agravios están encaminados a insistir que se les permita realizar la sustitución de la candidatura de </w:t>
      </w:r>
      <w:r w:rsidRPr="007027C8">
        <w:rPr>
          <w:rFonts w:cs="Arial"/>
        </w:rPr>
        <w:t>Carlos Alberto Córdova Prieto.</w:t>
      </w:r>
    </w:p>
    <w:p w14:paraId="106232FF" w14:textId="77777777" w:rsidR="007027C8" w:rsidRPr="007027C8" w:rsidRDefault="007027C8" w:rsidP="00822AD1">
      <w:pPr>
        <w:spacing w:line="312" w:lineRule="auto"/>
        <w:rPr>
          <w:rFonts w:cs="Arial"/>
          <w:szCs w:val="24"/>
          <w:lang w:val="es-ES"/>
        </w:rPr>
      </w:pPr>
      <w:bookmarkStart w:id="42" w:name="_Hlk72778926"/>
      <w:r w:rsidRPr="007027C8">
        <w:rPr>
          <w:rFonts w:cs="Arial"/>
          <w:szCs w:val="24"/>
          <w:lang w:val="es-ES"/>
        </w:rPr>
        <w:t xml:space="preserve">Por otra parte, no pasa desapercibido que los recurrentes sostienen que la Sala Regional estaba obligada a aplicar un control de convencionalidad de manera oficiosa. </w:t>
      </w:r>
    </w:p>
    <w:p w14:paraId="224B2460" w14:textId="3C4E06F8" w:rsidR="007027C8" w:rsidRPr="007027C8" w:rsidRDefault="007027C8" w:rsidP="00822AD1">
      <w:pPr>
        <w:spacing w:line="312" w:lineRule="auto"/>
        <w:rPr>
          <w:rFonts w:cs="Arial"/>
          <w:szCs w:val="24"/>
          <w:lang w:val="es-ES"/>
        </w:rPr>
      </w:pPr>
      <w:r w:rsidRPr="007027C8">
        <w:rPr>
          <w:rFonts w:cs="Arial"/>
          <w:szCs w:val="24"/>
          <w:lang w:val="es-ES"/>
        </w:rPr>
        <w:t>Al respecto, esta Sala Superior ya ha sostenido que esa sola</w:t>
      </w:r>
      <w:r w:rsidR="000A6517">
        <w:rPr>
          <w:rFonts w:cs="Arial"/>
          <w:szCs w:val="24"/>
          <w:lang w:val="es-ES"/>
        </w:rPr>
        <w:t xml:space="preserve"> manifestación</w:t>
      </w:r>
      <w:r w:rsidRPr="007027C8">
        <w:rPr>
          <w:rFonts w:cs="Arial"/>
          <w:szCs w:val="24"/>
          <w:lang w:val="es-ES"/>
        </w:rPr>
        <w:t xml:space="preserve"> no constituye un genuino planteamiento de constitucionalidad, de ahí que no se colma el presupuesto especial exigido para que el presente medio de impugnación sea analizado en esta sede jurisdiccional</w:t>
      </w:r>
      <w:r w:rsidRPr="007027C8">
        <w:rPr>
          <w:szCs w:val="24"/>
          <w:vertAlign w:val="superscript"/>
          <w:lang w:val="es-ES"/>
        </w:rPr>
        <w:footnoteReference w:id="28"/>
      </w:r>
      <w:r w:rsidRPr="007027C8">
        <w:rPr>
          <w:rFonts w:cs="Arial"/>
          <w:szCs w:val="24"/>
          <w:lang w:val="es-ES"/>
        </w:rPr>
        <w:t xml:space="preserve">. Esto, porque no se realizó alguna inaplicación, ni tampoco una interpretación directa de una norma constitucional. </w:t>
      </w:r>
    </w:p>
    <w:bookmarkEnd w:id="42"/>
    <w:p w14:paraId="37BF3225" w14:textId="77777777" w:rsidR="007027C8" w:rsidRPr="007027C8" w:rsidRDefault="007027C8" w:rsidP="00822AD1">
      <w:pPr>
        <w:spacing w:line="312" w:lineRule="auto"/>
        <w:rPr>
          <w:rFonts w:cs="Arial"/>
          <w:szCs w:val="24"/>
          <w:lang w:val="es-ES"/>
        </w:rPr>
      </w:pPr>
      <w:r w:rsidRPr="007027C8">
        <w:rPr>
          <w:rFonts w:cs="Arial"/>
          <w:szCs w:val="24"/>
          <w:lang w:val="es-ES"/>
        </w:rPr>
        <w:lastRenderedPageBreak/>
        <w:t xml:space="preserve">Así, tanto del análisis de los agravios expresados, como de lo resuelto por la Sala Regional, no se advierte cuestión alguna de constitucionalidad o convencionalidad que hubiera sido materia de estudio y respecto de la cual se inconformen los recurrentes en el presente medio de impugnación. </w:t>
      </w:r>
    </w:p>
    <w:p w14:paraId="3CF382EB" w14:textId="77777777" w:rsidR="007027C8" w:rsidRPr="007027C8" w:rsidRDefault="007027C8" w:rsidP="00822AD1">
      <w:pPr>
        <w:spacing w:line="312" w:lineRule="auto"/>
        <w:rPr>
          <w:rFonts w:cs="Arial"/>
          <w:b/>
          <w:bCs/>
          <w:szCs w:val="24"/>
          <w:lang w:val="es-ES"/>
        </w:rPr>
      </w:pPr>
      <w:r w:rsidRPr="007027C8">
        <w:rPr>
          <w:rFonts w:cs="Arial"/>
          <w:b/>
          <w:bCs/>
          <w:szCs w:val="24"/>
          <w:lang w:val="es-ES"/>
        </w:rPr>
        <w:t>4. Conclusión.</w:t>
      </w:r>
    </w:p>
    <w:p w14:paraId="64F2442A" w14:textId="77777777" w:rsidR="007027C8" w:rsidRPr="007027C8" w:rsidRDefault="007027C8" w:rsidP="00822AD1">
      <w:pPr>
        <w:spacing w:line="312" w:lineRule="auto"/>
        <w:rPr>
          <w:rFonts w:cs="Arial"/>
          <w:szCs w:val="24"/>
          <w:lang w:val="es-ES"/>
        </w:rPr>
      </w:pPr>
      <w:bookmarkStart w:id="43" w:name="_Hlk72779014"/>
      <w:r w:rsidRPr="007027C8">
        <w:rPr>
          <w:rFonts w:cs="Arial"/>
          <w:szCs w:val="24"/>
          <w:lang w:val="es-ES"/>
        </w:rPr>
        <w:t xml:space="preserve">Al no actualizarse alguno de los supuestos de procedibilidad del recurso de reconsideración previstos por la normativa electoral aplicable y los criterios emitidos por esta Sala Superior, lo conducente es desechar la demanda. </w:t>
      </w:r>
    </w:p>
    <w:bookmarkEnd w:id="43"/>
    <w:p w14:paraId="3D2DF472" w14:textId="77777777" w:rsidR="007027C8" w:rsidRPr="007027C8" w:rsidRDefault="007027C8" w:rsidP="00822AD1">
      <w:pPr>
        <w:spacing w:line="312" w:lineRule="auto"/>
        <w:rPr>
          <w:rFonts w:cs="Arial"/>
          <w:szCs w:val="24"/>
          <w:lang w:val="es-ES"/>
        </w:rPr>
      </w:pPr>
      <w:r w:rsidRPr="007027C8">
        <w:rPr>
          <w:rFonts w:cs="Arial"/>
          <w:szCs w:val="24"/>
          <w:lang w:val="es-ES"/>
        </w:rPr>
        <w:t>Por lo expuesto y fundado se</w:t>
      </w:r>
    </w:p>
    <w:p w14:paraId="2707968D" w14:textId="77777777" w:rsidR="007027C8" w:rsidRPr="007027C8" w:rsidRDefault="007027C8" w:rsidP="00822AD1">
      <w:pPr>
        <w:keepNext/>
        <w:keepLines/>
        <w:spacing w:line="312" w:lineRule="auto"/>
        <w:jc w:val="center"/>
        <w:outlineLvl w:val="0"/>
        <w:rPr>
          <w:rFonts w:cs="Arial"/>
          <w:bCs/>
        </w:rPr>
      </w:pPr>
      <w:bookmarkStart w:id="44" w:name="_Toc72770452"/>
      <w:r w:rsidRPr="007027C8">
        <w:rPr>
          <w:rFonts w:cs="Arial"/>
          <w:b/>
          <w:bCs/>
        </w:rPr>
        <w:t xml:space="preserve">V. </w:t>
      </w:r>
      <w:r w:rsidRPr="007027C8">
        <w:rPr>
          <w:rFonts w:cs="Arial"/>
          <w:b/>
          <w:bCs/>
          <w:lang w:eastAsia="es-MX"/>
        </w:rPr>
        <w:t>RESUELVE</w:t>
      </w:r>
      <w:bookmarkEnd w:id="39"/>
      <w:bookmarkEnd w:id="44"/>
    </w:p>
    <w:p w14:paraId="69277098" w14:textId="77777777" w:rsidR="007027C8" w:rsidRPr="007027C8" w:rsidRDefault="007027C8" w:rsidP="00822AD1">
      <w:pPr>
        <w:spacing w:line="312" w:lineRule="auto"/>
        <w:rPr>
          <w:rFonts w:cs="Arial"/>
          <w:b/>
          <w:lang w:eastAsia="es-MX"/>
        </w:rPr>
      </w:pPr>
      <w:r w:rsidRPr="007027C8">
        <w:rPr>
          <w:rFonts w:cs="Arial"/>
          <w:b/>
          <w:lang w:eastAsia="es-MX"/>
        </w:rPr>
        <w:t xml:space="preserve">ÚNICO. </w:t>
      </w:r>
      <w:r w:rsidRPr="007027C8">
        <w:rPr>
          <w:rFonts w:cs="Arial"/>
          <w:lang w:eastAsia="es-MX"/>
        </w:rPr>
        <w:t xml:space="preserve">Se </w:t>
      </w:r>
      <w:r w:rsidRPr="007027C8">
        <w:rPr>
          <w:rFonts w:cs="Arial"/>
          <w:b/>
          <w:lang w:eastAsia="es-MX"/>
        </w:rPr>
        <w:t xml:space="preserve">desecha </w:t>
      </w:r>
      <w:r w:rsidRPr="007027C8">
        <w:rPr>
          <w:rFonts w:cs="Arial"/>
          <w:lang w:eastAsia="es-MX"/>
        </w:rPr>
        <w:t>de plano la demanda.</w:t>
      </w:r>
      <w:r w:rsidRPr="007027C8">
        <w:rPr>
          <w:rFonts w:cs="Arial"/>
          <w:b/>
          <w:lang w:eastAsia="es-MX"/>
        </w:rPr>
        <w:t xml:space="preserve"> </w:t>
      </w:r>
    </w:p>
    <w:p w14:paraId="29175B1A" w14:textId="77777777" w:rsidR="007027C8" w:rsidRPr="007027C8" w:rsidRDefault="007027C8" w:rsidP="00822AD1">
      <w:pPr>
        <w:spacing w:line="312" w:lineRule="auto"/>
        <w:rPr>
          <w:rFonts w:eastAsia="Calibri" w:cs="Arial"/>
        </w:rPr>
      </w:pPr>
      <w:r w:rsidRPr="007027C8">
        <w:rPr>
          <w:rFonts w:eastAsia="Calibri" w:cs="Arial"/>
          <w:b/>
        </w:rPr>
        <w:t>Notifíquese</w:t>
      </w:r>
      <w:r w:rsidRPr="007027C8">
        <w:rPr>
          <w:rFonts w:eastAsia="Calibri" w:cs="Arial"/>
        </w:rPr>
        <w:t xml:space="preserve"> como en derecho corresponda.</w:t>
      </w:r>
    </w:p>
    <w:p w14:paraId="000EACCC" w14:textId="77777777" w:rsidR="007027C8" w:rsidRPr="007027C8" w:rsidRDefault="007027C8" w:rsidP="00822AD1">
      <w:pPr>
        <w:spacing w:line="312" w:lineRule="auto"/>
        <w:rPr>
          <w:rFonts w:cs="Arial"/>
          <w:lang w:eastAsia="es-MX"/>
        </w:rPr>
      </w:pPr>
      <w:r w:rsidRPr="007027C8">
        <w:rPr>
          <w:rFonts w:eastAsia="Calibri" w:cs="Arial"/>
        </w:rPr>
        <w:t>En su oportunidad, archívese el presente expediente como asunto concluido y hágase la devolución de la documentación</w:t>
      </w:r>
      <w:r w:rsidRPr="007027C8">
        <w:rPr>
          <w:rFonts w:cs="Arial"/>
          <w:lang w:eastAsia="es-MX"/>
        </w:rPr>
        <w:t xml:space="preserve"> correspondiente.</w:t>
      </w:r>
    </w:p>
    <w:p w14:paraId="4E07B200" w14:textId="586C9B25" w:rsidR="007027C8" w:rsidRPr="007027C8" w:rsidRDefault="007027C8" w:rsidP="00822AD1">
      <w:pPr>
        <w:spacing w:line="312" w:lineRule="auto"/>
        <w:rPr>
          <w:rFonts w:eastAsia="Calibri" w:cs="Arial"/>
        </w:rPr>
      </w:pPr>
      <w:r w:rsidRPr="007027C8">
        <w:rPr>
          <w:rFonts w:eastAsia="Calibri" w:cs="Arial"/>
        </w:rPr>
        <w:t xml:space="preserve">Así lo resolvieron por </w:t>
      </w:r>
      <w:r>
        <w:rPr>
          <w:rFonts w:eastAsia="Calibri" w:cs="Arial"/>
          <w:b/>
          <w:bCs/>
        </w:rPr>
        <w:t>unanimidad</w:t>
      </w:r>
      <w:r w:rsidRPr="007027C8">
        <w:rPr>
          <w:rFonts w:eastAsia="Calibri" w:cs="Arial"/>
          <w:b/>
        </w:rPr>
        <w:t xml:space="preserve"> </w:t>
      </w:r>
      <w:r w:rsidRPr="007027C8">
        <w:rPr>
          <w:rFonts w:eastAsia="Calibri" w:cs="Arial"/>
        </w:rPr>
        <w:t xml:space="preserve">de votos, las Magistradas y los Magistrados </w:t>
      </w:r>
      <w:r w:rsidRPr="007027C8">
        <w:rPr>
          <w:rFonts w:cs="Arial"/>
          <w:lang w:eastAsia="es-MX"/>
        </w:rPr>
        <w:t xml:space="preserve">que integran </w:t>
      </w:r>
      <w:r w:rsidRPr="007027C8">
        <w:rPr>
          <w:rFonts w:eastAsia="Calibri" w:cs="Arial"/>
        </w:rPr>
        <w:t>de la Sala Superior del Tribunal Electoral del Poder Judicial de la Federación. El</w:t>
      </w:r>
      <w:r w:rsidRPr="007027C8">
        <w:rPr>
          <w:rFonts w:eastAsia="Calibri" w:cs="Arial"/>
          <w:color w:val="000000"/>
        </w:rPr>
        <w:t xml:space="preserve"> Secretario General de Acuerdos</w:t>
      </w:r>
      <w:r w:rsidRPr="007027C8">
        <w:rPr>
          <w:rFonts w:eastAsia="Calibri" w:cs="Arial"/>
        </w:rPr>
        <w:t xml:space="preserve"> autoriza y da fe</w:t>
      </w:r>
      <w:r w:rsidR="00D54388">
        <w:rPr>
          <w:rFonts w:eastAsia="Calibri" w:cs="Arial"/>
        </w:rPr>
        <w:t xml:space="preserve"> de </w:t>
      </w:r>
      <w:r w:rsidR="00D54388" w:rsidRPr="00D54388">
        <w:rPr>
          <w:rFonts w:eastAsia="Calibri" w:cs="Arial"/>
        </w:rPr>
        <w:t xml:space="preserve">que </w:t>
      </w:r>
      <w:r w:rsidR="00D54388">
        <w:rPr>
          <w:rFonts w:eastAsia="Calibri" w:cs="Arial"/>
        </w:rPr>
        <w:t>la</w:t>
      </w:r>
      <w:r w:rsidR="00D54388" w:rsidRPr="00D54388">
        <w:rPr>
          <w:rFonts w:eastAsia="Calibri" w:cs="Arial"/>
        </w:rPr>
        <w:t xml:space="preserve"> presente </w:t>
      </w:r>
      <w:r w:rsidR="00D54388">
        <w:rPr>
          <w:rFonts w:eastAsia="Calibri" w:cs="Arial"/>
        </w:rPr>
        <w:t>sentencia</w:t>
      </w:r>
      <w:r w:rsidR="00D54388" w:rsidRPr="00D54388">
        <w:rPr>
          <w:rFonts w:eastAsia="Calibri" w:cs="Arial"/>
        </w:rPr>
        <w:t xml:space="preserve"> se firma de manera electrónica.</w:t>
      </w:r>
    </w:p>
    <w:p w14:paraId="670F9AF3" w14:textId="77777777" w:rsidR="007027C8" w:rsidRPr="001414CE" w:rsidRDefault="007027C8" w:rsidP="007027C8">
      <w:pPr>
        <w:spacing w:before="0" w:beforeAutospacing="0" w:after="0" w:afterAutospacing="0" w:line="240" w:lineRule="auto"/>
        <w:rPr>
          <w:rFonts w:eastAsia="Calibri"/>
          <w:sz w:val="18"/>
          <w:szCs w:val="18"/>
        </w:rPr>
      </w:pPr>
      <w:r w:rsidRPr="001414CE">
        <w:rPr>
          <w:rFonts w:eastAsia="Calibri"/>
          <w:sz w:val="18"/>
          <w:szCs w:val="18"/>
        </w:rPr>
        <w:t xml:space="preserve">Este documento es una representación gráfica autorizada mediante firmas electrónicas certificadas,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sustanciación y resolución de los medios de impugnación en materia electoral. </w:t>
      </w:r>
    </w:p>
    <w:p w14:paraId="2303F659" w14:textId="2E7C1C15" w:rsidR="008175B8" w:rsidRPr="007027C8" w:rsidRDefault="008175B8" w:rsidP="007027C8"/>
    <w:sectPr w:rsidR="008175B8" w:rsidRPr="007027C8" w:rsidSect="00B60721">
      <w:headerReference w:type="even" r:id="rId10"/>
      <w:headerReference w:type="default" r:id="rId11"/>
      <w:footerReference w:type="even" r:id="rId12"/>
      <w:footerReference w:type="default" r:id="rId13"/>
      <w:headerReference w:type="first" r:id="rId14"/>
      <w:footnotePr>
        <w:numRestart w:val="eachSect"/>
      </w:footnotePr>
      <w:pgSz w:w="12242" w:h="18722" w:code="1"/>
      <w:pgMar w:top="3119" w:right="1701" w:bottom="1418" w:left="2835" w:header="1559" w:footer="12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1EFEA" w14:textId="77777777" w:rsidR="00927F36" w:rsidRDefault="00927F36" w:rsidP="00A86EED">
      <w:pPr>
        <w:spacing w:before="0" w:after="0" w:line="240" w:lineRule="auto"/>
      </w:pPr>
      <w:r>
        <w:separator/>
      </w:r>
    </w:p>
  </w:endnote>
  <w:endnote w:type="continuationSeparator" w:id="0">
    <w:p w14:paraId="659E028D" w14:textId="77777777" w:rsidR="00927F36" w:rsidRDefault="00927F36" w:rsidP="00A86E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altName w:val="Univers"/>
    <w:panose1 w:val="020B060302020203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9232935"/>
      <w:docPartObj>
        <w:docPartGallery w:val="Page Numbers (Bottom of Page)"/>
        <w:docPartUnique/>
      </w:docPartObj>
    </w:sdtPr>
    <w:sdtEndPr/>
    <w:sdtContent>
      <w:p w14:paraId="1DC9A91C" w14:textId="77777777" w:rsidR="004949D8" w:rsidRDefault="004949D8">
        <w:pPr>
          <w:pStyle w:val="Piedepgina"/>
          <w:jc w:val="center"/>
        </w:pPr>
        <w:r>
          <w:fldChar w:fldCharType="begin"/>
        </w:r>
        <w:r>
          <w:instrText>PAGE   \* MERGEFORMAT</w:instrText>
        </w:r>
        <w:r>
          <w:fldChar w:fldCharType="separate"/>
        </w:r>
        <w:r>
          <w:rPr>
            <w:lang w:val="es-ES"/>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06041"/>
      <w:docPartObj>
        <w:docPartGallery w:val="Page Numbers (Bottom of Page)"/>
        <w:docPartUnique/>
      </w:docPartObj>
    </w:sdtPr>
    <w:sdtEndPr/>
    <w:sdtContent>
      <w:p w14:paraId="50727C2E" w14:textId="77777777" w:rsidR="004949D8" w:rsidRDefault="004949D8">
        <w:pPr>
          <w:pStyle w:val="Piedepgina"/>
          <w:jc w:val="center"/>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99302" w14:textId="77777777" w:rsidR="00927F36" w:rsidRDefault="00927F36" w:rsidP="00A86EED">
      <w:pPr>
        <w:spacing w:before="0" w:after="0" w:line="240" w:lineRule="auto"/>
      </w:pPr>
      <w:r>
        <w:separator/>
      </w:r>
    </w:p>
  </w:footnote>
  <w:footnote w:type="continuationSeparator" w:id="0">
    <w:p w14:paraId="6DDEFD37" w14:textId="77777777" w:rsidR="00927F36" w:rsidRDefault="00927F36" w:rsidP="00A86EED">
      <w:pPr>
        <w:spacing w:before="0" w:after="0" w:line="240" w:lineRule="auto"/>
      </w:pPr>
      <w:r>
        <w:continuationSeparator/>
      </w:r>
    </w:p>
  </w:footnote>
  <w:footnote w:id="1">
    <w:p w14:paraId="18448411" w14:textId="77777777" w:rsidR="007027C8" w:rsidRPr="009D2AE6" w:rsidRDefault="007027C8" w:rsidP="007027C8">
      <w:pPr>
        <w:pStyle w:val="Textonotapie"/>
        <w:spacing w:before="0" w:beforeAutospacing="0" w:afterAutospacing="0"/>
        <w:rPr>
          <w:rFonts w:cs="Arial"/>
          <w:sz w:val="18"/>
          <w:szCs w:val="18"/>
        </w:rPr>
      </w:pPr>
      <w:r w:rsidRPr="009D2AE6">
        <w:rPr>
          <w:rStyle w:val="Refdenotaalpie"/>
          <w:rFonts w:cs="Arial"/>
          <w:sz w:val="18"/>
          <w:szCs w:val="18"/>
        </w:rPr>
        <w:footnoteRef/>
      </w:r>
      <w:r w:rsidRPr="009D2AE6">
        <w:rPr>
          <w:rFonts w:cs="Arial"/>
          <w:sz w:val="18"/>
          <w:szCs w:val="18"/>
        </w:rPr>
        <w:t xml:space="preserve"> Secretario instructor: Fernando Ramírez Barrios. Secretaria: Erica Amézquita Delgado</w:t>
      </w:r>
      <w:r>
        <w:rPr>
          <w:rFonts w:cs="Arial"/>
          <w:sz w:val="18"/>
          <w:szCs w:val="18"/>
        </w:rPr>
        <w:t>.</w:t>
      </w:r>
    </w:p>
  </w:footnote>
  <w:footnote w:id="2">
    <w:p w14:paraId="178B4E07" w14:textId="77777777" w:rsidR="007027C8" w:rsidRPr="004D0ACF" w:rsidRDefault="007027C8" w:rsidP="007027C8">
      <w:pPr>
        <w:pStyle w:val="Textonotapie"/>
        <w:spacing w:before="0" w:beforeAutospacing="0" w:afterAutospacing="0"/>
        <w:rPr>
          <w:sz w:val="18"/>
          <w:szCs w:val="18"/>
        </w:rPr>
      </w:pPr>
      <w:r w:rsidRPr="004D0ACF">
        <w:rPr>
          <w:rStyle w:val="Refdenotaalpie"/>
          <w:sz w:val="18"/>
          <w:szCs w:val="18"/>
        </w:rPr>
        <w:footnoteRef/>
      </w:r>
      <w:r w:rsidRPr="004D0ACF">
        <w:rPr>
          <w:sz w:val="18"/>
          <w:szCs w:val="18"/>
        </w:rPr>
        <w:t xml:space="preserve"> Blanca Aidé Reyes Robledo, María Luisa Acuña Díaz Durán, Miguel Ángel Escárcega Morales, Carlos Enrique Rosiles Frías, Reyna Trujillo Guerrero, María del Rocío Ortiz Alonso, José Manuel Cabrera Sixto, José Pedro Ramírez Conejo, María de Lourdes Macías Trejo, </w:t>
      </w:r>
      <w:proofErr w:type="spellStart"/>
      <w:r w:rsidRPr="004D0ACF">
        <w:rPr>
          <w:sz w:val="18"/>
          <w:szCs w:val="18"/>
        </w:rPr>
        <w:t>Nyrma</w:t>
      </w:r>
      <w:proofErr w:type="spellEnd"/>
      <w:r w:rsidRPr="004D0ACF">
        <w:rPr>
          <w:sz w:val="18"/>
          <w:szCs w:val="18"/>
        </w:rPr>
        <w:t xml:space="preserve"> Adriana Rodríguez Solano, Martín Guadalupe Rico Negrete, José de Jesús Ortega García, Rebeca Abencerraje </w:t>
      </w:r>
      <w:proofErr w:type="spellStart"/>
      <w:r w:rsidRPr="004D0ACF">
        <w:rPr>
          <w:sz w:val="18"/>
          <w:szCs w:val="18"/>
        </w:rPr>
        <w:t>Faes</w:t>
      </w:r>
      <w:proofErr w:type="spellEnd"/>
      <w:r w:rsidRPr="004D0ACF">
        <w:rPr>
          <w:sz w:val="18"/>
          <w:szCs w:val="18"/>
        </w:rPr>
        <w:t>, Nancy Guadalupe Velázquez Rosiles</w:t>
      </w:r>
      <w:r>
        <w:rPr>
          <w:sz w:val="18"/>
          <w:szCs w:val="18"/>
        </w:rPr>
        <w:t>,</w:t>
      </w:r>
      <w:r w:rsidRPr="004D0ACF">
        <w:rPr>
          <w:sz w:val="18"/>
          <w:szCs w:val="18"/>
        </w:rPr>
        <w:t xml:space="preserve"> Heriberto Ibáñez Arredondo, Roberto Rojas Laguna, Rebeca Rojas Laguna, Estela Martínez Granado, Rubén </w:t>
      </w:r>
      <w:proofErr w:type="spellStart"/>
      <w:r w:rsidRPr="004D0ACF">
        <w:rPr>
          <w:sz w:val="18"/>
          <w:szCs w:val="18"/>
        </w:rPr>
        <w:t>Segobiano</w:t>
      </w:r>
      <w:proofErr w:type="spellEnd"/>
      <w:r w:rsidRPr="004D0ACF">
        <w:rPr>
          <w:sz w:val="18"/>
          <w:szCs w:val="18"/>
        </w:rPr>
        <w:t xml:space="preserve"> Oros, Gerardo Páramo Hernández, María Soledad Villasana González, María Isidra Cornejo Pizano, Gabriel Rodríguez Vargas , Maribel Rodríguez Solano, Lidia Córdova Sandoval, Jaime Teodoro Covarrubias Martínez y Miguel Torres Cisneros</w:t>
      </w:r>
      <w:r>
        <w:rPr>
          <w:sz w:val="18"/>
          <w:szCs w:val="18"/>
        </w:rPr>
        <w:t>.</w:t>
      </w:r>
    </w:p>
  </w:footnote>
  <w:footnote w:id="3">
    <w:p w14:paraId="563D31D1" w14:textId="77777777" w:rsidR="007027C8" w:rsidRDefault="007027C8" w:rsidP="007027C8">
      <w:pPr>
        <w:pStyle w:val="Textonotapie"/>
        <w:spacing w:before="0" w:beforeAutospacing="0" w:afterAutospacing="0"/>
      </w:pPr>
      <w:r>
        <w:rPr>
          <w:rStyle w:val="Refdenotaalpie"/>
        </w:rPr>
        <w:footnoteRef/>
      </w:r>
      <w:r>
        <w:t xml:space="preserve"> Mediante </w:t>
      </w:r>
      <w:r w:rsidRPr="00A24BB0">
        <w:t>acuerdo CGIEEG/045/2020</w:t>
      </w:r>
    </w:p>
  </w:footnote>
  <w:footnote w:id="4">
    <w:p w14:paraId="04ACFF83" w14:textId="77777777" w:rsidR="007027C8" w:rsidRDefault="007027C8" w:rsidP="007027C8">
      <w:pPr>
        <w:pStyle w:val="Textonotapie"/>
        <w:spacing w:before="0" w:beforeAutospacing="0" w:afterAutospacing="0"/>
      </w:pPr>
      <w:r>
        <w:rPr>
          <w:rStyle w:val="Refdenotaalpie"/>
        </w:rPr>
        <w:footnoteRef/>
      </w:r>
      <w:r>
        <w:t xml:space="preserve"> En el acuerdo</w:t>
      </w:r>
      <w:r w:rsidRPr="00724F02">
        <w:t xml:space="preserve"> CGIEEG/092/2020</w:t>
      </w:r>
    </w:p>
  </w:footnote>
  <w:footnote w:id="5">
    <w:p w14:paraId="7BD2FD3B" w14:textId="77777777" w:rsidR="007027C8" w:rsidRDefault="007027C8" w:rsidP="007027C8">
      <w:pPr>
        <w:pStyle w:val="Textonotapie"/>
        <w:spacing w:before="0" w:beforeAutospacing="0" w:afterAutospacing="0"/>
      </w:pPr>
      <w:r>
        <w:rPr>
          <w:rStyle w:val="Refdenotaalpie"/>
        </w:rPr>
        <w:footnoteRef/>
      </w:r>
      <w:r>
        <w:t xml:space="preserve"> En adelante las fechas corresponden a </w:t>
      </w:r>
      <w:proofErr w:type="gramStart"/>
      <w:r>
        <w:t>dos mil veintiuno</w:t>
      </w:r>
      <w:proofErr w:type="gramEnd"/>
      <w:r>
        <w:t>, salvo mención diversa.</w:t>
      </w:r>
    </w:p>
  </w:footnote>
  <w:footnote w:id="6">
    <w:p w14:paraId="6849CCEC" w14:textId="77777777" w:rsidR="007027C8" w:rsidRDefault="007027C8" w:rsidP="007027C8">
      <w:pPr>
        <w:pStyle w:val="Textonotapie"/>
        <w:spacing w:before="0" w:beforeAutospacing="0" w:afterAutospacing="0"/>
      </w:pPr>
      <w:r>
        <w:rPr>
          <w:rStyle w:val="Refdenotaalpie"/>
        </w:rPr>
        <w:footnoteRef/>
      </w:r>
      <w:r>
        <w:t xml:space="preserve"> Mediante acuerdo</w:t>
      </w:r>
      <w:r w:rsidRPr="00B0417B">
        <w:t xml:space="preserve"> CGIEEG/056/2021</w:t>
      </w:r>
      <w:r>
        <w:t>.</w:t>
      </w:r>
    </w:p>
  </w:footnote>
  <w:footnote w:id="7">
    <w:p w14:paraId="724769C0" w14:textId="77777777" w:rsidR="007027C8" w:rsidRDefault="007027C8" w:rsidP="007027C8">
      <w:pPr>
        <w:pStyle w:val="Textonotapie"/>
        <w:spacing w:before="0" w:beforeAutospacing="0" w:afterAutospacing="0"/>
      </w:pPr>
      <w:r>
        <w:rPr>
          <w:rStyle w:val="Refdenotaalpie"/>
        </w:rPr>
        <w:footnoteRef/>
      </w:r>
      <w:r>
        <w:t xml:space="preserve"> En</w:t>
      </w:r>
      <w:r w:rsidRPr="008A12B5">
        <w:t xml:space="preserve"> el acuerdo CGIEEG/077/2021</w:t>
      </w:r>
      <w:r>
        <w:t>.</w:t>
      </w:r>
    </w:p>
  </w:footnote>
  <w:footnote w:id="8">
    <w:p w14:paraId="38B0D9CB" w14:textId="77777777" w:rsidR="007027C8" w:rsidRDefault="007027C8" w:rsidP="007027C8">
      <w:pPr>
        <w:pStyle w:val="Textonotapie"/>
        <w:spacing w:before="0" w:beforeAutospacing="0" w:afterAutospacing="0"/>
      </w:pPr>
      <w:r>
        <w:rPr>
          <w:rStyle w:val="Refdenotaalpie"/>
        </w:rPr>
        <w:footnoteRef/>
      </w:r>
      <w:r>
        <w:t xml:space="preserve"> Mediante</w:t>
      </w:r>
      <w:r w:rsidRPr="001460FE">
        <w:t xml:space="preserve"> acuerdo CGIEEG/116/2021</w:t>
      </w:r>
    </w:p>
  </w:footnote>
  <w:footnote w:id="9">
    <w:p w14:paraId="73A02213" w14:textId="77777777" w:rsidR="007027C8" w:rsidRPr="009D2AE6" w:rsidRDefault="007027C8" w:rsidP="007027C8">
      <w:pPr>
        <w:pStyle w:val="Textonotapie"/>
        <w:spacing w:before="0" w:beforeAutospacing="0" w:afterAutospacing="0"/>
        <w:rPr>
          <w:rFonts w:cs="Arial"/>
          <w:sz w:val="18"/>
          <w:szCs w:val="18"/>
        </w:rPr>
      </w:pPr>
      <w:r w:rsidRPr="009D2AE6">
        <w:rPr>
          <w:rStyle w:val="Refdenotaalpie"/>
          <w:rFonts w:cs="Arial"/>
          <w:sz w:val="18"/>
          <w:szCs w:val="18"/>
        </w:rPr>
        <w:footnoteRef/>
      </w:r>
      <w:r w:rsidRPr="009D2AE6">
        <w:rPr>
          <w:rFonts w:cs="Arial"/>
          <w:sz w:val="18"/>
          <w:szCs w:val="18"/>
        </w:rPr>
        <w:t xml:space="preserve"> Artículos 41, párrafo tercero, Base VI, 99, párrafo cuarto, fracción X, de la Constitución; 186, fracción X, y 189, fracción I, inciso b), de la Ley Orgánica, y 64 de la Ley de Medios.</w:t>
      </w:r>
    </w:p>
  </w:footnote>
  <w:footnote w:id="10">
    <w:p w14:paraId="6148313B" w14:textId="77777777" w:rsidR="007027C8" w:rsidRPr="009D2AE6" w:rsidRDefault="007027C8" w:rsidP="007027C8">
      <w:pPr>
        <w:pStyle w:val="Textonotapie"/>
        <w:spacing w:before="0" w:beforeAutospacing="0" w:afterAutospacing="0"/>
        <w:rPr>
          <w:rFonts w:cs="Arial"/>
          <w:sz w:val="18"/>
          <w:szCs w:val="18"/>
        </w:rPr>
      </w:pPr>
      <w:r w:rsidRPr="009D2AE6">
        <w:rPr>
          <w:rStyle w:val="Refdenotaalpie"/>
          <w:rFonts w:cs="Arial"/>
          <w:sz w:val="18"/>
          <w:szCs w:val="18"/>
        </w:rPr>
        <w:footnoteRef/>
      </w:r>
      <w:r w:rsidRPr="009D2AE6">
        <w:rPr>
          <w:rFonts w:cs="Arial"/>
          <w:sz w:val="18"/>
          <w:szCs w:val="18"/>
        </w:rPr>
        <w:t xml:space="preserve"> Aprobado el uno de octubre y publicado en el Diario Oficial de la Federación del trece siguiente.</w:t>
      </w:r>
    </w:p>
  </w:footnote>
  <w:footnote w:id="11">
    <w:p w14:paraId="299587DD" w14:textId="77777777" w:rsidR="007027C8" w:rsidRPr="009D2AE6" w:rsidRDefault="007027C8" w:rsidP="007027C8">
      <w:pPr>
        <w:pStyle w:val="Textonotapie"/>
        <w:spacing w:before="0" w:beforeAutospacing="0" w:afterAutospacing="0"/>
        <w:rPr>
          <w:rFonts w:cs="Arial"/>
          <w:sz w:val="18"/>
          <w:szCs w:val="18"/>
          <w:highlight w:val="lightGray"/>
        </w:rPr>
      </w:pPr>
      <w:r w:rsidRPr="009D2AE6">
        <w:rPr>
          <w:rStyle w:val="Refdenotaalpie"/>
          <w:rFonts w:cs="Arial"/>
          <w:sz w:val="18"/>
          <w:szCs w:val="18"/>
        </w:rPr>
        <w:footnoteRef/>
      </w:r>
      <w:r w:rsidRPr="009D2AE6">
        <w:rPr>
          <w:rFonts w:cs="Arial"/>
          <w:sz w:val="18"/>
          <w:szCs w:val="18"/>
        </w:rPr>
        <w:t xml:space="preserve"> De conformidad con lo previsto en los artículos 9, párrafo 3, 61, párrafo 1, inciso b), 62, párrafo 1, inciso a), fracción IV, y 68, párrafo 1, de la Ley de Medios.</w:t>
      </w:r>
    </w:p>
  </w:footnote>
  <w:footnote w:id="12">
    <w:p w14:paraId="688A048C" w14:textId="77777777" w:rsidR="007027C8" w:rsidRPr="009D2AE6" w:rsidRDefault="007027C8" w:rsidP="007027C8">
      <w:pPr>
        <w:pStyle w:val="Textonotapie"/>
        <w:spacing w:before="0" w:beforeAutospacing="0" w:afterAutospacing="0"/>
        <w:rPr>
          <w:rFonts w:cs="Arial"/>
          <w:sz w:val="18"/>
          <w:szCs w:val="18"/>
        </w:rPr>
      </w:pPr>
      <w:r w:rsidRPr="009D2AE6">
        <w:rPr>
          <w:rStyle w:val="Refdenotaalpie"/>
          <w:rFonts w:cs="Arial"/>
          <w:sz w:val="18"/>
          <w:szCs w:val="18"/>
        </w:rPr>
        <w:footnoteRef/>
      </w:r>
      <w:r w:rsidRPr="009D2AE6">
        <w:rPr>
          <w:rFonts w:cs="Arial"/>
          <w:sz w:val="18"/>
          <w:szCs w:val="18"/>
        </w:rPr>
        <w:t xml:space="preserve"> En términos del artículo 9 de la Ley de Medios.</w:t>
      </w:r>
    </w:p>
  </w:footnote>
  <w:footnote w:id="13">
    <w:p w14:paraId="11DD51D8" w14:textId="77777777" w:rsidR="007027C8" w:rsidRPr="009D2AE6" w:rsidRDefault="007027C8" w:rsidP="007027C8">
      <w:pPr>
        <w:pStyle w:val="Textonotapie"/>
        <w:spacing w:before="0" w:beforeAutospacing="0" w:afterAutospacing="0"/>
        <w:rPr>
          <w:rFonts w:cs="Arial"/>
          <w:sz w:val="18"/>
          <w:szCs w:val="18"/>
        </w:rPr>
      </w:pPr>
      <w:r w:rsidRPr="009D2AE6">
        <w:rPr>
          <w:rStyle w:val="Refdenotaalpie"/>
          <w:rFonts w:cs="Arial"/>
          <w:sz w:val="18"/>
          <w:szCs w:val="18"/>
        </w:rPr>
        <w:footnoteRef/>
      </w:r>
      <w:r w:rsidRPr="009D2AE6">
        <w:rPr>
          <w:rFonts w:cs="Arial"/>
          <w:sz w:val="18"/>
          <w:szCs w:val="18"/>
        </w:rPr>
        <w:t xml:space="preserve"> Conforme al artículo, 25 de la Ley de Medios, en relación con el artículo 195, fracción IV, de la Ley Orgánica.</w:t>
      </w:r>
    </w:p>
  </w:footnote>
  <w:footnote w:id="14">
    <w:p w14:paraId="72997CEB" w14:textId="77777777" w:rsidR="007027C8" w:rsidRPr="009D2AE6" w:rsidRDefault="007027C8" w:rsidP="007027C8">
      <w:pPr>
        <w:pStyle w:val="Textonotapie"/>
        <w:spacing w:before="0" w:beforeAutospacing="0" w:afterAutospacing="0"/>
        <w:rPr>
          <w:rFonts w:cs="Arial"/>
          <w:sz w:val="18"/>
          <w:szCs w:val="18"/>
        </w:rPr>
      </w:pPr>
      <w:r w:rsidRPr="009D2AE6">
        <w:rPr>
          <w:rStyle w:val="Refdenotaalpie"/>
          <w:rFonts w:cs="Arial"/>
          <w:sz w:val="18"/>
          <w:szCs w:val="18"/>
        </w:rPr>
        <w:footnoteRef/>
      </w:r>
      <w:r w:rsidRPr="009D2AE6">
        <w:rPr>
          <w:rFonts w:cs="Arial"/>
          <w:sz w:val="18"/>
          <w:szCs w:val="18"/>
        </w:rPr>
        <w:t xml:space="preserve"> Acorde al artículo 61 de la Ley de Medios y la Jurisprudencia 22/2001 de rubro: “</w:t>
      </w:r>
      <w:r w:rsidRPr="009D2AE6">
        <w:rPr>
          <w:rFonts w:cs="Arial"/>
          <w:b/>
          <w:sz w:val="18"/>
          <w:szCs w:val="18"/>
        </w:rPr>
        <w:t>RECONSIDERACIÓN. CONCEPTO DE SENTENCIA DE FONDO, PARA LA INTERPOSICIÓN DEL RECURSO</w:t>
      </w:r>
      <w:r w:rsidRPr="009D2AE6">
        <w:rPr>
          <w:rFonts w:cs="Arial"/>
          <w:sz w:val="18"/>
          <w:szCs w:val="18"/>
        </w:rPr>
        <w:t>”. Las tesis y jurisprudencias señaladas en la presente sentencia pueden consultarse en el portal de internet del Tribunal Electoral: http://www.te.gob.mx</w:t>
      </w:r>
    </w:p>
  </w:footnote>
  <w:footnote w:id="15">
    <w:p w14:paraId="055A3F15" w14:textId="77777777" w:rsidR="007027C8" w:rsidRPr="009D2AE6" w:rsidRDefault="007027C8" w:rsidP="007027C8">
      <w:pPr>
        <w:pStyle w:val="Textonotapie"/>
        <w:spacing w:before="0" w:beforeAutospacing="0" w:afterAutospacing="0"/>
        <w:rPr>
          <w:rFonts w:cs="Arial"/>
          <w:sz w:val="18"/>
          <w:szCs w:val="18"/>
        </w:rPr>
      </w:pPr>
      <w:r w:rsidRPr="009D2AE6">
        <w:rPr>
          <w:rStyle w:val="Refdenotaalpie"/>
          <w:rFonts w:cs="Arial"/>
          <w:sz w:val="18"/>
          <w:szCs w:val="18"/>
        </w:rPr>
        <w:footnoteRef/>
      </w:r>
      <w:r w:rsidRPr="009D2AE6">
        <w:rPr>
          <w:rFonts w:cs="Arial"/>
          <w:sz w:val="18"/>
          <w:szCs w:val="18"/>
        </w:rPr>
        <w:t xml:space="preserve"> Jurisprudencia 32/2009, de rubro: “</w:t>
      </w:r>
      <w:r w:rsidRPr="009D2AE6">
        <w:rPr>
          <w:rFonts w:cs="Arial"/>
          <w:b/>
          <w:sz w:val="18"/>
          <w:szCs w:val="18"/>
        </w:rPr>
        <w:t>RECURSO DE RECONSIDERACIÓN. PROCEDE SI EN LA SENTENCIA LA SALA REGIONAL INAPLICA, EXPRESA O IMPLÍCITAMENTE, UNA LEY ELECTORAL POR CONSIDERARLA INCONSTITUCIONAL.</w:t>
      </w:r>
      <w:r w:rsidRPr="009D2AE6">
        <w:rPr>
          <w:rFonts w:cs="Arial"/>
          <w:sz w:val="18"/>
          <w:szCs w:val="18"/>
        </w:rPr>
        <w:t>”</w:t>
      </w:r>
    </w:p>
  </w:footnote>
  <w:footnote w:id="16">
    <w:p w14:paraId="7232B7E8" w14:textId="77777777" w:rsidR="007027C8" w:rsidRPr="009D2AE6" w:rsidRDefault="007027C8" w:rsidP="007027C8">
      <w:pPr>
        <w:pStyle w:val="Textonotapie"/>
        <w:spacing w:before="0" w:beforeAutospacing="0" w:afterAutospacing="0"/>
        <w:rPr>
          <w:rFonts w:cs="Arial"/>
          <w:sz w:val="18"/>
          <w:szCs w:val="18"/>
        </w:rPr>
      </w:pPr>
      <w:r w:rsidRPr="009D2AE6">
        <w:rPr>
          <w:rStyle w:val="Refdenotaalpie"/>
          <w:rFonts w:cs="Arial"/>
          <w:sz w:val="18"/>
          <w:szCs w:val="18"/>
        </w:rPr>
        <w:footnoteRef/>
      </w:r>
      <w:r w:rsidRPr="009D2AE6">
        <w:rPr>
          <w:rFonts w:cs="Arial"/>
          <w:sz w:val="18"/>
          <w:szCs w:val="18"/>
        </w:rPr>
        <w:t xml:space="preserve"> Jurisprudencia 17/2012, de rubro: “</w:t>
      </w:r>
      <w:r w:rsidRPr="009D2AE6">
        <w:rPr>
          <w:rFonts w:cs="Arial"/>
          <w:b/>
          <w:sz w:val="18"/>
          <w:szCs w:val="18"/>
        </w:rPr>
        <w:t>RECURSO DE RECONSIDERACIÓN. PROCEDE CONTRA SENTENCIAS DE LAS SALAS REGIONALES EN LAS QUE EXPRESA O IMPLÍCITAMENTE, SE INAPLICAN NORMAS PARTIDISTAS</w:t>
      </w:r>
      <w:r w:rsidRPr="009D2AE6">
        <w:rPr>
          <w:rFonts w:cs="Arial"/>
          <w:sz w:val="18"/>
          <w:szCs w:val="18"/>
        </w:rPr>
        <w:t>.”</w:t>
      </w:r>
    </w:p>
  </w:footnote>
  <w:footnote w:id="17">
    <w:p w14:paraId="1EC630BA" w14:textId="77777777" w:rsidR="007027C8" w:rsidRPr="009D2AE6" w:rsidRDefault="007027C8" w:rsidP="007027C8">
      <w:pPr>
        <w:pStyle w:val="Textonotapie"/>
        <w:spacing w:before="0" w:beforeAutospacing="0" w:afterAutospacing="0"/>
        <w:rPr>
          <w:rFonts w:cs="Arial"/>
          <w:sz w:val="18"/>
          <w:szCs w:val="18"/>
        </w:rPr>
      </w:pPr>
      <w:r w:rsidRPr="009D2AE6">
        <w:rPr>
          <w:rStyle w:val="Refdenotaalpie"/>
          <w:rFonts w:cs="Arial"/>
          <w:sz w:val="18"/>
          <w:szCs w:val="18"/>
        </w:rPr>
        <w:footnoteRef/>
      </w:r>
      <w:r w:rsidRPr="009D2AE6">
        <w:rPr>
          <w:rFonts w:cs="Arial"/>
          <w:sz w:val="18"/>
          <w:szCs w:val="18"/>
        </w:rPr>
        <w:t xml:space="preserve"> Jurisprudencia 19/2012, de rubro: “</w:t>
      </w:r>
      <w:r w:rsidRPr="009D2AE6">
        <w:rPr>
          <w:rFonts w:cs="Arial"/>
          <w:b/>
          <w:sz w:val="18"/>
          <w:szCs w:val="18"/>
        </w:rPr>
        <w:t>RECURSO DE RECONSIDERACIÓN. PROCEDE CONTRA SENTENCIAS DE LAS SALAS REGIONALES CUANDO INAPLIQUEN NORMAS CONSUETUDINARIAS DE CARÁCTER ELECTORAL</w:t>
      </w:r>
      <w:r w:rsidRPr="009D2AE6">
        <w:rPr>
          <w:rFonts w:cs="Arial"/>
          <w:sz w:val="18"/>
          <w:szCs w:val="18"/>
        </w:rPr>
        <w:t>.”</w:t>
      </w:r>
    </w:p>
  </w:footnote>
  <w:footnote w:id="18">
    <w:p w14:paraId="34480359" w14:textId="77777777" w:rsidR="007027C8" w:rsidRPr="009D2AE6" w:rsidRDefault="007027C8" w:rsidP="007027C8">
      <w:pPr>
        <w:pStyle w:val="Textonotapie"/>
        <w:spacing w:before="0" w:beforeAutospacing="0" w:afterAutospacing="0"/>
        <w:rPr>
          <w:rFonts w:cs="Arial"/>
          <w:sz w:val="18"/>
          <w:szCs w:val="18"/>
        </w:rPr>
      </w:pPr>
      <w:r w:rsidRPr="009D2AE6">
        <w:rPr>
          <w:rStyle w:val="Refdenotaalpie"/>
          <w:rFonts w:cs="Arial"/>
          <w:sz w:val="18"/>
          <w:szCs w:val="18"/>
        </w:rPr>
        <w:footnoteRef/>
      </w:r>
      <w:r w:rsidRPr="009D2AE6">
        <w:rPr>
          <w:rFonts w:cs="Arial"/>
          <w:sz w:val="18"/>
          <w:szCs w:val="18"/>
        </w:rPr>
        <w:t xml:space="preserve"> Jurisprudencia 10/2011, de rubro: “</w:t>
      </w:r>
      <w:r w:rsidRPr="009D2AE6">
        <w:rPr>
          <w:rFonts w:cs="Arial"/>
          <w:b/>
          <w:sz w:val="18"/>
          <w:szCs w:val="18"/>
        </w:rPr>
        <w:t>RECONSIDERACIÓN. PROCEDE CONTRA SENTENCIAS DE LAS SALAS REGIONALES CUANDO SE OMITE EL ESTUDIO O SE DECLARAN INOPERANTES LOS AGRAVIOS RELACIONADOS CON LA INCONSTITUCIONALIDAD DE NORMAS ELECTORALES</w:t>
      </w:r>
      <w:r w:rsidRPr="009D2AE6">
        <w:rPr>
          <w:rFonts w:cs="Arial"/>
          <w:sz w:val="18"/>
          <w:szCs w:val="18"/>
        </w:rPr>
        <w:t>.”</w:t>
      </w:r>
    </w:p>
  </w:footnote>
  <w:footnote w:id="19">
    <w:p w14:paraId="49B53483" w14:textId="77777777" w:rsidR="007027C8" w:rsidRPr="009D2AE6" w:rsidRDefault="007027C8" w:rsidP="007027C8">
      <w:pPr>
        <w:pStyle w:val="Textonotapie"/>
        <w:spacing w:before="0" w:beforeAutospacing="0" w:afterAutospacing="0"/>
        <w:rPr>
          <w:rFonts w:cs="Arial"/>
          <w:sz w:val="18"/>
          <w:szCs w:val="18"/>
        </w:rPr>
      </w:pPr>
      <w:r w:rsidRPr="009D2AE6">
        <w:rPr>
          <w:rStyle w:val="Refdenotaalpie"/>
          <w:rFonts w:cs="Arial"/>
          <w:sz w:val="18"/>
          <w:szCs w:val="18"/>
        </w:rPr>
        <w:footnoteRef/>
      </w:r>
      <w:r w:rsidRPr="009D2AE6">
        <w:rPr>
          <w:rFonts w:cs="Arial"/>
          <w:sz w:val="18"/>
          <w:szCs w:val="18"/>
        </w:rPr>
        <w:t xml:space="preserve"> Criterio aprobado por la Sala Superior, en sesión pública de veintisiete de junio de dos mil doce, al resolver los recursos de reconsideración </w:t>
      </w:r>
      <w:r w:rsidRPr="009D2AE6">
        <w:rPr>
          <w:rFonts w:cs="Arial"/>
          <w:b/>
          <w:sz w:val="18"/>
          <w:szCs w:val="18"/>
        </w:rPr>
        <w:t>SUP-REC-57/2012</w:t>
      </w:r>
      <w:r w:rsidRPr="009D2AE6">
        <w:rPr>
          <w:rFonts w:cs="Arial"/>
          <w:sz w:val="18"/>
          <w:szCs w:val="18"/>
        </w:rPr>
        <w:t xml:space="preserve"> y acumulado.</w:t>
      </w:r>
    </w:p>
  </w:footnote>
  <w:footnote w:id="20">
    <w:p w14:paraId="47AC74DC" w14:textId="77777777" w:rsidR="007027C8" w:rsidRPr="009D2AE6" w:rsidRDefault="007027C8" w:rsidP="007027C8">
      <w:pPr>
        <w:pStyle w:val="Textonotapie"/>
        <w:spacing w:before="0" w:beforeAutospacing="0" w:afterAutospacing="0"/>
        <w:rPr>
          <w:rFonts w:cs="Arial"/>
          <w:sz w:val="18"/>
          <w:szCs w:val="18"/>
        </w:rPr>
      </w:pPr>
      <w:r w:rsidRPr="009D2AE6">
        <w:rPr>
          <w:rStyle w:val="Refdenotaalpie"/>
          <w:rFonts w:cs="Arial"/>
          <w:sz w:val="18"/>
          <w:szCs w:val="18"/>
        </w:rPr>
        <w:footnoteRef/>
      </w:r>
      <w:r w:rsidRPr="009D2AE6">
        <w:rPr>
          <w:rFonts w:cs="Arial"/>
          <w:sz w:val="18"/>
          <w:szCs w:val="18"/>
        </w:rPr>
        <w:t xml:space="preserve"> Jurisprudencia 26/2012, de rubro: “</w:t>
      </w:r>
      <w:r w:rsidRPr="009D2AE6">
        <w:rPr>
          <w:rFonts w:cs="Arial"/>
          <w:b/>
          <w:sz w:val="18"/>
          <w:szCs w:val="18"/>
        </w:rPr>
        <w:t>RECURSO DE RECONSIDERACIÓN. PROCEDE CONTRA SENTENCIAS DE SALAS REGIONALES EN LAS QUE SE INTERPRETEN DIRECTAMENTE PRECEPTOS CONSTITUCIONALES</w:t>
      </w:r>
      <w:r w:rsidRPr="009D2AE6">
        <w:rPr>
          <w:rFonts w:cs="Arial"/>
          <w:sz w:val="18"/>
          <w:szCs w:val="18"/>
        </w:rPr>
        <w:t>.”</w:t>
      </w:r>
    </w:p>
  </w:footnote>
  <w:footnote w:id="21">
    <w:p w14:paraId="3E0BEBA5" w14:textId="77777777" w:rsidR="007027C8" w:rsidRPr="009D2AE6" w:rsidRDefault="007027C8" w:rsidP="007027C8">
      <w:pPr>
        <w:pStyle w:val="Textonotapie"/>
        <w:spacing w:before="0" w:beforeAutospacing="0" w:afterAutospacing="0"/>
        <w:rPr>
          <w:rFonts w:cs="Arial"/>
          <w:sz w:val="18"/>
          <w:szCs w:val="18"/>
        </w:rPr>
      </w:pPr>
      <w:r w:rsidRPr="009D2AE6">
        <w:rPr>
          <w:rStyle w:val="Refdenotaalpie"/>
          <w:rFonts w:cs="Arial"/>
          <w:sz w:val="18"/>
          <w:szCs w:val="18"/>
        </w:rPr>
        <w:footnoteRef/>
      </w:r>
      <w:r w:rsidRPr="009D2AE6">
        <w:rPr>
          <w:rFonts w:cs="Arial"/>
          <w:sz w:val="18"/>
          <w:szCs w:val="18"/>
        </w:rPr>
        <w:t xml:space="preserve"> Jurisprudencia 28/2013, de rubro: “</w:t>
      </w:r>
      <w:r w:rsidRPr="009D2AE6">
        <w:rPr>
          <w:rFonts w:cs="Arial"/>
          <w:b/>
          <w:sz w:val="18"/>
          <w:szCs w:val="18"/>
        </w:rPr>
        <w:t>RECURSO DE RECONSIDERACIÓN. PROCEDE PARA CONTROVERTIR SENTENCIAS DE LAS SALAS REGIONALES CUANDO EJERZAN CONTROL DE CONVENCIONALIDAD</w:t>
      </w:r>
      <w:r w:rsidRPr="009D2AE6">
        <w:rPr>
          <w:rFonts w:cs="Arial"/>
          <w:sz w:val="18"/>
          <w:szCs w:val="18"/>
        </w:rPr>
        <w:t>”.</w:t>
      </w:r>
    </w:p>
  </w:footnote>
  <w:footnote w:id="22">
    <w:p w14:paraId="6A5BFCF8" w14:textId="77777777" w:rsidR="007027C8" w:rsidRPr="009D2AE6" w:rsidRDefault="007027C8" w:rsidP="007027C8">
      <w:pPr>
        <w:pStyle w:val="Textonotapie"/>
        <w:spacing w:before="0" w:beforeAutospacing="0" w:afterAutospacing="0"/>
        <w:rPr>
          <w:rFonts w:cs="Arial"/>
          <w:sz w:val="18"/>
          <w:szCs w:val="18"/>
        </w:rPr>
      </w:pPr>
      <w:r w:rsidRPr="009D2AE6">
        <w:rPr>
          <w:rStyle w:val="Refdenotaalpie"/>
          <w:rFonts w:cs="Arial"/>
          <w:sz w:val="18"/>
          <w:szCs w:val="18"/>
        </w:rPr>
        <w:footnoteRef/>
      </w:r>
      <w:r w:rsidRPr="009D2AE6">
        <w:rPr>
          <w:rFonts w:cs="Arial"/>
          <w:sz w:val="18"/>
          <w:szCs w:val="18"/>
        </w:rPr>
        <w:t xml:space="preserve"> Jurisprudencia 5/2014, de rubro: “</w:t>
      </w:r>
      <w:r w:rsidRPr="009D2AE6">
        <w:rPr>
          <w:rFonts w:cs="Arial"/>
          <w:b/>
          <w:sz w:val="18"/>
          <w:szCs w:val="18"/>
        </w:rPr>
        <w:t>RECURSO DE RECONSIDERACIÓN. PROCEDE CUANDO SE ADUZCA LA EXISTENCIA DE IRREGULARIDADES GRAVES QUE PUEDAN AFECTAR LOS PRINCIPIOS CONSTITUCIONALES Y CONVENCIONALES EXIGIDOS PARA LA VALIDEZ DE LAS ELECCIONES</w:t>
      </w:r>
      <w:r w:rsidRPr="009D2AE6">
        <w:rPr>
          <w:rFonts w:cs="Arial"/>
          <w:sz w:val="18"/>
          <w:szCs w:val="18"/>
        </w:rPr>
        <w:t>.”</w:t>
      </w:r>
    </w:p>
  </w:footnote>
  <w:footnote w:id="23">
    <w:p w14:paraId="6604A2BD" w14:textId="77777777" w:rsidR="007027C8" w:rsidRPr="009D2AE6" w:rsidRDefault="007027C8" w:rsidP="007027C8">
      <w:pPr>
        <w:pStyle w:val="Textonotapie"/>
        <w:spacing w:before="0" w:beforeAutospacing="0" w:afterAutospacing="0"/>
        <w:rPr>
          <w:rFonts w:cs="Arial"/>
          <w:sz w:val="18"/>
          <w:szCs w:val="18"/>
        </w:rPr>
      </w:pPr>
      <w:r w:rsidRPr="009D2AE6">
        <w:rPr>
          <w:rStyle w:val="Refdenotaalpie"/>
          <w:rFonts w:cs="Arial"/>
          <w:sz w:val="18"/>
          <w:szCs w:val="18"/>
        </w:rPr>
        <w:footnoteRef/>
      </w:r>
      <w:r w:rsidRPr="009D2AE6">
        <w:rPr>
          <w:rFonts w:cs="Arial"/>
          <w:sz w:val="18"/>
          <w:szCs w:val="18"/>
        </w:rPr>
        <w:t xml:space="preserve"> Jurisprudencia 12/2014, de rubro: “</w:t>
      </w:r>
      <w:r w:rsidRPr="009D2AE6">
        <w:rPr>
          <w:rFonts w:cs="Arial"/>
          <w:b/>
          <w:sz w:val="18"/>
          <w:szCs w:val="18"/>
        </w:rPr>
        <w:t>RECURSO DE RECONSIDERACIÓN. PROCEDE PARA IMPUGNAR SENTENCIAS DE LAS SALAS REGIONALES SI SE ADUCE INDEBIDO ANÁLISIS U OMISIÓN DE ESTUDIO SOBRE LA CONSTITUCIONALIDAD DE NORMAS LEGALES IMPUGNADAS CON MOTIVO DE SU ACTO DE APLICACIÓN</w:t>
      </w:r>
      <w:r w:rsidRPr="009D2AE6">
        <w:rPr>
          <w:rFonts w:cs="Arial"/>
          <w:sz w:val="18"/>
          <w:szCs w:val="18"/>
        </w:rPr>
        <w:t>.”</w:t>
      </w:r>
    </w:p>
  </w:footnote>
  <w:footnote w:id="24">
    <w:p w14:paraId="5AE41509" w14:textId="77777777" w:rsidR="007027C8" w:rsidRPr="009D2AE6" w:rsidRDefault="007027C8" w:rsidP="007027C8">
      <w:pPr>
        <w:pStyle w:val="Textonotapie"/>
        <w:spacing w:before="0" w:beforeAutospacing="0" w:afterAutospacing="0"/>
        <w:rPr>
          <w:rFonts w:cs="Arial"/>
          <w:sz w:val="18"/>
          <w:szCs w:val="18"/>
        </w:rPr>
      </w:pPr>
      <w:r w:rsidRPr="009D2AE6">
        <w:rPr>
          <w:rStyle w:val="Refdenotaalpie"/>
          <w:rFonts w:cs="Arial"/>
          <w:sz w:val="18"/>
          <w:szCs w:val="18"/>
        </w:rPr>
        <w:footnoteRef/>
      </w:r>
      <w:r w:rsidRPr="009D2AE6">
        <w:rPr>
          <w:rFonts w:cs="Arial"/>
          <w:sz w:val="18"/>
          <w:szCs w:val="18"/>
        </w:rPr>
        <w:t xml:space="preserve"> Jurisprudencia 12/2018, de rubro: “</w:t>
      </w:r>
      <w:r w:rsidRPr="009D2AE6">
        <w:rPr>
          <w:rFonts w:cs="Arial"/>
          <w:b/>
          <w:sz w:val="18"/>
          <w:szCs w:val="18"/>
        </w:rPr>
        <w:t>RECURSO DE RECONSIDERACIÓN. PROCEDE CONTRA SENTENCIAS DE DESECHAMIENTO CUANDO SE ADVIERTA UNA VIOLACIÓN MANIFIESTA AL DEBIDO PROCESO O EN CASO DE NOTORIO ERROR JUDICIAL.</w:t>
      </w:r>
      <w:r w:rsidRPr="009D2AE6">
        <w:rPr>
          <w:rFonts w:cs="Arial"/>
          <w:sz w:val="18"/>
          <w:szCs w:val="18"/>
        </w:rPr>
        <w:t>”</w:t>
      </w:r>
    </w:p>
  </w:footnote>
  <w:footnote w:id="25">
    <w:p w14:paraId="7B07D514" w14:textId="77777777" w:rsidR="007027C8" w:rsidRPr="009D2AE6" w:rsidRDefault="007027C8" w:rsidP="007027C8">
      <w:pPr>
        <w:pStyle w:val="Textonotapie"/>
        <w:spacing w:before="0" w:beforeAutospacing="0" w:afterAutospacing="0"/>
        <w:rPr>
          <w:sz w:val="18"/>
          <w:szCs w:val="18"/>
        </w:rPr>
      </w:pPr>
      <w:r w:rsidRPr="009D2AE6">
        <w:rPr>
          <w:rStyle w:val="Refdenotaalpie"/>
          <w:sz w:val="18"/>
          <w:szCs w:val="18"/>
        </w:rPr>
        <w:footnoteRef/>
      </w:r>
      <w:r w:rsidRPr="009D2AE6">
        <w:rPr>
          <w:sz w:val="18"/>
          <w:szCs w:val="18"/>
        </w:rPr>
        <w:t xml:space="preserve"> </w:t>
      </w:r>
      <w:r w:rsidRPr="009D2AE6">
        <w:rPr>
          <w:rFonts w:cs="Arial"/>
          <w:sz w:val="18"/>
          <w:szCs w:val="18"/>
          <w:shd w:val="clear" w:color="auto" w:fill="FFFFFF"/>
        </w:rPr>
        <w:t>Jurisprudencia 5/2019, de rubro: “</w:t>
      </w:r>
      <w:r w:rsidRPr="009D2AE6">
        <w:rPr>
          <w:rFonts w:cs="Arial"/>
          <w:b/>
          <w:bCs/>
          <w:sz w:val="18"/>
          <w:szCs w:val="18"/>
          <w:shd w:val="clear" w:color="auto" w:fill="FFFFFF"/>
        </w:rPr>
        <w:t>RECURSO DE RECONSIDERACIÓN. ES PROCEDENTE PARA ANALIZAR ASUNTOS RELEVANTES Y TRASCENDENTES</w:t>
      </w:r>
      <w:r w:rsidRPr="009D2AE6">
        <w:rPr>
          <w:rFonts w:cs="Arial"/>
          <w:sz w:val="18"/>
          <w:szCs w:val="18"/>
          <w:shd w:val="clear" w:color="auto" w:fill="FFFFFF"/>
        </w:rPr>
        <w:t>.”</w:t>
      </w:r>
    </w:p>
  </w:footnote>
  <w:footnote w:id="26">
    <w:p w14:paraId="76866629" w14:textId="77777777" w:rsidR="007027C8" w:rsidRPr="009D2AE6" w:rsidRDefault="007027C8" w:rsidP="007027C8">
      <w:pPr>
        <w:pStyle w:val="Textonotapie"/>
        <w:spacing w:before="0" w:beforeAutospacing="0" w:afterAutospacing="0"/>
        <w:rPr>
          <w:rFonts w:cs="Arial"/>
          <w:sz w:val="18"/>
          <w:szCs w:val="18"/>
        </w:rPr>
      </w:pPr>
      <w:r w:rsidRPr="009D2AE6">
        <w:rPr>
          <w:rStyle w:val="Refdenotaalpie"/>
          <w:rFonts w:cs="Arial"/>
          <w:sz w:val="18"/>
          <w:szCs w:val="18"/>
        </w:rPr>
        <w:footnoteRef/>
      </w:r>
      <w:r w:rsidRPr="009D2AE6">
        <w:rPr>
          <w:rFonts w:cs="Arial"/>
          <w:sz w:val="18"/>
          <w:szCs w:val="18"/>
        </w:rPr>
        <w:t xml:space="preserve"> Acorde con lo dispuesto en el artículo 68, párrafo 1, de la Ley de Medios.</w:t>
      </w:r>
    </w:p>
  </w:footnote>
  <w:footnote w:id="27">
    <w:p w14:paraId="1D0A2384" w14:textId="77777777" w:rsidR="007027C8" w:rsidRDefault="007027C8" w:rsidP="007027C8">
      <w:pPr>
        <w:pStyle w:val="Textonotapie"/>
        <w:spacing w:before="0" w:beforeAutospacing="0" w:afterAutospacing="0"/>
      </w:pPr>
      <w:r>
        <w:rPr>
          <w:rStyle w:val="Refdenotaalpie"/>
        </w:rPr>
        <w:footnoteRef/>
      </w:r>
      <w:r>
        <w:t xml:space="preserve"> Artículo 30 de los Lineamientos.</w:t>
      </w:r>
    </w:p>
  </w:footnote>
  <w:footnote w:id="28">
    <w:p w14:paraId="290132BB" w14:textId="77777777" w:rsidR="007027C8" w:rsidRPr="002649ED" w:rsidRDefault="007027C8" w:rsidP="007027C8">
      <w:pPr>
        <w:pStyle w:val="Textonotapie"/>
        <w:spacing w:before="0" w:beforeAutospacing="0" w:afterAutospacing="0"/>
        <w:rPr>
          <w:rFonts w:cs="Arial"/>
        </w:rPr>
      </w:pPr>
      <w:r w:rsidRPr="002649ED">
        <w:rPr>
          <w:rStyle w:val="Refdenotaalpie"/>
          <w:rFonts w:cs="Arial"/>
        </w:rPr>
        <w:footnoteRef/>
      </w:r>
      <w:r w:rsidRPr="002649ED">
        <w:rPr>
          <w:rFonts w:cs="Arial"/>
        </w:rPr>
        <w:t xml:space="preserve"> Similar criterio se sostuvo al resolver los recursos de reconsideración SUP-REC-1481/2018</w:t>
      </w:r>
      <w:r>
        <w:rPr>
          <w:rFonts w:cs="Arial"/>
        </w:rPr>
        <w:t xml:space="preserve">; </w:t>
      </w:r>
      <w:r w:rsidRPr="002649ED">
        <w:rPr>
          <w:rFonts w:cs="Arial"/>
        </w:rPr>
        <w:t>SUP-REC-64/2020</w:t>
      </w:r>
      <w:r>
        <w:rPr>
          <w:rFonts w:cs="Arial"/>
        </w:rPr>
        <w:t xml:space="preserve"> y SUP-REC-475/2021.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40C9A" w14:textId="7327C4DC" w:rsidR="00225C74" w:rsidRPr="00815C38" w:rsidRDefault="00DB66C6">
    <w:pPr>
      <w:pStyle w:val="Encabezado"/>
      <w:rPr>
        <w:b/>
        <w:bCs/>
      </w:rPr>
    </w:pPr>
    <w:r w:rsidRPr="00815C38">
      <w:rPr>
        <w:b/>
        <w:bCs/>
      </w:rPr>
      <w:t>SUP-</w:t>
    </w:r>
    <w:r w:rsidR="007027C8">
      <w:rPr>
        <w:b/>
        <w:bCs/>
      </w:rPr>
      <w:t>REC</w:t>
    </w:r>
    <w:r w:rsidRPr="00815C38">
      <w:rPr>
        <w:b/>
        <w:bCs/>
      </w:rPr>
      <w:t>-</w:t>
    </w:r>
    <w:r w:rsidR="007027C8">
      <w:rPr>
        <w:b/>
        <w:bCs/>
      </w:rPr>
      <w:t>567</w:t>
    </w:r>
    <w:r w:rsidRPr="00815C38">
      <w:rPr>
        <w:b/>
        <w:bCs/>
      </w:rPr>
      <w:t>/202</w:t>
    </w:r>
    <w:r w:rsidR="008175B8">
      <w:rPr>
        <w:b/>
        <w:bC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F81FE" w14:textId="1194980A" w:rsidR="00225C74" w:rsidRDefault="00340924" w:rsidP="00815C38">
    <w:pPr>
      <w:pStyle w:val="Encabezado"/>
      <w:jc w:val="right"/>
    </w:pPr>
    <w:r>
      <w:rPr>
        <w:noProof/>
      </w:rPr>
      <w:drawing>
        <wp:anchor distT="0" distB="0" distL="114300" distR="114300" simplePos="0" relativeHeight="251661312" behindDoc="0" locked="0" layoutInCell="1" allowOverlap="1" wp14:anchorId="4FD65C36" wp14:editId="21453889">
          <wp:simplePos x="0" y="0"/>
          <wp:positionH relativeFrom="leftMargin">
            <wp:posOffset>371475</wp:posOffset>
          </wp:positionH>
          <wp:positionV relativeFrom="paragraph">
            <wp:posOffset>-419735</wp:posOffset>
          </wp:positionV>
          <wp:extent cx="1377950" cy="1192530"/>
          <wp:effectExtent l="0" t="0" r="0" b="7620"/>
          <wp:wrapNone/>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sidR="00815C38" w:rsidRPr="00815C38">
      <w:rPr>
        <w:b/>
        <w:bCs/>
      </w:rPr>
      <w:t>SUP-</w:t>
    </w:r>
    <w:r w:rsidR="007027C8">
      <w:rPr>
        <w:b/>
        <w:bCs/>
      </w:rPr>
      <w:t>REC</w:t>
    </w:r>
    <w:r w:rsidR="00815C38" w:rsidRPr="00815C38">
      <w:rPr>
        <w:b/>
        <w:bCs/>
      </w:rPr>
      <w:t>-</w:t>
    </w:r>
    <w:r w:rsidR="007027C8">
      <w:rPr>
        <w:b/>
        <w:bCs/>
      </w:rPr>
      <w:t>567</w:t>
    </w:r>
    <w:r w:rsidR="00815C38" w:rsidRPr="00815C38">
      <w:rPr>
        <w:b/>
        <w:bCs/>
      </w:rPr>
      <w:t>/202</w:t>
    </w:r>
    <w:r w:rsidR="008175B8">
      <w:rPr>
        <w:b/>
        <w:bCs/>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90628" w14:textId="79796EC5" w:rsidR="00B60721" w:rsidRDefault="00340924">
    <w:pPr>
      <w:pStyle w:val="Encabezado"/>
    </w:pPr>
    <w:r>
      <w:rPr>
        <w:noProof/>
      </w:rPr>
      <w:drawing>
        <wp:anchor distT="0" distB="0" distL="114300" distR="114300" simplePos="0" relativeHeight="251659264" behindDoc="0" locked="0" layoutInCell="1" allowOverlap="1" wp14:anchorId="429B7480" wp14:editId="3F64B272">
          <wp:simplePos x="0" y="0"/>
          <wp:positionH relativeFrom="leftMargin">
            <wp:align>right</wp:align>
          </wp:positionH>
          <wp:positionV relativeFrom="paragraph">
            <wp:posOffset>-429260</wp:posOffset>
          </wp:positionV>
          <wp:extent cx="1377950" cy="1192530"/>
          <wp:effectExtent l="0" t="0" r="0" b="7620"/>
          <wp:wrapNone/>
          <wp:docPr id="28" name="Imagen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mirrorMargins/>
  <w:proofState w:spelling="clean" w:grammar="clean"/>
  <w:attachedTemplate r:id="rId1"/>
  <w:defaultTabStop w:val="708"/>
  <w:hyphenationZone w:val="425"/>
  <w:evenAndOddHeaders/>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5B8"/>
    <w:rsid w:val="00001626"/>
    <w:rsid w:val="00002AB4"/>
    <w:rsid w:val="00006584"/>
    <w:rsid w:val="00013CB8"/>
    <w:rsid w:val="00014A6A"/>
    <w:rsid w:val="00021B40"/>
    <w:rsid w:val="00022FAB"/>
    <w:rsid w:val="00025776"/>
    <w:rsid w:val="00032673"/>
    <w:rsid w:val="00042040"/>
    <w:rsid w:val="000425C8"/>
    <w:rsid w:val="000442E5"/>
    <w:rsid w:val="00045006"/>
    <w:rsid w:val="00057055"/>
    <w:rsid w:val="00070109"/>
    <w:rsid w:val="0007198C"/>
    <w:rsid w:val="00072AF3"/>
    <w:rsid w:val="00084444"/>
    <w:rsid w:val="000853AD"/>
    <w:rsid w:val="000906A3"/>
    <w:rsid w:val="00093FA8"/>
    <w:rsid w:val="000A4B76"/>
    <w:rsid w:val="000A6517"/>
    <w:rsid w:val="000A669F"/>
    <w:rsid w:val="000A7F9E"/>
    <w:rsid w:val="000B3704"/>
    <w:rsid w:val="000C6DCC"/>
    <w:rsid w:val="000C726D"/>
    <w:rsid w:val="000C72B7"/>
    <w:rsid w:val="000D0693"/>
    <w:rsid w:val="000D1968"/>
    <w:rsid w:val="000D30D5"/>
    <w:rsid w:val="000F239D"/>
    <w:rsid w:val="000F3399"/>
    <w:rsid w:val="000F7D10"/>
    <w:rsid w:val="0010113E"/>
    <w:rsid w:val="00104FCF"/>
    <w:rsid w:val="00111EC5"/>
    <w:rsid w:val="001124BE"/>
    <w:rsid w:val="00115CE7"/>
    <w:rsid w:val="001175F7"/>
    <w:rsid w:val="00117B01"/>
    <w:rsid w:val="00122D22"/>
    <w:rsid w:val="00123B46"/>
    <w:rsid w:val="00123FA7"/>
    <w:rsid w:val="00124B96"/>
    <w:rsid w:val="001253D3"/>
    <w:rsid w:val="00126BB4"/>
    <w:rsid w:val="00136756"/>
    <w:rsid w:val="00137F33"/>
    <w:rsid w:val="00144CC5"/>
    <w:rsid w:val="00146340"/>
    <w:rsid w:val="001463C4"/>
    <w:rsid w:val="00155B0D"/>
    <w:rsid w:val="00155D33"/>
    <w:rsid w:val="0015644E"/>
    <w:rsid w:val="00166654"/>
    <w:rsid w:val="00166FDB"/>
    <w:rsid w:val="001747CC"/>
    <w:rsid w:val="001749F3"/>
    <w:rsid w:val="00184F30"/>
    <w:rsid w:val="00185957"/>
    <w:rsid w:val="00192337"/>
    <w:rsid w:val="00192BF3"/>
    <w:rsid w:val="001944BD"/>
    <w:rsid w:val="00196080"/>
    <w:rsid w:val="001A00B1"/>
    <w:rsid w:val="001A2F56"/>
    <w:rsid w:val="001A3AF4"/>
    <w:rsid w:val="001B757A"/>
    <w:rsid w:val="001C32D2"/>
    <w:rsid w:val="001C3DCE"/>
    <w:rsid w:val="001C7B2A"/>
    <w:rsid w:val="001D3D10"/>
    <w:rsid w:val="001F04DE"/>
    <w:rsid w:val="001F7D33"/>
    <w:rsid w:val="002009DC"/>
    <w:rsid w:val="00207BFA"/>
    <w:rsid w:val="00220EE6"/>
    <w:rsid w:val="00224D4A"/>
    <w:rsid w:val="00225482"/>
    <w:rsid w:val="00225C74"/>
    <w:rsid w:val="00233FC4"/>
    <w:rsid w:val="002449E9"/>
    <w:rsid w:val="0024704C"/>
    <w:rsid w:val="00251052"/>
    <w:rsid w:val="0025176D"/>
    <w:rsid w:val="002565F3"/>
    <w:rsid w:val="00260189"/>
    <w:rsid w:val="002613C5"/>
    <w:rsid w:val="00263803"/>
    <w:rsid w:val="002730DF"/>
    <w:rsid w:val="0028041D"/>
    <w:rsid w:val="00290154"/>
    <w:rsid w:val="002928C3"/>
    <w:rsid w:val="00294B17"/>
    <w:rsid w:val="002975E9"/>
    <w:rsid w:val="002A0B46"/>
    <w:rsid w:val="002B07BD"/>
    <w:rsid w:val="002B3DFA"/>
    <w:rsid w:val="002B4D44"/>
    <w:rsid w:val="002B7859"/>
    <w:rsid w:val="002F252A"/>
    <w:rsid w:val="002F28A3"/>
    <w:rsid w:val="002F4945"/>
    <w:rsid w:val="002F4ED5"/>
    <w:rsid w:val="003123AE"/>
    <w:rsid w:val="00313D00"/>
    <w:rsid w:val="003211BF"/>
    <w:rsid w:val="00327A8E"/>
    <w:rsid w:val="0034066D"/>
    <w:rsid w:val="00340924"/>
    <w:rsid w:val="00341E9B"/>
    <w:rsid w:val="003455E1"/>
    <w:rsid w:val="00350898"/>
    <w:rsid w:val="00352063"/>
    <w:rsid w:val="003613AC"/>
    <w:rsid w:val="003629E7"/>
    <w:rsid w:val="00370E1B"/>
    <w:rsid w:val="00377B31"/>
    <w:rsid w:val="00386422"/>
    <w:rsid w:val="00395D8A"/>
    <w:rsid w:val="003A1F15"/>
    <w:rsid w:val="003A2F57"/>
    <w:rsid w:val="003A4AF9"/>
    <w:rsid w:val="003B24E3"/>
    <w:rsid w:val="003B2507"/>
    <w:rsid w:val="003B357F"/>
    <w:rsid w:val="003B3E61"/>
    <w:rsid w:val="003B6F2C"/>
    <w:rsid w:val="003B7363"/>
    <w:rsid w:val="003C3CB1"/>
    <w:rsid w:val="003C6A88"/>
    <w:rsid w:val="003D11A7"/>
    <w:rsid w:val="003D5DA5"/>
    <w:rsid w:val="003E4A6F"/>
    <w:rsid w:val="003F14D9"/>
    <w:rsid w:val="003F3981"/>
    <w:rsid w:val="003F5504"/>
    <w:rsid w:val="00401ACC"/>
    <w:rsid w:val="00412EB5"/>
    <w:rsid w:val="00416A9D"/>
    <w:rsid w:val="004205A0"/>
    <w:rsid w:val="0042106E"/>
    <w:rsid w:val="004239F6"/>
    <w:rsid w:val="00432A9C"/>
    <w:rsid w:val="00445E00"/>
    <w:rsid w:val="0044640B"/>
    <w:rsid w:val="004555D0"/>
    <w:rsid w:val="004577CD"/>
    <w:rsid w:val="004644D1"/>
    <w:rsid w:val="004668AB"/>
    <w:rsid w:val="00467BD7"/>
    <w:rsid w:val="0047563B"/>
    <w:rsid w:val="00481D0B"/>
    <w:rsid w:val="00486C4E"/>
    <w:rsid w:val="00487E52"/>
    <w:rsid w:val="00493193"/>
    <w:rsid w:val="004949D8"/>
    <w:rsid w:val="004A2525"/>
    <w:rsid w:val="004A4548"/>
    <w:rsid w:val="004A51D3"/>
    <w:rsid w:val="004A569D"/>
    <w:rsid w:val="004B023F"/>
    <w:rsid w:val="004C0C6F"/>
    <w:rsid w:val="004C49FD"/>
    <w:rsid w:val="004C59C1"/>
    <w:rsid w:val="004D00FC"/>
    <w:rsid w:val="004E2CAC"/>
    <w:rsid w:val="004E5DF3"/>
    <w:rsid w:val="004F0C4E"/>
    <w:rsid w:val="004F5D3A"/>
    <w:rsid w:val="004F7887"/>
    <w:rsid w:val="00510D00"/>
    <w:rsid w:val="00510DDA"/>
    <w:rsid w:val="00512813"/>
    <w:rsid w:val="00513822"/>
    <w:rsid w:val="0051455F"/>
    <w:rsid w:val="00516AEF"/>
    <w:rsid w:val="00517E91"/>
    <w:rsid w:val="005321E6"/>
    <w:rsid w:val="00561176"/>
    <w:rsid w:val="00562C27"/>
    <w:rsid w:val="00563976"/>
    <w:rsid w:val="0056401B"/>
    <w:rsid w:val="0056494F"/>
    <w:rsid w:val="00566A58"/>
    <w:rsid w:val="00570490"/>
    <w:rsid w:val="00571AF5"/>
    <w:rsid w:val="005809A4"/>
    <w:rsid w:val="00580A21"/>
    <w:rsid w:val="00581475"/>
    <w:rsid w:val="005843E7"/>
    <w:rsid w:val="005874CB"/>
    <w:rsid w:val="00595412"/>
    <w:rsid w:val="005A04F9"/>
    <w:rsid w:val="005B2745"/>
    <w:rsid w:val="005C2917"/>
    <w:rsid w:val="005C6208"/>
    <w:rsid w:val="005E6395"/>
    <w:rsid w:val="005E7F2E"/>
    <w:rsid w:val="005F5C8F"/>
    <w:rsid w:val="005F71DF"/>
    <w:rsid w:val="0060210B"/>
    <w:rsid w:val="0061479F"/>
    <w:rsid w:val="00617FEB"/>
    <w:rsid w:val="00620D5B"/>
    <w:rsid w:val="00623D17"/>
    <w:rsid w:val="00624884"/>
    <w:rsid w:val="006325D3"/>
    <w:rsid w:val="006345D1"/>
    <w:rsid w:val="0063464D"/>
    <w:rsid w:val="00636AD3"/>
    <w:rsid w:val="00637706"/>
    <w:rsid w:val="006403F1"/>
    <w:rsid w:val="006405F1"/>
    <w:rsid w:val="00657568"/>
    <w:rsid w:val="00660457"/>
    <w:rsid w:val="00661F68"/>
    <w:rsid w:val="00670D84"/>
    <w:rsid w:val="0069415B"/>
    <w:rsid w:val="00695FE1"/>
    <w:rsid w:val="00696059"/>
    <w:rsid w:val="006964A5"/>
    <w:rsid w:val="006970E1"/>
    <w:rsid w:val="006A52CA"/>
    <w:rsid w:val="006B7ED3"/>
    <w:rsid w:val="006C434A"/>
    <w:rsid w:val="006C662A"/>
    <w:rsid w:val="006D039A"/>
    <w:rsid w:val="006D171C"/>
    <w:rsid w:val="006E4EDA"/>
    <w:rsid w:val="006F489D"/>
    <w:rsid w:val="006F49FB"/>
    <w:rsid w:val="006F5E37"/>
    <w:rsid w:val="006F5EE7"/>
    <w:rsid w:val="006F755D"/>
    <w:rsid w:val="00700BFB"/>
    <w:rsid w:val="00700E7C"/>
    <w:rsid w:val="007020B3"/>
    <w:rsid w:val="007027C8"/>
    <w:rsid w:val="007051D6"/>
    <w:rsid w:val="00711216"/>
    <w:rsid w:val="007129D6"/>
    <w:rsid w:val="00712F6F"/>
    <w:rsid w:val="00714954"/>
    <w:rsid w:val="0071557C"/>
    <w:rsid w:val="007158B8"/>
    <w:rsid w:val="00720E81"/>
    <w:rsid w:val="00722738"/>
    <w:rsid w:val="00722B51"/>
    <w:rsid w:val="00727741"/>
    <w:rsid w:val="00730BA4"/>
    <w:rsid w:val="0073511F"/>
    <w:rsid w:val="00736F87"/>
    <w:rsid w:val="00743652"/>
    <w:rsid w:val="007454E0"/>
    <w:rsid w:val="00747196"/>
    <w:rsid w:val="00753BD2"/>
    <w:rsid w:val="00761362"/>
    <w:rsid w:val="00761511"/>
    <w:rsid w:val="00762429"/>
    <w:rsid w:val="00763A65"/>
    <w:rsid w:val="00763B5E"/>
    <w:rsid w:val="00764CFE"/>
    <w:rsid w:val="00764D40"/>
    <w:rsid w:val="00773578"/>
    <w:rsid w:val="0077631B"/>
    <w:rsid w:val="0077687E"/>
    <w:rsid w:val="00780AE2"/>
    <w:rsid w:val="00790CC0"/>
    <w:rsid w:val="007940A9"/>
    <w:rsid w:val="007A18DA"/>
    <w:rsid w:val="007A1E00"/>
    <w:rsid w:val="007A564B"/>
    <w:rsid w:val="007A56F9"/>
    <w:rsid w:val="007B0193"/>
    <w:rsid w:val="007B43C6"/>
    <w:rsid w:val="007B68C7"/>
    <w:rsid w:val="007D4406"/>
    <w:rsid w:val="007D5336"/>
    <w:rsid w:val="007E0606"/>
    <w:rsid w:val="007E194A"/>
    <w:rsid w:val="007E26F1"/>
    <w:rsid w:val="007E2ED9"/>
    <w:rsid w:val="007F301D"/>
    <w:rsid w:val="0080090B"/>
    <w:rsid w:val="00806A64"/>
    <w:rsid w:val="00815C38"/>
    <w:rsid w:val="008175B8"/>
    <w:rsid w:val="00822354"/>
    <w:rsid w:val="00822AD1"/>
    <w:rsid w:val="00822DC8"/>
    <w:rsid w:val="0084288C"/>
    <w:rsid w:val="00850CBF"/>
    <w:rsid w:val="00851983"/>
    <w:rsid w:val="00862A21"/>
    <w:rsid w:val="00863741"/>
    <w:rsid w:val="00865735"/>
    <w:rsid w:val="00867968"/>
    <w:rsid w:val="0087544A"/>
    <w:rsid w:val="00880C34"/>
    <w:rsid w:val="008865ED"/>
    <w:rsid w:val="00886E34"/>
    <w:rsid w:val="00891218"/>
    <w:rsid w:val="0089123E"/>
    <w:rsid w:val="00891E21"/>
    <w:rsid w:val="008935FB"/>
    <w:rsid w:val="0089513E"/>
    <w:rsid w:val="008A0A4C"/>
    <w:rsid w:val="008A41FF"/>
    <w:rsid w:val="008A6CC9"/>
    <w:rsid w:val="008B077B"/>
    <w:rsid w:val="008B2222"/>
    <w:rsid w:val="008B7417"/>
    <w:rsid w:val="008C43D4"/>
    <w:rsid w:val="008C4CAA"/>
    <w:rsid w:val="008D1A47"/>
    <w:rsid w:val="008D6A37"/>
    <w:rsid w:val="008E44FB"/>
    <w:rsid w:val="008E6DE6"/>
    <w:rsid w:val="008E7EAD"/>
    <w:rsid w:val="008F183C"/>
    <w:rsid w:val="008F464F"/>
    <w:rsid w:val="008F6369"/>
    <w:rsid w:val="008F764F"/>
    <w:rsid w:val="00912B65"/>
    <w:rsid w:val="009164D5"/>
    <w:rsid w:val="00916E9C"/>
    <w:rsid w:val="009219EB"/>
    <w:rsid w:val="009271A6"/>
    <w:rsid w:val="009279AD"/>
    <w:rsid w:val="00927F36"/>
    <w:rsid w:val="009347FD"/>
    <w:rsid w:val="00943361"/>
    <w:rsid w:val="00943638"/>
    <w:rsid w:val="00946337"/>
    <w:rsid w:val="00952FD9"/>
    <w:rsid w:val="00956D96"/>
    <w:rsid w:val="00960470"/>
    <w:rsid w:val="009613C9"/>
    <w:rsid w:val="00972B58"/>
    <w:rsid w:val="00973F34"/>
    <w:rsid w:val="0098045E"/>
    <w:rsid w:val="00986933"/>
    <w:rsid w:val="0099117B"/>
    <w:rsid w:val="009979A2"/>
    <w:rsid w:val="009A4141"/>
    <w:rsid w:val="009A4606"/>
    <w:rsid w:val="009A6B61"/>
    <w:rsid w:val="009B050A"/>
    <w:rsid w:val="009C033B"/>
    <w:rsid w:val="009C1C62"/>
    <w:rsid w:val="009C308A"/>
    <w:rsid w:val="009C577D"/>
    <w:rsid w:val="009C58A8"/>
    <w:rsid w:val="009C63E4"/>
    <w:rsid w:val="009C69B2"/>
    <w:rsid w:val="009D1E44"/>
    <w:rsid w:val="009D3F81"/>
    <w:rsid w:val="009D501C"/>
    <w:rsid w:val="009E7C9B"/>
    <w:rsid w:val="009F049D"/>
    <w:rsid w:val="009F52DB"/>
    <w:rsid w:val="009F780E"/>
    <w:rsid w:val="009F7B8C"/>
    <w:rsid w:val="00A0097A"/>
    <w:rsid w:val="00A05356"/>
    <w:rsid w:val="00A11594"/>
    <w:rsid w:val="00A134AC"/>
    <w:rsid w:val="00A17883"/>
    <w:rsid w:val="00A20011"/>
    <w:rsid w:val="00A244A7"/>
    <w:rsid w:val="00A30F75"/>
    <w:rsid w:val="00A32E89"/>
    <w:rsid w:val="00A330AF"/>
    <w:rsid w:val="00A40416"/>
    <w:rsid w:val="00A41CF9"/>
    <w:rsid w:val="00A42DF4"/>
    <w:rsid w:val="00A47D3C"/>
    <w:rsid w:val="00A5037F"/>
    <w:rsid w:val="00A527EB"/>
    <w:rsid w:val="00A54DE4"/>
    <w:rsid w:val="00A55916"/>
    <w:rsid w:val="00A56B32"/>
    <w:rsid w:val="00A576A8"/>
    <w:rsid w:val="00A60846"/>
    <w:rsid w:val="00A65DF9"/>
    <w:rsid w:val="00A67580"/>
    <w:rsid w:val="00A85DF9"/>
    <w:rsid w:val="00A86E16"/>
    <w:rsid w:val="00A86EED"/>
    <w:rsid w:val="00A92A0D"/>
    <w:rsid w:val="00AB2B24"/>
    <w:rsid w:val="00AD43A4"/>
    <w:rsid w:val="00AD66E3"/>
    <w:rsid w:val="00AF5EA5"/>
    <w:rsid w:val="00AF6245"/>
    <w:rsid w:val="00AF7997"/>
    <w:rsid w:val="00AF7CDF"/>
    <w:rsid w:val="00B077A5"/>
    <w:rsid w:val="00B141D3"/>
    <w:rsid w:val="00B21C15"/>
    <w:rsid w:val="00B31274"/>
    <w:rsid w:val="00B32A5B"/>
    <w:rsid w:val="00B33F8A"/>
    <w:rsid w:val="00B34F07"/>
    <w:rsid w:val="00B37909"/>
    <w:rsid w:val="00B44ED2"/>
    <w:rsid w:val="00B46727"/>
    <w:rsid w:val="00B50320"/>
    <w:rsid w:val="00B51C47"/>
    <w:rsid w:val="00B5493D"/>
    <w:rsid w:val="00B60721"/>
    <w:rsid w:val="00B834BE"/>
    <w:rsid w:val="00B95420"/>
    <w:rsid w:val="00B96F57"/>
    <w:rsid w:val="00BA36AB"/>
    <w:rsid w:val="00BB20B2"/>
    <w:rsid w:val="00BB303B"/>
    <w:rsid w:val="00BB6005"/>
    <w:rsid w:val="00BB75BC"/>
    <w:rsid w:val="00BC0E08"/>
    <w:rsid w:val="00BC16F8"/>
    <w:rsid w:val="00BC447E"/>
    <w:rsid w:val="00BC5E47"/>
    <w:rsid w:val="00BC7B8D"/>
    <w:rsid w:val="00BD5369"/>
    <w:rsid w:val="00BE36C5"/>
    <w:rsid w:val="00BF0A39"/>
    <w:rsid w:val="00BF41D1"/>
    <w:rsid w:val="00BF54B9"/>
    <w:rsid w:val="00BF6401"/>
    <w:rsid w:val="00C01C91"/>
    <w:rsid w:val="00C06B18"/>
    <w:rsid w:val="00C11D3F"/>
    <w:rsid w:val="00C136B0"/>
    <w:rsid w:val="00C16CD9"/>
    <w:rsid w:val="00C16D3B"/>
    <w:rsid w:val="00C25174"/>
    <w:rsid w:val="00C33E9D"/>
    <w:rsid w:val="00C33F41"/>
    <w:rsid w:val="00C402FF"/>
    <w:rsid w:val="00C40F45"/>
    <w:rsid w:val="00C448D8"/>
    <w:rsid w:val="00C44E4E"/>
    <w:rsid w:val="00C51657"/>
    <w:rsid w:val="00C6217E"/>
    <w:rsid w:val="00C664F8"/>
    <w:rsid w:val="00CA1AE8"/>
    <w:rsid w:val="00CA1C21"/>
    <w:rsid w:val="00CA4202"/>
    <w:rsid w:val="00CA7858"/>
    <w:rsid w:val="00CB1CA0"/>
    <w:rsid w:val="00CC036D"/>
    <w:rsid w:val="00CC14E9"/>
    <w:rsid w:val="00CC517F"/>
    <w:rsid w:val="00CD0D08"/>
    <w:rsid w:val="00CD0F4D"/>
    <w:rsid w:val="00CD54AC"/>
    <w:rsid w:val="00CD6F19"/>
    <w:rsid w:val="00CE6820"/>
    <w:rsid w:val="00D11E07"/>
    <w:rsid w:val="00D145FF"/>
    <w:rsid w:val="00D21287"/>
    <w:rsid w:val="00D21AB9"/>
    <w:rsid w:val="00D246F8"/>
    <w:rsid w:val="00D319C8"/>
    <w:rsid w:val="00D32EDE"/>
    <w:rsid w:val="00D454FA"/>
    <w:rsid w:val="00D52727"/>
    <w:rsid w:val="00D54388"/>
    <w:rsid w:val="00D54F3E"/>
    <w:rsid w:val="00D5506F"/>
    <w:rsid w:val="00D56F5A"/>
    <w:rsid w:val="00D62A15"/>
    <w:rsid w:val="00D671B6"/>
    <w:rsid w:val="00D67B01"/>
    <w:rsid w:val="00D7034F"/>
    <w:rsid w:val="00D73796"/>
    <w:rsid w:val="00D87E4A"/>
    <w:rsid w:val="00D90DA6"/>
    <w:rsid w:val="00D93EB0"/>
    <w:rsid w:val="00D9547E"/>
    <w:rsid w:val="00DA0E73"/>
    <w:rsid w:val="00DA5ECF"/>
    <w:rsid w:val="00DA7223"/>
    <w:rsid w:val="00DB1289"/>
    <w:rsid w:val="00DB12EB"/>
    <w:rsid w:val="00DB271B"/>
    <w:rsid w:val="00DB66C6"/>
    <w:rsid w:val="00DB6E30"/>
    <w:rsid w:val="00DC24BB"/>
    <w:rsid w:val="00DC3F73"/>
    <w:rsid w:val="00DC4EEA"/>
    <w:rsid w:val="00DC7440"/>
    <w:rsid w:val="00DE072C"/>
    <w:rsid w:val="00DE0AD3"/>
    <w:rsid w:val="00DE1853"/>
    <w:rsid w:val="00DF022F"/>
    <w:rsid w:val="00DF204E"/>
    <w:rsid w:val="00DF2215"/>
    <w:rsid w:val="00DF738D"/>
    <w:rsid w:val="00E0083D"/>
    <w:rsid w:val="00E011FD"/>
    <w:rsid w:val="00E01EB4"/>
    <w:rsid w:val="00E06C6C"/>
    <w:rsid w:val="00E06F1C"/>
    <w:rsid w:val="00E10012"/>
    <w:rsid w:val="00E119D5"/>
    <w:rsid w:val="00E12162"/>
    <w:rsid w:val="00E140C5"/>
    <w:rsid w:val="00E1499D"/>
    <w:rsid w:val="00E21354"/>
    <w:rsid w:val="00E21CB8"/>
    <w:rsid w:val="00E22B1E"/>
    <w:rsid w:val="00E24FCE"/>
    <w:rsid w:val="00E27181"/>
    <w:rsid w:val="00E2758E"/>
    <w:rsid w:val="00E3078A"/>
    <w:rsid w:val="00E323FB"/>
    <w:rsid w:val="00E331D5"/>
    <w:rsid w:val="00E358B4"/>
    <w:rsid w:val="00E40989"/>
    <w:rsid w:val="00E46431"/>
    <w:rsid w:val="00E52489"/>
    <w:rsid w:val="00E56133"/>
    <w:rsid w:val="00E61689"/>
    <w:rsid w:val="00E67497"/>
    <w:rsid w:val="00E70226"/>
    <w:rsid w:val="00E815E1"/>
    <w:rsid w:val="00E82BE4"/>
    <w:rsid w:val="00E86527"/>
    <w:rsid w:val="00E87C7C"/>
    <w:rsid w:val="00E9203F"/>
    <w:rsid w:val="00E9389B"/>
    <w:rsid w:val="00E96665"/>
    <w:rsid w:val="00E97715"/>
    <w:rsid w:val="00EA70ED"/>
    <w:rsid w:val="00EB3E48"/>
    <w:rsid w:val="00EB4052"/>
    <w:rsid w:val="00EB4799"/>
    <w:rsid w:val="00EB6C49"/>
    <w:rsid w:val="00EC7D58"/>
    <w:rsid w:val="00ED2FED"/>
    <w:rsid w:val="00EE57F4"/>
    <w:rsid w:val="00EE73CC"/>
    <w:rsid w:val="00EF28ED"/>
    <w:rsid w:val="00EF6EE9"/>
    <w:rsid w:val="00EF6FCF"/>
    <w:rsid w:val="00F03C73"/>
    <w:rsid w:val="00F10B47"/>
    <w:rsid w:val="00F158A8"/>
    <w:rsid w:val="00F1637E"/>
    <w:rsid w:val="00F17118"/>
    <w:rsid w:val="00F20786"/>
    <w:rsid w:val="00F23DD2"/>
    <w:rsid w:val="00F24A7A"/>
    <w:rsid w:val="00F2511F"/>
    <w:rsid w:val="00F32C7F"/>
    <w:rsid w:val="00F34191"/>
    <w:rsid w:val="00F34E24"/>
    <w:rsid w:val="00F364ED"/>
    <w:rsid w:val="00F36EF3"/>
    <w:rsid w:val="00F45334"/>
    <w:rsid w:val="00F53723"/>
    <w:rsid w:val="00F54702"/>
    <w:rsid w:val="00F54F8E"/>
    <w:rsid w:val="00F551A4"/>
    <w:rsid w:val="00F5680B"/>
    <w:rsid w:val="00F56C3B"/>
    <w:rsid w:val="00F57219"/>
    <w:rsid w:val="00F62652"/>
    <w:rsid w:val="00F632A6"/>
    <w:rsid w:val="00F66F95"/>
    <w:rsid w:val="00F71C79"/>
    <w:rsid w:val="00F75479"/>
    <w:rsid w:val="00F80BF8"/>
    <w:rsid w:val="00F84A5F"/>
    <w:rsid w:val="00F859C8"/>
    <w:rsid w:val="00F879A7"/>
    <w:rsid w:val="00F962F8"/>
    <w:rsid w:val="00F96C41"/>
    <w:rsid w:val="00F96CDE"/>
    <w:rsid w:val="00FA2B1B"/>
    <w:rsid w:val="00FA437E"/>
    <w:rsid w:val="00FB0A77"/>
    <w:rsid w:val="00FB6D15"/>
    <w:rsid w:val="00FC14EF"/>
    <w:rsid w:val="00FC1C26"/>
    <w:rsid w:val="00FC1CED"/>
    <w:rsid w:val="00FC3409"/>
    <w:rsid w:val="00FC5194"/>
    <w:rsid w:val="00FC66D9"/>
    <w:rsid w:val="00FC7783"/>
    <w:rsid w:val="00FD0CB7"/>
    <w:rsid w:val="00FE08B8"/>
    <w:rsid w:val="00FE29BF"/>
    <w:rsid w:val="00FE50A9"/>
    <w:rsid w:val="00FE604C"/>
    <w:rsid w:val="00FE62EB"/>
    <w:rsid w:val="00FE7DF3"/>
    <w:rsid w:val="00FF5D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86F2BE"/>
  <w15:chartTrackingRefBased/>
  <w15:docId w15:val="{D7357327-5CBE-4E63-8C4D-3729D72B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EED"/>
    <w:pPr>
      <w:spacing w:line="360" w:lineRule="auto"/>
    </w:pPr>
    <w:rPr>
      <w:rFonts w:ascii="Arial" w:hAnsi="Arial"/>
      <w:sz w:val="24"/>
    </w:rPr>
  </w:style>
  <w:style w:type="paragraph" w:styleId="Ttulo1">
    <w:name w:val="heading 1"/>
    <w:basedOn w:val="Normal"/>
    <w:next w:val="Normal"/>
    <w:link w:val="Ttulo1Car"/>
    <w:uiPriority w:val="9"/>
    <w:qFormat/>
    <w:rsid w:val="008175B8"/>
    <w:pPr>
      <w:keepNext/>
      <w:keepLines/>
      <w:spacing w:before="240" w:beforeAutospacing="0" w:after="0" w:afterAutospacing="0" w:line="240" w:lineRule="auto"/>
      <w:jc w:val="left"/>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unhideWhenUsed/>
    <w:qFormat/>
    <w:rsid w:val="00A86EE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qFormat/>
    <w:rsid w:val="00A86EED"/>
    <w:rPr>
      <w:rFonts w:ascii="Arial" w:hAnsi="Arial"/>
      <w:sz w:val="20"/>
      <w:szCs w:val="20"/>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Footnote Reference,ftre"/>
    <w:basedOn w:val="Fuentedeprrafopredeter"/>
    <w:link w:val="4GChar"/>
    <w:uiPriority w:val="99"/>
    <w:unhideWhenUsed/>
    <w:qFormat/>
    <w:rsid w:val="00A86EED"/>
    <w:rPr>
      <w:vertAlign w:val="superscript"/>
    </w:rPr>
  </w:style>
  <w:style w:type="paragraph" w:styleId="Encabezado">
    <w:name w:val="header"/>
    <w:basedOn w:val="Normal"/>
    <w:link w:val="EncabezadoCar"/>
    <w:uiPriority w:val="99"/>
    <w:unhideWhenUsed/>
    <w:rsid w:val="00225C74"/>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225C74"/>
    <w:rPr>
      <w:rFonts w:ascii="Arial" w:hAnsi="Arial"/>
      <w:sz w:val="24"/>
    </w:rPr>
  </w:style>
  <w:style w:type="paragraph" w:styleId="Piedepgina">
    <w:name w:val="footer"/>
    <w:basedOn w:val="Normal"/>
    <w:link w:val="PiedepginaCar"/>
    <w:uiPriority w:val="99"/>
    <w:unhideWhenUsed/>
    <w:rsid w:val="00225C74"/>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225C74"/>
    <w:rPr>
      <w:rFonts w:ascii="Arial" w:hAnsi="Arial"/>
      <w:sz w:val="24"/>
    </w:rPr>
  </w:style>
  <w:style w:type="character" w:customStyle="1" w:styleId="Ttulo1Car">
    <w:name w:val="Título 1 Car"/>
    <w:basedOn w:val="Fuentedeprrafopredeter"/>
    <w:link w:val="Ttulo1"/>
    <w:uiPriority w:val="9"/>
    <w:rsid w:val="008175B8"/>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8175B8"/>
    <w:pPr>
      <w:spacing w:line="259" w:lineRule="auto"/>
      <w:outlineLvl w:val="9"/>
    </w:pPr>
    <w:rPr>
      <w:lang w:eastAsia="es-MX"/>
    </w:rPr>
  </w:style>
  <w:style w:type="paragraph" w:styleId="TDC1">
    <w:name w:val="toc 1"/>
    <w:basedOn w:val="Normal"/>
    <w:next w:val="Normal"/>
    <w:autoRedefine/>
    <w:uiPriority w:val="39"/>
    <w:unhideWhenUsed/>
    <w:rsid w:val="008175B8"/>
    <w:pPr>
      <w:tabs>
        <w:tab w:val="right" w:leader="dot" w:pos="7694"/>
      </w:tabs>
      <w:spacing w:before="0" w:beforeAutospacing="0" w:after="0" w:afterAutospacing="0" w:line="240" w:lineRule="auto"/>
      <w:jc w:val="left"/>
    </w:pPr>
    <w:rPr>
      <w:sz w:val="18"/>
      <w:szCs w:val="18"/>
    </w:rPr>
  </w:style>
  <w:style w:type="character" w:styleId="Hipervnculo">
    <w:name w:val="Hyperlink"/>
    <w:basedOn w:val="Fuentedeprrafopredeter"/>
    <w:uiPriority w:val="99"/>
    <w:unhideWhenUsed/>
    <w:rsid w:val="008175B8"/>
    <w:rPr>
      <w:color w:val="0563C1" w:themeColor="hyperlink"/>
      <w:u w:val="single"/>
    </w:rPr>
  </w:style>
  <w:style w:type="paragraph" w:customStyle="1" w:styleId="Normalsentencia">
    <w:name w:val="Normal sentencia"/>
    <w:basedOn w:val="Normal"/>
    <w:link w:val="NormalsentenciaCar"/>
    <w:qFormat/>
    <w:rsid w:val="008175B8"/>
    <w:pPr>
      <w:spacing w:before="360" w:beforeAutospacing="0" w:after="240" w:afterAutospacing="0"/>
      <w:ind w:firstLine="709"/>
    </w:pPr>
    <w:rPr>
      <w:rFonts w:ascii="Univers" w:eastAsia="Times New Roman" w:hAnsi="Univers" w:cs="Arial"/>
      <w:sz w:val="28"/>
      <w:lang w:val="es-ES" w:eastAsia="es-ES"/>
    </w:rPr>
  </w:style>
  <w:style w:type="character" w:customStyle="1" w:styleId="NormalsentenciaCar">
    <w:name w:val="Normal sentencia Car"/>
    <w:basedOn w:val="Fuentedeprrafopredeter"/>
    <w:link w:val="Normalsentencia"/>
    <w:rsid w:val="008175B8"/>
    <w:rPr>
      <w:rFonts w:ascii="Univers" w:eastAsia="Times New Roman" w:hAnsi="Univers" w:cs="Arial"/>
      <w:sz w:val="28"/>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8175B8"/>
    <w:pPr>
      <w:spacing w:before="0" w:beforeAutospacing="0" w:after="0" w:afterAutospacing="0" w:line="240" w:lineRule="auto"/>
    </w:pPr>
    <w:rPr>
      <w:rFonts w:asciiTheme="minorHAnsi" w:hAnsiTheme="minorHAnsi"/>
      <w:sz w:val="22"/>
      <w:vertAlign w:val="superscript"/>
    </w:rPr>
  </w:style>
  <w:style w:type="character" w:styleId="Refdecomentario">
    <w:name w:val="annotation reference"/>
    <w:basedOn w:val="Fuentedeprrafopredeter"/>
    <w:uiPriority w:val="99"/>
    <w:semiHidden/>
    <w:unhideWhenUsed/>
    <w:rsid w:val="008E7EAD"/>
    <w:rPr>
      <w:sz w:val="16"/>
      <w:szCs w:val="16"/>
    </w:rPr>
  </w:style>
  <w:style w:type="paragraph" w:styleId="Textocomentario">
    <w:name w:val="annotation text"/>
    <w:basedOn w:val="Normal"/>
    <w:link w:val="TextocomentarioCar"/>
    <w:uiPriority w:val="99"/>
    <w:semiHidden/>
    <w:unhideWhenUsed/>
    <w:rsid w:val="008E7EA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7EAD"/>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8E7EAD"/>
    <w:rPr>
      <w:b/>
      <w:bCs/>
    </w:rPr>
  </w:style>
  <w:style w:type="character" w:customStyle="1" w:styleId="AsuntodelcomentarioCar">
    <w:name w:val="Asunto del comentario Car"/>
    <w:basedOn w:val="TextocomentarioCar"/>
    <w:link w:val="Asuntodelcomentario"/>
    <w:uiPriority w:val="99"/>
    <w:semiHidden/>
    <w:rsid w:val="008E7EAD"/>
    <w:rPr>
      <w:rFonts w:ascii="Arial" w:hAnsi="Arial"/>
      <w:b/>
      <w:bCs/>
      <w:sz w:val="20"/>
      <w:szCs w:val="20"/>
    </w:rPr>
  </w:style>
  <w:style w:type="paragraph" w:styleId="Prrafodelista">
    <w:name w:val="List Paragraph"/>
    <w:aliases w:val="CNBV Parrafo1,Párrafo de lista1,Parrafo 1,Lista multicolor - Énfasis 11,Lista vistosa - Énfasis 11,Cuadrícula media 1 - Énfasis 21,Cita texto,List Paragraph-Thesis,Footnote,List Paragraph2,List Paragraph1,Colorful List - Accent 11"/>
    <w:basedOn w:val="Normal"/>
    <w:link w:val="PrrafodelistaCar"/>
    <w:uiPriority w:val="34"/>
    <w:qFormat/>
    <w:rsid w:val="002613C5"/>
    <w:pPr>
      <w:ind w:left="720"/>
      <w:contextualSpacing/>
    </w:pPr>
  </w:style>
  <w:style w:type="paragraph" w:styleId="Textodeglobo">
    <w:name w:val="Balloon Text"/>
    <w:basedOn w:val="Normal"/>
    <w:link w:val="TextodegloboCar"/>
    <w:uiPriority w:val="99"/>
    <w:semiHidden/>
    <w:unhideWhenUsed/>
    <w:rsid w:val="00700BFB"/>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0BFB"/>
    <w:rPr>
      <w:rFonts w:ascii="Segoe UI" w:hAnsi="Segoe UI" w:cs="Segoe UI"/>
      <w:sz w:val="18"/>
      <w:szCs w:val="18"/>
    </w:rPr>
  </w:style>
  <w:style w:type="character" w:customStyle="1" w:styleId="PrrafodelistaCar">
    <w:name w:val="Párrafo de lista Car"/>
    <w:aliases w:val="CNBV Parrafo1 Car,Párrafo de lista1 Car,Parrafo 1 Car,Lista multicolor - Énfasis 11 Car,Lista vistosa - Énfasis 11 Car,Cuadrícula media 1 - Énfasis 21 Car,Cita texto Car,List Paragraph-Thesis Car,Footnote Car,List Paragraph2 Car"/>
    <w:basedOn w:val="Fuentedeprrafopredeter"/>
    <w:link w:val="Prrafodelista"/>
    <w:uiPriority w:val="34"/>
    <w:locked/>
    <w:rsid w:val="00EB6C4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459175">
      <w:bodyDiv w:val="1"/>
      <w:marLeft w:val="0"/>
      <w:marRight w:val="0"/>
      <w:marTop w:val="0"/>
      <w:marBottom w:val="0"/>
      <w:divBdr>
        <w:top w:val="none" w:sz="0" w:space="0" w:color="auto"/>
        <w:left w:val="none" w:sz="0" w:space="0" w:color="auto"/>
        <w:bottom w:val="none" w:sz="0" w:space="0" w:color="auto"/>
        <w:right w:val="none" w:sz="0" w:space="0" w:color="auto"/>
      </w:divBdr>
    </w:div>
    <w:div w:id="186921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OneDrive%20-%20Tribunal%20Electoral%20del%20Poder%20Judicial%20de%20la%20Federaci&#243;n\erica.amezquita\Desktop\ASUNTOS\DOCUMENTOS%20PONENCIA\Plantilla%20Distribuci&#243;n%20Anteproyect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73DBC92B6BACE4E8B7971F31F3E63C0" ma:contentTypeVersion="13" ma:contentTypeDescription="Crear nuevo documento." ma:contentTypeScope="" ma:versionID="f89451135d583c692b871fff2b57b47d">
  <xsd:schema xmlns:xsd="http://www.w3.org/2001/XMLSchema" xmlns:xs="http://www.w3.org/2001/XMLSchema" xmlns:p="http://schemas.microsoft.com/office/2006/metadata/properties" xmlns:ns3="f355234d-2b02-4ec1-a781-41a4985d3af3" xmlns:ns4="737e49fd-af2d-44c8-90e5-240b3deb50bf" targetNamespace="http://schemas.microsoft.com/office/2006/metadata/properties" ma:root="true" ma:fieldsID="eeb2025f63fbc3e5c06db38f1d55c722" ns3:_="" ns4:_="">
    <xsd:import namespace="f355234d-2b02-4ec1-a781-41a4985d3af3"/>
    <xsd:import namespace="737e49fd-af2d-44c8-90e5-240b3deb50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55234d-2b02-4ec1-a781-41a4985d3a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7e49fd-af2d-44c8-90e5-240b3deb50bf"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E3B43-BFB6-4FA6-A6CE-4E82057DE50D}">
  <ds:schemaRefs>
    <ds:schemaRef ds:uri="http://schemas.microsoft.com/sharepoint/v3/contenttype/forms"/>
  </ds:schemaRefs>
</ds:datastoreItem>
</file>

<file path=customXml/itemProps2.xml><?xml version="1.0" encoding="utf-8"?>
<ds:datastoreItem xmlns:ds="http://schemas.openxmlformats.org/officeDocument/2006/customXml" ds:itemID="{07F58931-7496-4A52-8F0A-61F5DDB15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5234d-2b02-4ec1-a781-41a4985d3af3"/>
    <ds:schemaRef ds:uri="737e49fd-af2d-44c8-90e5-240b3deb5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2D854E-7333-4286-BFCD-C404596AF2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0FDA11-EB70-463D-A9FC-AD296A2B8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Distribución Anteproyectos</Template>
  <TotalTime>54</TotalTime>
  <Pages>11</Pages>
  <Words>2554</Words>
  <Characters>14048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Amézquita Delgado</dc:creator>
  <cp:keywords/>
  <dc:description/>
  <cp:lastModifiedBy>Erica Amézquita Delgado</cp:lastModifiedBy>
  <cp:revision>10</cp:revision>
  <cp:lastPrinted>2021-03-25T23:05:00Z</cp:lastPrinted>
  <dcterms:created xsi:type="dcterms:W3CDTF">2021-04-13T17:51:00Z</dcterms:created>
  <dcterms:modified xsi:type="dcterms:W3CDTF">2021-05-26T21:20:00Z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0x010100173DBC92B6BACE4E8B7971F31F3E63C0</vt:lpwstr>
  </property>
</Properties>
</file>