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71E9" w14:textId="77777777" w:rsidR="009865F4" w:rsidRPr="00D65C76" w:rsidRDefault="009865F4" w:rsidP="009865F4">
      <w:pPr>
        <w:spacing w:before="240" w:after="240"/>
        <w:ind w:left="3119"/>
        <w:jc w:val="both"/>
        <w:rPr>
          <w:rFonts w:ascii="Arial" w:eastAsia="Arial" w:hAnsi="Arial" w:cs="Arial"/>
          <w:b/>
          <w:sz w:val="24"/>
          <w:szCs w:val="24"/>
        </w:rPr>
      </w:pPr>
      <w:r w:rsidRPr="00D65C76">
        <w:rPr>
          <w:rFonts w:ascii="Arial" w:eastAsia="Arial" w:hAnsi="Arial" w:cs="Arial"/>
          <w:b/>
          <w:sz w:val="24"/>
          <w:szCs w:val="24"/>
        </w:rPr>
        <w:t xml:space="preserve">RECURSO DE RECONSIDERACIÓN </w:t>
      </w:r>
    </w:p>
    <w:p w14:paraId="614DEC4F" w14:textId="77777777" w:rsidR="009865F4" w:rsidRPr="00D65C76" w:rsidRDefault="009865F4" w:rsidP="009865F4">
      <w:pPr>
        <w:spacing w:before="240" w:after="240"/>
        <w:ind w:left="3119"/>
        <w:jc w:val="both"/>
        <w:rPr>
          <w:rFonts w:ascii="Arial" w:eastAsia="Arial" w:hAnsi="Arial" w:cs="Arial"/>
          <w:sz w:val="24"/>
          <w:szCs w:val="24"/>
        </w:rPr>
      </w:pPr>
      <w:r w:rsidRPr="00D65C76">
        <w:rPr>
          <w:rFonts w:ascii="Arial" w:eastAsia="Arial" w:hAnsi="Arial" w:cs="Arial"/>
          <w:b/>
          <w:sz w:val="24"/>
          <w:szCs w:val="24"/>
        </w:rPr>
        <w:t xml:space="preserve">EXPEDIENTE: </w:t>
      </w:r>
      <w:bookmarkStart w:id="0" w:name="_Hlk67487908"/>
      <w:r w:rsidRPr="00D65C76">
        <w:rPr>
          <w:rFonts w:ascii="Arial" w:eastAsia="Arial" w:hAnsi="Arial" w:cs="Arial"/>
          <w:sz w:val="24"/>
          <w:szCs w:val="24"/>
        </w:rPr>
        <w:t>SUP-REC-6</w:t>
      </w:r>
      <w:r w:rsidR="00E20A5E" w:rsidRPr="00D65C76">
        <w:rPr>
          <w:rFonts w:ascii="Arial" w:eastAsia="Arial" w:hAnsi="Arial" w:cs="Arial"/>
          <w:sz w:val="24"/>
          <w:szCs w:val="24"/>
        </w:rPr>
        <w:t>9</w:t>
      </w:r>
      <w:r w:rsidRPr="00D65C76">
        <w:rPr>
          <w:rFonts w:ascii="Arial" w:eastAsia="Arial" w:hAnsi="Arial" w:cs="Arial"/>
          <w:sz w:val="24"/>
          <w:szCs w:val="24"/>
        </w:rPr>
        <w:t>6/2021</w:t>
      </w:r>
      <w:bookmarkEnd w:id="0"/>
    </w:p>
    <w:p w14:paraId="056F7C6D" w14:textId="77777777" w:rsidR="009865F4" w:rsidRPr="00D65C76" w:rsidRDefault="009865F4" w:rsidP="009865F4">
      <w:pPr>
        <w:spacing w:before="240" w:after="240"/>
        <w:ind w:left="3119"/>
        <w:jc w:val="both"/>
        <w:rPr>
          <w:rFonts w:ascii="Arial" w:eastAsia="Arial" w:hAnsi="Arial" w:cs="Arial"/>
          <w:sz w:val="24"/>
          <w:szCs w:val="24"/>
        </w:rPr>
      </w:pPr>
      <w:r w:rsidRPr="00D65C76">
        <w:rPr>
          <w:rFonts w:ascii="Arial" w:eastAsia="Arial" w:hAnsi="Arial" w:cs="Arial"/>
          <w:b/>
          <w:sz w:val="24"/>
          <w:szCs w:val="24"/>
        </w:rPr>
        <w:t xml:space="preserve">RECURRENTE: </w:t>
      </w:r>
      <w:r w:rsidR="00E20A5E" w:rsidRPr="00D65C76">
        <w:rPr>
          <w:rFonts w:ascii="Arial" w:eastAsia="Arial" w:hAnsi="Arial" w:cs="Arial"/>
          <w:sz w:val="24"/>
          <w:szCs w:val="24"/>
        </w:rPr>
        <w:t>PARTIDO ACCIÓN NACIONAL</w:t>
      </w:r>
    </w:p>
    <w:p w14:paraId="21052064" w14:textId="77777777" w:rsidR="009865F4" w:rsidRPr="00D65C76" w:rsidRDefault="009865F4" w:rsidP="009865F4">
      <w:pPr>
        <w:spacing w:before="240" w:after="240"/>
        <w:ind w:left="3119"/>
        <w:jc w:val="both"/>
        <w:rPr>
          <w:rFonts w:ascii="Arial" w:eastAsia="Arial" w:hAnsi="Arial" w:cs="Arial"/>
          <w:sz w:val="24"/>
          <w:szCs w:val="24"/>
        </w:rPr>
      </w:pPr>
      <w:r w:rsidRPr="00D65C76">
        <w:rPr>
          <w:rFonts w:ascii="Arial" w:eastAsia="Arial" w:hAnsi="Arial" w:cs="Arial"/>
          <w:b/>
          <w:sz w:val="24"/>
          <w:szCs w:val="24"/>
        </w:rPr>
        <w:t xml:space="preserve">RESPONSABLE: </w:t>
      </w:r>
      <w:r w:rsidRPr="00D65C76">
        <w:rPr>
          <w:rFonts w:ascii="Arial" w:eastAsia="Arial" w:hAnsi="Arial" w:cs="Arial"/>
          <w:sz w:val="24"/>
          <w:szCs w:val="24"/>
        </w:rPr>
        <w:t xml:space="preserve">SALA REGIONAL DEL TRIBUNAL ELECTORAL DEL PODER JUDICIAL DE LA FEDERACIÓN, CORRESPONDIENTE A LA </w:t>
      </w:r>
      <w:r w:rsidR="00E20A5E" w:rsidRPr="00D65C76">
        <w:rPr>
          <w:rFonts w:ascii="Arial" w:eastAsia="Arial" w:hAnsi="Arial" w:cs="Arial"/>
          <w:sz w:val="24"/>
          <w:szCs w:val="24"/>
        </w:rPr>
        <w:t>SEGUNDA</w:t>
      </w:r>
      <w:r w:rsidRPr="00D65C76">
        <w:rPr>
          <w:rFonts w:ascii="Arial" w:eastAsia="Arial" w:hAnsi="Arial" w:cs="Arial"/>
          <w:sz w:val="24"/>
          <w:szCs w:val="24"/>
        </w:rPr>
        <w:t xml:space="preserve"> CIRCUNSCRIPCIÓN PLURINOMINAL ELECTORAL, CON SEDE EN </w:t>
      </w:r>
      <w:r w:rsidR="00E20A5E" w:rsidRPr="00D65C76">
        <w:rPr>
          <w:rFonts w:ascii="Arial" w:eastAsia="Arial" w:hAnsi="Arial" w:cs="Arial"/>
          <w:sz w:val="24"/>
          <w:szCs w:val="24"/>
        </w:rPr>
        <w:t>MONTERREY</w:t>
      </w:r>
      <w:r w:rsidRPr="00D65C76">
        <w:rPr>
          <w:rFonts w:ascii="Arial" w:eastAsia="Arial" w:hAnsi="Arial" w:cs="Arial"/>
          <w:sz w:val="24"/>
          <w:szCs w:val="24"/>
        </w:rPr>
        <w:t xml:space="preserve">, </w:t>
      </w:r>
      <w:r w:rsidR="00E20A5E" w:rsidRPr="00D65C76">
        <w:rPr>
          <w:rFonts w:ascii="Arial" w:eastAsia="Arial" w:hAnsi="Arial" w:cs="Arial"/>
          <w:sz w:val="24"/>
          <w:szCs w:val="24"/>
        </w:rPr>
        <w:t>NUEVO LEÓN</w:t>
      </w:r>
    </w:p>
    <w:p w14:paraId="5CB8580B" w14:textId="77777777" w:rsidR="009865F4" w:rsidRPr="00D65C76" w:rsidRDefault="009865F4" w:rsidP="009865F4">
      <w:pPr>
        <w:spacing w:before="240" w:after="240"/>
        <w:ind w:left="3119"/>
        <w:jc w:val="both"/>
        <w:rPr>
          <w:rFonts w:ascii="Arial" w:eastAsia="Arial" w:hAnsi="Arial" w:cs="Arial"/>
          <w:sz w:val="24"/>
          <w:szCs w:val="24"/>
        </w:rPr>
      </w:pPr>
      <w:r w:rsidRPr="00D65C76">
        <w:rPr>
          <w:rFonts w:ascii="Arial" w:eastAsia="Arial" w:hAnsi="Arial" w:cs="Arial"/>
          <w:b/>
          <w:sz w:val="24"/>
          <w:szCs w:val="24"/>
        </w:rPr>
        <w:t xml:space="preserve">MAGISTRADO PONENTE: </w:t>
      </w:r>
      <w:r w:rsidRPr="00D65C76">
        <w:rPr>
          <w:rFonts w:ascii="Arial" w:eastAsia="Arial" w:hAnsi="Arial" w:cs="Arial"/>
          <w:sz w:val="24"/>
          <w:szCs w:val="24"/>
        </w:rPr>
        <w:t>FELIPE ALFREDO FUENTES BARRERA</w:t>
      </w:r>
    </w:p>
    <w:p w14:paraId="27169549" w14:textId="77777777" w:rsidR="009865F4" w:rsidRPr="00D65C76" w:rsidRDefault="009865F4" w:rsidP="009865F4">
      <w:pPr>
        <w:spacing w:before="240" w:after="240"/>
        <w:ind w:left="3119"/>
        <w:contextualSpacing/>
        <w:jc w:val="both"/>
        <w:rPr>
          <w:rFonts w:ascii="Arial" w:hAnsi="Arial" w:cs="Arial"/>
          <w:bCs/>
          <w:sz w:val="24"/>
          <w:szCs w:val="24"/>
          <w:lang w:val="es-ES"/>
        </w:rPr>
      </w:pPr>
      <w:r w:rsidRPr="00D65C76">
        <w:rPr>
          <w:rFonts w:ascii="Arial" w:eastAsia="Arial" w:hAnsi="Arial" w:cs="Arial"/>
          <w:b/>
          <w:sz w:val="24"/>
          <w:szCs w:val="24"/>
        </w:rPr>
        <w:t xml:space="preserve">SECRETARIADO: </w:t>
      </w:r>
      <w:r w:rsidRPr="00D65C76">
        <w:rPr>
          <w:rFonts w:ascii="Arial" w:hAnsi="Arial" w:cs="Arial"/>
          <w:bCs/>
          <w:sz w:val="24"/>
          <w:szCs w:val="24"/>
          <w:lang w:val="es-ES"/>
        </w:rPr>
        <w:t xml:space="preserve">XITLALI GÓMEZ TERÁN Y ÁNGEL EDUARDO ZARAZÚA ALVIZAR </w:t>
      </w:r>
    </w:p>
    <w:p w14:paraId="2869CB97" w14:textId="77777777" w:rsidR="009865F4" w:rsidRPr="00D65C76" w:rsidRDefault="009865F4" w:rsidP="009865F4">
      <w:pPr>
        <w:spacing w:before="240" w:after="240"/>
        <w:ind w:left="3119"/>
        <w:contextualSpacing/>
        <w:jc w:val="both"/>
        <w:rPr>
          <w:rFonts w:ascii="Arial" w:hAnsi="Arial" w:cs="Arial"/>
          <w:sz w:val="24"/>
          <w:szCs w:val="24"/>
        </w:rPr>
      </w:pPr>
    </w:p>
    <w:p w14:paraId="7DB430ED" w14:textId="77777777" w:rsidR="009865F4" w:rsidRPr="00D65C76" w:rsidRDefault="009865F4" w:rsidP="009865F4">
      <w:pPr>
        <w:spacing w:before="240" w:after="240"/>
        <w:ind w:left="3119"/>
        <w:contextualSpacing/>
        <w:jc w:val="both"/>
        <w:rPr>
          <w:rFonts w:ascii="Arial" w:hAnsi="Arial" w:cs="Arial"/>
          <w:sz w:val="24"/>
          <w:szCs w:val="24"/>
        </w:rPr>
      </w:pPr>
      <w:r w:rsidRPr="00D65C76">
        <w:rPr>
          <w:rFonts w:ascii="Arial" w:hAnsi="Arial" w:cs="Arial"/>
          <w:b/>
          <w:sz w:val="24"/>
          <w:szCs w:val="24"/>
        </w:rPr>
        <w:t>C</w:t>
      </w:r>
      <w:r w:rsidRPr="00D65C76">
        <w:rPr>
          <w:rFonts w:ascii="Arial" w:hAnsi="Arial" w:cs="Arial"/>
          <w:b/>
          <w:bCs/>
          <w:sz w:val="24"/>
          <w:szCs w:val="24"/>
        </w:rPr>
        <w:t>OLABORÓ</w:t>
      </w:r>
      <w:r w:rsidRPr="00D65C76">
        <w:rPr>
          <w:rFonts w:ascii="Arial" w:hAnsi="Arial" w:cs="Arial"/>
          <w:sz w:val="24"/>
          <w:szCs w:val="24"/>
        </w:rPr>
        <w:t xml:space="preserve">: </w:t>
      </w:r>
      <w:r w:rsidRPr="00D65C76">
        <w:rPr>
          <w:rFonts w:ascii="Arial" w:hAnsi="Arial" w:cs="Arial"/>
          <w:bCs/>
          <w:sz w:val="24"/>
          <w:szCs w:val="24"/>
          <w:lang w:val="es-ES"/>
        </w:rPr>
        <w:t>GUSTAVO ALFONSO VILLA VALLEJO Y FANNY AVILEZ ESCALONA</w:t>
      </w:r>
    </w:p>
    <w:p w14:paraId="04C5E279" w14:textId="77777777" w:rsidR="009865F4" w:rsidRPr="00D65C76" w:rsidRDefault="009865F4" w:rsidP="009865F4">
      <w:pPr>
        <w:ind w:left="3119"/>
        <w:jc w:val="both"/>
        <w:rPr>
          <w:rFonts w:ascii="Arial" w:eastAsia="Arial" w:hAnsi="Arial" w:cs="Arial"/>
        </w:rPr>
      </w:pPr>
    </w:p>
    <w:p w14:paraId="368DDE80" w14:textId="7E50EA32" w:rsidR="00A36FFB" w:rsidRPr="00D65C76" w:rsidRDefault="00A36FFB" w:rsidP="00EA5038">
      <w:pPr>
        <w:spacing w:before="240" w:after="240" w:line="360" w:lineRule="auto"/>
        <w:contextualSpacing/>
        <w:jc w:val="right"/>
        <w:rPr>
          <w:rFonts w:ascii="Arial" w:eastAsia="Times New Roman" w:hAnsi="Arial" w:cs="Arial"/>
          <w:sz w:val="24"/>
          <w:szCs w:val="24"/>
          <w:lang w:eastAsia="es-MX"/>
        </w:rPr>
      </w:pPr>
      <w:r w:rsidRPr="00D65C76">
        <w:rPr>
          <w:rFonts w:ascii="Arial" w:eastAsia="Times New Roman" w:hAnsi="Arial" w:cs="Arial"/>
          <w:sz w:val="24"/>
          <w:szCs w:val="24"/>
          <w:lang w:eastAsia="es-MX"/>
        </w:rPr>
        <w:t xml:space="preserve">Ciudad de México, </w:t>
      </w:r>
      <w:r w:rsidR="00B45B45" w:rsidRPr="00D65C76">
        <w:rPr>
          <w:rFonts w:ascii="Arial" w:eastAsia="Times New Roman" w:hAnsi="Arial" w:cs="Arial"/>
          <w:sz w:val="24"/>
          <w:szCs w:val="24"/>
          <w:lang w:eastAsia="es-MX"/>
        </w:rPr>
        <w:t xml:space="preserve">día </w:t>
      </w:r>
      <w:r w:rsidR="00BA4294">
        <w:rPr>
          <w:rFonts w:ascii="Arial" w:eastAsia="Times New Roman" w:hAnsi="Arial" w:cs="Arial"/>
          <w:sz w:val="24"/>
          <w:szCs w:val="24"/>
          <w:lang w:eastAsia="es-MX"/>
        </w:rPr>
        <w:t>cinco</w:t>
      </w:r>
      <w:r w:rsidRPr="00D65C76">
        <w:rPr>
          <w:rFonts w:ascii="Arial" w:eastAsia="Times New Roman" w:hAnsi="Arial" w:cs="Arial"/>
          <w:sz w:val="24"/>
          <w:szCs w:val="24"/>
          <w:lang w:eastAsia="es-MX"/>
        </w:rPr>
        <w:t xml:space="preserve"> de</w:t>
      </w:r>
      <w:r w:rsidR="00955179" w:rsidRPr="00D65C76">
        <w:rPr>
          <w:rFonts w:ascii="Arial" w:eastAsia="Times New Roman" w:hAnsi="Arial" w:cs="Arial"/>
          <w:sz w:val="24"/>
          <w:szCs w:val="24"/>
          <w:lang w:eastAsia="es-MX"/>
        </w:rPr>
        <w:t xml:space="preserve"> </w:t>
      </w:r>
      <w:r w:rsidR="00D4554D" w:rsidRPr="00D65C76">
        <w:rPr>
          <w:rFonts w:ascii="Arial" w:eastAsia="Times New Roman" w:hAnsi="Arial" w:cs="Arial"/>
          <w:sz w:val="24"/>
          <w:szCs w:val="24"/>
          <w:lang w:eastAsia="es-MX"/>
        </w:rPr>
        <w:t xml:space="preserve">junio </w:t>
      </w:r>
      <w:r w:rsidRPr="00D65C76">
        <w:rPr>
          <w:rFonts w:ascii="Arial" w:eastAsia="Times New Roman" w:hAnsi="Arial" w:cs="Arial"/>
          <w:sz w:val="24"/>
          <w:szCs w:val="24"/>
          <w:lang w:eastAsia="es-MX"/>
        </w:rPr>
        <w:t xml:space="preserve">de dos mil </w:t>
      </w:r>
      <w:r w:rsidR="00955179" w:rsidRPr="00D65C76">
        <w:rPr>
          <w:rFonts w:ascii="Arial" w:eastAsia="Times New Roman" w:hAnsi="Arial" w:cs="Arial"/>
          <w:sz w:val="24"/>
          <w:szCs w:val="24"/>
          <w:lang w:eastAsia="es-MX"/>
        </w:rPr>
        <w:t>veintiuno</w:t>
      </w:r>
    </w:p>
    <w:p w14:paraId="7B9DA438" w14:textId="77777777" w:rsidR="00A47B72" w:rsidRPr="00D65C76" w:rsidRDefault="00A47B72" w:rsidP="00EA5038">
      <w:pPr>
        <w:spacing w:before="240" w:after="240" w:line="360" w:lineRule="auto"/>
        <w:contextualSpacing/>
        <w:jc w:val="right"/>
        <w:rPr>
          <w:rFonts w:ascii="Arial" w:eastAsia="Times New Roman" w:hAnsi="Arial" w:cs="Arial"/>
          <w:sz w:val="24"/>
          <w:szCs w:val="24"/>
          <w:lang w:eastAsia="es-MX"/>
        </w:rPr>
      </w:pPr>
    </w:p>
    <w:p w14:paraId="69B202BC" w14:textId="093EC029" w:rsidR="00310427" w:rsidRPr="00D65C76" w:rsidRDefault="00310427" w:rsidP="00310427">
      <w:pPr>
        <w:spacing w:before="240" w:after="240" w:line="360" w:lineRule="auto"/>
        <w:jc w:val="both"/>
        <w:rPr>
          <w:rFonts w:ascii="Arial" w:hAnsi="Arial" w:cs="Arial"/>
          <w:bCs/>
          <w:sz w:val="24"/>
          <w:szCs w:val="24"/>
        </w:rPr>
      </w:pPr>
      <w:r w:rsidRPr="00D65C76">
        <w:rPr>
          <w:rFonts w:ascii="Arial" w:hAnsi="Arial" w:cs="Arial"/>
          <w:sz w:val="24"/>
          <w:szCs w:val="24"/>
          <w:lang w:val="es-ES"/>
        </w:rPr>
        <w:t>Sentencia de la</w:t>
      </w:r>
      <w:r w:rsidR="008B66AF" w:rsidRPr="00D65C76">
        <w:rPr>
          <w:rFonts w:ascii="Arial" w:hAnsi="Arial" w:cs="Arial"/>
          <w:sz w:val="24"/>
          <w:szCs w:val="24"/>
          <w:lang w:val="es-ES"/>
        </w:rPr>
        <w:t xml:space="preserve"> Sala Superior del Tribunal Electoral del Poder Judicial de la Federación</w:t>
      </w:r>
      <w:r w:rsidR="008B66AF" w:rsidRPr="00D65C76">
        <w:rPr>
          <w:rStyle w:val="Refdenotaalpie"/>
          <w:rFonts w:ascii="Arial" w:hAnsi="Arial" w:cs="Arial"/>
          <w:sz w:val="24"/>
          <w:szCs w:val="24"/>
          <w:lang w:val="es-ES"/>
        </w:rPr>
        <w:footnoteReference w:id="2"/>
      </w:r>
      <w:r w:rsidR="008B66AF" w:rsidRPr="00D65C76">
        <w:rPr>
          <w:rFonts w:ascii="Arial" w:hAnsi="Arial" w:cs="Arial"/>
          <w:sz w:val="24"/>
          <w:szCs w:val="24"/>
          <w:lang w:val="es-ES"/>
        </w:rPr>
        <w:t xml:space="preserve"> </w:t>
      </w:r>
      <w:r w:rsidRPr="00D65C76">
        <w:rPr>
          <w:rFonts w:ascii="Arial" w:hAnsi="Arial" w:cs="Arial"/>
          <w:sz w:val="24"/>
          <w:szCs w:val="24"/>
          <w:lang w:val="es-ES"/>
        </w:rPr>
        <w:t xml:space="preserve">que </w:t>
      </w:r>
      <w:r w:rsidR="008B66AF" w:rsidRPr="00D65C76">
        <w:rPr>
          <w:rFonts w:ascii="Arial" w:hAnsi="Arial" w:cs="Arial"/>
          <w:b/>
          <w:bCs/>
          <w:sz w:val="24"/>
          <w:szCs w:val="24"/>
          <w:lang w:val="es-ES"/>
        </w:rPr>
        <w:t>desecha de plano</w:t>
      </w:r>
      <w:r w:rsidR="008B66AF" w:rsidRPr="00D65C76">
        <w:rPr>
          <w:rFonts w:ascii="Arial" w:hAnsi="Arial" w:cs="Arial"/>
          <w:sz w:val="24"/>
          <w:szCs w:val="24"/>
          <w:lang w:val="es-ES"/>
        </w:rPr>
        <w:t xml:space="preserve"> </w:t>
      </w:r>
      <w:r w:rsidR="002B6809" w:rsidRPr="00D65C76">
        <w:rPr>
          <w:rFonts w:ascii="Arial" w:hAnsi="Arial" w:cs="Arial"/>
          <w:sz w:val="24"/>
          <w:szCs w:val="24"/>
          <w:lang w:val="es-ES"/>
        </w:rPr>
        <w:t>el recurso de reconsideración</w:t>
      </w:r>
      <w:r w:rsidR="0053638F" w:rsidRPr="00D65C76">
        <w:rPr>
          <w:rFonts w:ascii="Arial" w:hAnsi="Arial" w:cs="Arial"/>
          <w:sz w:val="24"/>
          <w:szCs w:val="24"/>
          <w:lang w:val="es-ES"/>
        </w:rPr>
        <w:t xml:space="preserve"> interpuesto</w:t>
      </w:r>
      <w:r w:rsidRPr="00D65C76">
        <w:rPr>
          <w:rFonts w:ascii="Arial" w:hAnsi="Arial" w:cs="Arial"/>
          <w:sz w:val="24"/>
          <w:szCs w:val="24"/>
          <w:lang w:val="es-ES"/>
        </w:rPr>
        <w:t xml:space="preserve"> por </w:t>
      </w:r>
      <w:r w:rsidR="00E20A5E" w:rsidRPr="00D65C76">
        <w:rPr>
          <w:rFonts w:ascii="Arial" w:hAnsi="Arial" w:cs="Arial"/>
          <w:sz w:val="24"/>
          <w:szCs w:val="24"/>
          <w:lang w:val="es-ES"/>
        </w:rPr>
        <w:t>el Partido Acción Nacional</w:t>
      </w:r>
      <w:r w:rsidRPr="00D65C76">
        <w:rPr>
          <w:rStyle w:val="Refdenotaalpie"/>
          <w:rFonts w:ascii="Arial" w:hAnsi="Arial" w:cs="Arial"/>
          <w:sz w:val="24"/>
          <w:szCs w:val="24"/>
          <w:lang w:val="es-ES"/>
        </w:rPr>
        <w:footnoteReference w:id="3"/>
      </w:r>
      <w:r w:rsidR="00E20A5E" w:rsidRPr="00D65C76">
        <w:rPr>
          <w:rFonts w:ascii="Arial" w:hAnsi="Arial" w:cs="Arial"/>
          <w:sz w:val="24"/>
          <w:szCs w:val="24"/>
          <w:lang w:val="es-ES"/>
        </w:rPr>
        <w:t xml:space="preserve"> </w:t>
      </w:r>
      <w:r w:rsidRPr="00D65C76">
        <w:rPr>
          <w:rFonts w:ascii="Arial" w:hAnsi="Arial" w:cs="Arial"/>
          <w:sz w:val="24"/>
          <w:szCs w:val="24"/>
          <w:lang w:val="es-ES"/>
        </w:rPr>
        <w:t xml:space="preserve">en contra de la </w:t>
      </w:r>
      <w:r w:rsidR="009149D4" w:rsidRPr="00D65C76">
        <w:rPr>
          <w:rFonts w:ascii="Arial" w:hAnsi="Arial" w:cs="Arial"/>
          <w:sz w:val="24"/>
          <w:szCs w:val="24"/>
          <w:lang w:val="es-ES"/>
        </w:rPr>
        <w:t xml:space="preserve">sentencia dictada por </w:t>
      </w:r>
      <w:r w:rsidRPr="00D65C76">
        <w:rPr>
          <w:rFonts w:ascii="Arial" w:hAnsi="Arial" w:cs="Arial"/>
          <w:sz w:val="24"/>
          <w:szCs w:val="24"/>
          <w:lang w:val="es-ES"/>
        </w:rPr>
        <w:t xml:space="preserve">la </w:t>
      </w:r>
      <w:r w:rsidR="001731E9" w:rsidRPr="00D65C76">
        <w:rPr>
          <w:rFonts w:ascii="Arial" w:hAnsi="Arial" w:cs="Arial"/>
          <w:sz w:val="24"/>
          <w:szCs w:val="24"/>
          <w:lang w:val="es-ES"/>
        </w:rPr>
        <w:t xml:space="preserve">Sala Regional de la </w:t>
      </w:r>
      <w:r w:rsidR="00E20A5E" w:rsidRPr="00D65C76">
        <w:rPr>
          <w:rFonts w:ascii="Arial" w:hAnsi="Arial" w:cs="Arial"/>
          <w:sz w:val="24"/>
          <w:szCs w:val="24"/>
          <w:lang w:val="es-ES"/>
        </w:rPr>
        <w:t>segunda</w:t>
      </w:r>
      <w:r w:rsidR="001731E9" w:rsidRPr="00D65C76">
        <w:rPr>
          <w:rFonts w:ascii="Arial" w:hAnsi="Arial" w:cs="Arial"/>
          <w:sz w:val="24"/>
          <w:szCs w:val="24"/>
          <w:lang w:val="es-ES"/>
        </w:rPr>
        <w:t xml:space="preserve"> circunscripción plurinominal del Tribunal Electoral del Poder Judicial de la Federación, con sede en </w:t>
      </w:r>
      <w:r w:rsidR="00E20A5E" w:rsidRPr="00D65C76">
        <w:rPr>
          <w:rFonts w:ascii="Arial" w:hAnsi="Arial" w:cs="Arial"/>
          <w:sz w:val="24"/>
          <w:szCs w:val="24"/>
          <w:lang w:val="es-ES"/>
        </w:rPr>
        <w:t>Monterrey</w:t>
      </w:r>
      <w:r w:rsidR="001731E9" w:rsidRPr="00D65C76">
        <w:rPr>
          <w:rFonts w:ascii="Arial" w:hAnsi="Arial" w:cs="Arial"/>
          <w:sz w:val="24"/>
          <w:szCs w:val="24"/>
          <w:lang w:val="es-ES"/>
        </w:rPr>
        <w:t xml:space="preserve">, </w:t>
      </w:r>
      <w:r w:rsidR="00E20A5E" w:rsidRPr="00D65C76">
        <w:rPr>
          <w:rFonts w:ascii="Arial" w:hAnsi="Arial" w:cs="Arial"/>
          <w:sz w:val="24"/>
          <w:szCs w:val="24"/>
          <w:lang w:val="es-ES"/>
        </w:rPr>
        <w:t>Nuevo León</w:t>
      </w:r>
      <w:r w:rsidR="004508F2" w:rsidRPr="00D65C76">
        <w:rPr>
          <w:rFonts w:ascii="Arial" w:hAnsi="Arial" w:cs="Arial"/>
          <w:bCs/>
          <w:sz w:val="24"/>
          <w:szCs w:val="24"/>
        </w:rPr>
        <w:t>,</w:t>
      </w:r>
      <w:r w:rsidRPr="00D65C76">
        <w:rPr>
          <w:rStyle w:val="Refdenotaalpie"/>
          <w:rFonts w:ascii="Arial" w:hAnsi="Arial" w:cs="Arial"/>
          <w:bCs/>
          <w:sz w:val="24"/>
          <w:szCs w:val="24"/>
        </w:rPr>
        <w:footnoteReference w:id="4"/>
      </w:r>
      <w:r w:rsidRPr="00D65C76">
        <w:rPr>
          <w:rFonts w:ascii="Arial" w:hAnsi="Arial" w:cs="Arial"/>
          <w:bCs/>
          <w:sz w:val="24"/>
          <w:szCs w:val="24"/>
        </w:rPr>
        <w:t xml:space="preserve"> </w:t>
      </w:r>
      <w:r w:rsidR="002C7FD6" w:rsidRPr="00D65C76">
        <w:rPr>
          <w:rFonts w:ascii="Arial" w:hAnsi="Arial" w:cs="Arial"/>
          <w:bCs/>
          <w:sz w:val="24"/>
          <w:szCs w:val="24"/>
        </w:rPr>
        <w:t xml:space="preserve">en el juicio </w:t>
      </w:r>
      <w:r w:rsidR="00E20A5E" w:rsidRPr="00D65C76">
        <w:rPr>
          <w:rFonts w:ascii="Arial" w:hAnsi="Arial" w:cs="Arial"/>
          <w:bCs/>
          <w:sz w:val="24"/>
          <w:szCs w:val="24"/>
        </w:rPr>
        <w:t>SM-JRC-87/2021</w:t>
      </w:r>
      <w:r w:rsidR="002C7FD6" w:rsidRPr="00D65C76">
        <w:rPr>
          <w:rFonts w:ascii="Arial" w:hAnsi="Arial" w:cs="Arial"/>
          <w:bCs/>
          <w:sz w:val="24"/>
          <w:szCs w:val="24"/>
        </w:rPr>
        <w:t>.</w:t>
      </w:r>
    </w:p>
    <w:p w14:paraId="6D1FD304" w14:textId="77777777" w:rsidR="002C7FD6" w:rsidRPr="00D65C76" w:rsidRDefault="00593BB0" w:rsidP="00310427">
      <w:pPr>
        <w:spacing w:before="240" w:after="240" w:line="360" w:lineRule="auto"/>
        <w:jc w:val="both"/>
        <w:rPr>
          <w:rFonts w:ascii="Arial" w:hAnsi="Arial" w:cs="Arial"/>
          <w:bCs/>
          <w:sz w:val="24"/>
          <w:szCs w:val="24"/>
        </w:rPr>
      </w:pPr>
      <w:r w:rsidRPr="00D65C76">
        <w:rPr>
          <w:rFonts w:ascii="Arial" w:hAnsi="Arial" w:cs="Arial"/>
          <w:bCs/>
          <w:sz w:val="24"/>
          <w:szCs w:val="24"/>
        </w:rPr>
        <w:t xml:space="preserve">Lo anterior al no satisfacer el requisito especial de procedencia del recurso de reconsideración consistente en que la controversia planteada verse sobre cuestiones de constitucionalidad o convencionalidad ni se actualiza </w:t>
      </w:r>
      <w:r w:rsidRPr="00D65C76">
        <w:rPr>
          <w:rFonts w:ascii="Arial" w:hAnsi="Arial" w:cs="Arial"/>
          <w:bCs/>
          <w:sz w:val="24"/>
          <w:szCs w:val="24"/>
        </w:rPr>
        <w:lastRenderedPageBreak/>
        <w:t>algún otro supuesto que justifique el estudio de fondo de la problemática planteada.</w:t>
      </w:r>
    </w:p>
    <w:p w14:paraId="78EF2FCB" w14:textId="77777777" w:rsidR="00717578" w:rsidRPr="00D65C76" w:rsidRDefault="00D62F52" w:rsidP="00A47B72">
      <w:pPr>
        <w:spacing w:before="240" w:after="240" w:line="360" w:lineRule="auto"/>
        <w:jc w:val="center"/>
        <w:outlineLvl w:val="0"/>
        <w:rPr>
          <w:rFonts w:ascii="Arial" w:hAnsi="Arial" w:cs="Arial"/>
          <w:b/>
          <w:sz w:val="24"/>
          <w:szCs w:val="24"/>
        </w:rPr>
      </w:pPr>
      <w:bookmarkStart w:id="1" w:name="_GoBack"/>
      <w:bookmarkEnd w:id="1"/>
      <w:r w:rsidRPr="00D65C76">
        <w:rPr>
          <w:rFonts w:ascii="Arial" w:hAnsi="Arial" w:cs="Arial"/>
          <w:b/>
          <w:sz w:val="24"/>
          <w:szCs w:val="24"/>
        </w:rPr>
        <w:t>I. ASPECTOS GENERALES</w:t>
      </w:r>
    </w:p>
    <w:p w14:paraId="0B097BF4" w14:textId="2FE9BAC4" w:rsidR="00FD20DA" w:rsidRPr="00D65C76" w:rsidRDefault="00FD20DA" w:rsidP="00974046">
      <w:pPr>
        <w:spacing w:before="240" w:after="240" w:line="360" w:lineRule="auto"/>
        <w:jc w:val="both"/>
        <w:rPr>
          <w:rFonts w:ascii="Arial" w:hAnsi="Arial" w:cs="Arial"/>
          <w:bCs/>
          <w:sz w:val="24"/>
          <w:szCs w:val="24"/>
        </w:rPr>
      </w:pPr>
      <w:bookmarkStart w:id="2" w:name="_Toc70174349"/>
      <w:r w:rsidRPr="00D65C76">
        <w:rPr>
          <w:rFonts w:ascii="Arial" w:hAnsi="Arial" w:cs="Arial"/>
          <w:bCs/>
          <w:sz w:val="24"/>
          <w:szCs w:val="24"/>
        </w:rPr>
        <w:t xml:space="preserve">La controversia se origina con la sentencia emitida por el Tribunal </w:t>
      </w:r>
      <w:r w:rsidR="00E20A5E" w:rsidRPr="00D65C76">
        <w:rPr>
          <w:rFonts w:ascii="Arial" w:hAnsi="Arial" w:cs="Arial"/>
          <w:bCs/>
          <w:sz w:val="24"/>
          <w:szCs w:val="24"/>
        </w:rPr>
        <w:t>Estatal</w:t>
      </w:r>
      <w:r w:rsidRPr="00D65C76">
        <w:rPr>
          <w:rFonts w:ascii="Arial" w:hAnsi="Arial" w:cs="Arial"/>
          <w:bCs/>
          <w:sz w:val="24"/>
          <w:szCs w:val="24"/>
        </w:rPr>
        <w:t xml:space="preserve"> </w:t>
      </w:r>
      <w:r w:rsidR="00E20A5E" w:rsidRPr="00D65C76">
        <w:rPr>
          <w:rFonts w:ascii="Arial" w:hAnsi="Arial" w:cs="Arial"/>
          <w:bCs/>
          <w:sz w:val="24"/>
          <w:szCs w:val="24"/>
        </w:rPr>
        <w:t>Electoral</w:t>
      </w:r>
      <w:r w:rsidRPr="00D65C76">
        <w:rPr>
          <w:rFonts w:ascii="Arial" w:hAnsi="Arial" w:cs="Arial"/>
          <w:bCs/>
          <w:sz w:val="24"/>
          <w:szCs w:val="24"/>
        </w:rPr>
        <w:t xml:space="preserve"> de </w:t>
      </w:r>
      <w:r w:rsidR="00E20A5E" w:rsidRPr="00D65C76">
        <w:rPr>
          <w:rFonts w:ascii="Arial" w:hAnsi="Arial" w:cs="Arial"/>
          <w:bCs/>
          <w:sz w:val="24"/>
          <w:szCs w:val="24"/>
        </w:rPr>
        <w:t>Guanajuato</w:t>
      </w:r>
      <w:r w:rsidRPr="00D65C76">
        <w:rPr>
          <w:rStyle w:val="Refdenotaalpie"/>
          <w:rFonts w:ascii="Arial" w:hAnsi="Arial" w:cs="Arial"/>
          <w:bCs/>
          <w:sz w:val="24"/>
          <w:szCs w:val="24"/>
        </w:rPr>
        <w:footnoteReference w:id="5"/>
      </w:r>
      <w:r w:rsidRPr="00D65C76">
        <w:rPr>
          <w:rFonts w:ascii="Arial" w:hAnsi="Arial" w:cs="Arial"/>
          <w:bCs/>
          <w:sz w:val="24"/>
          <w:szCs w:val="24"/>
        </w:rPr>
        <w:t xml:space="preserve"> en autos del expediente </w:t>
      </w:r>
      <w:r w:rsidR="00E20A5E" w:rsidRPr="00D65C76">
        <w:rPr>
          <w:rFonts w:ascii="Arial" w:hAnsi="Arial" w:cs="Arial"/>
          <w:bCs/>
          <w:sz w:val="24"/>
          <w:szCs w:val="24"/>
        </w:rPr>
        <w:t>TEEG-REV-44/2021</w:t>
      </w:r>
      <w:r w:rsidRPr="00D65C76">
        <w:rPr>
          <w:rFonts w:ascii="Arial" w:hAnsi="Arial" w:cs="Arial"/>
          <w:bCs/>
          <w:sz w:val="24"/>
          <w:szCs w:val="24"/>
        </w:rPr>
        <w:t xml:space="preserve">, </w:t>
      </w:r>
      <w:r w:rsidR="00E827D3" w:rsidRPr="00D65C76">
        <w:rPr>
          <w:rFonts w:ascii="Arial" w:hAnsi="Arial" w:cs="Arial"/>
          <w:bCs/>
          <w:sz w:val="24"/>
          <w:szCs w:val="24"/>
        </w:rPr>
        <w:t>en la que confirmó el acuerdo CGIEEG/163/2021, por el cual el Consejo General del Instituto Electoral del Estado de Guanajuato</w:t>
      </w:r>
      <w:r w:rsidR="00E827D3" w:rsidRPr="00D65C76">
        <w:rPr>
          <w:rStyle w:val="Refdenotaalpie"/>
          <w:rFonts w:ascii="Arial" w:hAnsi="Arial" w:cs="Arial"/>
          <w:bCs/>
          <w:sz w:val="24"/>
          <w:szCs w:val="24"/>
        </w:rPr>
        <w:footnoteReference w:id="6"/>
      </w:r>
      <w:r w:rsidR="00E827D3" w:rsidRPr="00D65C76">
        <w:rPr>
          <w:rFonts w:ascii="Arial" w:hAnsi="Arial" w:cs="Arial"/>
          <w:bCs/>
          <w:sz w:val="24"/>
          <w:szCs w:val="24"/>
        </w:rPr>
        <w:t xml:space="preserve"> aprobó la sustitución de candidaturas a la presidencia municipal y a la primera regiduría propietaria y suplente del ayuntamiento </w:t>
      </w:r>
      <w:r w:rsidR="00CE06D0" w:rsidRPr="00D65C76">
        <w:rPr>
          <w:rFonts w:ascii="Arial" w:hAnsi="Arial" w:cs="Arial"/>
          <w:bCs/>
          <w:sz w:val="24"/>
          <w:szCs w:val="24"/>
        </w:rPr>
        <w:t xml:space="preserve">de </w:t>
      </w:r>
      <w:r w:rsidR="00E827D3" w:rsidRPr="00D65C76">
        <w:rPr>
          <w:rFonts w:ascii="Arial" w:hAnsi="Arial" w:cs="Arial"/>
          <w:bCs/>
          <w:sz w:val="24"/>
          <w:szCs w:val="24"/>
        </w:rPr>
        <w:t xml:space="preserve">Comonfort postuladas por Morena, en razón a que las referidas candidatas presentaron su renuncia y </w:t>
      </w:r>
      <w:r w:rsidR="001C2B3D" w:rsidRPr="00D65C76">
        <w:rPr>
          <w:rFonts w:ascii="Arial" w:hAnsi="Arial" w:cs="Arial"/>
          <w:bCs/>
          <w:sz w:val="24"/>
          <w:szCs w:val="24"/>
        </w:rPr>
        <w:t>é</w:t>
      </w:r>
      <w:r w:rsidR="00E827D3" w:rsidRPr="00D65C76">
        <w:rPr>
          <w:rFonts w:ascii="Arial" w:hAnsi="Arial" w:cs="Arial"/>
          <w:bCs/>
          <w:sz w:val="24"/>
          <w:szCs w:val="24"/>
        </w:rPr>
        <w:t>sta fue ratificada ante el Instituto local.</w:t>
      </w:r>
    </w:p>
    <w:p w14:paraId="05E50733" w14:textId="1CE15865" w:rsidR="00974046" w:rsidRPr="00D65C76" w:rsidRDefault="00FD20DA" w:rsidP="00974046">
      <w:pPr>
        <w:spacing w:before="240" w:after="240" w:line="360" w:lineRule="auto"/>
        <w:jc w:val="both"/>
        <w:rPr>
          <w:rFonts w:ascii="Arial" w:hAnsi="Arial" w:cs="Arial"/>
          <w:bCs/>
          <w:sz w:val="24"/>
          <w:szCs w:val="24"/>
        </w:rPr>
      </w:pPr>
      <w:r w:rsidRPr="00D65C76">
        <w:rPr>
          <w:rFonts w:ascii="Arial" w:hAnsi="Arial" w:cs="Arial"/>
          <w:bCs/>
          <w:sz w:val="24"/>
          <w:szCs w:val="24"/>
        </w:rPr>
        <w:t xml:space="preserve">La Sala Regional </w:t>
      </w:r>
      <w:r w:rsidR="00974046" w:rsidRPr="00D65C76">
        <w:rPr>
          <w:rFonts w:ascii="Arial" w:hAnsi="Arial" w:cs="Arial"/>
          <w:bCs/>
          <w:sz w:val="24"/>
          <w:szCs w:val="24"/>
        </w:rPr>
        <w:t>Monterrey</w:t>
      </w:r>
      <w:r w:rsidRPr="00D65C76">
        <w:rPr>
          <w:rFonts w:ascii="Arial" w:hAnsi="Arial" w:cs="Arial"/>
          <w:bCs/>
          <w:sz w:val="24"/>
          <w:szCs w:val="24"/>
        </w:rPr>
        <w:t xml:space="preserve"> al resolver el juicio </w:t>
      </w:r>
      <w:r w:rsidR="00974046" w:rsidRPr="00D65C76">
        <w:rPr>
          <w:rFonts w:ascii="Arial" w:hAnsi="Arial" w:cs="Arial"/>
          <w:bCs/>
          <w:sz w:val="24"/>
          <w:szCs w:val="24"/>
        </w:rPr>
        <w:t>SM-JRC-87/2021</w:t>
      </w:r>
      <w:r w:rsidRPr="00D65C76">
        <w:rPr>
          <w:rFonts w:ascii="Arial" w:hAnsi="Arial" w:cs="Arial"/>
          <w:bCs/>
          <w:sz w:val="24"/>
          <w:szCs w:val="24"/>
        </w:rPr>
        <w:t xml:space="preserve">, </w:t>
      </w:r>
      <w:r w:rsidR="00974046" w:rsidRPr="00D65C76">
        <w:rPr>
          <w:rFonts w:ascii="Arial" w:hAnsi="Arial" w:cs="Arial"/>
          <w:bCs/>
          <w:sz w:val="24"/>
          <w:szCs w:val="24"/>
        </w:rPr>
        <w:t xml:space="preserve">confirmó la resolución emitida por el Tribunal local, </w:t>
      </w:r>
      <w:r w:rsidR="00CE06D0" w:rsidRPr="00D65C76">
        <w:rPr>
          <w:rFonts w:ascii="Arial" w:hAnsi="Arial" w:cs="Arial"/>
          <w:bCs/>
          <w:sz w:val="24"/>
          <w:szCs w:val="24"/>
        </w:rPr>
        <w:t>al considerar</w:t>
      </w:r>
      <w:r w:rsidR="00974046" w:rsidRPr="00D65C76">
        <w:rPr>
          <w:rFonts w:ascii="Arial" w:hAnsi="Arial" w:cs="Arial"/>
          <w:bCs/>
          <w:sz w:val="24"/>
          <w:szCs w:val="24"/>
        </w:rPr>
        <w:t xml:space="preserve"> que los razonamientos de la sentencia impugnada eran consistentes en cuanto a que aun con las sustituciones aprobadas por el Instituto </w:t>
      </w:r>
      <w:r w:rsidR="009E74AC" w:rsidRPr="00D65C76">
        <w:rPr>
          <w:rFonts w:ascii="Arial" w:hAnsi="Arial" w:cs="Arial"/>
          <w:bCs/>
          <w:sz w:val="24"/>
          <w:szCs w:val="24"/>
        </w:rPr>
        <w:t>local</w:t>
      </w:r>
      <w:r w:rsidR="004508F2" w:rsidRPr="00D65C76">
        <w:rPr>
          <w:rFonts w:ascii="Arial" w:hAnsi="Arial" w:cs="Arial"/>
          <w:bCs/>
          <w:sz w:val="24"/>
          <w:szCs w:val="24"/>
        </w:rPr>
        <w:t>,</w:t>
      </w:r>
      <w:r w:rsidR="00974046" w:rsidRPr="00D65C76">
        <w:rPr>
          <w:rFonts w:ascii="Arial" w:hAnsi="Arial" w:cs="Arial"/>
          <w:bCs/>
          <w:sz w:val="24"/>
          <w:szCs w:val="24"/>
        </w:rPr>
        <w:t xml:space="preserve"> no </w:t>
      </w:r>
      <w:r w:rsidR="004508F2" w:rsidRPr="00D65C76">
        <w:rPr>
          <w:rFonts w:ascii="Arial" w:hAnsi="Arial" w:cs="Arial"/>
          <w:bCs/>
          <w:sz w:val="24"/>
          <w:szCs w:val="24"/>
        </w:rPr>
        <w:t xml:space="preserve">se </w:t>
      </w:r>
      <w:r w:rsidR="00974046" w:rsidRPr="00D65C76">
        <w:rPr>
          <w:rFonts w:ascii="Arial" w:hAnsi="Arial" w:cs="Arial"/>
          <w:bCs/>
          <w:sz w:val="24"/>
          <w:szCs w:val="24"/>
        </w:rPr>
        <w:t xml:space="preserve">violentaba lo establecido </w:t>
      </w:r>
      <w:r w:rsidR="009E74AC" w:rsidRPr="00D65C76">
        <w:rPr>
          <w:rFonts w:ascii="Arial" w:hAnsi="Arial" w:cs="Arial"/>
          <w:bCs/>
          <w:sz w:val="24"/>
          <w:szCs w:val="24"/>
        </w:rPr>
        <w:t>en</w:t>
      </w:r>
      <w:r w:rsidR="00974046" w:rsidRPr="00D65C76">
        <w:rPr>
          <w:rFonts w:ascii="Arial" w:hAnsi="Arial" w:cs="Arial"/>
          <w:bCs/>
          <w:sz w:val="24"/>
          <w:szCs w:val="24"/>
        </w:rPr>
        <w:t xml:space="preserve"> los Lineamientos para Garantizar el Cumplimiento del Principio de Paridad de Género en la Postulación y Registro de Candidaturas, así como en la Integración del Congreso del Estado y </w:t>
      </w:r>
      <w:r w:rsidR="004508F2" w:rsidRPr="00D65C76">
        <w:rPr>
          <w:rFonts w:ascii="Arial" w:hAnsi="Arial" w:cs="Arial"/>
          <w:bCs/>
          <w:sz w:val="24"/>
          <w:szCs w:val="24"/>
        </w:rPr>
        <w:t>a</w:t>
      </w:r>
      <w:r w:rsidR="00974046" w:rsidRPr="00D65C76">
        <w:rPr>
          <w:rFonts w:ascii="Arial" w:hAnsi="Arial" w:cs="Arial"/>
          <w:bCs/>
          <w:sz w:val="24"/>
          <w:szCs w:val="24"/>
        </w:rPr>
        <w:t>yuntamientos, en el Proceso Electoral Local Ordinario 2020-2021. Aunado a que el agravio planteado por el PAN</w:t>
      </w:r>
      <w:r w:rsidR="004508F2" w:rsidRPr="00D65C76">
        <w:rPr>
          <w:rFonts w:ascii="Arial" w:hAnsi="Arial" w:cs="Arial"/>
          <w:bCs/>
          <w:sz w:val="24"/>
          <w:szCs w:val="24"/>
        </w:rPr>
        <w:t>,</w:t>
      </w:r>
      <w:r w:rsidR="00974046" w:rsidRPr="00D65C76">
        <w:rPr>
          <w:rFonts w:ascii="Arial" w:hAnsi="Arial" w:cs="Arial"/>
          <w:bCs/>
          <w:sz w:val="24"/>
          <w:szCs w:val="24"/>
        </w:rPr>
        <w:t xml:space="preserve"> respecto que no se cumplía con lo establecido en dichos lineamientos, al cambiar el género de la candidatura en el ayuntamiento de Comonfort, era insuficiente al no controvertir de manera frontal las consideraciones de la sentencia</w:t>
      </w:r>
      <w:r w:rsidR="009E74AC" w:rsidRPr="00D65C76">
        <w:rPr>
          <w:rFonts w:ascii="Arial" w:hAnsi="Arial" w:cs="Arial"/>
          <w:bCs/>
          <w:sz w:val="24"/>
          <w:szCs w:val="24"/>
        </w:rPr>
        <w:t xml:space="preserve"> impugnada</w:t>
      </w:r>
      <w:r w:rsidR="00974046" w:rsidRPr="00D65C76">
        <w:rPr>
          <w:rFonts w:ascii="Arial" w:hAnsi="Arial" w:cs="Arial"/>
          <w:bCs/>
          <w:sz w:val="24"/>
          <w:szCs w:val="24"/>
        </w:rPr>
        <w:t>.</w:t>
      </w:r>
    </w:p>
    <w:p w14:paraId="3E51F4E9" w14:textId="77777777" w:rsidR="009C608F" w:rsidRPr="00D65C76" w:rsidRDefault="009C608F" w:rsidP="00974046">
      <w:pPr>
        <w:spacing w:before="240" w:after="240" w:line="360" w:lineRule="auto"/>
        <w:jc w:val="center"/>
        <w:outlineLvl w:val="0"/>
        <w:rPr>
          <w:rFonts w:ascii="Arial" w:hAnsi="Arial" w:cs="Arial"/>
          <w:b/>
          <w:sz w:val="24"/>
          <w:szCs w:val="24"/>
        </w:rPr>
      </w:pPr>
      <w:bookmarkStart w:id="3" w:name="_Hlk73693528"/>
      <w:r w:rsidRPr="00D65C76">
        <w:rPr>
          <w:rFonts w:ascii="Arial" w:hAnsi="Arial" w:cs="Arial"/>
          <w:b/>
          <w:sz w:val="24"/>
          <w:szCs w:val="24"/>
        </w:rPr>
        <w:t>I</w:t>
      </w:r>
      <w:r w:rsidR="001E6E3C" w:rsidRPr="00D65C76">
        <w:rPr>
          <w:rFonts w:ascii="Arial" w:hAnsi="Arial" w:cs="Arial"/>
          <w:b/>
          <w:sz w:val="24"/>
          <w:szCs w:val="24"/>
        </w:rPr>
        <w:t>I</w:t>
      </w:r>
      <w:r w:rsidRPr="00D65C76">
        <w:rPr>
          <w:rFonts w:ascii="Arial" w:hAnsi="Arial" w:cs="Arial"/>
          <w:b/>
          <w:sz w:val="24"/>
          <w:szCs w:val="24"/>
        </w:rPr>
        <w:t>. ANTECEDENTES</w:t>
      </w:r>
      <w:bookmarkEnd w:id="2"/>
    </w:p>
    <w:p w14:paraId="692D7020" w14:textId="77777777" w:rsidR="00CE06D0" w:rsidRPr="00D65C76" w:rsidRDefault="00CE06D0" w:rsidP="00CE06D0">
      <w:pPr>
        <w:pStyle w:val="NormalWeb"/>
        <w:spacing w:before="240" w:beforeAutospacing="0" w:after="240" w:afterAutospacing="0" w:line="360" w:lineRule="auto"/>
        <w:jc w:val="both"/>
        <w:rPr>
          <w:rFonts w:ascii="Arial" w:eastAsia="Calibri" w:hAnsi="Arial" w:cs="Arial"/>
        </w:rPr>
      </w:pPr>
      <w:bookmarkStart w:id="4" w:name="_Toc70526305"/>
      <w:bookmarkStart w:id="5" w:name="_Toc70596433"/>
      <w:bookmarkStart w:id="6" w:name="_Toc70596527"/>
      <w:bookmarkStart w:id="7" w:name="_Toc70596646"/>
      <w:bookmarkStart w:id="8" w:name="_Toc70686767"/>
      <w:r w:rsidRPr="00D65C76">
        <w:rPr>
          <w:rFonts w:ascii="Arial" w:eastAsia="Calibri" w:hAnsi="Arial" w:cs="Arial"/>
        </w:rPr>
        <w:t>De lo narrado por el recurrente y de las constancias que obran en el expediente, se advierten los siguientes hechos:</w:t>
      </w:r>
    </w:p>
    <w:p w14:paraId="0F336188" w14:textId="77777777" w:rsidR="00CE06D0" w:rsidRPr="00D65C76" w:rsidRDefault="00CE06D0"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b/>
          <w:bCs/>
          <w:sz w:val="24"/>
          <w:szCs w:val="24"/>
          <w:lang w:val="es-ES"/>
        </w:rPr>
        <w:lastRenderedPageBreak/>
        <w:t>1.</w:t>
      </w:r>
      <w:bookmarkEnd w:id="4"/>
      <w:bookmarkEnd w:id="5"/>
      <w:bookmarkEnd w:id="6"/>
      <w:bookmarkEnd w:id="7"/>
      <w:r w:rsidRPr="00D65C76">
        <w:rPr>
          <w:rFonts w:ascii="Arial" w:eastAsia="Calibri" w:hAnsi="Arial" w:cs="Times New Roman"/>
          <w:b/>
          <w:bCs/>
          <w:sz w:val="24"/>
          <w:szCs w:val="24"/>
          <w:lang w:val="es-ES"/>
        </w:rPr>
        <w:t xml:space="preserve"> Inicio del proceso electoral local. </w:t>
      </w:r>
      <w:r w:rsidRPr="00D65C76">
        <w:rPr>
          <w:rFonts w:ascii="Arial" w:eastAsia="Calibri" w:hAnsi="Arial" w:cs="Times New Roman"/>
          <w:sz w:val="24"/>
          <w:szCs w:val="24"/>
          <w:lang w:val="es-ES"/>
        </w:rPr>
        <w:t>El</w:t>
      </w:r>
      <w:r w:rsidRPr="00D65C76">
        <w:rPr>
          <w:rFonts w:ascii="Arial" w:eastAsia="Calibri" w:hAnsi="Arial" w:cs="Times New Roman"/>
          <w:b/>
          <w:bCs/>
          <w:sz w:val="24"/>
          <w:szCs w:val="24"/>
          <w:lang w:val="es-ES"/>
        </w:rPr>
        <w:t xml:space="preserve"> </w:t>
      </w:r>
      <w:r w:rsidRPr="00D65C76">
        <w:rPr>
          <w:rFonts w:ascii="Arial" w:eastAsia="Calibri" w:hAnsi="Arial" w:cs="Times New Roman"/>
          <w:sz w:val="24"/>
          <w:szCs w:val="24"/>
          <w:lang w:val="es-ES"/>
        </w:rPr>
        <w:t>siete de septiembre de dos mil veinte, inició el proceso electoral local 2020-2021, para la renovación de diversos cargos de elección popular en el Estado de Guanajuato.</w:t>
      </w:r>
    </w:p>
    <w:p w14:paraId="41315315" w14:textId="77777777" w:rsidR="00205869" w:rsidRPr="00D65C76" w:rsidRDefault="00CE06D0"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b/>
          <w:bCs/>
          <w:sz w:val="24"/>
          <w:szCs w:val="24"/>
          <w:lang w:val="es-ES"/>
        </w:rPr>
        <w:t xml:space="preserve">2. Requerimiento e improcedencia de registros. </w:t>
      </w:r>
      <w:r w:rsidRPr="00D65C76">
        <w:rPr>
          <w:rFonts w:ascii="Arial" w:eastAsia="Calibri" w:hAnsi="Arial" w:cs="Times New Roman"/>
          <w:sz w:val="24"/>
          <w:szCs w:val="24"/>
          <w:lang w:val="es-ES"/>
        </w:rPr>
        <w:t xml:space="preserve">El cuatro de abril, el Instituto local emitió el acuerdo CGIEEG/104/2021, en el que </w:t>
      </w:r>
      <w:r w:rsidR="00205869" w:rsidRPr="00D65C76">
        <w:rPr>
          <w:rFonts w:ascii="Arial" w:eastAsia="Calibri" w:hAnsi="Arial" w:cs="Times New Roman"/>
          <w:sz w:val="24"/>
          <w:szCs w:val="24"/>
          <w:lang w:val="es-ES"/>
        </w:rPr>
        <w:t>determinó:</w:t>
      </w:r>
    </w:p>
    <w:p w14:paraId="1C4D1AB5" w14:textId="77777777" w:rsidR="00205869" w:rsidRPr="00D65C76" w:rsidRDefault="00205869" w:rsidP="00205869">
      <w:pPr>
        <w:pStyle w:val="Prrafodelista"/>
        <w:numPr>
          <w:ilvl w:val="0"/>
          <w:numId w:val="36"/>
        </w:num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sz w:val="24"/>
          <w:szCs w:val="24"/>
          <w:lang w:val="es-ES"/>
        </w:rPr>
        <w:t>Requerir</w:t>
      </w:r>
      <w:r w:rsidR="00CE06D0" w:rsidRPr="00D65C76">
        <w:rPr>
          <w:rFonts w:ascii="Arial" w:eastAsia="Calibri" w:hAnsi="Arial" w:cs="Times New Roman"/>
          <w:sz w:val="24"/>
          <w:szCs w:val="24"/>
          <w:lang w:val="es-ES"/>
        </w:rPr>
        <w:t xml:space="preserve"> a Morena</w:t>
      </w:r>
      <w:r w:rsidRPr="00D65C76">
        <w:rPr>
          <w:rFonts w:ascii="Arial" w:eastAsia="Calibri" w:hAnsi="Arial" w:cs="Times New Roman"/>
          <w:sz w:val="24"/>
          <w:szCs w:val="24"/>
          <w:lang w:val="es-ES"/>
        </w:rPr>
        <w:t>,</w:t>
      </w:r>
      <w:r w:rsidR="00CE06D0" w:rsidRPr="00D65C76">
        <w:rPr>
          <w:rFonts w:ascii="Arial" w:eastAsia="Calibri" w:hAnsi="Arial" w:cs="Times New Roman"/>
          <w:sz w:val="24"/>
          <w:szCs w:val="24"/>
          <w:lang w:val="es-ES"/>
        </w:rPr>
        <w:t xml:space="preserve"> </w:t>
      </w:r>
      <w:r w:rsidRPr="00D65C76">
        <w:rPr>
          <w:rFonts w:ascii="Arial" w:eastAsia="Calibri" w:hAnsi="Arial" w:cs="Times New Roman"/>
          <w:sz w:val="24"/>
          <w:szCs w:val="24"/>
          <w:lang w:val="es-ES"/>
        </w:rPr>
        <w:t xml:space="preserve">en un plazo de cuarenta y ocho horas, </w:t>
      </w:r>
      <w:r w:rsidR="00CE06D0" w:rsidRPr="00D65C76">
        <w:rPr>
          <w:rFonts w:ascii="Arial" w:eastAsia="Calibri" w:hAnsi="Arial" w:cs="Times New Roman"/>
          <w:sz w:val="24"/>
          <w:szCs w:val="24"/>
          <w:lang w:val="es-ES"/>
        </w:rPr>
        <w:t xml:space="preserve">para </w:t>
      </w:r>
      <w:r w:rsidRPr="00D65C76">
        <w:rPr>
          <w:rFonts w:ascii="Arial" w:eastAsia="Calibri" w:hAnsi="Arial" w:cs="Times New Roman"/>
          <w:sz w:val="24"/>
          <w:szCs w:val="24"/>
          <w:lang w:val="es-ES"/>
        </w:rPr>
        <w:t xml:space="preserve">rectificar sus solicitudes de registro para los </w:t>
      </w:r>
      <w:r w:rsidR="00B67673" w:rsidRPr="00D65C76">
        <w:rPr>
          <w:rFonts w:ascii="Arial" w:eastAsia="Calibri" w:hAnsi="Arial" w:cs="Times New Roman"/>
          <w:sz w:val="24"/>
          <w:szCs w:val="24"/>
          <w:lang w:val="es-ES"/>
        </w:rPr>
        <w:t xml:space="preserve">doce </w:t>
      </w:r>
      <w:r w:rsidRPr="00D65C76">
        <w:rPr>
          <w:rFonts w:ascii="Arial" w:eastAsia="Calibri" w:hAnsi="Arial" w:cs="Times New Roman"/>
          <w:sz w:val="24"/>
          <w:szCs w:val="24"/>
          <w:lang w:val="es-ES"/>
        </w:rPr>
        <w:t>ayuntamientos en el bloque de alto porcentaje de votación, a fin de que postulara más mujeres que hombres</w:t>
      </w:r>
      <w:r w:rsidR="000145EC" w:rsidRPr="00D65C76">
        <w:rPr>
          <w:rFonts w:ascii="Arial" w:eastAsia="Calibri" w:hAnsi="Arial" w:cs="Times New Roman"/>
          <w:sz w:val="24"/>
          <w:szCs w:val="24"/>
          <w:lang w:val="es-ES"/>
        </w:rPr>
        <w:t xml:space="preserve">, en aplicación del </w:t>
      </w:r>
      <w:r w:rsidRPr="00D65C76">
        <w:rPr>
          <w:rFonts w:ascii="Arial" w:eastAsia="Calibri" w:hAnsi="Arial" w:cs="Times New Roman"/>
          <w:sz w:val="24"/>
          <w:szCs w:val="24"/>
          <w:lang w:val="es-ES"/>
        </w:rPr>
        <w:t xml:space="preserve">artículo 10 de los </w:t>
      </w:r>
      <w:r w:rsidR="000145EC" w:rsidRPr="00D65C76">
        <w:rPr>
          <w:rFonts w:ascii="Arial" w:eastAsia="Calibri" w:hAnsi="Arial" w:cs="Times New Roman"/>
          <w:sz w:val="24"/>
          <w:szCs w:val="24"/>
          <w:lang w:val="es-ES"/>
        </w:rPr>
        <w:t>Lineamientos para garantizar el cumplimiento del principio de paridad de género en la postulación y registro de candidaturas, así como en la integración del congreso del estado y ayuntamientos, en el proceso electoral local ordinario 2020-2021.</w:t>
      </w:r>
      <w:r w:rsidR="000145EC" w:rsidRPr="00D65C76">
        <w:rPr>
          <w:rStyle w:val="Refdenotaalpie"/>
          <w:rFonts w:ascii="Arial" w:eastAsia="Calibri" w:hAnsi="Arial" w:cs="Times New Roman"/>
          <w:sz w:val="24"/>
          <w:szCs w:val="24"/>
          <w:lang w:val="es-ES"/>
        </w:rPr>
        <w:footnoteReference w:id="7"/>
      </w:r>
    </w:p>
    <w:p w14:paraId="55064F92" w14:textId="77777777" w:rsidR="00205869" w:rsidRPr="00D65C76" w:rsidRDefault="00205869" w:rsidP="00205869">
      <w:pPr>
        <w:pStyle w:val="Prrafodelista"/>
        <w:numPr>
          <w:ilvl w:val="0"/>
          <w:numId w:val="36"/>
        </w:num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sz w:val="24"/>
          <w:szCs w:val="24"/>
          <w:lang w:val="es-ES"/>
        </w:rPr>
        <w:t>Determinó improcedente el registro de candidaturas postuladas por Morena en once ayuntamientos</w:t>
      </w:r>
      <w:r w:rsidR="000145EC" w:rsidRPr="00D65C76">
        <w:rPr>
          <w:rFonts w:ascii="Arial" w:eastAsia="Calibri" w:hAnsi="Arial" w:cs="Times New Roman"/>
          <w:sz w:val="24"/>
          <w:szCs w:val="24"/>
          <w:lang w:val="es-ES"/>
        </w:rPr>
        <w:t>, por incumplir diversos requerimientos.</w:t>
      </w:r>
      <w:r w:rsidR="00065F58" w:rsidRPr="00D65C76">
        <w:rPr>
          <w:rStyle w:val="Refdenotaalpie"/>
          <w:rFonts w:ascii="Arial" w:eastAsia="Calibri" w:hAnsi="Arial" w:cs="Times New Roman"/>
          <w:sz w:val="24"/>
          <w:szCs w:val="24"/>
          <w:lang w:val="es-ES"/>
        </w:rPr>
        <w:footnoteReference w:id="8"/>
      </w:r>
    </w:p>
    <w:p w14:paraId="6E276842" w14:textId="39266D60" w:rsidR="000145EC" w:rsidRPr="00D65C76" w:rsidRDefault="000145EC" w:rsidP="000145EC">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sz w:val="24"/>
          <w:szCs w:val="24"/>
          <w:lang w:val="es-ES"/>
        </w:rPr>
        <w:t xml:space="preserve">Dentro de los ayuntamientos materia del requerimiento para rectificar las propuestas en materia de paridad de género, se encontraba la de Comonfort, en la que la propuesta incluía a José Carlos Nieto Juárez como candidato a </w:t>
      </w:r>
      <w:r w:rsidR="001C2B3D" w:rsidRPr="00D65C76">
        <w:rPr>
          <w:rFonts w:ascii="Arial" w:eastAsia="Calibri" w:hAnsi="Arial" w:cs="Times New Roman"/>
          <w:sz w:val="24"/>
          <w:szCs w:val="24"/>
          <w:lang w:val="es-ES"/>
        </w:rPr>
        <w:t>p</w:t>
      </w:r>
      <w:r w:rsidRPr="00D65C76">
        <w:rPr>
          <w:rFonts w:ascii="Arial" w:eastAsia="Calibri" w:hAnsi="Arial" w:cs="Times New Roman"/>
          <w:sz w:val="24"/>
          <w:szCs w:val="24"/>
          <w:lang w:val="es-ES"/>
        </w:rPr>
        <w:t xml:space="preserve">residente </w:t>
      </w:r>
      <w:r w:rsidR="001C2B3D" w:rsidRPr="00D65C76">
        <w:rPr>
          <w:rFonts w:ascii="Arial" w:eastAsia="Calibri" w:hAnsi="Arial" w:cs="Times New Roman"/>
          <w:sz w:val="24"/>
          <w:szCs w:val="24"/>
          <w:lang w:val="es-ES"/>
        </w:rPr>
        <w:t>m</w:t>
      </w:r>
      <w:r w:rsidRPr="00D65C76">
        <w:rPr>
          <w:rFonts w:ascii="Arial" w:eastAsia="Calibri" w:hAnsi="Arial" w:cs="Times New Roman"/>
          <w:sz w:val="24"/>
          <w:szCs w:val="24"/>
          <w:lang w:val="es-ES"/>
        </w:rPr>
        <w:t>unicipal, así como a Emigdio González Álvarez y Hugo Téllez Morales, como candidatos a la primera regiduría como propietario y suplente, respectivamente.</w:t>
      </w:r>
    </w:p>
    <w:p w14:paraId="78D78C1B" w14:textId="34AEB0D1" w:rsidR="00CE06D0" w:rsidRPr="00D65C76" w:rsidRDefault="00CE06D0"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BoldMT" w:hAnsi="Arial-BoldMT" w:cs="Arial-BoldMT"/>
          <w:b/>
          <w:bCs/>
          <w:sz w:val="24"/>
          <w:szCs w:val="24"/>
        </w:rPr>
        <w:t>3. Acuerdo de registro</w:t>
      </w:r>
      <w:r w:rsidRPr="00D65C76">
        <w:rPr>
          <w:rFonts w:ascii="ArialMT" w:hAnsi="ArialMT" w:cs="ArialMT"/>
          <w:sz w:val="24"/>
          <w:szCs w:val="24"/>
        </w:rPr>
        <w:t xml:space="preserve">. </w:t>
      </w:r>
      <w:r w:rsidRPr="00D65C76">
        <w:rPr>
          <w:rFonts w:ascii="Arial" w:eastAsia="Calibri" w:hAnsi="Arial" w:cs="Times New Roman"/>
          <w:sz w:val="24"/>
          <w:szCs w:val="24"/>
          <w:lang w:val="es-ES"/>
        </w:rPr>
        <w:t xml:space="preserve">El siete de abril, a través del acuerdo CGIEEG/124/2021, el Instituto local concedió </w:t>
      </w:r>
      <w:r w:rsidR="0079337B" w:rsidRPr="00D65C76">
        <w:rPr>
          <w:rFonts w:ascii="Arial" w:eastAsia="Calibri" w:hAnsi="Arial" w:cs="Times New Roman"/>
          <w:sz w:val="24"/>
          <w:szCs w:val="24"/>
          <w:lang w:val="es-ES"/>
        </w:rPr>
        <w:t xml:space="preserve">el </w:t>
      </w:r>
      <w:r w:rsidRPr="00D65C76">
        <w:rPr>
          <w:rFonts w:ascii="Arial" w:eastAsia="Calibri" w:hAnsi="Arial" w:cs="Times New Roman"/>
          <w:sz w:val="24"/>
          <w:szCs w:val="24"/>
          <w:lang w:val="es-ES"/>
        </w:rPr>
        <w:t>registro a las planillas de candidaturas a integrar diversos ayuntamientos de Guanajuato por Morena,</w:t>
      </w:r>
      <w:r w:rsidR="00B67673" w:rsidRPr="00D65C76">
        <w:rPr>
          <w:rFonts w:ascii="Arial" w:eastAsia="Calibri" w:hAnsi="Arial" w:cs="Times New Roman"/>
          <w:sz w:val="24"/>
          <w:szCs w:val="24"/>
          <w:lang w:val="es-ES"/>
        </w:rPr>
        <w:t xml:space="preserve"> al cumplir con los Lineamientos de paridad, al postular siete mujeres y cinco hombres para la presidencia municipal</w:t>
      </w:r>
      <w:r w:rsidRPr="00D65C76">
        <w:rPr>
          <w:rFonts w:ascii="Arial" w:eastAsia="Calibri" w:hAnsi="Arial" w:cs="Times New Roman"/>
          <w:sz w:val="24"/>
          <w:szCs w:val="24"/>
          <w:lang w:val="es-ES"/>
        </w:rPr>
        <w:t>.</w:t>
      </w:r>
    </w:p>
    <w:p w14:paraId="0026E9D0" w14:textId="77777777" w:rsidR="002410AD" w:rsidRPr="00D65C76" w:rsidRDefault="002410AD" w:rsidP="002410AD">
      <w:pPr>
        <w:tabs>
          <w:tab w:val="left" w:pos="6207"/>
        </w:tabs>
        <w:spacing w:before="240" w:after="240" w:line="360" w:lineRule="auto"/>
        <w:jc w:val="both"/>
        <w:rPr>
          <w:rFonts w:ascii="ArialMT" w:hAnsi="ArialMT" w:cs="ArialMT"/>
          <w:sz w:val="24"/>
          <w:szCs w:val="24"/>
        </w:rPr>
      </w:pPr>
      <w:r w:rsidRPr="00D65C76">
        <w:rPr>
          <w:rFonts w:ascii="ArialMT" w:hAnsi="ArialMT" w:cs="ArialMT"/>
          <w:sz w:val="24"/>
          <w:szCs w:val="24"/>
        </w:rPr>
        <w:lastRenderedPageBreak/>
        <w:t>Lo anterior atendiendo a la rectificación realizada por Morena al sustituir a las personas postuladas originalmente para el ayuntamiento de Comonfort,</w:t>
      </w:r>
      <w:r w:rsidRPr="00D65C76">
        <w:rPr>
          <w:rFonts w:ascii="Arial" w:eastAsia="Calibri" w:hAnsi="Arial" w:cs="Times New Roman"/>
          <w:sz w:val="24"/>
          <w:szCs w:val="24"/>
          <w:lang w:val="es-ES"/>
        </w:rPr>
        <w:t xml:space="preserve"> </w:t>
      </w:r>
      <w:r w:rsidRPr="00D65C76">
        <w:rPr>
          <w:rFonts w:ascii="ArialMT" w:hAnsi="ArialMT" w:cs="ArialMT"/>
          <w:sz w:val="24"/>
          <w:szCs w:val="24"/>
        </w:rPr>
        <w:t>quedando registradas María Zeferina Capilla Gómez para la presidencia municipal, así como María Dolores Rodríguez Almeida y Maricela Lima Aguilar, como candidatas a la primera</w:t>
      </w:r>
      <w:r w:rsidRPr="00D65C76">
        <w:rPr>
          <w:rFonts w:ascii="Arial" w:eastAsia="Calibri" w:hAnsi="Arial" w:cs="Times New Roman"/>
          <w:sz w:val="24"/>
          <w:szCs w:val="24"/>
          <w:lang w:val="es-ES"/>
        </w:rPr>
        <w:t xml:space="preserve"> </w:t>
      </w:r>
      <w:r w:rsidRPr="00D65C76">
        <w:rPr>
          <w:rFonts w:ascii="ArialMT" w:hAnsi="ArialMT" w:cs="ArialMT"/>
          <w:sz w:val="24"/>
          <w:szCs w:val="24"/>
        </w:rPr>
        <w:t>regiduría propietaria y suplente.</w:t>
      </w:r>
    </w:p>
    <w:p w14:paraId="6FE489BB" w14:textId="77777777" w:rsidR="002410AD" w:rsidRPr="00D65C76" w:rsidRDefault="002410AD" w:rsidP="002410AD">
      <w:pPr>
        <w:tabs>
          <w:tab w:val="left" w:pos="6207"/>
        </w:tabs>
        <w:spacing w:before="240" w:after="240" w:line="360" w:lineRule="auto"/>
        <w:jc w:val="both"/>
        <w:rPr>
          <w:rFonts w:ascii="ArialMT" w:hAnsi="ArialMT" w:cs="ArialMT"/>
          <w:sz w:val="24"/>
          <w:szCs w:val="24"/>
        </w:rPr>
      </w:pPr>
      <w:r w:rsidRPr="00D65C76">
        <w:rPr>
          <w:rFonts w:ascii="Arial" w:eastAsia="Calibri" w:hAnsi="Arial" w:cs="Times New Roman"/>
          <w:b/>
          <w:sz w:val="24"/>
          <w:szCs w:val="24"/>
          <w:lang w:val="es-ES"/>
        </w:rPr>
        <w:t>4.</w:t>
      </w:r>
      <w:r w:rsidRPr="00D65C76">
        <w:rPr>
          <w:rFonts w:ascii="ArialMT" w:hAnsi="ArialMT" w:cs="ArialMT"/>
          <w:b/>
          <w:sz w:val="24"/>
          <w:szCs w:val="24"/>
        </w:rPr>
        <w:t xml:space="preserve"> Renuncia candidata a presidenta municipal de Comonfort.</w:t>
      </w:r>
      <w:r w:rsidRPr="00D65C76">
        <w:rPr>
          <w:rFonts w:ascii="ArialMT" w:hAnsi="ArialMT" w:cs="ArialMT"/>
          <w:sz w:val="24"/>
          <w:szCs w:val="24"/>
        </w:rPr>
        <w:t xml:space="preserve"> El doce de abril de dos mil veintiuno, María Zeferina Capilla Gómez presentó ante el Instituto local y ratificó renuncia a la postulación como presidenta municipal al ayuntamiento de Comonfort.</w:t>
      </w:r>
    </w:p>
    <w:p w14:paraId="2D84BB7B" w14:textId="77777777" w:rsidR="002410AD" w:rsidRPr="00D65C76" w:rsidRDefault="002410AD" w:rsidP="002410AD">
      <w:pPr>
        <w:tabs>
          <w:tab w:val="left" w:pos="6207"/>
        </w:tabs>
        <w:spacing w:before="240" w:after="240" w:line="360" w:lineRule="auto"/>
        <w:jc w:val="both"/>
        <w:rPr>
          <w:rFonts w:ascii="ArialMT" w:hAnsi="ArialMT" w:cs="ArialMT"/>
          <w:sz w:val="24"/>
          <w:szCs w:val="24"/>
        </w:rPr>
      </w:pPr>
      <w:r w:rsidRPr="00D65C76">
        <w:rPr>
          <w:rFonts w:ascii="ArialMT" w:hAnsi="ArialMT" w:cs="ArialMT"/>
          <w:sz w:val="24"/>
          <w:szCs w:val="24"/>
        </w:rPr>
        <w:t>El trece de abril, el Instituto local requirió a Morena para que sustituyera dicha candidatura.</w:t>
      </w:r>
    </w:p>
    <w:p w14:paraId="581918CD" w14:textId="5CFC9D11" w:rsidR="00065F58" w:rsidRPr="00D65C76" w:rsidRDefault="002410AD" w:rsidP="00CE06D0">
      <w:pPr>
        <w:tabs>
          <w:tab w:val="left" w:pos="6207"/>
        </w:tabs>
        <w:spacing w:before="240" w:after="240" w:line="360" w:lineRule="auto"/>
        <w:jc w:val="both"/>
        <w:rPr>
          <w:rFonts w:ascii="ArialMT" w:hAnsi="ArialMT" w:cs="ArialMT"/>
          <w:sz w:val="24"/>
          <w:szCs w:val="24"/>
        </w:rPr>
      </w:pPr>
      <w:r w:rsidRPr="00D65C76">
        <w:rPr>
          <w:rFonts w:ascii="Arial-BoldMT" w:hAnsi="Arial-BoldMT" w:cs="Arial-BoldMT"/>
          <w:b/>
          <w:bCs/>
          <w:sz w:val="24"/>
          <w:szCs w:val="24"/>
        </w:rPr>
        <w:t>5</w:t>
      </w:r>
      <w:r w:rsidR="00CE06D0" w:rsidRPr="00D65C76">
        <w:rPr>
          <w:rFonts w:ascii="Arial-BoldMT" w:hAnsi="Arial-BoldMT" w:cs="Arial-BoldMT"/>
          <w:b/>
          <w:bCs/>
          <w:sz w:val="24"/>
          <w:szCs w:val="24"/>
        </w:rPr>
        <w:t>. Sentencia TEEG-REV-18/2021</w:t>
      </w:r>
      <w:r w:rsidR="00065F58" w:rsidRPr="00D65C76">
        <w:rPr>
          <w:rFonts w:ascii="Arial-BoldMT" w:hAnsi="Arial-BoldMT" w:cs="Arial-BoldMT"/>
          <w:b/>
          <w:bCs/>
          <w:sz w:val="24"/>
          <w:szCs w:val="24"/>
        </w:rPr>
        <w:t xml:space="preserve"> y acumulados</w:t>
      </w:r>
      <w:r w:rsidR="00CE06D0" w:rsidRPr="00D65C76">
        <w:rPr>
          <w:rFonts w:ascii="Arial-BoldMT" w:hAnsi="Arial-BoldMT" w:cs="Arial-BoldMT"/>
          <w:b/>
          <w:bCs/>
          <w:sz w:val="24"/>
          <w:szCs w:val="24"/>
        </w:rPr>
        <w:t xml:space="preserve">. </w:t>
      </w:r>
      <w:r w:rsidR="00065F58" w:rsidRPr="00D65C76">
        <w:rPr>
          <w:rFonts w:ascii="ArialMT" w:hAnsi="ArialMT" w:cs="ArialMT"/>
          <w:sz w:val="24"/>
          <w:szCs w:val="24"/>
        </w:rPr>
        <w:t>El dieciocho de abril de dos mil veintiuno, e</w:t>
      </w:r>
      <w:r w:rsidR="00CE06D0" w:rsidRPr="00D65C76">
        <w:rPr>
          <w:rFonts w:ascii="ArialMT" w:hAnsi="ArialMT" w:cs="ArialMT"/>
          <w:sz w:val="24"/>
          <w:szCs w:val="24"/>
        </w:rPr>
        <w:t xml:space="preserve">l Tribunal local </w:t>
      </w:r>
      <w:r w:rsidR="00065F58" w:rsidRPr="00D65C76">
        <w:rPr>
          <w:rFonts w:ascii="ArialMT" w:hAnsi="ArialMT" w:cs="ArialMT"/>
          <w:sz w:val="24"/>
          <w:szCs w:val="24"/>
        </w:rPr>
        <w:t xml:space="preserve">dictó </w:t>
      </w:r>
      <w:r w:rsidR="0079337B" w:rsidRPr="00D65C76">
        <w:rPr>
          <w:rFonts w:ascii="ArialMT" w:hAnsi="ArialMT" w:cs="ArialMT"/>
          <w:sz w:val="24"/>
          <w:szCs w:val="24"/>
        </w:rPr>
        <w:t xml:space="preserve">una </w:t>
      </w:r>
      <w:r w:rsidR="00065F58" w:rsidRPr="00D65C76">
        <w:rPr>
          <w:rFonts w:ascii="ArialMT" w:hAnsi="ArialMT" w:cs="ArialMT"/>
          <w:sz w:val="24"/>
          <w:szCs w:val="24"/>
        </w:rPr>
        <w:t xml:space="preserve">sentencia respecto de los recursos de revisión promovidos por Morena y diversas personas en su calidad de candidatos propuestos a diversos cargos de municipales. </w:t>
      </w:r>
    </w:p>
    <w:p w14:paraId="55D95660" w14:textId="55B30C87" w:rsidR="00CE06D0" w:rsidRPr="00D65C76" w:rsidRDefault="00065F58" w:rsidP="00CE06D0">
      <w:pPr>
        <w:tabs>
          <w:tab w:val="left" w:pos="6207"/>
        </w:tabs>
        <w:spacing w:before="240" w:after="240" w:line="360" w:lineRule="auto"/>
        <w:jc w:val="both"/>
        <w:rPr>
          <w:rFonts w:ascii="ArialMT" w:hAnsi="ArialMT" w:cs="ArialMT"/>
          <w:sz w:val="24"/>
          <w:szCs w:val="24"/>
        </w:rPr>
      </w:pPr>
      <w:r w:rsidRPr="00D65C76">
        <w:rPr>
          <w:rFonts w:ascii="ArialMT" w:hAnsi="ArialMT" w:cs="ArialMT"/>
          <w:sz w:val="24"/>
          <w:szCs w:val="24"/>
        </w:rPr>
        <w:t xml:space="preserve">En consecuencia, </w:t>
      </w:r>
      <w:r w:rsidR="00CE06D0" w:rsidRPr="00D65C76">
        <w:rPr>
          <w:rFonts w:ascii="ArialMT" w:hAnsi="ArialMT" w:cs="ArialMT"/>
          <w:sz w:val="24"/>
          <w:szCs w:val="24"/>
        </w:rPr>
        <w:t xml:space="preserve">revocó </w:t>
      </w:r>
      <w:r w:rsidRPr="00D65C76">
        <w:rPr>
          <w:rFonts w:ascii="ArialMT" w:hAnsi="ArialMT" w:cs="ArialMT"/>
          <w:sz w:val="24"/>
          <w:szCs w:val="24"/>
        </w:rPr>
        <w:t xml:space="preserve">el acuerdo CGIEEG/104/2021 respecto de la improcedencia de registro de diversas planillas </w:t>
      </w:r>
      <w:r w:rsidR="00CE06D0" w:rsidRPr="00D65C76">
        <w:rPr>
          <w:rFonts w:ascii="ArialMT" w:hAnsi="ArialMT" w:cs="ArialMT"/>
          <w:sz w:val="24"/>
          <w:szCs w:val="24"/>
        </w:rPr>
        <w:t>y orden</w:t>
      </w:r>
      <w:r w:rsidR="00B67673" w:rsidRPr="00D65C76">
        <w:rPr>
          <w:rFonts w:ascii="ArialMT" w:hAnsi="ArialMT" w:cs="ArialMT"/>
          <w:sz w:val="24"/>
          <w:szCs w:val="24"/>
        </w:rPr>
        <w:t>ó</w:t>
      </w:r>
      <w:r w:rsidR="00CE06D0" w:rsidRPr="00D65C76">
        <w:rPr>
          <w:rFonts w:ascii="ArialMT" w:hAnsi="ArialMT" w:cs="ArialMT"/>
          <w:sz w:val="24"/>
          <w:szCs w:val="24"/>
        </w:rPr>
        <w:t xml:space="preserve"> al Instituto local dictar un nuevo acuerdo, dando oportunidad al partido de subsanar las irregularidades advertidas ya que </w:t>
      </w:r>
      <w:r w:rsidR="001A2C1F" w:rsidRPr="00D65C76">
        <w:rPr>
          <w:rFonts w:ascii="ArialMT" w:hAnsi="ArialMT" w:cs="ArialMT"/>
          <w:sz w:val="24"/>
          <w:szCs w:val="24"/>
        </w:rPr>
        <w:t>é</w:t>
      </w:r>
      <w:r w:rsidR="00CE06D0" w:rsidRPr="00D65C76">
        <w:rPr>
          <w:rFonts w:ascii="ArialMT" w:hAnsi="ArialMT" w:cs="ArialMT"/>
          <w:sz w:val="24"/>
          <w:szCs w:val="24"/>
        </w:rPr>
        <w:t>stas no fueron objeto de requerimiento previo.</w:t>
      </w:r>
      <w:r w:rsidRPr="00D65C76">
        <w:rPr>
          <w:rFonts w:ascii="ArialMT" w:hAnsi="ArialMT" w:cs="ArialMT"/>
          <w:sz w:val="24"/>
          <w:szCs w:val="24"/>
        </w:rPr>
        <w:t xml:space="preserve"> </w:t>
      </w:r>
    </w:p>
    <w:p w14:paraId="0DD37BEB" w14:textId="07B288EE" w:rsidR="002410AD" w:rsidRPr="00D65C76" w:rsidRDefault="002410AD" w:rsidP="002410AD">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b/>
          <w:bCs/>
          <w:sz w:val="24"/>
          <w:szCs w:val="24"/>
          <w:lang w:val="es-ES"/>
        </w:rPr>
        <w:t xml:space="preserve">6. Acuerdo CGIEEG/153/2021. </w:t>
      </w:r>
      <w:r w:rsidRPr="00D65C76">
        <w:rPr>
          <w:rFonts w:ascii="Arial" w:eastAsia="Calibri" w:hAnsi="Arial" w:cs="Times New Roman"/>
          <w:sz w:val="24"/>
          <w:szCs w:val="24"/>
          <w:lang w:val="es-ES"/>
        </w:rPr>
        <w:t>El veinte de abril de dos mil veintiuno, el Instituto local emitió acuerdo mediante el cual otorgó el registr</w:t>
      </w:r>
      <w:r w:rsidR="001A2C1F" w:rsidRPr="00D65C76">
        <w:rPr>
          <w:rFonts w:ascii="Arial" w:eastAsia="Calibri" w:hAnsi="Arial" w:cs="Times New Roman"/>
          <w:sz w:val="24"/>
          <w:szCs w:val="24"/>
          <w:lang w:val="es-ES"/>
        </w:rPr>
        <w:t>o</w:t>
      </w:r>
      <w:r w:rsidRPr="00D65C76">
        <w:rPr>
          <w:rFonts w:ascii="Arial" w:eastAsia="Calibri" w:hAnsi="Arial" w:cs="Times New Roman"/>
          <w:sz w:val="24"/>
          <w:szCs w:val="24"/>
          <w:lang w:val="es-ES"/>
        </w:rPr>
        <w:t xml:space="preserve"> a </w:t>
      </w:r>
      <w:r w:rsidR="001A2C1F" w:rsidRPr="00D65C76">
        <w:rPr>
          <w:rFonts w:ascii="Arial" w:eastAsia="Calibri" w:hAnsi="Arial" w:cs="Times New Roman"/>
          <w:sz w:val="24"/>
          <w:szCs w:val="24"/>
          <w:lang w:val="es-ES"/>
        </w:rPr>
        <w:t>las</w:t>
      </w:r>
      <w:r w:rsidRPr="00D65C76">
        <w:rPr>
          <w:rFonts w:ascii="Arial" w:eastAsia="Calibri" w:hAnsi="Arial" w:cs="Times New Roman"/>
          <w:sz w:val="24"/>
          <w:szCs w:val="24"/>
          <w:lang w:val="es-ES"/>
        </w:rPr>
        <w:t xml:space="preserve"> planillas de candidaturas a integrar diversos ayuntamientos de Guanajuato,</w:t>
      </w:r>
      <w:r w:rsidRPr="00D65C76">
        <w:rPr>
          <w:rStyle w:val="Refdenotaalpie"/>
          <w:rFonts w:ascii="Arial" w:eastAsia="Calibri" w:hAnsi="Arial" w:cs="Times New Roman"/>
          <w:sz w:val="24"/>
          <w:szCs w:val="24"/>
          <w:lang w:val="es-ES"/>
        </w:rPr>
        <w:footnoteReference w:id="9"/>
      </w:r>
      <w:r w:rsidRPr="00D65C76">
        <w:rPr>
          <w:rFonts w:ascii="Arial" w:eastAsia="Calibri" w:hAnsi="Arial" w:cs="Times New Roman"/>
          <w:sz w:val="24"/>
          <w:szCs w:val="24"/>
          <w:lang w:val="es-ES"/>
        </w:rPr>
        <w:t xml:space="preserve"> postuladas por Morena.</w:t>
      </w:r>
    </w:p>
    <w:p w14:paraId="05458E16" w14:textId="77777777" w:rsidR="002410AD" w:rsidRPr="00D65C76" w:rsidRDefault="002410AD" w:rsidP="002410AD">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sz w:val="24"/>
          <w:szCs w:val="24"/>
          <w:lang w:val="es-ES"/>
        </w:rPr>
        <w:t xml:space="preserve">Respecto del bloque de alto porcentaje de votación, se incorporó la postulación de una planilla encabezada por un hombre (Salamanca) y dos </w:t>
      </w:r>
      <w:r w:rsidRPr="00D65C76">
        <w:rPr>
          <w:rFonts w:ascii="Arial" w:eastAsia="Calibri" w:hAnsi="Arial" w:cs="Times New Roman"/>
          <w:sz w:val="24"/>
          <w:szCs w:val="24"/>
          <w:lang w:val="es-ES"/>
        </w:rPr>
        <w:lastRenderedPageBreak/>
        <w:t>encabezadas por mujeres (Guanajuato y Celaya), con lo que la distribución quedó en nueve planillas encabezadas por mujeres y seis por hombres.</w:t>
      </w:r>
    </w:p>
    <w:p w14:paraId="58689FCF" w14:textId="77777777" w:rsidR="002410AD" w:rsidRPr="00D65C76" w:rsidRDefault="002410AD" w:rsidP="002410AD">
      <w:pPr>
        <w:tabs>
          <w:tab w:val="left" w:pos="6207"/>
        </w:tabs>
        <w:spacing w:before="240" w:after="240" w:line="360" w:lineRule="auto"/>
        <w:jc w:val="both"/>
        <w:rPr>
          <w:rFonts w:ascii="ArialMT" w:hAnsi="ArialMT" w:cs="ArialMT"/>
          <w:sz w:val="24"/>
          <w:szCs w:val="24"/>
        </w:rPr>
      </w:pPr>
      <w:r w:rsidRPr="00D65C76">
        <w:rPr>
          <w:rFonts w:ascii="ArialMT" w:hAnsi="ArialMT" w:cs="ArialMT"/>
          <w:b/>
          <w:sz w:val="24"/>
          <w:szCs w:val="24"/>
        </w:rPr>
        <w:t>7</w:t>
      </w:r>
      <w:r w:rsidR="002834B7" w:rsidRPr="00D65C76">
        <w:rPr>
          <w:rFonts w:ascii="ArialMT" w:hAnsi="ArialMT" w:cs="ArialMT"/>
          <w:b/>
          <w:sz w:val="24"/>
          <w:szCs w:val="24"/>
        </w:rPr>
        <w:t>. Renuncias candidatas al ayuntamiento de Comonfort.</w:t>
      </w:r>
      <w:r w:rsidR="002834B7" w:rsidRPr="00D65C76">
        <w:rPr>
          <w:rFonts w:ascii="ArialMT" w:hAnsi="ArialMT" w:cs="ArialMT"/>
          <w:sz w:val="24"/>
          <w:szCs w:val="24"/>
        </w:rPr>
        <w:t xml:space="preserve"> </w:t>
      </w:r>
      <w:r w:rsidRPr="00D65C76">
        <w:rPr>
          <w:rFonts w:ascii="ArialMT" w:hAnsi="ArialMT" w:cs="ArialMT"/>
          <w:sz w:val="24"/>
          <w:szCs w:val="24"/>
        </w:rPr>
        <w:t>El veintiuno de abril de dos mil veintiuno, María Dolores Rodríguez Almeida y Maricela Lima Aguilar, respectivamente, presentaron y ratificaron su renuncia como candidatas propietaria y suplente a la primera regiduría por el ayuntamiento de Comonfort.</w:t>
      </w:r>
    </w:p>
    <w:p w14:paraId="40C79C6B" w14:textId="77777777" w:rsidR="002834B7" w:rsidRPr="00D65C76" w:rsidRDefault="002410AD" w:rsidP="002410AD">
      <w:pPr>
        <w:tabs>
          <w:tab w:val="left" w:pos="6207"/>
        </w:tabs>
        <w:spacing w:before="240" w:after="240" w:line="360" w:lineRule="auto"/>
        <w:jc w:val="both"/>
        <w:rPr>
          <w:rFonts w:ascii="ArialMT" w:hAnsi="ArialMT" w:cs="ArialMT"/>
          <w:sz w:val="24"/>
          <w:szCs w:val="24"/>
        </w:rPr>
      </w:pPr>
      <w:r w:rsidRPr="00D65C76">
        <w:rPr>
          <w:rFonts w:ascii="ArialMT" w:hAnsi="ArialMT" w:cs="ArialMT"/>
          <w:sz w:val="24"/>
          <w:szCs w:val="24"/>
        </w:rPr>
        <w:t>Con motivo de las renuncias, el veintidós de abril, el Instituto local requirió a Morena para que sustituyera las candidaturas.</w:t>
      </w:r>
    </w:p>
    <w:p w14:paraId="44C89501" w14:textId="62227E00" w:rsidR="002410AD" w:rsidRPr="00D65C76" w:rsidRDefault="002410AD"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b/>
          <w:bCs/>
          <w:sz w:val="24"/>
          <w:szCs w:val="24"/>
          <w:lang w:val="es-ES"/>
        </w:rPr>
        <w:t>8</w:t>
      </w:r>
      <w:r w:rsidR="00CE06D0" w:rsidRPr="00D65C76">
        <w:rPr>
          <w:rFonts w:ascii="Arial" w:eastAsia="Calibri" w:hAnsi="Arial" w:cs="Times New Roman"/>
          <w:b/>
          <w:bCs/>
          <w:sz w:val="24"/>
          <w:szCs w:val="24"/>
          <w:lang w:val="es-ES"/>
        </w:rPr>
        <w:t xml:space="preserve">. Acuerdo CGIEEG/163/2021. </w:t>
      </w:r>
      <w:r w:rsidR="00CE06D0" w:rsidRPr="00D65C76">
        <w:rPr>
          <w:rFonts w:ascii="Arial" w:eastAsia="Calibri" w:hAnsi="Arial" w:cs="Times New Roman"/>
          <w:sz w:val="24"/>
          <w:szCs w:val="24"/>
          <w:lang w:val="es-ES"/>
        </w:rPr>
        <w:t>El veintitrés de abril siguiente, el Instituto local emitió nuevo acuerdo por el cual aprobó la sustitución de candidaturas a la presidencia municipal y a la primera regiduría propietaria y suplente del ayuntamiento Comonfort postuladas por Morena, en razón a las renuncias de las ciudadanas que ostentaban las candidaturas</w:t>
      </w:r>
      <w:r w:rsidRPr="00D65C76">
        <w:rPr>
          <w:rFonts w:ascii="Arial" w:eastAsia="Calibri" w:hAnsi="Arial" w:cs="Times New Roman"/>
          <w:sz w:val="24"/>
          <w:szCs w:val="24"/>
          <w:lang w:val="es-ES"/>
        </w:rPr>
        <w:t>, quedando en su lugar las siguientes candidaturas:</w:t>
      </w:r>
    </w:p>
    <w:tbl>
      <w:tblPr>
        <w:tblStyle w:val="Tablaconcuadrcula"/>
        <w:tblW w:w="0" w:type="auto"/>
        <w:tblLook w:val="04A0" w:firstRow="1" w:lastRow="0" w:firstColumn="1" w:lastColumn="0" w:noHBand="0" w:noVBand="1"/>
      </w:tblPr>
      <w:tblGrid>
        <w:gridCol w:w="3988"/>
        <w:gridCol w:w="3989"/>
      </w:tblGrid>
      <w:tr w:rsidR="002410AD" w:rsidRPr="00D65C76" w14:paraId="1AA28631" w14:textId="77777777" w:rsidTr="002410AD">
        <w:tc>
          <w:tcPr>
            <w:tcW w:w="3988" w:type="dxa"/>
            <w:shd w:val="clear" w:color="auto" w:fill="D9D9D9" w:themeFill="background1" w:themeFillShade="D9"/>
          </w:tcPr>
          <w:p w14:paraId="5E0922ED"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BoldMT" w:hAnsi="Arial-BoldMT" w:cs="Arial-BoldMT"/>
                <w:b/>
                <w:bCs/>
              </w:rPr>
              <w:t>Nombre de quien sustituye</w:t>
            </w:r>
          </w:p>
        </w:tc>
        <w:tc>
          <w:tcPr>
            <w:tcW w:w="3989" w:type="dxa"/>
            <w:shd w:val="clear" w:color="auto" w:fill="D9D9D9" w:themeFill="background1" w:themeFillShade="D9"/>
          </w:tcPr>
          <w:p w14:paraId="1F8DB697"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BoldMT" w:hAnsi="Arial-BoldMT" w:cs="Arial-BoldMT"/>
                <w:b/>
                <w:bCs/>
              </w:rPr>
              <w:t>Cargo</w:t>
            </w:r>
          </w:p>
        </w:tc>
      </w:tr>
      <w:tr w:rsidR="002410AD" w:rsidRPr="00D65C76" w14:paraId="66B9E4FE" w14:textId="77777777" w:rsidTr="002410AD">
        <w:tc>
          <w:tcPr>
            <w:tcW w:w="3988" w:type="dxa"/>
          </w:tcPr>
          <w:p w14:paraId="6802B647"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MT" w:hAnsi="ArialMT" w:cs="ArialMT"/>
              </w:rPr>
              <w:t>José Carlos Nieto Juárez</w:t>
            </w:r>
          </w:p>
        </w:tc>
        <w:tc>
          <w:tcPr>
            <w:tcW w:w="3989" w:type="dxa"/>
          </w:tcPr>
          <w:p w14:paraId="4B17AFA3"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MT" w:hAnsi="ArialMT" w:cs="ArialMT"/>
              </w:rPr>
              <w:t>Presidencia Municipal</w:t>
            </w:r>
          </w:p>
        </w:tc>
      </w:tr>
      <w:tr w:rsidR="002410AD" w:rsidRPr="00D65C76" w14:paraId="4D392B7A" w14:textId="77777777" w:rsidTr="002410AD">
        <w:tc>
          <w:tcPr>
            <w:tcW w:w="3988" w:type="dxa"/>
          </w:tcPr>
          <w:p w14:paraId="0492C9E1"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MT" w:hAnsi="ArialMT" w:cs="ArialMT"/>
              </w:rPr>
              <w:t>Emigdio González Álvarez</w:t>
            </w:r>
          </w:p>
        </w:tc>
        <w:tc>
          <w:tcPr>
            <w:tcW w:w="3989" w:type="dxa"/>
          </w:tcPr>
          <w:p w14:paraId="0E577BE8"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MT" w:hAnsi="ArialMT" w:cs="ArialMT"/>
              </w:rPr>
              <w:t>Regiduría propietaria 1</w:t>
            </w:r>
          </w:p>
        </w:tc>
      </w:tr>
      <w:tr w:rsidR="002410AD" w:rsidRPr="00D65C76" w14:paraId="58404A2A" w14:textId="77777777" w:rsidTr="002410AD">
        <w:tc>
          <w:tcPr>
            <w:tcW w:w="3988" w:type="dxa"/>
          </w:tcPr>
          <w:p w14:paraId="2545CA01"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MT" w:hAnsi="ArialMT" w:cs="ArialMT"/>
              </w:rPr>
              <w:t>Hugo Téllez Morales</w:t>
            </w:r>
          </w:p>
        </w:tc>
        <w:tc>
          <w:tcPr>
            <w:tcW w:w="3989" w:type="dxa"/>
          </w:tcPr>
          <w:p w14:paraId="0163444F" w14:textId="77777777" w:rsidR="002410AD" w:rsidRPr="00D65C76" w:rsidRDefault="002410AD" w:rsidP="002410AD">
            <w:pPr>
              <w:tabs>
                <w:tab w:val="left" w:pos="6207"/>
              </w:tabs>
              <w:jc w:val="center"/>
              <w:rPr>
                <w:rFonts w:ascii="Arial" w:eastAsia="Calibri" w:hAnsi="Arial" w:cs="Times New Roman"/>
                <w:sz w:val="24"/>
                <w:szCs w:val="24"/>
                <w:lang w:val="es-ES"/>
              </w:rPr>
            </w:pPr>
            <w:r w:rsidRPr="00D65C76">
              <w:rPr>
                <w:rFonts w:ascii="ArialMT" w:hAnsi="ArialMT" w:cs="ArialMT"/>
              </w:rPr>
              <w:t>Regiduría suplente 1</w:t>
            </w:r>
          </w:p>
        </w:tc>
      </w:tr>
    </w:tbl>
    <w:p w14:paraId="356A0154" w14:textId="77777777" w:rsidR="00CE06D0" w:rsidRPr="00D65C76" w:rsidRDefault="00CE06D0"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MT" w:hAnsi="ArialMT" w:cs="ArialMT"/>
          <w:sz w:val="24"/>
          <w:szCs w:val="24"/>
        </w:rPr>
        <w:t>En consecuencia, el bloque de competitividad alto quedó integrado por ocho</w:t>
      </w:r>
      <w:r w:rsidRPr="00D65C76">
        <w:rPr>
          <w:rFonts w:ascii="Arial" w:eastAsia="Calibri" w:hAnsi="Arial" w:cs="Times New Roman"/>
          <w:sz w:val="24"/>
          <w:szCs w:val="24"/>
          <w:lang w:val="es-ES"/>
        </w:rPr>
        <w:t xml:space="preserve"> </w:t>
      </w:r>
      <w:r w:rsidRPr="00D65C76">
        <w:rPr>
          <w:rFonts w:ascii="ArialMT" w:hAnsi="ArialMT" w:cs="ArialMT"/>
          <w:sz w:val="24"/>
          <w:szCs w:val="24"/>
        </w:rPr>
        <w:t>mujeres y siete hombres.</w:t>
      </w:r>
    </w:p>
    <w:p w14:paraId="3EC1D12D" w14:textId="34583D5E" w:rsidR="00CE06D0" w:rsidRPr="00D65C76" w:rsidRDefault="002410AD"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b/>
          <w:bCs/>
          <w:sz w:val="24"/>
          <w:szCs w:val="24"/>
          <w:lang w:val="es-ES"/>
        </w:rPr>
        <w:t>9</w:t>
      </w:r>
      <w:r w:rsidR="00CE06D0" w:rsidRPr="00D65C76">
        <w:rPr>
          <w:rFonts w:ascii="Arial" w:eastAsia="Calibri" w:hAnsi="Arial" w:cs="Times New Roman"/>
          <w:b/>
          <w:bCs/>
          <w:sz w:val="24"/>
          <w:szCs w:val="24"/>
          <w:lang w:val="es-ES"/>
        </w:rPr>
        <w:t>. Revisión.</w:t>
      </w:r>
      <w:r w:rsidR="00CE06D0" w:rsidRPr="00D65C76">
        <w:rPr>
          <w:rFonts w:ascii="Arial" w:eastAsia="Calibri" w:hAnsi="Arial" w:cs="Times New Roman"/>
          <w:sz w:val="24"/>
          <w:szCs w:val="24"/>
          <w:lang w:val="es-ES"/>
        </w:rPr>
        <w:t xml:space="preserve"> En contra de lo anterior, el veintiocho de abril de dos mil veintiuno, el </w:t>
      </w:r>
      <w:r w:rsidRPr="00D65C76">
        <w:rPr>
          <w:rFonts w:ascii="Arial" w:eastAsia="Calibri" w:hAnsi="Arial" w:cs="Times New Roman"/>
          <w:sz w:val="24"/>
          <w:szCs w:val="24"/>
          <w:lang w:val="es-ES"/>
        </w:rPr>
        <w:t>PAN</w:t>
      </w:r>
      <w:r w:rsidR="00CE06D0" w:rsidRPr="00D65C76">
        <w:rPr>
          <w:rFonts w:ascii="Arial" w:eastAsia="Calibri" w:hAnsi="Arial" w:cs="Times New Roman"/>
          <w:sz w:val="24"/>
          <w:szCs w:val="24"/>
          <w:lang w:val="es-ES"/>
        </w:rPr>
        <w:t xml:space="preserve"> promovió</w:t>
      </w:r>
      <w:r w:rsidR="0079337B" w:rsidRPr="00D65C76">
        <w:rPr>
          <w:rFonts w:ascii="Arial" w:eastAsia="Calibri" w:hAnsi="Arial" w:cs="Times New Roman"/>
          <w:sz w:val="24"/>
          <w:szCs w:val="24"/>
          <w:lang w:val="es-ES"/>
        </w:rPr>
        <w:t xml:space="preserve"> un</w:t>
      </w:r>
      <w:r w:rsidR="00CE06D0" w:rsidRPr="00D65C76">
        <w:rPr>
          <w:rFonts w:ascii="Arial" w:eastAsia="Calibri" w:hAnsi="Arial" w:cs="Times New Roman"/>
          <w:sz w:val="24"/>
          <w:szCs w:val="24"/>
          <w:lang w:val="es-ES"/>
        </w:rPr>
        <w:t xml:space="preserve"> recurso de revisión ante el Tribunal local, quien resolvió el veintiuno de mayo, el expediente TEEG-REV-44</w:t>
      </w:r>
      <w:r w:rsidR="009E6421">
        <w:rPr>
          <w:rFonts w:ascii="Arial" w:eastAsia="Calibri" w:hAnsi="Arial" w:cs="Times New Roman"/>
          <w:sz w:val="24"/>
          <w:szCs w:val="24"/>
          <w:lang w:val="es-ES"/>
        </w:rPr>
        <w:t>/</w:t>
      </w:r>
      <w:r w:rsidR="00CE06D0" w:rsidRPr="00D65C76">
        <w:rPr>
          <w:rFonts w:ascii="Arial" w:eastAsia="Calibri" w:hAnsi="Arial" w:cs="Times New Roman"/>
          <w:sz w:val="24"/>
          <w:szCs w:val="24"/>
          <w:lang w:val="es-ES"/>
        </w:rPr>
        <w:t>2021 confirmando el acuerdo controvertido.</w:t>
      </w:r>
    </w:p>
    <w:p w14:paraId="2C828723" w14:textId="40B01E66" w:rsidR="00CE06D0" w:rsidRPr="00D65C76" w:rsidRDefault="002410AD"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b/>
          <w:bCs/>
          <w:sz w:val="24"/>
          <w:szCs w:val="24"/>
          <w:lang w:val="es-ES"/>
        </w:rPr>
        <w:t>10</w:t>
      </w:r>
      <w:r w:rsidR="00CE06D0" w:rsidRPr="00D65C76">
        <w:rPr>
          <w:rFonts w:ascii="Arial" w:eastAsia="Calibri" w:hAnsi="Arial" w:cs="Times New Roman"/>
          <w:b/>
          <w:bCs/>
          <w:sz w:val="24"/>
          <w:szCs w:val="24"/>
          <w:lang w:val="es-ES"/>
        </w:rPr>
        <w:t xml:space="preserve">. Acto impugnado (SM-JRC-87/2021). </w:t>
      </w:r>
      <w:r w:rsidR="00CE06D0" w:rsidRPr="00D65C76">
        <w:rPr>
          <w:rFonts w:ascii="Arial" w:eastAsia="Calibri" w:hAnsi="Arial" w:cs="Times New Roman"/>
          <w:sz w:val="24"/>
          <w:szCs w:val="24"/>
          <w:lang w:val="es-ES"/>
        </w:rPr>
        <w:t xml:space="preserve">Inconforme por lo resuelto por el Tribunal local, el veinticinco de mayo de dos mil veintiuno, el PAN promovió </w:t>
      </w:r>
      <w:r w:rsidR="0079337B" w:rsidRPr="00D65C76">
        <w:rPr>
          <w:rFonts w:ascii="Arial" w:eastAsia="Calibri" w:hAnsi="Arial" w:cs="Times New Roman"/>
          <w:sz w:val="24"/>
          <w:szCs w:val="24"/>
          <w:lang w:val="es-ES"/>
        </w:rPr>
        <w:t xml:space="preserve">un </w:t>
      </w:r>
      <w:r w:rsidR="00CE06D0" w:rsidRPr="00D65C76">
        <w:rPr>
          <w:rFonts w:ascii="Arial" w:eastAsia="Calibri" w:hAnsi="Arial" w:cs="Times New Roman"/>
          <w:sz w:val="24"/>
          <w:szCs w:val="24"/>
          <w:lang w:val="es-ES"/>
        </w:rPr>
        <w:t>juicio de revisión constitucional, mismo que fue resuelto por la Sala Regional Monterrey el treinta y uno de mayo siguiente, en el sentido de confirmar la resolución emitida por el Tribunal local.</w:t>
      </w:r>
    </w:p>
    <w:p w14:paraId="268710C0" w14:textId="0D2DEA27" w:rsidR="00CE06D0" w:rsidRPr="00D65C76" w:rsidRDefault="002410AD" w:rsidP="00CE06D0">
      <w:pPr>
        <w:tabs>
          <w:tab w:val="left" w:pos="6207"/>
        </w:tabs>
        <w:spacing w:before="240" w:after="240" w:line="360" w:lineRule="auto"/>
        <w:jc w:val="both"/>
        <w:rPr>
          <w:rFonts w:ascii="Arial" w:eastAsia="Calibri" w:hAnsi="Arial" w:cs="Times New Roman"/>
          <w:sz w:val="24"/>
          <w:szCs w:val="24"/>
          <w:lang w:val="es-ES"/>
        </w:rPr>
      </w:pPr>
      <w:r w:rsidRPr="00D65C76">
        <w:rPr>
          <w:rFonts w:ascii="Arial" w:eastAsia="Calibri" w:hAnsi="Arial" w:cs="Times New Roman"/>
          <w:b/>
          <w:bCs/>
          <w:sz w:val="24"/>
          <w:szCs w:val="24"/>
          <w:lang w:val="es-ES"/>
        </w:rPr>
        <w:lastRenderedPageBreak/>
        <w:t>11</w:t>
      </w:r>
      <w:r w:rsidR="00CE06D0" w:rsidRPr="00D65C76">
        <w:rPr>
          <w:rFonts w:ascii="Arial" w:eastAsia="Calibri" w:hAnsi="Arial" w:cs="Times New Roman"/>
          <w:b/>
          <w:bCs/>
          <w:sz w:val="24"/>
          <w:szCs w:val="24"/>
          <w:lang w:val="es-ES"/>
        </w:rPr>
        <w:t>. Reconsideración.</w:t>
      </w:r>
      <w:r w:rsidR="00CE06D0" w:rsidRPr="00D65C76">
        <w:rPr>
          <w:rFonts w:ascii="Arial" w:eastAsia="Calibri" w:hAnsi="Arial" w:cs="Times New Roman"/>
          <w:sz w:val="24"/>
          <w:szCs w:val="24"/>
          <w:lang w:val="es-ES"/>
        </w:rPr>
        <w:t xml:space="preserve"> En contra de dicha determinación, el dos de junio de dos mil veintiuno, se presentó el</w:t>
      </w:r>
      <w:r w:rsidR="00C82C6B" w:rsidRPr="00D65C76">
        <w:rPr>
          <w:rFonts w:ascii="Arial" w:eastAsia="Calibri" w:hAnsi="Arial" w:cs="Times New Roman"/>
          <w:sz w:val="24"/>
          <w:szCs w:val="24"/>
          <w:lang w:val="es-ES"/>
        </w:rPr>
        <w:t xml:space="preserve"> </w:t>
      </w:r>
      <w:r w:rsidR="00CE06D0" w:rsidRPr="00D65C76">
        <w:rPr>
          <w:rFonts w:ascii="Arial" w:eastAsia="Calibri" w:hAnsi="Arial" w:cs="Times New Roman"/>
          <w:sz w:val="24"/>
          <w:szCs w:val="24"/>
          <w:lang w:val="es-ES"/>
        </w:rPr>
        <w:t>recurso de reconsideración.</w:t>
      </w:r>
    </w:p>
    <w:p w14:paraId="269A50B8" w14:textId="77777777" w:rsidR="00651406" w:rsidRPr="00D65C76" w:rsidRDefault="00651406" w:rsidP="00651406">
      <w:pPr>
        <w:spacing w:before="240" w:after="240" w:line="360" w:lineRule="auto"/>
        <w:jc w:val="center"/>
        <w:outlineLvl w:val="0"/>
        <w:rPr>
          <w:rFonts w:ascii="Arial" w:hAnsi="Arial" w:cs="Arial"/>
          <w:b/>
          <w:bCs/>
          <w:sz w:val="24"/>
          <w:szCs w:val="24"/>
        </w:rPr>
      </w:pPr>
      <w:r w:rsidRPr="00D65C76">
        <w:rPr>
          <w:rFonts w:ascii="Arial" w:hAnsi="Arial" w:cs="Arial"/>
          <w:b/>
          <w:bCs/>
          <w:sz w:val="24"/>
          <w:szCs w:val="24"/>
        </w:rPr>
        <w:t xml:space="preserve">III. </w:t>
      </w:r>
      <w:r w:rsidRPr="00D65C76">
        <w:rPr>
          <w:rFonts w:ascii="Arial" w:hAnsi="Arial" w:cs="Arial"/>
          <w:b/>
          <w:sz w:val="24"/>
          <w:szCs w:val="24"/>
        </w:rPr>
        <w:t>TRÁMITE</w:t>
      </w:r>
    </w:p>
    <w:p w14:paraId="09177AD0" w14:textId="77777777" w:rsidR="00651406" w:rsidRPr="00D65C76" w:rsidRDefault="00651406" w:rsidP="00651406">
      <w:pPr>
        <w:tabs>
          <w:tab w:val="left" w:pos="6207"/>
        </w:tabs>
        <w:spacing w:before="240" w:after="240" w:line="360" w:lineRule="auto"/>
        <w:jc w:val="both"/>
        <w:rPr>
          <w:rFonts w:ascii="Arial" w:hAnsi="Arial" w:cs="Arial"/>
          <w:sz w:val="24"/>
          <w:szCs w:val="24"/>
          <w:lang w:val="es-ES"/>
        </w:rPr>
      </w:pPr>
      <w:r w:rsidRPr="00D65C76">
        <w:rPr>
          <w:rFonts w:ascii="Arial" w:hAnsi="Arial" w:cs="Arial"/>
          <w:b/>
          <w:sz w:val="24"/>
          <w:szCs w:val="24"/>
          <w:lang w:val="es-ES"/>
        </w:rPr>
        <w:t>1. Turno</w:t>
      </w:r>
      <w:r w:rsidRPr="00D65C76">
        <w:rPr>
          <w:rFonts w:ascii="Arial" w:hAnsi="Arial" w:cs="Arial"/>
          <w:b/>
          <w:bCs/>
          <w:sz w:val="24"/>
          <w:szCs w:val="24"/>
          <w:lang w:val="es-ES"/>
        </w:rPr>
        <w:t xml:space="preserve">. </w:t>
      </w:r>
      <w:r w:rsidRPr="00D65C76">
        <w:rPr>
          <w:rFonts w:ascii="Arial" w:hAnsi="Arial" w:cs="Arial"/>
          <w:sz w:val="24"/>
          <w:szCs w:val="24"/>
          <w:lang w:val="es-ES"/>
        </w:rPr>
        <w:t>Mediante proveído de tres de junio, se turnó el expediente al rubro citado a la ponencia del magistrado Felipe Alfredo Fuentes Barrera, para los efectos previstos en el artículo 19 de la Ley General del Sistema de Medios de Impugnación en Materia Electoral.</w:t>
      </w:r>
      <w:r w:rsidRPr="00D65C76">
        <w:rPr>
          <w:rStyle w:val="Refdenotaalpie"/>
          <w:rFonts w:ascii="Arial" w:hAnsi="Arial" w:cs="Arial"/>
          <w:sz w:val="24"/>
          <w:szCs w:val="24"/>
          <w:lang w:val="es-ES"/>
        </w:rPr>
        <w:footnoteReference w:id="10"/>
      </w:r>
    </w:p>
    <w:p w14:paraId="64CF3A7A" w14:textId="77777777" w:rsidR="00651406" w:rsidRPr="00D65C76" w:rsidRDefault="00651406" w:rsidP="00651406">
      <w:pPr>
        <w:tabs>
          <w:tab w:val="left" w:pos="6207"/>
        </w:tabs>
        <w:spacing w:before="240" w:after="240" w:line="360" w:lineRule="auto"/>
        <w:jc w:val="both"/>
        <w:rPr>
          <w:rFonts w:ascii="Arial" w:hAnsi="Arial" w:cs="Arial"/>
          <w:sz w:val="24"/>
          <w:szCs w:val="24"/>
          <w:lang w:val="es-ES"/>
        </w:rPr>
      </w:pPr>
      <w:r w:rsidRPr="00D65C76">
        <w:rPr>
          <w:rFonts w:ascii="Arial" w:hAnsi="Arial" w:cs="Arial"/>
          <w:b/>
          <w:bCs/>
          <w:sz w:val="24"/>
          <w:szCs w:val="24"/>
          <w:lang w:val="es-ES"/>
        </w:rPr>
        <w:t>2. Radicación.</w:t>
      </w:r>
      <w:r w:rsidRPr="00D65C76">
        <w:rPr>
          <w:rFonts w:ascii="Arial" w:hAnsi="Arial" w:cs="Arial"/>
          <w:sz w:val="24"/>
          <w:szCs w:val="24"/>
          <w:lang w:val="es-ES"/>
        </w:rPr>
        <w:t xml:space="preserve"> En su oportunidad, el magistrado instructor radicó el medio de impugnación citado al rubro.</w:t>
      </w:r>
    </w:p>
    <w:bookmarkEnd w:id="3"/>
    <w:p w14:paraId="7D034E02" w14:textId="77777777" w:rsidR="00D62F52" w:rsidRPr="00D65C76" w:rsidRDefault="00D62F52" w:rsidP="00A47B72">
      <w:pPr>
        <w:pStyle w:val="Ttulo1"/>
        <w:spacing w:after="240" w:line="360" w:lineRule="auto"/>
        <w:jc w:val="center"/>
        <w:rPr>
          <w:rFonts w:ascii="Arial" w:hAnsi="Arial" w:cs="Arial"/>
          <w:b/>
          <w:bCs/>
          <w:color w:val="auto"/>
          <w:sz w:val="24"/>
          <w:szCs w:val="24"/>
        </w:rPr>
      </w:pPr>
      <w:r w:rsidRPr="00D65C76">
        <w:rPr>
          <w:rFonts w:ascii="Arial" w:hAnsi="Arial" w:cs="Arial"/>
          <w:b/>
          <w:bCs/>
          <w:color w:val="auto"/>
          <w:sz w:val="24"/>
          <w:szCs w:val="24"/>
        </w:rPr>
        <w:t xml:space="preserve">IV. </w:t>
      </w:r>
      <w:bookmarkEnd w:id="8"/>
      <w:r w:rsidR="00FC1736" w:rsidRPr="00D65C76">
        <w:rPr>
          <w:rFonts w:ascii="Arial" w:hAnsi="Arial" w:cs="Arial"/>
          <w:b/>
          <w:bCs/>
          <w:color w:val="auto"/>
          <w:sz w:val="24"/>
          <w:szCs w:val="24"/>
        </w:rPr>
        <w:t>COMPETENCIA</w:t>
      </w:r>
    </w:p>
    <w:p w14:paraId="02D48DF4" w14:textId="77777777" w:rsidR="00CF1409" w:rsidRPr="00D65C76" w:rsidRDefault="00CF1409" w:rsidP="00A47B72">
      <w:pPr>
        <w:spacing w:before="240" w:after="240" w:line="360" w:lineRule="auto"/>
        <w:jc w:val="both"/>
        <w:rPr>
          <w:rFonts w:ascii="Arial" w:hAnsi="Arial" w:cs="Arial"/>
          <w:sz w:val="24"/>
          <w:szCs w:val="24"/>
          <w:lang w:val="es-ES"/>
        </w:rPr>
      </w:pPr>
      <w:r w:rsidRPr="00D65C76">
        <w:rPr>
          <w:rFonts w:ascii="Arial" w:hAnsi="Arial" w:cs="Arial"/>
          <w:sz w:val="24"/>
          <w:szCs w:val="24"/>
          <w:lang w:val="es-ES"/>
        </w:rPr>
        <w:t xml:space="preserve">La Sala Superior es competente para conocer y resolver </w:t>
      </w:r>
      <w:r w:rsidR="00C3646E" w:rsidRPr="00D65C76">
        <w:rPr>
          <w:rFonts w:ascii="Arial" w:hAnsi="Arial" w:cs="Arial"/>
          <w:sz w:val="24"/>
          <w:szCs w:val="24"/>
          <w:lang w:val="es-ES"/>
        </w:rPr>
        <w:t xml:space="preserve">el </w:t>
      </w:r>
      <w:r w:rsidR="00697414" w:rsidRPr="00D65C76">
        <w:rPr>
          <w:rFonts w:ascii="Arial" w:hAnsi="Arial" w:cs="Arial"/>
          <w:sz w:val="24"/>
          <w:szCs w:val="24"/>
          <w:lang w:val="es-ES"/>
        </w:rPr>
        <w:t>presente medio</w:t>
      </w:r>
      <w:r w:rsidR="00C3646E" w:rsidRPr="00D65C76">
        <w:rPr>
          <w:rFonts w:ascii="Arial" w:hAnsi="Arial" w:cs="Arial"/>
          <w:sz w:val="24"/>
          <w:szCs w:val="24"/>
          <w:lang w:val="es-ES"/>
        </w:rPr>
        <w:t xml:space="preserve"> </w:t>
      </w:r>
      <w:r w:rsidRPr="00D65C76">
        <w:rPr>
          <w:rFonts w:ascii="Arial" w:hAnsi="Arial" w:cs="Arial"/>
          <w:sz w:val="24"/>
          <w:szCs w:val="24"/>
          <w:lang w:val="es-ES"/>
        </w:rPr>
        <w:t xml:space="preserve">de impugnación, por tratarse de </w:t>
      </w:r>
      <w:r w:rsidR="00C3646E" w:rsidRPr="00D65C76">
        <w:rPr>
          <w:rFonts w:ascii="Arial" w:hAnsi="Arial" w:cs="Arial"/>
          <w:sz w:val="24"/>
          <w:szCs w:val="24"/>
          <w:lang w:val="es-ES"/>
        </w:rPr>
        <w:t xml:space="preserve">un </w:t>
      </w:r>
      <w:r w:rsidR="00697414" w:rsidRPr="00D65C76">
        <w:rPr>
          <w:rFonts w:ascii="Arial" w:hAnsi="Arial" w:cs="Arial"/>
          <w:sz w:val="24"/>
          <w:szCs w:val="24"/>
          <w:lang w:val="es-ES"/>
        </w:rPr>
        <w:t>recurso</w:t>
      </w:r>
      <w:r w:rsidRPr="00D65C76">
        <w:rPr>
          <w:rFonts w:ascii="Arial" w:hAnsi="Arial" w:cs="Arial"/>
          <w:sz w:val="24"/>
          <w:szCs w:val="24"/>
          <w:lang w:val="es-ES"/>
        </w:rPr>
        <w:t xml:space="preserve"> de reconsideración interpuest</w:t>
      </w:r>
      <w:r w:rsidR="00C3646E" w:rsidRPr="00D65C76">
        <w:rPr>
          <w:rFonts w:ascii="Arial" w:hAnsi="Arial" w:cs="Arial"/>
          <w:sz w:val="24"/>
          <w:szCs w:val="24"/>
          <w:lang w:val="es-ES"/>
        </w:rPr>
        <w:t>o</w:t>
      </w:r>
      <w:r w:rsidRPr="00D65C76">
        <w:rPr>
          <w:rFonts w:ascii="Arial" w:hAnsi="Arial" w:cs="Arial"/>
          <w:sz w:val="24"/>
          <w:szCs w:val="24"/>
          <w:lang w:val="es-ES"/>
        </w:rPr>
        <w:t xml:space="preserve"> para controvertir una sentencia emitida por una Sala Regional.</w:t>
      </w:r>
    </w:p>
    <w:p w14:paraId="2F567A6C" w14:textId="77777777" w:rsidR="00B15FE3" w:rsidRPr="00D65C76" w:rsidRDefault="00CF1409" w:rsidP="00A47B72">
      <w:pPr>
        <w:pStyle w:val="NormalWeb"/>
        <w:spacing w:before="240" w:beforeAutospacing="0" w:after="240" w:afterAutospacing="0" w:line="360" w:lineRule="auto"/>
        <w:jc w:val="both"/>
        <w:rPr>
          <w:rFonts w:ascii="Arial" w:eastAsiaTheme="minorHAnsi" w:hAnsi="Arial" w:cs="Arial"/>
          <w:lang w:val="es-ES" w:eastAsia="en-US"/>
        </w:rPr>
      </w:pPr>
      <w:r w:rsidRPr="00D65C76">
        <w:rPr>
          <w:rFonts w:ascii="Arial" w:eastAsiaTheme="minorHAnsi" w:hAnsi="Arial" w:cs="Arial"/>
          <w:lang w:val="es-ES" w:eastAsia="en-US"/>
        </w:rPr>
        <w:t xml:space="preserve">Con fundamento en lo establecido en los artículos 41, párrafo segundo, base VI; 94, párrafos primero y quinto, y 99, párrafo cuarto, fracción X, de la Constitución </w:t>
      </w:r>
      <w:r w:rsidR="00C3646E" w:rsidRPr="00D65C76">
        <w:rPr>
          <w:rFonts w:ascii="Arial" w:eastAsiaTheme="minorHAnsi" w:hAnsi="Arial" w:cs="Arial"/>
          <w:lang w:val="es-ES" w:eastAsia="en-US"/>
        </w:rPr>
        <w:t>Política de los Estados Unidos Mexicanos</w:t>
      </w:r>
      <w:r w:rsidRPr="00D65C76">
        <w:rPr>
          <w:rFonts w:ascii="Arial" w:eastAsiaTheme="minorHAnsi" w:hAnsi="Arial" w:cs="Arial"/>
          <w:lang w:val="es-ES" w:eastAsia="en-US"/>
        </w:rPr>
        <w:t>;</w:t>
      </w:r>
      <w:r w:rsidR="00C3646E" w:rsidRPr="00D65C76">
        <w:rPr>
          <w:rStyle w:val="Refdenotaalpie"/>
          <w:rFonts w:ascii="Arial" w:eastAsiaTheme="minorHAnsi" w:hAnsi="Arial" w:cs="Arial"/>
          <w:lang w:val="es-ES" w:eastAsia="en-US"/>
        </w:rPr>
        <w:footnoteReference w:id="11"/>
      </w:r>
      <w:r w:rsidRPr="00D65C76">
        <w:rPr>
          <w:rFonts w:ascii="Arial" w:eastAsiaTheme="minorHAnsi" w:hAnsi="Arial" w:cs="Arial"/>
          <w:lang w:val="es-ES" w:eastAsia="en-US"/>
        </w:rPr>
        <w:t xml:space="preserve"> 184, 185, 186, fracción X y 189, fracción XIX, de la Ley Orgánica del Poder Judicial de la Federación,</w:t>
      </w:r>
      <w:r w:rsidR="007D21AC" w:rsidRPr="00D65C76">
        <w:rPr>
          <w:rStyle w:val="Refdenotaalpie"/>
          <w:rFonts w:ascii="Arial" w:eastAsiaTheme="minorHAnsi" w:hAnsi="Arial" w:cs="Arial"/>
          <w:lang w:val="es-ES" w:eastAsia="en-US"/>
        </w:rPr>
        <w:footnoteReference w:id="12"/>
      </w:r>
      <w:r w:rsidRPr="00D65C76">
        <w:rPr>
          <w:rFonts w:ascii="Arial" w:eastAsiaTheme="minorHAnsi" w:hAnsi="Arial" w:cs="Arial"/>
          <w:lang w:val="es-ES" w:eastAsia="en-US"/>
        </w:rPr>
        <w:t xml:space="preserve"> así como 3, párrafo 2; 4, párrafo 1, y 64, de la Ley de Medios.</w:t>
      </w:r>
    </w:p>
    <w:p w14:paraId="23A33E3B" w14:textId="77777777" w:rsidR="00B15FE3" w:rsidRPr="00D65C76" w:rsidRDefault="00B15FE3" w:rsidP="00A47B72">
      <w:pPr>
        <w:pStyle w:val="Ttulo1"/>
        <w:spacing w:after="240" w:line="360" w:lineRule="auto"/>
        <w:jc w:val="center"/>
        <w:rPr>
          <w:rFonts w:ascii="Arial" w:hAnsi="Arial" w:cs="Arial"/>
          <w:b/>
          <w:bCs/>
          <w:color w:val="auto"/>
          <w:sz w:val="24"/>
          <w:szCs w:val="24"/>
        </w:rPr>
      </w:pPr>
      <w:r w:rsidRPr="00D65C76">
        <w:rPr>
          <w:rFonts w:ascii="Arial" w:hAnsi="Arial" w:cs="Arial"/>
          <w:b/>
          <w:bCs/>
          <w:color w:val="auto"/>
          <w:sz w:val="24"/>
          <w:szCs w:val="24"/>
        </w:rPr>
        <w:t>V. JUSTIFICACIÓN PARA RESOLVER EN SESIÓN NO PRESENCIAL</w:t>
      </w:r>
    </w:p>
    <w:p w14:paraId="4897225E" w14:textId="77777777" w:rsidR="00A7090F" w:rsidRPr="00D65C76" w:rsidRDefault="00A7090F" w:rsidP="00A47B72">
      <w:pPr>
        <w:spacing w:before="240" w:after="240" w:line="360" w:lineRule="auto"/>
        <w:jc w:val="both"/>
        <w:rPr>
          <w:rFonts w:ascii="Arial" w:hAnsi="Arial" w:cs="Arial"/>
          <w:sz w:val="24"/>
          <w:szCs w:val="24"/>
          <w:lang w:val="es-ES"/>
        </w:rPr>
      </w:pPr>
      <w:r w:rsidRPr="00D65C76">
        <w:rPr>
          <w:rFonts w:ascii="Arial" w:hAnsi="Arial" w:cs="Arial"/>
          <w:sz w:val="24"/>
          <w:szCs w:val="24"/>
          <w:lang w:val="es-ES"/>
        </w:rPr>
        <w:t>Esta Sala Superior emitió el acuerdo 8/2020</w:t>
      </w:r>
      <w:r w:rsidRPr="00D65C76">
        <w:rPr>
          <w:rFonts w:ascii="Arial" w:hAnsi="Arial" w:cs="Arial"/>
          <w:sz w:val="24"/>
          <w:szCs w:val="24"/>
          <w:vertAlign w:val="superscript"/>
          <w:lang w:val="es-ES"/>
        </w:rPr>
        <w:footnoteReference w:id="13"/>
      </w:r>
      <w:r w:rsidRPr="00D65C76">
        <w:rPr>
          <w:rFonts w:ascii="Arial" w:hAnsi="Arial" w:cs="Arial"/>
          <w:sz w:val="24"/>
          <w:szCs w:val="24"/>
          <w:lang w:val="es-ES"/>
        </w:rPr>
        <w:t xml:space="preserve"> en el cual, si bien restableció la resolución de todos los medios de impugnación, en su segundo punto de acuerdo, determinó que las sesiones continuarán realizándose por medio de videoconferencias hasta que el Pleno de esta Sala Superior lo determine.</w:t>
      </w:r>
    </w:p>
    <w:p w14:paraId="690E4E2E" w14:textId="77777777" w:rsidR="00B15FE3" w:rsidRPr="00D65C76" w:rsidRDefault="00A7090F" w:rsidP="00A47B72">
      <w:pPr>
        <w:spacing w:before="240" w:after="240" w:line="360" w:lineRule="auto"/>
        <w:jc w:val="both"/>
        <w:rPr>
          <w:rFonts w:ascii="Arial" w:hAnsi="Arial" w:cs="Arial"/>
          <w:sz w:val="24"/>
          <w:szCs w:val="24"/>
          <w:lang w:val="es-ES"/>
        </w:rPr>
      </w:pPr>
      <w:r w:rsidRPr="00D65C76">
        <w:rPr>
          <w:rFonts w:ascii="Arial" w:hAnsi="Arial" w:cs="Arial"/>
          <w:sz w:val="24"/>
          <w:szCs w:val="24"/>
          <w:lang w:val="es-ES"/>
        </w:rPr>
        <w:lastRenderedPageBreak/>
        <w:t xml:space="preserve">En ese sentido, se justifica la resolución </w:t>
      </w:r>
      <w:r w:rsidR="00F62408" w:rsidRPr="00D65C76">
        <w:rPr>
          <w:rFonts w:ascii="Arial" w:hAnsi="Arial" w:cs="Arial"/>
          <w:sz w:val="24"/>
          <w:szCs w:val="24"/>
          <w:lang w:val="es-ES"/>
        </w:rPr>
        <w:t>del presente recurso</w:t>
      </w:r>
      <w:r w:rsidRPr="00D65C76">
        <w:rPr>
          <w:rFonts w:ascii="Arial" w:hAnsi="Arial" w:cs="Arial"/>
          <w:sz w:val="24"/>
          <w:szCs w:val="24"/>
          <w:lang w:val="es-ES"/>
        </w:rPr>
        <w:t xml:space="preserve"> de reconsideración de manera no presencial.</w:t>
      </w:r>
    </w:p>
    <w:p w14:paraId="64DA3956" w14:textId="77777777" w:rsidR="002B70C4" w:rsidRPr="00D65C76" w:rsidRDefault="002B70C4" w:rsidP="00271E5F">
      <w:pPr>
        <w:pStyle w:val="Ttulo1"/>
        <w:spacing w:after="240" w:line="360" w:lineRule="auto"/>
        <w:jc w:val="center"/>
        <w:rPr>
          <w:rFonts w:ascii="Arial" w:hAnsi="Arial" w:cs="Arial"/>
          <w:b/>
          <w:bCs/>
          <w:color w:val="auto"/>
          <w:sz w:val="24"/>
          <w:szCs w:val="24"/>
        </w:rPr>
      </w:pPr>
      <w:bookmarkStart w:id="9" w:name="_Toc70686774"/>
      <w:r w:rsidRPr="00D65C76">
        <w:rPr>
          <w:rFonts w:ascii="Arial" w:hAnsi="Arial" w:cs="Arial"/>
          <w:b/>
          <w:bCs/>
          <w:color w:val="auto"/>
          <w:sz w:val="24"/>
          <w:szCs w:val="24"/>
        </w:rPr>
        <w:t>V</w:t>
      </w:r>
      <w:r w:rsidR="00271E5F" w:rsidRPr="00D65C76">
        <w:rPr>
          <w:rFonts w:ascii="Arial" w:hAnsi="Arial" w:cs="Arial"/>
          <w:b/>
          <w:bCs/>
          <w:color w:val="auto"/>
          <w:sz w:val="24"/>
          <w:szCs w:val="24"/>
        </w:rPr>
        <w:t>I</w:t>
      </w:r>
      <w:r w:rsidRPr="00D65C76">
        <w:rPr>
          <w:rFonts w:ascii="Arial" w:hAnsi="Arial" w:cs="Arial"/>
          <w:b/>
          <w:bCs/>
          <w:color w:val="auto"/>
          <w:sz w:val="24"/>
          <w:szCs w:val="24"/>
        </w:rPr>
        <w:t xml:space="preserve">. </w:t>
      </w:r>
      <w:bookmarkEnd w:id="9"/>
      <w:r w:rsidR="00564F47" w:rsidRPr="00D65C76">
        <w:rPr>
          <w:rFonts w:ascii="Arial" w:hAnsi="Arial" w:cs="Arial"/>
          <w:b/>
          <w:bCs/>
          <w:color w:val="auto"/>
          <w:sz w:val="24"/>
          <w:szCs w:val="24"/>
        </w:rPr>
        <w:t>IMPROCEDENCIA</w:t>
      </w:r>
    </w:p>
    <w:p w14:paraId="22D69766" w14:textId="77777777" w:rsidR="00526452" w:rsidRPr="00D65C76" w:rsidRDefault="00587C97" w:rsidP="005754DF">
      <w:pPr>
        <w:pStyle w:val="Ttulo2"/>
        <w:spacing w:before="240" w:after="240" w:line="360" w:lineRule="auto"/>
        <w:jc w:val="both"/>
        <w:rPr>
          <w:rFonts w:ascii="Arial" w:hAnsi="Arial" w:cs="Arial"/>
          <w:b/>
          <w:color w:val="auto"/>
          <w:sz w:val="24"/>
          <w:szCs w:val="24"/>
        </w:rPr>
      </w:pPr>
      <w:r w:rsidRPr="00D65C76">
        <w:rPr>
          <w:rFonts w:ascii="Arial" w:hAnsi="Arial" w:cs="Arial"/>
          <w:b/>
          <w:color w:val="auto"/>
          <w:sz w:val="24"/>
          <w:szCs w:val="24"/>
        </w:rPr>
        <w:t xml:space="preserve">1. </w:t>
      </w:r>
      <w:r w:rsidR="0076770D" w:rsidRPr="00D65C76">
        <w:rPr>
          <w:rFonts w:ascii="Arial" w:hAnsi="Arial" w:cs="Arial"/>
          <w:b/>
          <w:color w:val="auto"/>
          <w:sz w:val="24"/>
          <w:szCs w:val="24"/>
        </w:rPr>
        <w:t>Tesis de la decisión</w:t>
      </w:r>
    </w:p>
    <w:p w14:paraId="13B2C1A8" w14:textId="77777777" w:rsidR="00B00BD5" w:rsidRPr="00D65C76" w:rsidRDefault="00F45699" w:rsidP="00B73CD3">
      <w:pPr>
        <w:spacing w:before="240" w:after="240" w:line="360" w:lineRule="auto"/>
        <w:jc w:val="both"/>
        <w:rPr>
          <w:rFonts w:ascii="Arial" w:hAnsi="Arial" w:cs="Arial"/>
          <w:sz w:val="24"/>
          <w:szCs w:val="24"/>
          <w:lang w:val="es-ES"/>
        </w:rPr>
      </w:pPr>
      <w:r w:rsidRPr="00D65C76">
        <w:rPr>
          <w:rFonts w:ascii="Arial" w:hAnsi="Arial" w:cs="Arial"/>
          <w:sz w:val="24"/>
          <w:szCs w:val="24"/>
          <w:lang w:val="es-ES"/>
        </w:rPr>
        <w:t xml:space="preserve">Con independencia de que se actualice alguna otra causal de improcedencia, el presente asunto no cumple con el requisito especial de procedencia del recurso de reconsideración y, por tanto, se debe desechar de plano. </w:t>
      </w:r>
    </w:p>
    <w:p w14:paraId="1D7AE0E6" w14:textId="2DE3B565" w:rsidR="0076770D" w:rsidRPr="00D65C76" w:rsidRDefault="00F45699" w:rsidP="00B73CD3">
      <w:pPr>
        <w:spacing w:before="240" w:after="240" w:line="360" w:lineRule="auto"/>
        <w:jc w:val="both"/>
      </w:pPr>
      <w:r w:rsidRPr="00D65C76">
        <w:rPr>
          <w:rFonts w:ascii="Arial" w:hAnsi="Arial" w:cs="Arial"/>
          <w:sz w:val="24"/>
          <w:szCs w:val="24"/>
          <w:lang w:val="es-ES"/>
        </w:rPr>
        <w:t>Lo anterior, porque del análisis a la sentencia recurrida, a los planteamientos de</w:t>
      </w:r>
      <w:r w:rsidR="00D24A09" w:rsidRPr="00D65C76">
        <w:rPr>
          <w:rFonts w:ascii="Arial" w:hAnsi="Arial" w:cs="Arial"/>
          <w:sz w:val="24"/>
          <w:szCs w:val="24"/>
          <w:lang w:val="es-ES"/>
        </w:rPr>
        <w:t xml:space="preserve">l </w:t>
      </w:r>
      <w:r w:rsidRPr="00D65C76">
        <w:rPr>
          <w:rFonts w:ascii="Arial" w:hAnsi="Arial" w:cs="Arial"/>
          <w:sz w:val="24"/>
          <w:szCs w:val="24"/>
          <w:lang w:val="es-ES"/>
        </w:rPr>
        <w:t>recurrente y a la cadena impugnativa, no se advierte que la controversia implique cuestiones propiamente de constitucionalidad o convencionalidad</w:t>
      </w:r>
      <w:r w:rsidR="00D24A09" w:rsidRPr="00D65C76">
        <w:rPr>
          <w:rFonts w:ascii="Arial" w:hAnsi="Arial" w:cs="Arial"/>
          <w:sz w:val="24"/>
          <w:szCs w:val="24"/>
          <w:lang w:val="es-ES"/>
        </w:rPr>
        <w:t xml:space="preserve"> </w:t>
      </w:r>
      <w:r w:rsidRPr="00D65C76">
        <w:rPr>
          <w:rFonts w:ascii="Arial" w:hAnsi="Arial" w:cs="Arial"/>
          <w:sz w:val="24"/>
          <w:szCs w:val="24"/>
          <w:lang w:val="es-ES"/>
        </w:rPr>
        <w:t>que justifique el estudio de fondo de la problemática planteada.</w:t>
      </w:r>
    </w:p>
    <w:p w14:paraId="0E129DEA" w14:textId="77777777" w:rsidR="00B73CD3" w:rsidRPr="00D65C76" w:rsidRDefault="009939F3" w:rsidP="005754DF">
      <w:pPr>
        <w:pStyle w:val="Ttulo2"/>
        <w:spacing w:before="240" w:after="240" w:line="360" w:lineRule="auto"/>
        <w:jc w:val="both"/>
        <w:rPr>
          <w:rFonts w:ascii="Arial" w:hAnsi="Arial" w:cs="Arial"/>
          <w:b/>
          <w:color w:val="auto"/>
          <w:sz w:val="24"/>
          <w:szCs w:val="24"/>
        </w:rPr>
      </w:pPr>
      <w:r w:rsidRPr="00D65C76">
        <w:rPr>
          <w:rFonts w:ascii="Arial" w:hAnsi="Arial" w:cs="Arial"/>
          <w:b/>
          <w:color w:val="auto"/>
          <w:sz w:val="24"/>
          <w:szCs w:val="24"/>
        </w:rPr>
        <w:t>2. Consideraciones que sustentan la tesis</w:t>
      </w:r>
    </w:p>
    <w:p w14:paraId="7B40E2FC" w14:textId="77777777" w:rsidR="002152A8" w:rsidRPr="00D65C76" w:rsidRDefault="00235A79" w:rsidP="00235A79">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De conformidad con lo establecido en el artículo 61, numeral 1, incisos a) y b) de la Ley de Medios, el recurso de reconsideración es</w:t>
      </w:r>
      <w:r w:rsidR="002152A8" w:rsidRPr="00D65C76">
        <w:rPr>
          <w:rFonts w:ascii="Arial" w:eastAsia="Arial" w:hAnsi="Arial" w:cs="Arial"/>
          <w:sz w:val="24"/>
          <w:szCs w:val="24"/>
          <w:lang w:eastAsia="es-MX"/>
        </w:rPr>
        <w:t xml:space="preserve"> </w:t>
      </w:r>
      <w:r w:rsidRPr="00D65C76">
        <w:rPr>
          <w:rFonts w:ascii="Arial" w:eastAsia="Arial" w:hAnsi="Arial" w:cs="Arial"/>
          <w:sz w:val="24"/>
          <w:szCs w:val="24"/>
          <w:lang w:eastAsia="es-MX"/>
        </w:rPr>
        <w:t xml:space="preserve">por una parte, un medio ordinario para impugnar las sentencias de fondo de las Salas Regionales en los juicios de inconformidad que se hayan promovido en contra de los resultados de las elecciones de diputados y senadores, así como de las asignaciones por el principio de representación proporcional que respecto de dichas elecciones realice el Consejo General del Instituto Nacional Electoral. </w:t>
      </w:r>
    </w:p>
    <w:p w14:paraId="0350DA9B" w14:textId="77777777" w:rsidR="00235A79" w:rsidRPr="00D65C76" w:rsidRDefault="00235A79" w:rsidP="00235A79">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Por otra parte, es un medio extraordinario en las demás determinaciones de las Salas Regionales cuando hayan realizado un análisis de constitucionalidad.</w:t>
      </w:r>
    </w:p>
    <w:p w14:paraId="4FDF25EE" w14:textId="77777777" w:rsidR="00235A79" w:rsidRPr="00D65C76" w:rsidRDefault="00235A79" w:rsidP="00235A79">
      <w:pPr>
        <w:spacing w:before="240" w:after="0" w:line="360" w:lineRule="auto"/>
        <w:jc w:val="both"/>
        <w:rPr>
          <w:rFonts w:ascii="Arial" w:eastAsia="Arial" w:hAnsi="Arial" w:cs="Arial"/>
          <w:sz w:val="24"/>
          <w:szCs w:val="24"/>
          <w:lang w:eastAsia="es-MX"/>
        </w:rPr>
      </w:pPr>
      <w:bookmarkStart w:id="10" w:name="_3rdcrjn" w:colFirst="0" w:colLast="0"/>
      <w:bookmarkEnd w:id="10"/>
      <w:r w:rsidRPr="00D65C76">
        <w:rPr>
          <w:rFonts w:ascii="Arial" w:eastAsia="Arial" w:hAnsi="Arial" w:cs="Arial"/>
          <w:sz w:val="24"/>
          <w:szCs w:val="24"/>
          <w:lang w:eastAsia="es-MX"/>
        </w:rPr>
        <w:t>La procedencia extraordinaria del recurso de reconsideración está relacionada con el análisis de constitucionalidad y/o convencionalidad de normas, o bien con su inaplicación, así como con situaciones de una excepcionalidad superior.</w:t>
      </w:r>
    </w:p>
    <w:p w14:paraId="3EBEE917" w14:textId="77777777" w:rsidR="00235A79" w:rsidRPr="00D65C76" w:rsidRDefault="00235A79" w:rsidP="00235A79">
      <w:pPr>
        <w:spacing w:before="240" w:after="0" w:line="360" w:lineRule="auto"/>
        <w:jc w:val="both"/>
        <w:rPr>
          <w:rFonts w:ascii="Arial" w:eastAsia="Arial" w:hAnsi="Arial" w:cs="Arial"/>
          <w:color w:val="000000"/>
          <w:sz w:val="24"/>
          <w:szCs w:val="24"/>
          <w:lang w:eastAsia="es-MX"/>
        </w:rPr>
      </w:pPr>
      <w:r w:rsidRPr="00D65C76">
        <w:rPr>
          <w:rFonts w:ascii="Arial" w:eastAsia="Arial" w:hAnsi="Arial" w:cs="Arial"/>
          <w:color w:val="000000"/>
          <w:sz w:val="24"/>
          <w:szCs w:val="24"/>
          <w:lang w:eastAsia="es-MX"/>
        </w:rPr>
        <w:lastRenderedPageBreak/>
        <w:t>De acuerdo con las jurisprudencias emitidas por este órgano jurisdiccional, el recurso de reconsideración procede en contra de las sentencias de las salas regionales en los siguientes supuestos:</w:t>
      </w:r>
    </w:p>
    <w:p w14:paraId="3D00E8BA"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expresa o implícitamente se inapliquen leyes electorales,</w:t>
      </w:r>
      <w:r w:rsidRPr="00D65C76">
        <w:rPr>
          <w:rFonts w:ascii="Arial" w:eastAsia="Arial" w:hAnsi="Arial" w:cs="Arial"/>
          <w:color w:val="000000"/>
          <w:sz w:val="24"/>
          <w:szCs w:val="24"/>
          <w:vertAlign w:val="superscript"/>
          <w:lang w:eastAsia="es-MX"/>
        </w:rPr>
        <w:footnoteReference w:id="14"/>
      </w:r>
      <w:r w:rsidRPr="00D65C76">
        <w:rPr>
          <w:rFonts w:ascii="Arial" w:eastAsia="Arial" w:hAnsi="Arial" w:cs="Arial"/>
          <w:color w:val="000000"/>
          <w:sz w:val="24"/>
          <w:szCs w:val="24"/>
          <w:lang w:eastAsia="es-MX"/>
        </w:rPr>
        <w:t xml:space="preserve"> normas partidistas</w:t>
      </w:r>
      <w:r w:rsidRPr="00D65C76">
        <w:rPr>
          <w:rFonts w:ascii="Arial" w:eastAsia="Arial" w:hAnsi="Arial" w:cs="Arial"/>
          <w:color w:val="000000"/>
          <w:sz w:val="24"/>
          <w:szCs w:val="24"/>
          <w:vertAlign w:val="superscript"/>
          <w:lang w:eastAsia="es-MX"/>
        </w:rPr>
        <w:footnoteReference w:id="15"/>
      </w:r>
      <w:r w:rsidRPr="00D65C76">
        <w:rPr>
          <w:rFonts w:ascii="Arial" w:eastAsia="Arial" w:hAnsi="Arial" w:cs="Arial"/>
          <w:color w:val="000000"/>
          <w:sz w:val="24"/>
          <w:szCs w:val="24"/>
          <w:lang w:eastAsia="es-MX"/>
        </w:rPr>
        <w:t xml:space="preserve"> o consuetudinarias de carácter electoral establecidas por comunidades o pueblos indígenas,</w:t>
      </w:r>
      <w:r w:rsidRPr="00D65C76">
        <w:rPr>
          <w:rFonts w:ascii="Arial" w:eastAsia="Arial" w:hAnsi="Arial" w:cs="Arial"/>
          <w:color w:val="000000"/>
          <w:sz w:val="24"/>
          <w:szCs w:val="24"/>
          <w:vertAlign w:val="superscript"/>
          <w:lang w:eastAsia="es-MX"/>
        </w:rPr>
        <w:footnoteReference w:id="16"/>
      </w:r>
      <w:r w:rsidRPr="00D65C76">
        <w:rPr>
          <w:rFonts w:ascii="Arial" w:eastAsia="Arial" w:hAnsi="Arial" w:cs="Arial"/>
          <w:color w:val="000000"/>
          <w:sz w:val="24"/>
          <w:szCs w:val="24"/>
          <w:lang w:eastAsia="es-MX"/>
        </w:rPr>
        <w:t xml:space="preserve"> por estimarse contrarias a la Constitución general.</w:t>
      </w:r>
    </w:p>
    <w:p w14:paraId="66ED0B73"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se omite el estudio o se declaran inoperantes los conceptos de agravio relacionados con la inconstitucionalidad de normas electorales.</w:t>
      </w:r>
      <w:r w:rsidRPr="00D65C76">
        <w:rPr>
          <w:rFonts w:ascii="Arial" w:eastAsia="Arial" w:hAnsi="Arial" w:cs="Arial"/>
          <w:color w:val="000000"/>
          <w:sz w:val="24"/>
          <w:szCs w:val="24"/>
          <w:vertAlign w:val="superscript"/>
          <w:lang w:eastAsia="es-MX"/>
        </w:rPr>
        <w:footnoteReference w:id="17"/>
      </w:r>
      <w:r w:rsidRPr="00D65C76">
        <w:rPr>
          <w:rFonts w:ascii="Arial" w:eastAsia="Arial" w:hAnsi="Arial" w:cs="Arial"/>
          <w:color w:val="000000"/>
          <w:sz w:val="24"/>
          <w:szCs w:val="24"/>
          <w:lang w:eastAsia="es-MX"/>
        </w:rPr>
        <w:t xml:space="preserve"> </w:t>
      </w:r>
    </w:p>
    <w:p w14:paraId="2EDD197D"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las Salas Regionales resuelvan a partir de la interpretación directa de preceptos constitucionales.</w:t>
      </w:r>
      <w:r w:rsidRPr="00D65C76">
        <w:rPr>
          <w:rFonts w:ascii="Arial" w:eastAsia="Arial" w:hAnsi="Arial" w:cs="Arial"/>
          <w:color w:val="000000"/>
          <w:sz w:val="24"/>
          <w:szCs w:val="24"/>
          <w:vertAlign w:val="superscript"/>
          <w:lang w:eastAsia="es-MX"/>
        </w:rPr>
        <w:footnoteReference w:id="18"/>
      </w:r>
    </w:p>
    <w:p w14:paraId="73279AA9"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se aduzca un indebido análisis u omisión de estudio de constitucionalidad de normas legales con motivo de su acto de aplicación.</w:t>
      </w:r>
      <w:r w:rsidRPr="00D65C76">
        <w:rPr>
          <w:rFonts w:ascii="Arial" w:eastAsia="Arial" w:hAnsi="Arial" w:cs="Arial"/>
          <w:color w:val="000000"/>
          <w:sz w:val="24"/>
          <w:szCs w:val="24"/>
          <w:vertAlign w:val="superscript"/>
          <w:lang w:eastAsia="es-MX"/>
        </w:rPr>
        <w:footnoteReference w:id="19"/>
      </w:r>
      <w:r w:rsidRPr="00D65C76">
        <w:rPr>
          <w:rFonts w:ascii="Arial" w:eastAsia="Arial" w:hAnsi="Arial" w:cs="Arial"/>
          <w:color w:val="000000"/>
          <w:sz w:val="24"/>
          <w:szCs w:val="24"/>
          <w:lang w:eastAsia="es-MX"/>
        </w:rPr>
        <w:t xml:space="preserve"> </w:t>
      </w:r>
    </w:p>
    <w:p w14:paraId="516545D2"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lastRenderedPageBreak/>
        <w:t>Cuando se deseche o sobresea el medio de impugnación partir de la interpretación directa de un precepto de la Constitución general.</w:t>
      </w:r>
      <w:r w:rsidRPr="00D65C76">
        <w:rPr>
          <w:rFonts w:ascii="Arial" w:eastAsia="Arial" w:hAnsi="Arial" w:cs="Arial"/>
          <w:color w:val="000000"/>
          <w:sz w:val="24"/>
          <w:szCs w:val="24"/>
          <w:vertAlign w:val="superscript"/>
          <w:lang w:eastAsia="es-MX"/>
        </w:rPr>
        <w:footnoteReference w:id="20"/>
      </w:r>
    </w:p>
    <w:p w14:paraId="35347004"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en la sentencia impugnada se hubiere ejercido control de convencionalidad.</w:t>
      </w:r>
      <w:r w:rsidRPr="00D65C76">
        <w:rPr>
          <w:rFonts w:ascii="Arial" w:eastAsia="Arial" w:hAnsi="Arial" w:cs="Arial"/>
          <w:color w:val="000000"/>
          <w:sz w:val="24"/>
          <w:szCs w:val="24"/>
          <w:vertAlign w:val="superscript"/>
          <w:lang w:eastAsia="es-MX"/>
        </w:rPr>
        <w:footnoteReference w:id="21"/>
      </w:r>
    </w:p>
    <w:p w14:paraId="37BA246B"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se aduzca la existencia de irregularidades graves que puedan afectar los principios constitucionales y convencionales exigidos para la validez de las elecciones.</w:t>
      </w:r>
      <w:r w:rsidRPr="00D65C76">
        <w:rPr>
          <w:rFonts w:ascii="Arial" w:eastAsia="Arial" w:hAnsi="Arial" w:cs="Arial"/>
          <w:color w:val="000000"/>
          <w:sz w:val="24"/>
          <w:szCs w:val="24"/>
          <w:vertAlign w:val="superscript"/>
          <w:lang w:eastAsia="es-MX"/>
        </w:rPr>
        <w:footnoteReference w:id="22"/>
      </w:r>
    </w:p>
    <w:p w14:paraId="7B13E3FA"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se cuestione una resolución incidental en la que una sala regional se haya pronunciado sobre la constitucionalidad o convencionalidad de alguna norma.</w:t>
      </w:r>
      <w:r w:rsidRPr="00D65C76">
        <w:rPr>
          <w:rFonts w:ascii="Arial" w:eastAsia="Arial" w:hAnsi="Arial" w:cs="Arial"/>
          <w:color w:val="000000"/>
          <w:sz w:val="24"/>
          <w:szCs w:val="24"/>
          <w:vertAlign w:val="superscript"/>
          <w:lang w:eastAsia="es-MX"/>
        </w:rPr>
        <w:footnoteReference w:id="23"/>
      </w:r>
    </w:p>
    <w:p w14:paraId="451DD61F"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el desechamiento o sobreseimiento, derive de una vulneración manifiesta al debido proceso o en caso de notorio error judicial.</w:t>
      </w:r>
      <w:r w:rsidRPr="00D65C76">
        <w:rPr>
          <w:rFonts w:ascii="Arial" w:eastAsia="Arial" w:hAnsi="Arial" w:cs="Arial"/>
          <w:color w:val="000000"/>
          <w:sz w:val="24"/>
          <w:szCs w:val="24"/>
          <w:vertAlign w:val="superscript"/>
          <w:lang w:eastAsia="es-MX"/>
        </w:rPr>
        <w:footnoteReference w:id="24"/>
      </w:r>
    </w:p>
    <w:p w14:paraId="24AC371C" w14:textId="77777777" w:rsidR="00235A79" w:rsidRPr="00D65C76" w:rsidRDefault="00235A79" w:rsidP="002152A8">
      <w:pPr>
        <w:numPr>
          <w:ilvl w:val="0"/>
          <w:numId w:val="33"/>
        </w:numPr>
        <w:pBdr>
          <w:top w:val="nil"/>
          <w:left w:val="nil"/>
          <w:bottom w:val="nil"/>
          <w:right w:val="nil"/>
          <w:between w:val="nil"/>
        </w:pBdr>
        <w:spacing w:after="0" w:line="360" w:lineRule="auto"/>
        <w:ind w:left="567" w:hanging="284"/>
        <w:jc w:val="both"/>
        <w:rPr>
          <w:rFonts w:ascii="Times New Roman" w:eastAsia="Times New Roman" w:hAnsi="Times New Roman" w:cs="Times New Roman"/>
          <w:color w:val="000000"/>
          <w:sz w:val="24"/>
          <w:szCs w:val="24"/>
          <w:lang w:eastAsia="es-MX"/>
        </w:rPr>
      </w:pPr>
      <w:r w:rsidRPr="00D65C76">
        <w:rPr>
          <w:rFonts w:ascii="Arial" w:eastAsia="Arial" w:hAnsi="Arial" w:cs="Arial"/>
          <w:color w:val="000000"/>
          <w:sz w:val="24"/>
          <w:szCs w:val="24"/>
          <w:lang w:eastAsia="es-MX"/>
        </w:rPr>
        <w:t>Cuando se trate de asuntos inéditos o que implican un alto nivel de importancia y trascendencia que puedan generar un criterio de interpretación útil para el orden jurídico nacional.</w:t>
      </w:r>
      <w:r w:rsidRPr="00D65C76">
        <w:rPr>
          <w:rFonts w:ascii="Arial" w:eastAsia="Arial" w:hAnsi="Arial" w:cs="Arial"/>
          <w:color w:val="000000"/>
          <w:sz w:val="24"/>
          <w:szCs w:val="24"/>
          <w:vertAlign w:val="superscript"/>
          <w:lang w:eastAsia="es-MX"/>
        </w:rPr>
        <w:footnoteReference w:id="25"/>
      </w:r>
    </w:p>
    <w:p w14:paraId="7DCAEA76" w14:textId="77777777" w:rsidR="00235A79" w:rsidRPr="00D65C76" w:rsidRDefault="00235A79" w:rsidP="00235A79">
      <w:pPr>
        <w:spacing w:before="240" w:after="0" w:line="360" w:lineRule="auto"/>
        <w:jc w:val="both"/>
        <w:rPr>
          <w:rFonts w:ascii="Arial" w:eastAsia="Arial" w:hAnsi="Arial" w:cs="Arial"/>
          <w:sz w:val="24"/>
          <w:szCs w:val="24"/>
          <w:lang w:eastAsia="es-MX"/>
        </w:rPr>
      </w:pPr>
      <w:bookmarkStart w:id="11" w:name="_26in1rg" w:colFirst="0" w:colLast="0"/>
      <w:bookmarkEnd w:id="11"/>
      <w:r w:rsidRPr="00D65C76">
        <w:rPr>
          <w:rFonts w:ascii="Arial" w:eastAsia="Arial" w:hAnsi="Arial" w:cs="Arial"/>
          <w:sz w:val="24"/>
          <w:szCs w:val="24"/>
          <w:lang w:eastAsia="es-MX"/>
        </w:rPr>
        <w:lastRenderedPageBreak/>
        <w:t>Lo anterior significa que el recurso de reconsideración también es un medio de impugnación extraordinario cuya finalidad es garantizar la constitucionalidad de las sentencias emitidas por las Salas Regionales de este Tribunal Electoral.</w:t>
      </w:r>
    </w:p>
    <w:p w14:paraId="6C91A108" w14:textId="77777777" w:rsidR="00235A79" w:rsidRPr="00D65C76" w:rsidRDefault="00235A79" w:rsidP="00235A79">
      <w:pPr>
        <w:spacing w:before="240" w:after="0" w:line="360" w:lineRule="auto"/>
        <w:jc w:val="both"/>
        <w:rPr>
          <w:rFonts w:ascii="Arial" w:eastAsia="Arial" w:hAnsi="Arial" w:cs="Arial"/>
          <w:color w:val="000000"/>
          <w:sz w:val="24"/>
          <w:szCs w:val="24"/>
          <w:lang w:eastAsia="es-MX"/>
        </w:rPr>
      </w:pPr>
      <w:r w:rsidRPr="00D65C76">
        <w:rPr>
          <w:rFonts w:ascii="Arial" w:eastAsia="Arial" w:hAnsi="Arial" w:cs="Arial"/>
          <w:sz w:val="24"/>
          <w:szCs w:val="24"/>
          <w:lang w:eastAsia="es-MX"/>
        </w:rPr>
        <w:t>Por tanto, el recurso de reconsideración de ninguna manera constituye una nueva instancia procedente en todos los casos, pues de no adecuarse a alguno de los supuestos legales o jurisprudenciales, el recurso será improcedente y la consecuencia será su desechamiento.</w:t>
      </w:r>
    </w:p>
    <w:p w14:paraId="29DBACF7" w14:textId="77777777" w:rsidR="00235A79" w:rsidRPr="00D65C76" w:rsidRDefault="00235A79" w:rsidP="00235A79">
      <w:pPr>
        <w:spacing w:before="240" w:after="0" w:line="360" w:lineRule="auto"/>
        <w:jc w:val="both"/>
        <w:rPr>
          <w:rFonts w:ascii="Arial" w:eastAsia="Arial" w:hAnsi="Arial" w:cs="Arial"/>
          <w:color w:val="000000"/>
          <w:sz w:val="24"/>
          <w:szCs w:val="24"/>
          <w:lang w:eastAsia="es-MX"/>
        </w:rPr>
      </w:pPr>
      <w:r w:rsidRPr="00D65C76">
        <w:rPr>
          <w:rFonts w:ascii="Arial" w:eastAsia="Arial" w:hAnsi="Arial" w:cs="Arial"/>
          <w:color w:val="000000"/>
          <w:sz w:val="24"/>
          <w:szCs w:val="24"/>
          <w:lang w:eastAsia="es-MX"/>
        </w:rPr>
        <w:t xml:space="preserve">Dado que no estamos ante alguno de los supuestos de procedencia ordinarios, entonces, para determinar si el recurso procede, esta Sala Superior analizará si existe alguna cuestión de constitucionalidad planteada en el recurso de reconsideración, si la autoridad responsable hizo algún pronunciamiento en materia de constitucionalidad, si omitió realizar el estudio de constitucionalidad, o bien, si se actualiza alguno de los demás supuestos especiales. </w:t>
      </w:r>
    </w:p>
    <w:p w14:paraId="6B873959" w14:textId="77777777" w:rsidR="00C4104D" w:rsidRPr="00D65C76" w:rsidRDefault="00235A79" w:rsidP="00C4104D">
      <w:pPr>
        <w:spacing w:before="240" w:after="0" w:line="360" w:lineRule="auto"/>
        <w:jc w:val="both"/>
        <w:rPr>
          <w:rFonts w:ascii="Arial" w:eastAsia="Arial" w:hAnsi="Arial" w:cs="Arial"/>
          <w:sz w:val="24"/>
          <w:szCs w:val="24"/>
          <w:lang w:eastAsia="es-MX"/>
        </w:rPr>
      </w:pPr>
      <w:r w:rsidRPr="00D65C76">
        <w:rPr>
          <w:rFonts w:ascii="Arial" w:eastAsia="Arial" w:hAnsi="Arial" w:cs="Arial"/>
          <w:color w:val="000000"/>
          <w:sz w:val="24"/>
          <w:szCs w:val="24"/>
          <w:lang w:eastAsia="es-MX"/>
        </w:rPr>
        <w:t xml:space="preserve">Para tal propósito </w:t>
      </w:r>
      <w:r w:rsidRPr="00D65C76">
        <w:rPr>
          <w:rFonts w:ascii="Arial" w:eastAsia="Arial" w:hAnsi="Arial" w:cs="Arial"/>
          <w:sz w:val="24"/>
          <w:szCs w:val="24"/>
          <w:lang w:eastAsia="es-MX"/>
        </w:rPr>
        <w:t>es necesario considerar los argumentos expuestos por l</w:t>
      </w:r>
      <w:r w:rsidR="00034D9D" w:rsidRPr="00D65C76">
        <w:rPr>
          <w:rFonts w:ascii="Arial" w:eastAsia="Arial" w:hAnsi="Arial" w:cs="Arial"/>
          <w:sz w:val="24"/>
          <w:szCs w:val="24"/>
          <w:lang w:eastAsia="es-MX"/>
        </w:rPr>
        <w:t>a</w:t>
      </w:r>
      <w:r w:rsidRPr="00D65C76">
        <w:rPr>
          <w:rFonts w:ascii="Arial" w:eastAsia="Arial" w:hAnsi="Arial" w:cs="Arial"/>
          <w:sz w:val="24"/>
          <w:szCs w:val="24"/>
          <w:lang w:eastAsia="es-MX"/>
        </w:rPr>
        <w:t xml:space="preserve"> recurrente y las consideraciones de la sentencia recurrida.</w:t>
      </w:r>
    </w:p>
    <w:p w14:paraId="3DAFFF52" w14:textId="77777777" w:rsidR="00984B3B" w:rsidRPr="00D65C76" w:rsidRDefault="009A58FA" w:rsidP="006202C1">
      <w:pPr>
        <w:pStyle w:val="Ttulo2"/>
        <w:spacing w:before="240" w:after="240" w:line="360" w:lineRule="auto"/>
        <w:jc w:val="both"/>
        <w:rPr>
          <w:rFonts w:ascii="Arial" w:hAnsi="Arial" w:cs="Arial"/>
          <w:b/>
          <w:bCs/>
          <w:color w:val="auto"/>
          <w:sz w:val="24"/>
          <w:szCs w:val="24"/>
        </w:rPr>
      </w:pPr>
      <w:r w:rsidRPr="00D65C76">
        <w:rPr>
          <w:rFonts w:ascii="Arial" w:hAnsi="Arial" w:cs="Arial"/>
          <w:b/>
          <w:bCs/>
          <w:color w:val="auto"/>
          <w:sz w:val="24"/>
          <w:szCs w:val="24"/>
        </w:rPr>
        <w:t>3. Caso concreto</w:t>
      </w:r>
    </w:p>
    <w:p w14:paraId="23E2CD86" w14:textId="77777777" w:rsidR="00C4104D" w:rsidRPr="00D65C76" w:rsidRDefault="00C4104D" w:rsidP="00C4104D">
      <w:pPr>
        <w:pStyle w:val="Ttulo3"/>
      </w:pPr>
      <w:r w:rsidRPr="00D65C76">
        <w:t>3.1. Sentencia de la Sala Regional</w:t>
      </w:r>
    </w:p>
    <w:p w14:paraId="4EF35443" w14:textId="77777777" w:rsidR="00C4104D" w:rsidRPr="00D65C76" w:rsidRDefault="00C4104D" w:rsidP="00C4104D">
      <w:pPr>
        <w:spacing w:before="240" w:after="240" w:line="360" w:lineRule="auto"/>
        <w:jc w:val="both"/>
        <w:rPr>
          <w:rFonts w:ascii="Arial" w:hAnsi="Arial" w:cs="Arial"/>
          <w:sz w:val="24"/>
          <w:szCs w:val="24"/>
        </w:rPr>
      </w:pPr>
      <w:r w:rsidRPr="00D65C76">
        <w:rPr>
          <w:rFonts w:ascii="Arial" w:hAnsi="Arial" w:cs="Arial"/>
          <w:sz w:val="24"/>
          <w:szCs w:val="24"/>
        </w:rPr>
        <w:t xml:space="preserve">La Sala Regional </w:t>
      </w:r>
      <w:r w:rsidR="00B04656" w:rsidRPr="00D65C76">
        <w:rPr>
          <w:rFonts w:ascii="Arial" w:hAnsi="Arial" w:cs="Arial"/>
          <w:sz w:val="24"/>
          <w:szCs w:val="24"/>
        </w:rPr>
        <w:t>Monterrey</w:t>
      </w:r>
      <w:r w:rsidRPr="00D65C76">
        <w:rPr>
          <w:rFonts w:ascii="Arial" w:hAnsi="Arial" w:cs="Arial"/>
          <w:sz w:val="24"/>
          <w:szCs w:val="24"/>
        </w:rPr>
        <w:t xml:space="preserve"> resolvió, respecto de lo planteado por </w:t>
      </w:r>
      <w:r w:rsidR="00B04656" w:rsidRPr="00D65C76">
        <w:rPr>
          <w:rFonts w:ascii="Arial" w:hAnsi="Arial" w:cs="Arial"/>
          <w:sz w:val="24"/>
          <w:szCs w:val="24"/>
        </w:rPr>
        <w:t xml:space="preserve">el </w:t>
      </w:r>
      <w:r w:rsidRPr="00D65C76">
        <w:rPr>
          <w:rFonts w:ascii="Arial" w:hAnsi="Arial" w:cs="Arial"/>
          <w:sz w:val="24"/>
          <w:szCs w:val="24"/>
        </w:rPr>
        <w:t>hoy recurrente, lo siguiente:</w:t>
      </w:r>
    </w:p>
    <w:p w14:paraId="67F46C39" w14:textId="77777777" w:rsidR="00C4104D" w:rsidRPr="00D65C76" w:rsidRDefault="00C4104D" w:rsidP="00C4104D">
      <w:pPr>
        <w:pStyle w:val="Prrafodelista"/>
        <w:numPr>
          <w:ilvl w:val="0"/>
          <w:numId w:val="34"/>
        </w:numPr>
        <w:spacing w:before="240" w:after="240" w:line="360" w:lineRule="auto"/>
        <w:jc w:val="both"/>
        <w:rPr>
          <w:rFonts w:ascii="Arial" w:hAnsi="Arial" w:cs="Arial"/>
          <w:sz w:val="24"/>
          <w:szCs w:val="24"/>
        </w:rPr>
      </w:pPr>
      <w:r w:rsidRPr="00D65C76">
        <w:rPr>
          <w:rFonts w:ascii="Arial" w:hAnsi="Arial" w:cs="Arial"/>
          <w:sz w:val="24"/>
          <w:szCs w:val="24"/>
        </w:rPr>
        <w:t xml:space="preserve">Determinó </w:t>
      </w:r>
      <w:r w:rsidR="00B04656" w:rsidRPr="00D65C76">
        <w:rPr>
          <w:rFonts w:ascii="Arial" w:hAnsi="Arial" w:cs="Arial"/>
          <w:sz w:val="24"/>
          <w:szCs w:val="24"/>
        </w:rPr>
        <w:t>confirmar</w:t>
      </w:r>
      <w:r w:rsidRPr="00D65C76">
        <w:rPr>
          <w:rFonts w:ascii="Arial" w:hAnsi="Arial" w:cs="Arial"/>
          <w:sz w:val="24"/>
          <w:szCs w:val="24"/>
        </w:rPr>
        <w:t xml:space="preserve"> la sentencia del Tribunal local</w:t>
      </w:r>
      <w:r w:rsidR="00054CFF" w:rsidRPr="00D65C76">
        <w:rPr>
          <w:rFonts w:ascii="Arial" w:hAnsi="Arial" w:cs="Arial"/>
          <w:sz w:val="24"/>
          <w:szCs w:val="24"/>
        </w:rPr>
        <w:t xml:space="preserve"> pues considera como infundados e insuficientes los agravios planteados por el entonces actor.</w:t>
      </w:r>
    </w:p>
    <w:p w14:paraId="26E8B767" w14:textId="77777777" w:rsidR="00054CFF" w:rsidRPr="00D65C76" w:rsidRDefault="00054CFF" w:rsidP="00CF2996">
      <w:pPr>
        <w:pStyle w:val="Prrafodelista"/>
        <w:numPr>
          <w:ilvl w:val="0"/>
          <w:numId w:val="34"/>
        </w:numPr>
        <w:spacing w:before="240" w:after="240" w:line="360" w:lineRule="auto"/>
        <w:jc w:val="both"/>
        <w:rPr>
          <w:rFonts w:ascii="Arial" w:hAnsi="Arial" w:cs="Arial"/>
          <w:sz w:val="24"/>
          <w:szCs w:val="24"/>
        </w:rPr>
      </w:pPr>
      <w:r w:rsidRPr="00D65C76">
        <w:rPr>
          <w:rFonts w:ascii="Arial" w:hAnsi="Arial" w:cs="Arial"/>
          <w:sz w:val="24"/>
          <w:szCs w:val="24"/>
        </w:rPr>
        <w:t xml:space="preserve">Los razonamientos del Tribunal local son consistentes en cuanto a que aun con las sustituciones aprobadas por el Instituto local ello no violenta lo establecido por el artículo 10 de los Lineamientos </w:t>
      </w:r>
      <w:r w:rsidR="00651406" w:rsidRPr="00D65C76">
        <w:rPr>
          <w:rFonts w:ascii="Arial" w:hAnsi="Arial" w:cs="Arial"/>
          <w:sz w:val="24"/>
          <w:szCs w:val="24"/>
        </w:rPr>
        <w:t>de paridad</w:t>
      </w:r>
      <w:r w:rsidRPr="00D65C76">
        <w:rPr>
          <w:rFonts w:ascii="Arial" w:hAnsi="Arial" w:cs="Arial"/>
          <w:sz w:val="24"/>
          <w:szCs w:val="24"/>
        </w:rPr>
        <w:t>.</w:t>
      </w:r>
    </w:p>
    <w:p w14:paraId="48D0A516" w14:textId="04B184A5" w:rsidR="00054CFF" w:rsidRPr="00D65C76" w:rsidRDefault="00054CFF" w:rsidP="002530C0">
      <w:pPr>
        <w:pStyle w:val="Prrafodelista"/>
        <w:numPr>
          <w:ilvl w:val="0"/>
          <w:numId w:val="34"/>
        </w:numPr>
        <w:spacing w:before="240" w:after="240" w:line="360" w:lineRule="auto"/>
        <w:jc w:val="both"/>
        <w:rPr>
          <w:rFonts w:ascii="Arial" w:hAnsi="Arial" w:cs="Arial"/>
          <w:sz w:val="24"/>
          <w:szCs w:val="24"/>
        </w:rPr>
      </w:pPr>
      <w:r w:rsidRPr="00D65C76">
        <w:rPr>
          <w:rFonts w:ascii="Arial" w:hAnsi="Arial" w:cs="Arial"/>
          <w:sz w:val="24"/>
          <w:szCs w:val="24"/>
        </w:rPr>
        <w:t xml:space="preserve">El agravio planteado por el entonces actor respecto que no se cumplía con lo establecido en los </w:t>
      </w:r>
      <w:r w:rsidR="00651406" w:rsidRPr="00D65C76">
        <w:rPr>
          <w:rFonts w:ascii="Arial" w:hAnsi="Arial" w:cs="Arial"/>
          <w:sz w:val="24"/>
          <w:szCs w:val="24"/>
        </w:rPr>
        <w:t xml:space="preserve">Lineamientos </w:t>
      </w:r>
      <w:r w:rsidRPr="00D65C76">
        <w:rPr>
          <w:rFonts w:ascii="Arial" w:hAnsi="Arial" w:cs="Arial"/>
          <w:sz w:val="24"/>
          <w:szCs w:val="24"/>
        </w:rPr>
        <w:t xml:space="preserve">de paridad y los </w:t>
      </w:r>
      <w:r w:rsidRPr="00D65C76">
        <w:rPr>
          <w:rFonts w:ascii="Arial" w:hAnsi="Arial" w:cs="Arial"/>
          <w:sz w:val="24"/>
          <w:szCs w:val="24"/>
        </w:rPr>
        <w:lastRenderedPageBreak/>
        <w:t xml:space="preserve">lineamientos de registro de candidaturas, al cambiar el género de la candidatura en el </w:t>
      </w:r>
      <w:r w:rsidR="00B00BD5" w:rsidRPr="00D65C76">
        <w:rPr>
          <w:rFonts w:ascii="Arial" w:hAnsi="Arial" w:cs="Arial"/>
          <w:sz w:val="24"/>
          <w:szCs w:val="24"/>
        </w:rPr>
        <w:t>a</w:t>
      </w:r>
      <w:r w:rsidRPr="00D65C76">
        <w:rPr>
          <w:rFonts w:ascii="Arial" w:hAnsi="Arial" w:cs="Arial"/>
          <w:sz w:val="24"/>
          <w:szCs w:val="24"/>
        </w:rPr>
        <w:t>yuntamiento de Comonfort, resulta insuficiente al no controvertir de manera frontal las consideraciones de la sentencia.</w:t>
      </w:r>
    </w:p>
    <w:p w14:paraId="075A1F74" w14:textId="77777777" w:rsidR="00054CFF" w:rsidRPr="00D65C76" w:rsidRDefault="00054CFF" w:rsidP="0052208E">
      <w:pPr>
        <w:pStyle w:val="Prrafodelista"/>
        <w:numPr>
          <w:ilvl w:val="0"/>
          <w:numId w:val="34"/>
        </w:numPr>
        <w:spacing w:before="240" w:after="240" w:line="360" w:lineRule="auto"/>
        <w:jc w:val="both"/>
        <w:rPr>
          <w:rFonts w:ascii="Arial" w:hAnsi="Arial" w:cs="Arial"/>
          <w:sz w:val="24"/>
          <w:szCs w:val="24"/>
        </w:rPr>
      </w:pPr>
      <w:r w:rsidRPr="00D65C76">
        <w:rPr>
          <w:rFonts w:ascii="Arial" w:hAnsi="Arial" w:cs="Arial"/>
          <w:sz w:val="24"/>
          <w:szCs w:val="24"/>
        </w:rPr>
        <w:t>Aunado a ello, considera que si bien es cierto se deben de privilegiar las acciones que potencialicen el derecho de acceso a las mujeres a los cargos de elección popular, también lo es que el acuerdo en los términos en los que se encuentra no violenta lo dispuesto ni por la Ley Electoral local ni por los lineamientos de paridad, ya que cumple en sus términos con lo ahí establecido al estar postulados en el bloque impugnado ocho mujeres y siete hombres.</w:t>
      </w:r>
    </w:p>
    <w:p w14:paraId="27754C2E" w14:textId="77777777" w:rsidR="00054CFF" w:rsidRPr="00D65C76" w:rsidRDefault="00054CFF" w:rsidP="00054CFF">
      <w:pPr>
        <w:pStyle w:val="Prrafodelista"/>
        <w:numPr>
          <w:ilvl w:val="0"/>
          <w:numId w:val="34"/>
        </w:numPr>
        <w:spacing w:before="240" w:after="240" w:line="360" w:lineRule="auto"/>
        <w:jc w:val="both"/>
        <w:rPr>
          <w:rFonts w:ascii="Arial" w:hAnsi="Arial" w:cs="Arial"/>
          <w:sz w:val="24"/>
          <w:szCs w:val="24"/>
        </w:rPr>
      </w:pPr>
      <w:r w:rsidRPr="00D65C76">
        <w:rPr>
          <w:rFonts w:ascii="Arial" w:hAnsi="Arial" w:cs="Arial"/>
          <w:sz w:val="24"/>
          <w:szCs w:val="24"/>
        </w:rPr>
        <w:t>Por lo anterior, no se incumple con la norma ni se violentan los principios de certeza y legalidad que refiere el entonces actor.</w:t>
      </w:r>
    </w:p>
    <w:p w14:paraId="59F84C8A" w14:textId="77777777" w:rsidR="004E6137" w:rsidRPr="00D65C76" w:rsidRDefault="004E6137" w:rsidP="00C4104D">
      <w:pPr>
        <w:pStyle w:val="Ttulo3"/>
      </w:pPr>
      <w:r w:rsidRPr="00D65C76">
        <w:t>3.</w:t>
      </w:r>
      <w:r w:rsidR="00C4104D" w:rsidRPr="00D65C76">
        <w:t>2</w:t>
      </w:r>
      <w:r w:rsidR="00984B3B" w:rsidRPr="00D65C76">
        <w:t>.</w:t>
      </w:r>
      <w:r w:rsidRPr="00D65C76">
        <w:t xml:space="preserve"> Síntesis </w:t>
      </w:r>
      <w:r w:rsidRPr="00D65C76">
        <w:rPr>
          <w:bCs/>
        </w:rPr>
        <w:t>de</w:t>
      </w:r>
      <w:r w:rsidRPr="00D65C76">
        <w:t xml:space="preserve"> los agravios</w:t>
      </w:r>
    </w:p>
    <w:p w14:paraId="259D1D15" w14:textId="6F0D9358" w:rsidR="0040196E" w:rsidRPr="00D65C76" w:rsidRDefault="00B1151D" w:rsidP="00B1151D">
      <w:pPr>
        <w:spacing w:before="240" w:after="240" w:line="360" w:lineRule="auto"/>
        <w:jc w:val="both"/>
        <w:rPr>
          <w:rFonts w:ascii="Arial" w:hAnsi="Arial" w:cs="Arial"/>
          <w:sz w:val="24"/>
          <w:szCs w:val="24"/>
          <w:lang w:val="es-ES" w:eastAsia="es-ES"/>
        </w:rPr>
      </w:pPr>
      <w:r w:rsidRPr="00D65C76">
        <w:rPr>
          <w:rFonts w:ascii="Arial" w:hAnsi="Arial" w:cs="Arial"/>
          <w:sz w:val="24"/>
          <w:szCs w:val="24"/>
          <w:lang w:val="es-ES" w:eastAsia="es-ES"/>
        </w:rPr>
        <w:t xml:space="preserve">Ahora bien, </w:t>
      </w:r>
      <w:r w:rsidR="00AD1AA4" w:rsidRPr="00D65C76">
        <w:rPr>
          <w:rFonts w:ascii="Arial" w:hAnsi="Arial" w:cs="Arial"/>
          <w:sz w:val="24"/>
          <w:szCs w:val="24"/>
          <w:lang w:val="es-ES" w:eastAsia="es-ES"/>
        </w:rPr>
        <w:t>el recurrente</w:t>
      </w:r>
      <w:r w:rsidRPr="00D65C76">
        <w:rPr>
          <w:rFonts w:ascii="Arial" w:hAnsi="Arial" w:cs="Arial"/>
          <w:sz w:val="24"/>
          <w:szCs w:val="24"/>
          <w:lang w:val="es-ES" w:eastAsia="es-ES"/>
        </w:rPr>
        <w:t xml:space="preserve"> </w:t>
      </w:r>
      <w:r w:rsidR="00C002F4" w:rsidRPr="00D65C76">
        <w:rPr>
          <w:rFonts w:ascii="Arial" w:hAnsi="Arial" w:cs="Arial"/>
          <w:sz w:val="24"/>
          <w:szCs w:val="24"/>
          <w:lang w:val="es-ES" w:eastAsia="es-ES"/>
        </w:rPr>
        <w:t>en su escrito de demanda manifiesta los siguientes agravios</w:t>
      </w:r>
      <w:r w:rsidRPr="00D65C76">
        <w:rPr>
          <w:rFonts w:ascii="Arial" w:hAnsi="Arial" w:cs="Arial"/>
          <w:sz w:val="24"/>
          <w:szCs w:val="24"/>
          <w:lang w:val="es-ES" w:eastAsia="es-ES"/>
        </w:rPr>
        <w:t>:</w:t>
      </w:r>
    </w:p>
    <w:p w14:paraId="17716508" w14:textId="77777777" w:rsidR="002152A8" w:rsidRPr="00D65C76" w:rsidRDefault="00054CFF" w:rsidP="007500FA">
      <w:pPr>
        <w:spacing w:before="240" w:after="240" w:line="360" w:lineRule="auto"/>
        <w:jc w:val="both"/>
        <w:rPr>
          <w:rFonts w:ascii="Arial" w:hAnsi="Arial" w:cs="Arial"/>
          <w:sz w:val="24"/>
          <w:szCs w:val="24"/>
          <w:lang w:val="es-ES" w:eastAsia="es-ES"/>
        </w:rPr>
      </w:pPr>
      <w:r w:rsidRPr="00D65C76">
        <w:rPr>
          <w:rFonts w:ascii="Arial" w:hAnsi="Arial" w:cs="Arial"/>
          <w:b/>
          <w:bCs/>
          <w:sz w:val="24"/>
          <w:szCs w:val="24"/>
          <w:lang w:val="es-ES" w:eastAsia="es-ES"/>
        </w:rPr>
        <w:t>Omisión</w:t>
      </w:r>
      <w:r w:rsidR="007500FA" w:rsidRPr="00D65C76">
        <w:rPr>
          <w:rFonts w:ascii="Arial" w:hAnsi="Arial" w:cs="Arial"/>
          <w:b/>
          <w:bCs/>
          <w:sz w:val="24"/>
          <w:szCs w:val="24"/>
          <w:lang w:val="es-ES" w:eastAsia="es-ES"/>
        </w:rPr>
        <w:t xml:space="preserve"> en el incumplimiento del artículo 10 de los Lineamientos de Paridad</w:t>
      </w:r>
    </w:p>
    <w:p w14:paraId="743D926F" w14:textId="440D41AF" w:rsidR="002152A8" w:rsidRPr="00D65C76" w:rsidRDefault="007500FA" w:rsidP="00571727">
      <w:pPr>
        <w:pStyle w:val="Prrafodelista"/>
        <w:numPr>
          <w:ilvl w:val="0"/>
          <w:numId w:val="35"/>
        </w:numPr>
        <w:spacing w:before="240" w:after="240" w:line="360" w:lineRule="auto"/>
        <w:jc w:val="both"/>
        <w:rPr>
          <w:rFonts w:ascii="Arial" w:hAnsi="Arial" w:cs="Arial"/>
          <w:sz w:val="24"/>
          <w:szCs w:val="24"/>
          <w:lang w:val="es-ES" w:eastAsia="es-ES"/>
        </w:rPr>
      </w:pPr>
      <w:r w:rsidRPr="00D65C76">
        <w:rPr>
          <w:rFonts w:ascii="Arial" w:hAnsi="Arial" w:cs="Arial"/>
          <w:sz w:val="24"/>
          <w:szCs w:val="24"/>
          <w:lang w:val="es-ES" w:eastAsia="es-ES"/>
        </w:rPr>
        <w:t xml:space="preserve">El recurrente argumenta que no controvirtió que </w:t>
      </w:r>
      <w:r w:rsidR="00162801" w:rsidRPr="00D65C76">
        <w:rPr>
          <w:rFonts w:ascii="Arial" w:hAnsi="Arial" w:cs="Arial"/>
          <w:sz w:val="24"/>
          <w:szCs w:val="24"/>
          <w:lang w:val="es-ES" w:eastAsia="es-ES"/>
        </w:rPr>
        <w:t>hubiese</w:t>
      </w:r>
      <w:r w:rsidRPr="00D65C76">
        <w:rPr>
          <w:rFonts w:ascii="Arial" w:hAnsi="Arial" w:cs="Arial"/>
          <w:sz w:val="24"/>
          <w:szCs w:val="24"/>
          <w:lang w:val="es-ES" w:eastAsia="es-ES"/>
        </w:rPr>
        <w:t xml:space="preserve"> más mujeres que hombres en el bloque de participación, sino la denuncia de fondo, la cual versa sobre la sustitución de mujeres por hombres en la planilla registrada al ayuntamiento del municipio de Comonfort, Guanajuato.</w:t>
      </w:r>
    </w:p>
    <w:p w14:paraId="7927A4CE" w14:textId="329CC54E" w:rsidR="002152A8" w:rsidRPr="00D65C76" w:rsidRDefault="007500FA" w:rsidP="00FA2E0D">
      <w:pPr>
        <w:pStyle w:val="Prrafodelista"/>
        <w:numPr>
          <w:ilvl w:val="0"/>
          <w:numId w:val="35"/>
        </w:numPr>
        <w:spacing w:before="240" w:after="240" w:line="360" w:lineRule="auto"/>
        <w:jc w:val="both"/>
        <w:rPr>
          <w:rFonts w:ascii="Arial" w:hAnsi="Arial" w:cs="Arial"/>
          <w:sz w:val="24"/>
          <w:szCs w:val="24"/>
          <w:lang w:val="es-ES" w:eastAsia="es-ES"/>
        </w:rPr>
      </w:pPr>
      <w:r w:rsidRPr="00D65C76">
        <w:rPr>
          <w:rFonts w:ascii="Arial" w:hAnsi="Arial" w:cs="Arial"/>
          <w:sz w:val="24"/>
          <w:szCs w:val="24"/>
          <w:lang w:val="es-ES" w:eastAsia="es-ES"/>
        </w:rPr>
        <w:t xml:space="preserve">De lo anterior manifiesta que la litis planteada </w:t>
      </w:r>
      <w:r w:rsidR="00162801" w:rsidRPr="00D65C76">
        <w:rPr>
          <w:rFonts w:ascii="Arial" w:hAnsi="Arial" w:cs="Arial"/>
          <w:sz w:val="24"/>
          <w:szCs w:val="24"/>
          <w:lang w:val="es-ES" w:eastAsia="es-ES"/>
        </w:rPr>
        <w:t xml:space="preserve">se refiere a </w:t>
      </w:r>
      <w:r w:rsidR="00D81DF5" w:rsidRPr="00D65C76">
        <w:rPr>
          <w:rFonts w:ascii="Arial" w:hAnsi="Arial" w:cs="Arial"/>
          <w:sz w:val="24"/>
          <w:szCs w:val="24"/>
          <w:lang w:val="es-ES" w:eastAsia="es-ES"/>
        </w:rPr>
        <w:t>que,</w:t>
      </w:r>
      <w:r w:rsidRPr="00D65C76">
        <w:rPr>
          <w:rFonts w:ascii="Arial" w:hAnsi="Arial" w:cs="Arial"/>
          <w:sz w:val="24"/>
          <w:szCs w:val="24"/>
          <w:lang w:val="es-ES" w:eastAsia="es-ES"/>
        </w:rPr>
        <w:t xml:space="preserve"> en las candidaturas sustituidas, la titularidad correspondía a mujeres, y que tales hechos afectan a la sociedad en general y</w:t>
      </w:r>
      <w:r w:rsidR="00162801" w:rsidRPr="00D65C76">
        <w:rPr>
          <w:rFonts w:ascii="Arial" w:hAnsi="Arial" w:cs="Arial"/>
          <w:sz w:val="24"/>
          <w:szCs w:val="24"/>
          <w:lang w:val="es-ES" w:eastAsia="es-ES"/>
        </w:rPr>
        <w:t>,</w:t>
      </w:r>
      <w:r w:rsidRPr="00D65C76">
        <w:rPr>
          <w:rFonts w:ascii="Arial" w:hAnsi="Arial" w:cs="Arial"/>
          <w:sz w:val="24"/>
          <w:szCs w:val="24"/>
          <w:lang w:val="es-ES" w:eastAsia="es-ES"/>
        </w:rPr>
        <w:t xml:space="preserve"> por tanto</w:t>
      </w:r>
      <w:r w:rsidR="00162801" w:rsidRPr="00D65C76">
        <w:rPr>
          <w:rFonts w:ascii="Arial" w:hAnsi="Arial" w:cs="Arial"/>
          <w:sz w:val="24"/>
          <w:szCs w:val="24"/>
          <w:lang w:val="es-ES" w:eastAsia="es-ES"/>
        </w:rPr>
        <w:t>,</w:t>
      </w:r>
      <w:r w:rsidRPr="00D65C76">
        <w:rPr>
          <w:rFonts w:ascii="Arial" w:hAnsi="Arial" w:cs="Arial"/>
          <w:sz w:val="24"/>
          <w:szCs w:val="24"/>
          <w:lang w:val="es-ES" w:eastAsia="es-ES"/>
        </w:rPr>
        <w:t xml:space="preserve"> corresponde a todas las personas el poder denunciar tal situación</w:t>
      </w:r>
      <w:r w:rsidR="004128DF" w:rsidRPr="00D65C76">
        <w:rPr>
          <w:rFonts w:ascii="Arial" w:hAnsi="Arial" w:cs="Arial"/>
          <w:sz w:val="24"/>
          <w:szCs w:val="24"/>
          <w:lang w:val="es-ES" w:eastAsia="es-ES"/>
        </w:rPr>
        <w:t>, la cual fue desestimada por la Sala Responsable al momento de realizar su análisis.</w:t>
      </w:r>
    </w:p>
    <w:p w14:paraId="00EA760A" w14:textId="77777777" w:rsidR="002152A8" w:rsidRPr="00D65C76" w:rsidRDefault="004128DF" w:rsidP="00D825A9">
      <w:pPr>
        <w:pStyle w:val="Prrafodelista"/>
        <w:numPr>
          <w:ilvl w:val="0"/>
          <w:numId w:val="35"/>
        </w:numPr>
        <w:spacing w:before="240" w:after="240" w:line="360" w:lineRule="auto"/>
        <w:jc w:val="both"/>
        <w:rPr>
          <w:rFonts w:ascii="Arial" w:hAnsi="Arial" w:cs="Arial"/>
          <w:sz w:val="24"/>
          <w:szCs w:val="24"/>
          <w:lang w:val="es-ES" w:eastAsia="es-ES"/>
        </w:rPr>
      </w:pPr>
      <w:r w:rsidRPr="00D65C76">
        <w:rPr>
          <w:rFonts w:ascii="Arial" w:hAnsi="Arial" w:cs="Arial"/>
          <w:sz w:val="24"/>
          <w:szCs w:val="24"/>
          <w:lang w:val="es-ES" w:eastAsia="es-ES"/>
        </w:rPr>
        <w:t xml:space="preserve">Asimismo, aduce que contrario a lo expuesto por la Sala Regional Monterrey cuenta con interés legítimo para actuar a nombre de las </w:t>
      </w:r>
      <w:r w:rsidRPr="00D65C76">
        <w:rPr>
          <w:rFonts w:ascii="Arial" w:hAnsi="Arial" w:cs="Arial"/>
          <w:sz w:val="24"/>
          <w:szCs w:val="24"/>
          <w:lang w:val="es-ES" w:eastAsia="es-ES"/>
        </w:rPr>
        <w:lastRenderedPageBreak/>
        <w:t>mujeres con el fin de potencializar su participación en la vida política del país.</w:t>
      </w:r>
    </w:p>
    <w:p w14:paraId="3DBF1335" w14:textId="77777777" w:rsidR="0097270E" w:rsidRPr="00D65C76" w:rsidRDefault="004E6137" w:rsidP="00271E5F">
      <w:pPr>
        <w:pStyle w:val="Ttulo2"/>
        <w:spacing w:before="240" w:after="240" w:line="360" w:lineRule="auto"/>
        <w:jc w:val="both"/>
        <w:rPr>
          <w:rFonts w:ascii="Arial" w:hAnsi="Arial" w:cs="Arial"/>
          <w:b/>
          <w:color w:val="auto"/>
          <w:sz w:val="24"/>
          <w:szCs w:val="24"/>
          <w:lang w:val="es-ES"/>
        </w:rPr>
      </w:pPr>
      <w:r w:rsidRPr="00D65C76">
        <w:rPr>
          <w:rFonts w:ascii="Arial" w:hAnsi="Arial" w:cs="Arial"/>
          <w:b/>
          <w:color w:val="auto"/>
          <w:sz w:val="24"/>
          <w:szCs w:val="24"/>
          <w:lang w:val="es-ES"/>
        </w:rPr>
        <w:t>4</w:t>
      </w:r>
      <w:r w:rsidR="0097270E" w:rsidRPr="00D65C76">
        <w:rPr>
          <w:rFonts w:ascii="Arial" w:hAnsi="Arial" w:cs="Arial"/>
          <w:b/>
          <w:color w:val="auto"/>
          <w:sz w:val="24"/>
          <w:szCs w:val="24"/>
          <w:lang w:val="es-ES"/>
        </w:rPr>
        <w:t xml:space="preserve">. </w:t>
      </w:r>
      <w:r w:rsidR="00AF045F" w:rsidRPr="00D65C76">
        <w:rPr>
          <w:rFonts w:ascii="Arial" w:hAnsi="Arial" w:cs="Arial"/>
          <w:b/>
          <w:color w:val="auto"/>
          <w:sz w:val="24"/>
          <w:szCs w:val="24"/>
          <w:lang w:val="es-ES"/>
        </w:rPr>
        <w:t>Decisión de la Sala</w:t>
      </w:r>
    </w:p>
    <w:p w14:paraId="6650AD39" w14:textId="77777777" w:rsidR="007500FA" w:rsidRPr="00D65C76" w:rsidRDefault="007500FA" w:rsidP="007500FA">
      <w:pPr>
        <w:spacing w:before="240" w:after="0" w:line="360" w:lineRule="auto"/>
        <w:jc w:val="both"/>
        <w:rPr>
          <w:rFonts w:ascii="Arial" w:eastAsia="Arial" w:hAnsi="Arial" w:cs="Arial"/>
          <w:sz w:val="24"/>
          <w:szCs w:val="24"/>
          <w:lang w:eastAsia="es-MX"/>
        </w:rPr>
      </w:pPr>
      <w:bookmarkStart w:id="12" w:name="_ftnref19"/>
      <w:bookmarkStart w:id="13" w:name="_Toc70174357"/>
      <w:bookmarkEnd w:id="12"/>
      <w:r w:rsidRPr="00D65C76">
        <w:rPr>
          <w:rFonts w:ascii="Arial" w:eastAsia="Arial" w:hAnsi="Arial" w:cs="Arial"/>
          <w:sz w:val="24"/>
          <w:szCs w:val="24"/>
          <w:lang w:eastAsia="es-MX"/>
        </w:rPr>
        <w:t>La Sala Superior considera que el presente recurso de reconsideración es improcedente por no actualizarse los supuestos de procedencia que justifiquen la revisión extraordinaria de la resolución dictada por la Sala Regional Monterrey.</w:t>
      </w:r>
    </w:p>
    <w:p w14:paraId="40124843" w14:textId="77777777"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Del análisis a la sentencia impugnada se advierte que la sala responsable no dejó de aplicar una norma electoral, ni tampoco desarrolló consideraciones de inconstitucionalidad de alguna disposición aplicable al caso o algún pronunciamiento sobre convencionalidad que justifiquen la procedencia.</w:t>
      </w:r>
    </w:p>
    <w:p w14:paraId="186B030A" w14:textId="4DBA8BEC"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 xml:space="preserve">Lo que la Sala Regional Monterrey resolvió fue si la sentencia dictada por el Tribunal local se encontraba o no apegada a derecho al haber confirmado el acuerdo </w:t>
      </w:r>
      <w:r w:rsidRPr="00D65C76">
        <w:rPr>
          <w:rFonts w:ascii="Arial" w:hAnsi="Arial" w:cs="Arial"/>
          <w:bCs/>
          <w:sz w:val="24"/>
          <w:szCs w:val="24"/>
        </w:rPr>
        <w:t>CGIEEG/163/2021, mediante el cual se aprobaron las sustituciones de las candidaturas a la presidencia municipal y a la</w:t>
      </w:r>
      <w:r w:rsidR="00AD1AA4" w:rsidRPr="00D65C76">
        <w:rPr>
          <w:rFonts w:ascii="Arial" w:hAnsi="Arial" w:cs="Arial"/>
          <w:bCs/>
          <w:sz w:val="24"/>
          <w:szCs w:val="24"/>
        </w:rPr>
        <w:t xml:space="preserve"> primera</w:t>
      </w:r>
      <w:r w:rsidRPr="00D65C76">
        <w:rPr>
          <w:rFonts w:ascii="Arial" w:hAnsi="Arial" w:cs="Arial"/>
          <w:bCs/>
          <w:sz w:val="24"/>
          <w:szCs w:val="24"/>
        </w:rPr>
        <w:t xml:space="preserve"> regiduría propietaria y suplente del </w:t>
      </w:r>
      <w:r w:rsidR="000104A9" w:rsidRPr="00D65C76">
        <w:rPr>
          <w:rFonts w:ascii="Arial" w:hAnsi="Arial" w:cs="Arial"/>
          <w:bCs/>
          <w:sz w:val="24"/>
          <w:szCs w:val="24"/>
        </w:rPr>
        <w:t>a</w:t>
      </w:r>
      <w:r w:rsidRPr="00D65C76">
        <w:rPr>
          <w:rFonts w:ascii="Arial" w:hAnsi="Arial" w:cs="Arial"/>
          <w:bCs/>
          <w:sz w:val="24"/>
          <w:szCs w:val="24"/>
        </w:rPr>
        <w:t>yuntamiento de Comonfort registradas por Morena.</w:t>
      </w:r>
    </w:p>
    <w:p w14:paraId="5C606229" w14:textId="77777777"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 xml:space="preserve">Lo anterior, en términos de la normatividad de la entidad, así como de los lineamientos aprobados por el Instituto local para el registro de candidaturas y </w:t>
      </w:r>
      <w:r w:rsidR="00196733" w:rsidRPr="00D65C76">
        <w:rPr>
          <w:rFonts w:ascii="Arial" w:eastAsia="Arial" w:hAnsi="Arial" w:cs="Arial"/>
          <w:sz w:val="24"/>
          <w:szCs w:val="24"/>
          <w:lang w:eastAsia="es-MX"/>
        </w:rPr>
        <w:t>para</w:t>
      </w:r>
      <w:r w:rsidRPr="00D65C76">
        <w:rPr>
          <w:rFonts w:ascii="Arial" w:eastAsia="Arial" w:hAnsi="Arial" w:cs="Arial"/>
          <w:sz w:val="24"/>
          <w:szCs w:val="24"/>
          <w:lang w:eastAsia="es-MX"/>
        </w:rPr>
        <w:t xml:space="preserve"> el cumplimiento de la paridad de género</w:t>
      </w:r>
      <w:r w:rsidR="00CE44DC" w:rsidRPr="00D65C76">
        <w:rPr>
          <w:rFonts w:ascii="Arial" w:eastAsia="Arial" w:hAnsi="Arial" w:cs="Arial"/>
          <w:sz w:val="24"/>
          <w:szCs w:val="24"/>
          <w:lang w:eastAsia="es-MX"/>
        </w:rPr>
        <w:t>, sin que llevara a cabo una interpretación directa del principio de paridad.</w:t>
      </w:r>
    </w:p>
    <w:p w14:paraId="78A29C54" w14:textId="111C7836"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 xml:space="preserve">Considerando la sala responsable que, para el proceso electoral que se desarrolla en el </w:t>
      </w:r>
      <w:r w:rsidR="00DB1516" w:rsidRPr="00D65C76">
        <w:rPr>
          <w:rFonts w:ascii="Arial" w:eastAsia="Arial" w:hAnsi="Arial" w:cs="Arial"/>
          <w:sz w:val="24"/>
          <w:szCs w:val="24"/>
          <w:lang w:eastAsia="es-MX"/>
        </w:rPr>
        <w:t>e</w:t>
      </w:r>
      <w:r w:rsidRPr="00D65C76">
        <w:rPr>
          <w:rFonts w:ascii="Arial" w:eastAsia="Arial" w:hAnsi="Arial" w:cs="Arial"/>
          <w:sz w:val="24"/>
          <w:szCs w:val="24"/>
          <w:lang w:eastAsia="es-MX"/>
        </w:rPr>
        <w:t xml:space="preserve">stado de Guanajuato, las directrices para la postulación de candidaturas establecen con claridad </w:t>
      </w:r>
      <w:r w:rsidR="00D81DF5" w:rsidRPr="00D65C76">
        <w:rPr>
          <w:rFonts w:ascii="Arial" w:eastAsia="Arial" w:hAnsi="Arial" w:cs="Arial"/>
          <w:sz w:val="24"/>
          <w:szCs w:val="24"/>
          <w:lang w:eastAsia="es-MX"/>
        </w:rPr>
        <w:t>que,</w:t>
      </w:r>
      <w:r w:rsidRPr="00D65C76">
        <w:rPr>
          <w:rFonts w:ascii="Arial" w:eastAsia="Arial" w:hAnsi="Arial" w:cs="Arial"/>
          <w:sz w:val="24"/>
          <w:szCs w:val="24"/>
          <w:lang w:eastAsia="es-MX"/>
        </w:rPr>
        <w:t xml:space="preserve"> en el bloque de competitividad alto, con independencia de la obligación de paridad</w:t>
      </w:r>
      <w:r w:rsidR="00CE44DC" w:rsidRPr="00D65C76">
        <w:rPr>
          <w:rFonts w:ascii="Arial" w:eastAsia="Arial" w:hAnsi="Arial" w:cs="Arial"/>
          <w:sz w:val="24"/>
          <w:szCs w:val="24"/>
          <w:lang w:eastAsia="es-MX"/>
        </w:rPr>
        <w:t xml:space="preserve"> en la integración de la planilla</w:t>
      </w:r>
      <w:r w:rsidRPr="00D65C76">
        <w:rPr>
          <w:rFonts w:ascii="Arial" w:eastAsia="Arial" w:hAnsi="Arial" w:cs="Arial"/>
          <w:sz w:val="24"/>
          <w:szCs w:val="24"/>
          <w:lang w:eastAsia="es-MX"/>
        </w:rPr>
        <w:t>, es deber de los partidos y coaliciones postular mayoritariamente mujeres.</w:t>
      </w:r>
    </w:p>
    <w:p w14:paraId="11542FC4" w14:textId="77777777" w:rsidR="00CE44DC" w:rsidRPr="00D65C76" w:rsidRDefault="007500FA" w:rsidP="00196733">
      <w:pPr>
        <w:spacing w:before="240" w:after="0" w:line="360" w:lineRule="auto"/>
        <w:jc w:val="both"/>
        <w:rPr>
          <w:rFonts w:ascii="Arial" w:hAnsi="Arial" w:cs="Arial"/>
          <w:sz w:val="24"/>
          <w:szCs w:val="24"/>
        </w:rPr>
      </w:pPr>
      <w:r w:rsidRPr="00D65C76">
        <w:rPr>
          <w:rFonts w:ascii="Arial" w:eastAsia="Arial" w:hAnsi="Arial" w:cs="Arial"/>
          <w:sz w:val="24"/>
          <w:szCs w:val="24"/>
          <w:lang w:eastAsia="es-MX"/>
        </w:rPr>
        <w:lastRenderedPageBreak/>
        <w:t xml:space="preserve">En ese sentido, estimó conforme a derecho lo razonado y resuelto por el Tribunal local, fundamentalmente al considerar </w:t>
      </w:r>
      <w:r w:rsidRPr="00D65C76">
        <w:rPr>
          <w:rFonts w:ascii="Arial" w:hAnsi="Arial" w:cs="Arial"/>
          <w:sz w:val="24"/>
          <w:szCs w:val="24"/>
        </w:rPr>
        <w:t>que al haber renunciado las</w:t>
      </w:r>
      <w:r w:rsidRPr="00D65C76">
        <w:rPr>
          <w:rFonts w:ascii="Arial" w:eastAsia="Arial" w:hAnsi="Arial" w:cs="Arial"/>
          <w:sz w:val="24"/>
          <w:szCs w:val="24"/>
          <w:lang w:eastAsia="es-MX"/>
        </w:rPr>
        <w:t xml:space="preserve"> </w:t>
      </w:r>
      <w:r w:rsidRPr="00D65C76">
        <w:rPr>
          <w:rFonts w:ascii="Arial" w:hAnsi="Arial" w:cs="Arial"/>
          <w:sz w:val="24"/>
          <w:szCs w:val="24"/>
        </w:rPr>
        <w:t>candidatas registradas a la presidencia municipal y primera regiduría</w:t>
      </w:r>
      <w:r w:rsidRPr="00D65C76">
        <w:rPr>
          <w:rFonts w:ascii="Arial" w:eastAsia="Arial" w:hAnsi="Arial" w:cs="Arial"/>
          <w:sz w:val="24"/>
          <w:szCs w:val="24"/>
          <w:lang w:eastAsia="es-MX"/>
        </w:rPr>
        <w:t xml:space="preserve"> </w:t>
      </w:r>
      <w:r w:rsidRPr="00D65C76">
        <w:rPr>
          <w:rFonts w:ascii="Arial" w:hAnsi="Arial" w:cs="Arial"/>
          <w:sz w:val="24"/>
          <w:szCs w:val="24"/>
        </w:rPr>
        <w:t>propietaria y suplente de la planilla propuesta para el ayuntamiento de</w:t>
      </w:r>
      <w:r w:rsidRPr="00D65C76">
        <w:rPr>
          <w:rFonts w:ascii="Arial" w:eastAsia="Arial" w:hAnsi="Arial" w:cs="Arial"/>
          <w:sz w:val="24"/>
          <w:szCs w:val="24"/>
          <w:lang w:eastAsia="es-MX"/>
        </w:rPr>
        <w:t xml:space="preserve"> </w:t>
      </w:r>
      <w:r w:rsidRPr="00D65C76">
        <w:rPr>
          <w:rFonts w:ascii="Arial" w:hAnsi="Arial" w:cs="Arial"/>
          <w:sz w:val="24"/>
          <w:szCs w:val="24"/>
        </w:rPr>
        <w:t>Comonfort,</w:t>
      </w:r>
      <w:r w:rsidR="00196733" w:rsidRPr="00D65C76">
        <w:rPr>
          <w:rFonts w:ascii="Arial" w:hAnsi="Arial" w:cs="Arial"/>
          <w:sz w:val="24"/>
          <w:szCs w:val="24"/>
        </w:rPr>
        <w:t xml:space="preserve"> Guanajuato,</w:t>
      </w:r>
      <w:r w:rsidRPr="00D65C76">
        <w:rPr>
          <w:rFonts w:ascii="Arial" w:hAnsi="Arial" w:cs="Arial"/>
          <w:sz w:val="24"/>
          <w:szCs w:val="24"/>
        </w:rPr>
        <w:t xml:space="preserve"> se realizó la sustitución por los candidatos que originalmente habían sido propuestos</w:t>
      </w:r>
      <w:r w:rsidR="00CE44DC" w:rsidRPr="00D65C76">
        <w:rPr>
          <w:rFonts w:ascii="Arial" w:hAnsi="Arial" w:cs="Arial"/>
          <w:sz w:val="24"/>
          <w:szCs w:val="24"/>
        </w:rPr>
        <w:t xml:space="preserve"> por el partido Morena.</w:t>
      </w:r>
    </w:p>
    <w:p w14:paraId="65B91F62" w14:textId="0646E1C4" w:rsidR="00196733" w:rsidRPr="00D65C76" w:rsidRDefault="00CE44DC" w:rsidP="00196733">
      <w:pPr>
        <w:spacing w:before="240" w:after="0" w:line="360" w:lineRule="auto"/>
        <w:jc w:val="both"/>
        <w:rPr>
          <w:rFonts w:ascii="Arial" w:hAnsi="Arial" w:cs="Arial"/>
          <w:sz w:val="24"/>
          <w:szCs w:val="24"/>
        </w:rPr>
      </w:pPr>
      <w:r w:rsidRPr="00D65C76">
        <w:rPr>
          <w:rFonts w:ascii="Arial" w:hAnsi="Arial" w:cs="Arial"/>
          <w:sz w:val="24"/>
          <w:szCs w:val="24"/>
        </w:rPr>
        <w:t xml:space="preserve">De ahí que concluyera </w:t>
      </w:r>
      <w:r w:rsidR="007500FA" w:rsidRPr="00D65C76">
        <w:rPr>
          <w:rFonts w:ascii="Arial" w:hAnsi="Arial" w:cs="Arial"/>
          <w:sz w:val="24"/>
          <w:szCs w:val="24"/>
        </w:rPr>
        <w:t xml:space="preserve">que el acuerdo CGIEEG/163/2021 que autorizó la sustitución no violentó lo dispuesto por el artículo 10 de los </w:t>
      </w:r>
      <w:r w:rsidRPr="00D65C76">
        <w:rPr>
          <w:rFonts w:ascii="Arial" w:hAnsi="Arial" w:cs="Arial"/>
          <w:sz w:val="24"/>
          <w:szCs w:val="24"/>
        </w:rPr>
        <w:t xml:space="preserve">Lineamientos </w:t>
      </w:r>
      <w:r w:rsidR="007500FA" w:rsidRPr="00D65C76">
        <w:rPr>
          <w:rFonts w:ascii="Arial" w:hAnsi="Arial" w:cs="Arial"/>
          <w:sz w:val="24"/>
          <w:szCs w:val="24"/>
        </w:rPr>
        <w:t>de paridad en el sentido de que en este bloque los partidos deben postular más mujeres que hombres</w:t>
      </w:r>
      <w:r w:rsidRPr="00D65C76">
        <w:rPr>
          <w:rFonts w:ascii="Arial" w:hAnsi="Arial" w:cs="Arial"/>
          <w:sz w:val="24"/>
          <w:szCs w:val="24"/>
        </w:rPr>
        <w:t>,</w:t>
      </w:r>
      <w:r w:rsidR="007500FA" w:rsidRPr="00D65C76">
        <w:rPr>
          <w:rFonts w:ascii="Arial" w:hAnsi="Arial" w:cs="Arial"/>
          <w:sz w:val="24"/>
          <w:szCs w:val="24"/>
        </w:rPr>
        <w:t xml:space="preserve"> </w:t>
      </w:r>
      <w:r w:rsidRPr="00D65C76">
        <w:rPr>
          <w:rFonts w:ascii="Arial" w:hAnsi="Arial" w:cs="Arial"/>
          <w:sz w:val="24"/>
          <w:szCs w:val="24"/>
        </w:rPr>
        <w:t xml:space="preserve">considerando </w:t>
      </w:r>
      <w:r w:rsidR="00D81DF5" w:rsidRPr="00D65C76">
        <w:rPr>
          <w:rFonts w:ascii="Arial" w:hAnsi="Arial" w:cs="Arial"/>
          <w:sz w:val="24"/>
          <w:szCs w:val="24"/>
        </w:rPr>
        <w:t>que,</w:t>
      </w:r>
      <w:r w:rsidR="007500FA" w:rsidRPr="00D65C76">
        <w:rPr>
          <w:rFonts w:ascii="Arial" w:hAnsi="Arial" w:cs="Arial"/>
          <w:sz w:val="24"/>
          <w:szCs w:val="24"/>
        </w:rPr>
        <w:t xml:space="preserve"> de la sustitución</w:t>
      </w:r>
      <w:r w:rsidRPr="00D65C76">
        <w:rPr>
          <w:rFonts w:ascii="Arial" w:hAnsi="Arial" w:cs="Arial"/>
          <w:sz w:val="24"/>
          <w:szCs w:val="24"/>
        </w:rPr>
        <w:t>,</w:t>
      </w:r>
      <w:r w:rsidR="007500FA" w:rsidRPr="00D65C76">
        <w:rPr>
          <w:rFonts w:ascii="Arial" w:hAnsi="Arial" w:cs="Arial"/>
          <w:sz w:val="24"/>
          <w:szCs w:val="24"/>
        </w:rPr>
        <w:t xml:space="preserve"> la integración del bloque de porcentaje alto de votación quedó integrado con ocho mujeres y siete hombres.</w:t>
      </w:r>
    </w:p>
    <w:p w14:paraId="09F5E0C0" w14:textId="77777777"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En consecuencia, determinó confirmar la sentencia del Tribunal local.</w:t>
      </w:r>
    </w:p>
    <w:p w14:paraId="38BBD9AD" w14:textId="77777777"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De lo anterior no es posible advertir que la sala responsable hubiera interpretado directamente la Constitución general o hubiere desarrollado el alcance de un derecho humano o un control difuso de convencionalidad o lo hubiese omitido.</w:t>
      </w:r>
    </w:p>
    <w:p w14:paraId="199A96F8" w14:textId="77777777"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En efecto, las consideraciones de la Sala Regional Monterrey se enfocaron en temáticas de legalidad relacionadas con el cumplimiento a las disposiciones aplicables a nivel local en materia de paridad de género.</w:t>
      </w:r>
    </w:p>
    <w:p w14:paraId="5A9E68C1" w14:textId="77777777"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Al respecto, esta Sala Superior ha considerado que el recurso de reconsideración procede para controvertir sentencias de las Salas Regionales cuando ejerzan control de convencionalidad, es decir, cuando inapliquen normas en la materia por estimarlas contrarias a la Constitución general, sin que se advierta que un análisis de un tema propiamente de carácter legal</w:t>
      </w:r>
      <w:r w:rsidR="00397904" w:rsidRPr="00D65C76">
        <w:rPr>
          <w:rFonts w:ascii="Arial" w:eastAsia="Arial" w:hAnsi="Arial" w:cs="Arial"/>
          <w:sz w:val="24"/>
          <w:szCs w:val="24"/>
          <w:lang w:eastAsia="es-MX"/>
        </w:rPr>
        <w:t>,</w:t>
      </w:r>
      <w:r w:rsidRPr="00D65C76">
        <w:rPr>
          <w:rFonts w:ascii="Arial" w:eastAsia="Arial" w:hAnsi="Arial" w:cs="Arial"/>
          <w:sz w:val="24"/>
          <w:szCs w:val="24"/>
          <w:lang w:eastAsia="es-MX"/>
        </w:rPr>
        <w:t xml:space="preserve"> como lo es el cumplimiento a las disposiciones electorales a nivel local y de los lineamientos correspondientes en materia de paridad de género</w:t>
      </w:r>
      <w:r w:rsidR="00397904" w:rsidRPr="00D65C76">
        <w:rPr>
          <w:rFonts w:ascii="Arial" w:eastAsia="Arial" w:hAnsi="Arial" w:cs="Arial"/>
          <w:sz w:val="24"/>
          <w:szCs w:val="24"/>
          <w:lang w:eastAsia="es-MX"/>
        </w:rPr>
        <w:t xml:space="preserve"> y del registro de las candidaturas</w:t>
      </w:r>
      <w:r w:rsidRPr="00D65C76">
        <w:rPr>
          <w:rFonts w:ascii="Arial" w:eastAsia="Arial" w:hAnsi="Arial" w:cs="Arial"/>
          <w:sz w:val="24"/>
          <w:szCs w:val="24"/>
          <w:lang w:eastAsia="es-MX"/>
        </w:rPr>
        <w:t xml:space="preserve">, sea considerado como un estudio de constitucionalidad. </w:t>
      </w:r>
    </w:p>
    <w:p w14:paraId="0A25AAF4" w14:textId="52F44FFB"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lastRenderedPageBreak/>
        <w:t>Por otra parte, de la lectura a los agravios expuestos por vía del recurso de reconsideración tampoco se advierte que justifican la procedencia, puesto que se basan en afirmar que se afectó el principio de legalidad, sustancialmente sobre la base del análisis que efectuara la sala responsable.</w:t>
      </w:r>
    </w:p>
    <w:p w14:paraId="621C0943" w14:textId="77777777" w:rsidR="007500FA" w:rsidRPr="00D65C76" w:rsidRDefault="007500FA" w:rsidP="007500FA">
      <w:pPr>
        <w:spacing w:before="240" w:after="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En este contexto, atendiendo al carácter extraordinario del recurso de reconsideración como genuino mecanismo de control de regularidad constitucional en los términos del artículo 99 constitucional y 61, numeral 1, inciso b) de la Ley de Medios, el recurso será improcedente cuando se limitan a impugnar las consideraciones de la Sala Regional en las que se estudiaron los motivos de agravio relacionados con cuestiones de mera legalidad.</w:t>
      </w:r>
    </w:p>
    <w:p w14:paraId="689C3923" w14:textId="77777777" w:rsidR="007500FA" w:rsidRPr="00D65C76" w:rsidRDefault="007500FA" w:rsidP="007500FA">
      <w:pPr>
        <w:spacing w:before="240" w:after="240" w:line="360" w:lineRule="auto"/>
        <w:jc w:val="both"/>
        <w:rPr>
          <w:rFonts w:ascii="Arial" w:eastAsia="Arial" w:hAnsi="Arial" w:cs="Arial"/>
          <w:sz w:val="24"/>
          <w:szCs w:val="24"/>
          <w:lang w:eastAsia="es-MX"/>
        </w:rPr>
      </w:pPr>
      <w:r w:rsidRPr="00D65C76">
        <w:rPr>
          <w:rFonts w:ascii="Arial" w:eastAsia="Arial" w:hAnsi="Arial" w:cs="Arial"/>
          <w:sz w:val="24"/>
          <w:szCs w:val="24"/>
          <w:lang w:eastAsia="es-MX"/>
        </w:rPr>
        <w:t>En consecuencia, no se cumple el requisito especial de procedencia para que este órgano jurisdiccional revise en forma extraordinaria la sentencia impugnada y, por tanto, la demanda debe desecharse.</w:t>
      </w:r>
    </w:p>
    <w:p w14:paraId="4C48DFD6" w14:textId="77777777" w:rsidR="009E0C39" w:rsidRPr="00D65C76" w:rsidRDefault="0090361B" w:rsidP="000D30E0">
      <w:pPr>
        <w:pStyle w:val="NormalWeb"/>
        <w:tabs>
          <w:tab w:val="left" w:pos="5529"/>
        </w:tabs>
        <w:spacing w:before="240" w:beforeAutospacing="0" w:after="240" w:afterAutospacing="0" w:line="360" w:lineRule="auto"/>
        <w:jc w:val="center"/>
        <w:outlineLvl w:val="0"/>
        <w:rPr>
          <w:rFonts w:ascii="Arial" w:hAnsi="Arial" w:cs="Arial"/>
          <w:b/>
          <w:lang w:val="es-ES" w:eastAsia="es-ES"/>
        </w:rPr>
      </w:pPr>
      <w:r w:rsidRPr="00D65C76">
        <w:rPr>
          <w:rFonts w:ascii="Arial" w:hAnsi="Arial" w:cs="Arial"/>
          <w:b/>
          <w:lang w:val="es-ES" w:eastAsia="es-ES"/>
        </w:rPr>
        <w:t>VII</w:t>
      </w:r>
      <w:r w:rsidR="00013365" w:rsidRPr="00D65C76">
        <w:rPr>
          <w:rFonts w:ascii="Arial" w:hAnsi="Arial" w:cs="Arial"/>
          <w:b/>
          <w:lang w:val="es-ES" w:eastAsia="es-ES"/>
        </w:rPr>
        <w:t xml:space="preserve">. </w:t>
      </w:r>
      <w:bookmarkEnd w:id="13"/>
      <w:r w:rsidR="00333317" w:rsidRPr="00D65C76">
        <w:rPr>
          <w:rFonts w:ascii="Arial" w:hAnsi="Arial" w:cs="Arial"/>
          <w:b/>
          <w:lang w:val="es-ES" w:eastAsia="es-ES"/>
        </w:rPr>
        <w:t>RESUELVE</w:t>
      </w:r>
    </w:p>
    <w:p w14:paraId="22BFF2B4" w14:textId="77777777" w:rsidR="00DE5D62" w:rsidRPr="00D65C76" w:rsidRDefault="00DE5D62" w:rsidP="00DE5D62">
      <w:pPr>
        <w:pStyle w:val="PRRAFOSENTENCIA"/>
        <w:spacing w:before="240" w:after="240"/>
        <w:ind w:firstLine="0"/>
        <w:rPr>
          <w:b/>
          <w:sz w:val="24"/>
          <w:szCs w:val="24"/>
          <w:lang w:val="es-MX"/>
        </w:rPr>
      </w:pPr>
      <w:r w:rsidRPr="00D65C76">
        <w:rPr>
          <w:b/>
          <w:sz w:val="24"/>
          <w:szCs w:val="24"/>
          <w:lang w:val="es-ES"/>
        </w:rPr>
        <w:t>ÚNICO</w:t>
      </w:r>
      <w:r w:rsidRPr="00D65C76">
        <w:rPr>
          <w:b/>
          <w:sz w:val="24"/>
          <w:szCs w:val="24"/>
          <w:lang w:val="es-MX"/>
        </w:rPr>
        <w:t xml:space="preserve">. </w:t>
      </w:r>
      <w:r w:rsidRPr="00D65C76">
        <w:rPr>
          <w:bCs/>
          <w:sz w:val="24"/>
          <w:szCs w:val="24"/>
          <w:lang w:val="es-MX"/>
        </w:rPr>
        <w:t>Se</w:t>
      </w:r>
      <w:r w:rsidRPr="00D65C76">
        <w:rPr>
          <w:b/>
          <w:sz w:val="24"/>
          <w:szCs w:val="24"/>
          <w:lang w:val="es-MX"/>
        </w:rPr>
        <w:t xml:space="preserve"> desecha de plano </w:t>
      </w:r>
      <w:r w:rsidRPr="00D65C76">
        <w:rPr>
          <w:bCs/>
          <w:sz w:val="24"/>
          <w:szCs w:val="24"/>
          <w:lang w:val="es-MX"/>
        </w:rPr>
        <w:t>la demanda.</w:t>
      </w:r>
    </w:p>
    <w:p w14:paraId="38CEB4B0" w14:textId="77777777" w:rsidR="009E0C39" w:rsidRPr="00D65C76" w:rsidRDefault="009E0C39" w:rsidP="00DE5D62">
      <w:pPr>
        <w:pStyle w:val="PRRAFOSENTENCIA"/>
        <w:spacing w:before="240" w:after="240"/>
        <w:ind w:firstLine="0"/>
        <w:rPr>
          <w:sz w:val="24"/>
          <w:szCs w:val="24"/>
          <w:lang w:val="es-ES"/>
        </w:rPr>
      </w:pPr>
      <w:r w:rsidRPr="00D65C76">
        <w:rPr>
          <w:b/>
          <w:sz w:val="24"/>
          <w:szCs w:val="24"/>
          <w:lang w:val="es-ES"/>
        </w:rPr>
        <w:t>NOTIFÍQUESE</w:t>
      </w:r>
      <w:r w:rsidRPr="00D65C76">
        <w:rPr>
          <w:sz w:val="24"/>
          <w:szCs w:val="24"/>
          <w:lang w:val="es-ES"/>
        </w:rPr>
        <w:t xml:space="preserve">; como en derecho corresponda. </w:t>
      </w:r>
    </w:p>
    <w:p w14:paraId="6CF6A0D9" w14:textId="77777777" w:rsidR="009E0C39" w:rsidRPr="00D65C76" w:rsidRDefault="009E0C39" w:rsidP="00A47B72">
      <w:pPr>
        <w:pStyle w:val="PRRAFOSENTENCIA"/>
        <w:spacing w:before="240" w:after="240"/>
        <w:ind w:firstLine="0"/>
        <w:rPr>
          <w:sz w:val="24"/>
          <w:szCs w:val="24"/>
          <w:lang w:val="es-ES"/>
        </w:rPr>
      </w:pPr>
      <w:r w:rsidRPr="00D65C76">
        <w:rPr>
          <w:sz w:val="24"/>
          <w:szCs w:val="24"/>
          <w:lang w:val="es-ES"/>
        </w:rPr>
        <w:t xml:space="preserve">En su oportunidad, archívese el presente expediente como asunto concluido y, en su caso, devuélvase la documentación exhibida. </w:t>
      </w:r>
    </w:p>
    <w:p w14:paraId="4C8587A9" w14:textId="5A1499C5" w:rsidR="009E0C39" w:rsidRPr="00D65C76" w:rsidRDefault="009E0C39" w:rsidP="00A47B72">
      <w:pPr>
        <w:tabs>
          <w:tab w:val="left" w:pos="1215"/>
        </w:tabs>
        <w:spacing w:before="240" w:after="240" w:line="360" w:lineRule="auto"/>
        <w:jc w:val="both"/>
        <w:rPr>
          <w:rFonts w:ascii="Arial" w:hAnsi="Arial" w:cs="Arial"/>
          <w:bCs/>
          <w:sz w:val="24"/>
          <w:szCs w:val="24"/>
        </w:rPr>
      </w:pPr>
      <w:r w:rsidRPr="00D65C76">
        <w:rPr>
          <w:rFonts w:ascii="Arial" w:hAnsi="Arial" w:cs="Arial"/>
          <w:sz w:val="24"/>
          <w:szCs w:val="24"/>
        </w:rPr>
        <w:t>Así, por</w:t>
      </w:r>
      <w:r w:rsidRPr="00D65C76">
        <w:rPr>
          <w:rFonts w:ascii="Arial" w:hAnsi="Arial" w:cs="Arial"/>
          <w:b/>
          <w:bCs/>
          <w:sz w:val="24"/>
          <w:szCs w:val="24"/>
        </w:rPr>
        <w:t xml:space="preserve"> </w:t>
      </w:r>
      <w:r w:rsidR="0056352C" w:rsidRPr="00D65C76">
        <w:rPr>
          <w:rFonts w:ascii="Arial" w:hAnsi="Arial" w:cs="Arial"/>
          <w:b/>
          <w:bCs/>
          <w:sz w:val="24"/>
          <w:szCs w:val="24"/>
        </w:rPr>
        <w:t>unanimidad</w:t>
      </w:r>
      <w:r w:rsidRPr="00D65C76">
        <w:rPr>
          <w:rFonts w:ascii="Arial" w:hAnsi="Arial" w:cs="Arial"/>
          <w:b/>
          <w:bCs/>
          <w:sz w:val="24"/>
          <w:szCs w:val="24"/>
        </w:rPr>
        <w:t xml:space="preserve"> </w:t>
      </w:r>
      <w:r w:rsidRPr="00D65C76">
        <w:rPr>
          <w:rFonts w:ascii="Arial" w:hAnsi="Arial" w:cs="Arial"/>
          <w:sz w:val="24"/>
          <w:szCs w:val="24"/>
        </w:rPr>
        <w:t xml:space="preserve">de votos, lo </w:t>
      </w:r>
      <w:r w:rsidR="007500FA" w:rsidRPr="00D65C76">
        <w:rPr>
          <w:rFonts w:ascii="Arial" w:hAnsi="Arial" w:cs="Arial"/>
          <w:sz w:val="24"/>
          <w:szCs w:val="24"/>
        </w:rPr>
        <w:t>resolvieron</w:t>
      </w:r>
      <w:r w:rsidRPr="00D65C76">
        <w:rPr>
          <w:rFonts w:ascii="Arial" w:hAnsi="Arial" w:cs="Arial"/>
          <w:sz w:val="24"/>
          <w:szCs w:val="24"/>
        </w:rPr>
        <w:t xml:space="preserve"> y firmaron las magistradas y los magistrados que integran la Sala Superior del Tribunal Electoral del Poder Judicial de la Federación. </w:t>
      </w:r>
      <w:r w:rsidRPr="00D65C76">
        <w:rPr>
          <w:rFonts w:ascii="Arial" w:hAnsi="Arial" w:cs="Arial"/>
          <w:bCs/>
          <w:sz w:val="24"/>
          <w:szCs w:val="24"/>
        </w:rPr>
        <w:t xml:space="preserve">El secretario general de acuerdos autoriza y da fe de que </w:t>
      </w:r>
      <w:r w:rsidR="007500FA" w:rsidRPr="00D65C76">
        <w:rPr>
          <w:rFonts w:ascii="Arial" w:hAnsi="Arial" w:cs="Arial"/>
          <w:bCs/>
          <w:sz w:val="24"/>
          <w:szCs w:val="24"/>
        </w:rPr>
        <w:t>la</w:t>
      </w:r>
      <w:r w:rsidRPr="00D65C76">
        <w:rPr>
          <w:rFonts w:ascii="Arial" w:hAnsi="Arial" w:cs="Arial"/>
          <w:bCs/>
          <w:sz w:val="24"/>
          <w:szCs w:val="24"/>
        </w:rPr>
        <w:t xml:space="preserve"> presente </w:t>
      </w:r>
      <w:r w:rsidR="007500FA" w:rsidRPr="00D65C76">
        <w:rPr>
          <w:rFonts w:ascii="Arial" w:hAnsi="Arial" w:cs="Arial"/>
          <w:bCs/>
          <w:sz w:val="24"/>
          <w:szCs w:val="24"/>
        </w:rPr>
        <w:t>sentencia</w:t>
      </w:r>
      <w:r w:rsidRPr="00D65C76">
        <w:rPr>
          <w:rFonts w:ascii="Arial" w:hAnsi="Arial" w:cs="Arial"/>
          <w:bCs/>
          <w:sz w:val="24"/>
          <w:szCs w:val="24"/>
        </w:rPr>
        <w:t xml:space="preserve"> se firma de manera electrónica. </w:t>
      </w:r>
    </w:p>
    <w:p w14:paraId="39B24EB6" w14:textId="77777777" w:rsidR="009C608F" w:rsidRPr="009E6421" w:rsidRDefault="009E0C39" w:rsidP="0062506B">
      <w:pPr>
        <w:spacing w:before="240" w:after="240" w:line="240" w:lineRule="auto"/>
        <w:jc w:val="both"/>
        <w:rPr>
          <w:rFonts w:ascii="Arial" w:hAnsi="Arial" w:cs="Arial"/>
          <w:lang w:val="es-ES"/>
        </w:rPr>
      </w:pPr>
      <w:r w:rsidRPr="009E6421">
        <w:rPr>
          <w:rFonts w:ascii="Arial" w:hAnsi="Arial" w:cs="Arial"/>
          <w:bCs/>
          <w:lang w:eastAsia="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9C608F" w:rsidRPr="009E6421" w:rsidSect="00F00209">
      <w:headerReference w:type="even" r:id="rId11"/>
      <w:headerReference w:type="default" r:id="rId12"/>
      <w:footerReference w:type="even" r:id="rId13"/>
      <w:footerReference w:type="default" r:id="rId14"/>
      <w:headerReference w:type="first" r:id="rId15"/>
      <w:pgSz w:w="12240" w:h="18720" w:code="14"/>
      <w:pgMar w:top="3119" w:right="1418" w:bottom="1701" w:left="2835" w:header="198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6050" w14:textId="77777777" w:rsidR="00055490" w:rsidRDefault="00055490" w:rsidP="00A36FFB">
      <w:pPr>
        <w:spacing w:after="0" w:line="240" w:lineRule="auto"/>
      </w:pPr>
      <w:r>
        <w:separator/>
      </w:r>
    </w:p>
  </w:endnote>
  <w:endnote w:type="continuationSeparator" w:id="0">
    <w:p w14:paraId="16492E3D" w14:textId="77777777" w:rsidR="00055490" w:rsidRDefault="00055490" w:rsidP="00A36FFB">
      <w:pPr>
        <w:spacing w:after="0" w:line="240" w:lineRule="auto"/>
      </w:pPr>
      <w:r>
        <w:continuationSeparator/>
      </w:r>
    </w:p>
  </w:endnote>
  <w:endnote w:type="continuationNotice" w:id="1">
    <w:p w14:paraId="0B6EB51A" w14:textId="77777777" w:rsidR="00055490" w:rsidRDefault="00055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48489021"/>
      <w:docPartObj>
        <w:docPartGallery w:val="Page Numbers (Bottom of Page)"/>
        <w:docPartUnique/>
      </w:docPartObj>
    </w:sdtPr>
    <w:sdtEndPr/>
    <w:sdtContent>
      <w:p w14:paraId="4B562DC7" w14:textId="77777777" w:rsidR="009E0C39" w:rsidRPr="0022221B" w:rsidRDefault="009E0C39">
        <w:pPr>
          <w:pStyle w:val="Piedepgina"/>
          <w:jc w:val="center"/>
          <w:rPr>
            <w:rFonts w:ascii="Arial" w:hAnsi="Arial" w:cs="Arial"/>
            <w:sz w:val="24"/>
            <w:szCs w:val="24"/>
          </w:rPr>
        </w:pPr>
        <w:r w:rsidRPr="0022221B">
          <w:rPr>
            <w:rFonts w:ascii="Arial" w:hAnsi="Arial" w:cs="Arial"/>
            <w:sz w:val="24"/>
            <w:szCs w:val="24"/>
          </w:rPr>
          <w:fldChar w:fldCharType="begin"/>
        </w:r>
        <w:r w:rsidRPr="0022221B">
          <w:rPr>
            <w:rFonts w:ascii="Arial" w:hAnsi="Arial" w:cs="Arial"/>
            <w:sz w:val="24"/>
            <w:szCs w:val="24"/>
          </w:rPr>
          <w:instrText>PAGE   \* MERGEFORMAT</w:instrText>
        </w:r>
        <w:r w:rsidRPr="0022221B">
          <w:rPr>
            <w:rFonts w:ascii="Arial" w:hAnsi="Arial" w:cs="Arial"/>
            <w:sz w:val="24"/>
            <w:szCs w:val="24"/>
          </w:rPr>
          <w:fldChar w:fldCharType="separate"/>
        </w:r>
        <w:r w:rsidRPr="0022221B">
          <w:rPr>
            <w:rFonts w:ascii="Arial" w:hAnsi="Arial" w:cs="Arial"/>
            <w:sz w:val="24"/>
            <w:szCs w:val="24"/>
            <w:lang w:val="es-ES"/>
          </w:rPr>
          <w:t>2</w:t>
        </w:r>
        <w:r w:rsidRPr="0022221B">
          <w:rPr>
            <w:rFonts w:ascii="Arial" w:hAnsi="Arial" w:cs="Arial"/>
            <w:sz w:val="24"/>
            <w:szCs w:val="24"/>
          </w:rPr>
          <w:fldChar w:fldCharType="end"/>
        </w:r>
      </w:p>
    </w:sdtContent>
  </w:sdt>
  <w:p w14:paraId="44270B6D" w14:textId="77777777" w:rsidR="009E0C39" w:rsidRPr="0022221B" w:rsidRDefault="009E0C39">
    <w:pPr>
      <w:pStyle w:val="Piedepgina"/>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26506095"/>
      <w:docPartObj>
        <w:docPartGallery w:val="Page Numbers (Bottom of Page)"/>
        <w:docPartUnique/>
      </w:docPartObj>
    </w:sdtPr>
    <w:sdtEndPr/>
    <w:sdtContent>
      <w:p w14:paraId="54BA6D62" w14:textId="77777777" w:rsidR="009E0C39" w:rsidRPr="00AC0F79" w:rsidRDefault="009E0C39">
        <w:pPr>
          <w:pStyle w:val="Piedepgina"/>
          <w:jc w:val="center"/>
          <w:rPr>
            <w:rFonts w:ascii="Arial" w:hAnsi="Arial" w:cs="Arial"/>
          </w:rPr>
        </w:pPr>
        <w:r w:rsidRPr="00AC0F79">
          <w:rPr>
            <w:rFonts w:ascii="Arial" w:hAnsi="Arial" w:cs="Arial"/>
          </w:rPr>
          <w:fldChar w:fldCharType="begin"/>
        </w:r>
        <w:r w:rsidRPr="00AC0F79">
          <w:rPr>
            <w:rFonts w:ascii="Arial" w:hAnsi="Arial" w:cs="Arial"/>
          </w:rPr>
          <w:instrText>PAGE   \* MERGEFORMAT</w:instrText>
        </w:r>
        <w:r w:rsidRPr="00AC0F79">
          <w:rPr>
            <w:rFonts w:ascii="Arial" w:hAnsi="Arial" w:cs="Arial"/>
          </w:rPr>
          <w:fldChar w:fldCharType="separate"/>
        </w:r>
        <w:r w:rsidRPr="00AC0F79">
          <w:rPr>
            <w:rFonts w:ascii="Arial" w:hAnsi="Arial" w:cs="Arial"/>
            <w:lang w:val="es-ES"/>
          </w:rPr>
          <w:t>2</w:t>
        </w:r>
        <w:r w:rsidRPr="00AC0F79">
          <w:rPr>
            <w:rFonts w:ascii="Arial" w:hAnsi="Arial" w:cs="Arial"/>
          </w:rPr>
          <w:fldChar w:fldCharType="end"/>
        </w:r>
      </w:p>
    </w:sdtContent>
  </w:sdt>
  <w:p w14:paraId="0F03364D" w14:textId="77777777" w:rsidR="009E0C39" w:rsidRPr="00AC0F79" w:rsidRDefault="009E0C39">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5CC9" w14:textId="77777777" w:rsidR="00055490" w:rsidRDefault="00055490" w:rsidP="00A36FFB">
      <w:pPr>
        <w:spacing w:after="0" w:line="240" w:lineRule="auto"/>
      </w:pPr>
      <w:r>
        <w:separator/>
      </w:r>
    </w:p>
  </w:footnote>
  <w:footnote w:type="continuationSeparator" w:id="0">
    <w:p w14:paraId="35DF3698" w14:textId="77777777" w:rsidR="00055490" w:rsidRDefault="00055490" w:rsidP="00A36FFB">
      <w:pPr>
        <w:spacing w:after="0" w:line="240" w:lineRule="auto"/>
      </w:pPr>
      <w:r>
        <w:continuationSeparator/>
      </w:r>
    </w:p>
  </w:footnote>
  <w:footnote w:type="continuationNotice" w:id="1">
    <w:p w14:paraId="221A1338" w14:textId="77777777" w:rsidR="00055490" w:rsidRDefault="00055490">
      <w:pPr>
        <w:spacing w:after="0" w:line="240" w:lineRule="auto"/>
      </w:pPr>
    </w:p>
  </w:footnote>
  <w:footnote w:id="2">
    <w:p w14:paraId="1EB15A34" w14:textId="77777777" w:rsidR="008B66AF" w:rsidRPr="00651406" w:rsidRDefault="008B66AF"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sucesivo, “Sala Superior”</w:t>
      </w:r>
      <w:r w:rsidR="00456592" w:rsidRPr="00651406">
        <w:rPr>
          <w:rFonts w:ascii="Arial" w:hAnsi="Arial" w:cs="Arial"/>
        </w:rPr>
        <w:t>.</w:t>
      </w:r>
    </w:p>
  </w:footnote>
  <w:footnote w:id="3">
    <w:p w14:paraId="14DE45A6" w14:textId="77777777" w:rsidR="00310427" w:rsidRPr="00651406" w:rsidRDefault="00310427"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sucesivo, “</w:t>
      </w:r>
      <w:r w:rsidR="00E20A5E" w:rsidRPr="00651406">
        <w:rPr>
          <w:rFonts w:ascii="Arial" w:hAnsi="Arial" w:cs="Arial"/>
        </w:rPr>
        <w:t>PAN</w:t>
      </w:r>
      <w:r w:rsidR="004A535C" w:rsidRPr="00651406">
        <w:rPr>
          <w:rFonts w:ascii="Arial" w:hAnsi="Arial" w:cs="Arial"/>
        </w:rPr>
        <w:t xml:space="preserve"> o recurrente</w:t>
      </w:r>
      <w:r w:rsidRPr="00651406">
        <w:rPr>
          <w:rFonts w:ascii="Arial" w:hAnsi="Arial" w:cs="Arial"/>
        </w:rPr>
        <w:t>”</w:t>
      </w:r>
      <w:r w:rsidR="00456592" w:rsidRPr="00651406">
        <w:rPr>
          <w:rFonts w:ascii="Arial" w:hAnsi="Arial" w:cs="Arial"/>
        </w:rPr>
        <w:t>.</w:t>
      </w:r>
    </w:p>
  </w:footnote>
  <w:footnote w:id="4">
    <w:p w14:paraId="2E22B318" w14:textId="77777777" w:rsidR="00310427" w:rsidRPr="00651406" w:rsidRDefault="00310427"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sucesivo, “Sala Regional </w:t>
      </w:r>
      <w:r w:rsidR="00E20A5E" w:rsidRPr="00651406">
        <w:rPr>
          <w:rFonts w:ascii="Arial" w:hAnsi="Arial" w:cs="Arial"/>
        </w:rPr>
        <w:t>Monterrey</w:t>
      </w:r>
      <w:r w:rsidRPr="00651406">
        <w:rPr>
          <w:rFonts w:ascii="Arial" w:hAnsi="Arial" w:cs="Arial"/>
        </w:rPr>
        <w:t xml:space="preserve"> o </w:t>
      </w:r>
      <w:r w:rsidR="009865F4" w:rsidRPr="00651406">
        <w:rPr>
          <w:rFonts w:ascii="Arial" w:hAnsi="Arial" w:cs="Arial"/>
        </w:rPr>
        <w:t xml:space="preserve">la sala </w:t>
      </w:r>
      <w:r w:rsidR="000B1718" w:rsidRPr="00651406">
        <w:rPr>
          <w:rFonts w:ascii="Arial" w:hAnsi="Arial" w:cs="Arial"/>
        </w:rPr>
        <w:t>r</w:t>
      </w:r>
      <w:r w:rsidRPr="00651406">
        <w:rPr>
          <w:rFonts w:ascii="Arial" w:hAnsi="Arial" w:cs="Arial"/>
        </w:rPr>
        <w:t>esponsable”</w:t>
      </w:r>
      <w:r w:rsidR="00456592" w:rsidRPr="00651406">
        <w:rPr>
          <w:rFonts w:ascii="Arial" w:hAnsi="Arial" w:cs="Arial"/>
        </w:rPr>
        <w:t>.</w:t>
      </w:r>
    </w:p>
  </w:footnote>
  <w:footnote w:id="5">
    <w:p w14:paraId="043D65A1" w14:textId="77777777" w:rsidR="00FD20DA" w:rsidRPr="00651406" w:rsidRDefault="00FD20DA"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sucesivo, “Tribunal local”</w:t>
      </w:r>
      <w:r w:rsidR="000D30E0" w:rsidRPr="00651406">
        <w:rPr>
          <w:rFonts w:ascii="Arial" w:hAnsi="Arial" w:cs="Arial"/>
        </w:rPr>
        <w:t>.</w:t>
      </w:r>
    </w:p>
  </w:footnote>
  <w:footnote w:id="6">
    <w:p w14:paraId="42709706" w14:textId="77777777" w:rsidR="00E827D3" w:rsidRPr="00651406" w:rsidRDefault="00E827D3"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sucesivo, “Instituto local”.</w:t>
      </w:r>
    </w:p>
  </w:footnote>
  <w:footnote w:id="7">
    <w:p w14:paraId="745E8A3B" w14:textId="77777777" w:rsidR="000145EC" w:rsidRPr="00651406" w:rsidRDefault="000145EC"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sucesivo, “Lineamientos de paridad”.</w:t>
      </w:r>
    </w:p>
  </w:footnote>
  <w:footnote w:id="8">
    <w:p w14:paraId="69E9FD74" w14:textId="77777777" w:rsidR="00065F58" w:rsidRPr="00651406" w:rsidRDefault="00065F58"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Los ayuntamientos de Apaseo el Grande, Celaya, </w:t>
      </w:r>
      <w:proofErr w:type="spellStart"/>
      <w:r w:rsidRPr="00651406">
        <w:rPr>
          <w:rFonts w:ascii="Arial" w:hAnsi="Arial" w:cs="Arial"/>
        </w:rPr>
        <w:t>Cortazar</w:t>
      </w:r>
      <w:proofErr w:type="spellEnd"/>
      <w:r w:rsidRPr="00651406">
        <w:rPr>
          <w:rFonts w:ascii="Arial" w:hAnsi="Arial" w:cs="Arial"/>
        </w:rPr>
        <w:t>, Cuerámaro, Dolores Hidalgo, C.I.N., Guanajuato, Moroleón, Pueblo Nuevo, Salamanca y Tarimoro.</w:t>
      </w:r>
    </w:p>
  </w:footnote>
  <w:footnote w:id="9">
    <w:p w14:paraId="50AD4D71" w14:textId="77777777" w:rsidR="002410AD" w:rsidRPr="00651406" w:rsidRDefault="002410AD"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Para los ayuntamientos de Apaseo el Grande, Celaya, </w:t>
      </w:r>
      <w:proofErr w:type="spellStart"/>
      <w:r w:rsidRPr="00651406">
        <w:rPr>
          <w:rFonts w:ascii="Arial" w:hAnsi="Arial" w:cs="Arial"/>
        </w:rPr>
        <w:t>Cortazar</w:t>
      </w:r>
      <w:proofErr w:type="spellEnd"/>
      <w:r w:rsidRPr="00651406">
        <w:rPr>
          <w:rFonts w:ascii="Arial" w:hAnsi="Arial" w:cs="Arial"/>
        </w:rPr>
        <w:t>, Cuerámaro, Dolores Hidalgo, C.I.N., Guanajuato, Moroleón, Pueblo Nuevo, Salamanca, Tarimoro.</w:t>
      </w:r>
    </w:p>
  </w:footnote>
  <w:footnote w:id="10">
    <w:p w14:paraId="2380BD06" w14:textId="77777777" w:rsidR="00651406" w:rsidRPr="00C112F5" w:rsidRDefault="00651406" w:rsidP="00651406">
      <w:pPr>
        <w:pStyle w:val="Textonotapie"/>
        <w:rPr>
          <w:rFonts w:ascii="Arial" w:hAnsi="Arial" w:cs="Arial"/>
        </w:rPr>
      </w:pPr>
      <w:r w:rsidRPr="00C112F5">
        <w:rPr>
          <w:rStyle w:val="Refdenotaalpie"/>
          <w:rFonts w:ascii="Arial" w:hAnsi="Arial" w:cs="Arial"/>
        </w:rPr>
        <w:footnoteRef/>
      </w:r>
      <w:r w:rsidRPr="00C112F5">
        <w:rPr>
          <w:rFonts w:ascii="Arial" w:hAnsi="Arial" w:cs="Arial"/>
        </w:rPr>
        <w:t xml:space="preserve"> En lo sucesivo, “Ley de Medios”.</w:t>
      </w:r>
    </w:p>
  </w:footnote>
  <w:footnote w:id="11">
    <w:p w14:paraId="1CE041E9" w14:textId="77777777" w:rsidR="00C3646E" w:rsidRPr="00651406" w:rsidRDefault="00C3646E"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consecuente “Constitución general”.</w:t>
      </w:r>
    </w:p>
  </w:footnote>
  <w:footnote w:id="12">
    <w:p w14:paraId="624D39FF" w14:textId="77777777" w:rsidR="007D21AC" w:rsidRPr="00651406" w:rsidRDefault="007D21AC"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En lo sucesivo, “Ley Orgánica”.</w:t>
      </w:r>
    </w:p>
  </w:footnote>
  <w:footnote w:id="13">
    <w:p w14:paraId="47B6C7E0" w14:textId="77777777" w:rsidR="00A7090F" w:rsidRPr="00651406" w:rsidRDefault="00A7090F" w:rsidP="00651406">
      <w:pPr>
        <w:pStyle w:val="Textonotapie"/>
        <w:jc w:val="both"/>
        <w:rPr>
          <w:rFonts w:ascii="Arial" w:hAnsi="Arial" w:cs="Arial"/>
        </w:rPr>
      </w:pPr>
      <w:r w:rsidRPr="00651406">
        <w:rPr>
          <w:rStyle w:val="Refdenotaalpie"/>
          <w:rFonts w:ascii="Arial" w:hAnsi="Arial" w:cs="Arial"/>
        </w:rPr>
        <w:footnoteRef/>
      </w:r>
      <w:r w:rsidRPr="00651406">
        <w:rPr>
          <w:rFonts w:ascii="Arial" w:hAnsi="Arial" w:cs="Arial"/>
        </w:rPr>
        <w:t xml:space="preserve"> </w:t>
      </w:r>
      <w:r w:rsidR="00AB170F" w:rsidRPr="00651406">
        <w:rPr>
          <w:rFonts w:ascii="Arial" w:hAnsi="Arial" w:cs="Arial"/>
        </w:rPr>
        <w:t>Publicado en el Diario Oficial de la Federación el trece de octubre de dos mil veinte.</w:t>
      </w:r>
    </w:p>
  </w:footnote>
  <w:footnote w:id="14">
    <w:p w14:paraId="4A1EA6DA"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32/2009, recurso de reconsideración. procede si en la sentencia la sala regional inaplica, expresa o implícitamente, una ley electoral por considerarla inconstitucional.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Tribunal Electoral del Poder Judicial de la Federación, Año 3, Número 5, 2010, páginas 46 a 48.</w:t>
      </w:r>
    </w:p>
  </w:footnote>
  <w:footnote w:id="15">
    <w:p w14:paraId="14F3E82B"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17/2012, </w:t>
      </w:r>
      <w:hyperlink r:id="rId1" w:anchor="17/2012_">
        <w:r w:rsidRPr="00651406">
          <w:rPr>
            <w:rFonts w:ascii="Arial" w:eastAsia="Arial" w:hAnsi="Arial" w:cs="Arial"/>
            <w:smallCaps/>
            <w:color w:val="000000"/>
            <w:sz w:val="20"/>
            <w:szCs w:val="20"/>
          </w:rPr>
          <w:t>recurso de reconsideración. procede contra sentencias de las salas regionales en las que expresa o implícitamente, se inaplican normas partidistas</w:t>
        </w:r>
      </w:hyperlink>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xml:space="preserve"> Tribunal Electoral del Poder Judicial de la Federación, Año 5, Número 10, 2012, páginas 32-34.</w:t>
      </w:r>
    </w:p>
  </w:footnote>
  <w:footnote w:id="16">
    <w:p w14:paraId="6C1E6D78"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19/2012, recurso de reconsideración. procede contra sentencias de las salas regionales cuando inapliquen normas consuetudinarias de carácter electoral.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 xml:space="preserve">Gaceta de Jurisprudencia y Tesis en materia electoral, </w:t>
      </w:r>
      <w:r w:rsidRPr="00651406">
        <w:rPr>
          <w:rFonts w:ascii="Arial" w:eastAsia="Arial" w:hAnsi="Arial" w:cs="Arial"/>
          <w:color w:val="000000"/>
          <w:sz w:val="20"/>
          <w:szCs w:val="20"/>
        </w:rPr>
        <w:t>Tribunal Electoral del Poder Judicial de la Federación, Año 5, Número 10, 2012, páginas 30-32</w:t>
      </w:r>
      <w:r w:rsidRPr="00651406">
        <w:rPr>
          <w:rFonts w:ascii="Arial" w:eastAsia="Arial" w:hAnsi="Arial" w:cs="Arial"/>
          <w:i/>
          <w:iCs/>
          <w:color w:val="000000"/>
          <w:sz w:val="20"/>
          <w:szCs w:val="20"/>
        </w:rPr>
        <w:t>.</w:t>
      </w:r>
    </w:p>
  </w:footnote>
  <w:footnote w:id="17">
    <w:p w14:paraId="665A891B"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10/2011, reconsideración. procede contra sentencias de las salas regionales cuando se omite el estudio o se declaran inoperantes los agravios relacionados con la inconstitucionalidad de normas electorales.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xml:space="preserve">, Tribunal Electoral del Poder Judicial de la Federación, Año 4, Número 9, 2011, páginas 38 y 39. </w:t>
      </w:r>
    </w:p>
  </w:footnote>
  <w:footnote w:id="18">
    <w:p w14:paraId="3A4ABC08"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26/2012, “recurso de reconsideración. procede contra sentencias de salas regionales en las que se interpreten directamente preceptos constitucionales”. </w:t>
      </w:r>
      <w:r w:rsidRPr="00651406">
        <w:rPr>
          <w:rFonts w:ascii="Arial" w:eastAsia="Arial" w:hAnsi="Arial" w:cs="Arial"/>
          <w:color w:val="000000"/>
          <w:sz w:val="20"/>
          <w:szCs w:val="20"/>
        </w:rPr>
        <w:t>Fuente:</w:t>
      </w:r>
      <w:r w:rsidRPr="00651406">
        <w:rPr>
          <w:rFonts w:ascii="Arial" w:hAnsi="Arial" w:cs="Arial"/>
          <w:sz w:val="20"/>
          <w:szCs w:val="20"/>
        </w:rPr>
        <w:t xml:space="preserv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xml:space="preserve">, Tribunal Electoral del Poder Judicial de la Federación, Año 5, Número 11, 2012, páginas 24 y 25. </w:t>
      </w:r>
    </w:p>
  </w:footnote>
  <w:footnote w:id="19">
    <w:p w14:paraId="601C55F9"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12/2014, “recurso de reconsideración. procede para impugnar sentencias de las salas regionales si se aduce indebido análisis u omisión de estudio sobre la constitucionalidad de normas legales impugnadas con motivo de su acto de aplicación.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xml:space="preserve"> Tribunal Electoral del Poder Judicial de la Federación, Año 7, Número 14, 2014, páginas 27 y 28. </w:t>
      </w:r>
    </w:p>
  </w:footnote>
  <w:footnote w:id="20">
    <w:p w14:paraId="3A1B0DD8"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32/2015, “recurso de reconsideración. procede contra sentencias de las salas regionales en las cuales se deseche o sobresea el medio de impugnación derivado de la interpretación directa de preceptos constitucionales”.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Tribunal Electoral del Poder Judicial de la Federación, Año 8, Número 17, 2015, páginas 45 y 46.</w:t>
      </w:r>
      <w:r w:rsidRPr="00651406">
        <w:rPr>
          <w:rFonts w:ascii="Arial" w:eastAsia="Arial" w:hAnsi="Arial" w:cs="Arial"/>
          <w:smallCaps/>
          <w:color w:val="000000"/>
          <w:sz w:val="20"/>
          <w:szCs w:val="20"/>
        </w:rPr>
        <w:t xml:space="preserve">  </w:t>
      </w:r>
    </w:p>
  </w:footnote>
  <w:footnote w:id="21">
    <w:p w14:paraId="3AEEEFE3"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28/2013, “recurso de reconsideración. procede para controvertir sentencias de las salas regionales cuando ejerzan control de convencionalidad”.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Tribunal Electoral del Poder Judicial de la Federación, Año 6, Número 13, 2013, páginas 67 y 68.</w:t>
      </w:r>
    </w:p>
  </w:footnote>
  <w:footnote w:id="22">
    <w:p w14:paraId="7B7597D3"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5/2014, “recurso de reconsideración. procede cuando se aduzca la existencia de irregularidades graves que puedan afectar los principios constitucionales y convencionales exigidos para la validez de las elecciones”.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Tribunal Electoral del Poder Judicial de la Federación, Año 7, Número 14, 2014, páginas 25 y 26.</w:t>
      </w:r>
    </w:p>
  </w:footnote>
  <w:footnote w:id="23">
    <w:p w14:paraId="694E7AFA" w14:textId="77777777" w:rsidR="00235A79" w:rsidRPr="00651406" w:rsidRDefault="00235A79" w:rsidP="00651406">
      <w:pPr>
        <w:shd w:val="clear" w:color="auto" w:fill="FFFFFF"/>
        <w:spacing w:after="0"/>
        <w:jc w:val="both"/>
        <w:rPr>
          <w:rFonts w:ascii="Arial" w:eastAsia="Arial" w:hAnsi="Arial" w:cs="Arial"/>
          <w:sz w:val="20"/>
          <w:szCs w:val="20"/>
        </w:rPr>
      </w:pPr>
      <w:r w:rsidRPr="00651406">
        <w:rPr>
          <w:rFonts w:ascii="Arial" w:hAnsi="Arial" w:cs="Arial"/>
          <w:sz w:val="20"/>
          <w:szCs w:val="20"/>
          <w:vertAlign w:val="superscript"/>
        </w:rPr>
        <w:footnoteRef/>
      </w:r>
      <w:r w:rsidRPr="00651406">
        <w:rPr>
          <w:rFonts w:ascii="Arial" w:eastAsia="Arial" w:hAnsi="Arial" w:cs="Arial"/>
          <w:smallCaps/>
          <w:sz w:val="20"/>
          <w:szCs w:val="20"/>
        </w:rPr>
        <w:t xml:space="preserve"> </w:t>
      </w:r>
      <w:r w:rsidRPr="00651406">
        <w:rPr>
          <w:rFonts w:ascii="Arial" w:eastAsia="Arial" w:hAnsi="Arial" w:cs="Arial"/>
          <w:sz w:val="20"/>
          <w:szCs w:val="20"/>
        </w:rPr>
        <w:t>Jurisprudencia</w:t>
      </w:r>
      <w:r w:rsidRPr="00651406">
        <w:rPr>
          <w:rFonts w:ascii="Arial" w:eastAsia="Arial" w:hAnsi="Arial" w:cs="Arial"/>
          <w:smallCaps/>
          <w:sz w:val="20"/>
          <w:szCs w:val="20"/>
        </w:rPr>
        <w:t xml:space="preserve"> 39/2016, “recurso de reconsideración. es procedente para controvertir sentencias incidentales de las salas regionales que decidan </w:t>
      </w:r>
      <w:r w:rsidRPr="00651406">
        <w:rPr>
          <w:rFonts w:ascii="Arial" w:eastAsia="Arial" w:hAnsi="Arial" w:cs="Arial"/>
          <w:smallCaps/>
          <w:color w:val="000000"/>
          <w:sz w:val="20"/>
          <w:szCs w:val="20"/>
        </w:rPr>
        <w:t xml:space="preserve">sobre la constitucionalidad y convencionalidad de normas”. </w:t>
      </w:r>
      <w:r w:rsidRPr="00651406">
        <w:rPr>
          <w:rFonts w:ascii="Arial" w:eastAsia="Arial" w:hAnsi="Arial" w:cs="Arial"/>
          <w:color w:val="000000"/>
          <w:sz w:val="20"/>
          <w:szCs w:val="20"/>
        </w:rPr>
        <w:t>Fuente:</w:t>
      </w:r>
      <w:r w:rsidRPr="00651406">
        <w:rPr>
          <w:rFonts w:ascii="Arial" w:eastAsia="Arial" w:hAnsi="Arial" w:cs="Arial"/>
          <w:i/>
          <w:iCs/>
          <w:color w:val="000000"/>
          <w:sz w:val="20"/>
          <w:szCs w:val="20"/>
        </w:rPr>
        <w:t xml:space="preserve"> Gaceta de Jurisprudencia y Tesis en materia electoral</w:t>
      </w:r>
      <w:r w:rsidRPr="00651406">
        <w:rPr>
          <w:rFonts w:ascii="Arial" w:eastAsia="Arial" w:hAnsi="Arial" w:cs="Arial"/>
          <w:color w:val="000000"/>
          <w:sz w:val="20"/>
          <w:szCs w:val="20"/>
        </w:rPr>
        <w:t>, Tribunal Electoral del Poder Judicial de la Federación, Año 9, Número 19, 2016, páginas 38, 39 y 40.</w:t>
      </w:r>
    </w:p>
  </w:footnote>
  <w:footnote w:id="24">
    <w:p w14:paraId="02D0B672"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12/2018, “recurso de reconsideración. procede contra sentencias de desechamiento cuando se advierta una violación manifiesta al debido proceso o en caso de notorio error judicial”.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Tribunal Electoral del Poder Judicial de la Federación, Año 10, Número 21, 2018, páginas 30 y 31.</w:t>
      </w:r>
    </w:p>
  </w:footnote>
  <w:footnote w:id="25">
    <w:p w14:paraId="1BF3DCED" w14:textId="77777777" w:rsidR="00235A79" w:rsidRPr="00651406" w:rsidRDefault="00235A79" w:rsidP="00651406">
      <w:pPr>
        <w:pBdr>
          <w:top w:val="nil"/>
          <w:left w:val="nil"/>
          <w:bottom w:val="nil"/>
          <w:right w:val="nil"/>
          <w:between w:val="nil"/>
        </w:pBdr>
        <w:spacing w:after="0"/>
        <w:jc w:val="both"/>
        <w:rPr>
          <w:rFonts w:ascii="Arial" w:eastAsia="Arial" w:hAnsi="Arial" w:cs="Arial"/>
          <w:smallCaps/>
          <w:color w:val="000000"/>
          <w:sz w:val="20"/>
          <w:szCs w:val="20"/>
        </w:rPr>
      </w:pPr>
      <w:r w:rsidRPr="00651406">
        <w:rPr>
          <w:rFonts w:ascii="Arial" w:hAnsi="Arial" w:cs="Arial"/>
          <w:sz w:val="20"/>
          <w:szCs w:val="20"/>
          <w:vertAlign w:val="superscript"/>
        </w:rPr>
        <w:footnoteRef/>
      </w:r>
      <w:r w:rsidRPr="00651406">
        <w:rPr>
          <w:rFonts w:ascii="Arial" w:eastAsia="Arial" w:hAnsi="Arial" w:cs="Arial"/>
          <w:smallCaps/>
          <w:color w:val="000000"/>
          <w:sz w:val="20"/>
          <w:szCs w:val="20"/>
        </w:rPr>
        <w:t xml:space="preserve"> </w:t>
      </w:r>
      <w:r w:rsidRPr="00651406">
        <w:rPr>
          <w:rFonts w:ascii="Arial" w:eastAsia="Arial" w:hAnsi="Arial" w:cs="Arial"/>
          <w:color w:val="000000"/>
          <w:sz w:val="20"/>
          <w:szCs w:val="20"/>
        </w:rPr>
        <w:t>Jurisprudencia</w:t>
      </w:r>
      <w:r w:rsidRPr="00651406">
        <w:rPr>
          <w:rFonts w:ascii="Arial" w:eastAsia="Arial" w:hAnsi="Arial" w:cs="Arial"/>
          <w:smallCaps/>
          <w:color w:val="000000"/>
          <w:sz w:val="20"/>
          <w:szCs w:val="20"/>
        </w:rPr>
        <w:t xml:space="preserve"> 5/2019, “recurso de reconsideración. es procedente para analizar asuntos relevantes y trascendentes”. </w:t>
      </w:r>
      <w:r w:rsidRPr="00651406">
        <w:rPr>
          <w:rFonts w:ascii="Arial" w:eastAsia="Arial" w:hAnsi="Arial" w:cs="Arial"/>
          <w:color w:val="000000"/>
          <w:sz w:val="20"/>
          <w:szCs w:val="20"/>
        </w:rPr>
        <w:t xml:space="preserve">Fuente: </w:t>
      </w:r>
      <w:r w:rsidRPr="00651406">
        <w:rPr>
          <w:rFonts w:ascii="Arial" w:eastAsia="Arial" w:hAnsi="Arial" w:cs="Arial"/>
          <w:i/>
          <w:iCs/>
          <w:color w:val="000000"/>
          <w:sz w:val="20"/>
          <w:szCs w:val="20"/>
        </w:rPr>
        <w:t>Gaceta de Jurisprudencia y Tesis en materia electoral</w:t>
      </w:r>
      <w:r w:rsidRPr="00651406">
        <w:rPr>
          <w:rFonts w:ascii="Arial" w:eastAsia="Arial" w:hAnsi="Arial" w:cs="Arial"/>
          <w:color w:val="000000"/>
          <w:sz w:val="20"/>
          <w:szCs w:val="20"/>
        </w:rPr>
        <w:t>, Tribunal Electoral del Poder Judicial de la Federación, Año 12, Número 23, 2019, páginas 21 y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3184" w14:textId="25EFB0A5" w:rsidR="00151FBF" w:rsidRDefault="009E0C39" w:rsidP="00192F70">
    <w:pPr>
      <w:pStyle w:val="Encabezado"/>
      <w:jc w:val="right"/>
      <w:rPr>
        <w:rFonts w:ascii="Arial" w:hAnsi="Arial" w:cs="Arial"/>
        <w:b/>
        <w:bCs/>
      </w:rPr>
    </w:pPr>
    <w:r w:rsidRPr="0076066B">
      <w:rPr>
        <w:rFonts w:ascii="Arial" w:hAnsi="Arial" w:cs="Arial"/>
        <w:b/>
        <w:bCs/>
      </w:rPr>
      <w:t>SUP-</w:t>
    </w:r>
    <w:r w:rsidR="00FC1736">
      <w:rPr>
        <w:rFonts w:ascii="Arial" w:hAnsi="Arial" w:cs="Arial"/>
        <w:b/>
        <w:bCs/>
      </w:rPr>
      <w:t>REC</w:t>
    </w:r>
    <w:r w:rsidRPr="0076066B">
      <w:rPr>
        <w:rFonts w:ascii="Arial" w:hAnsi="Arial" w:cs="Arial"/>
        <w:b/>
        <w:bCs/>
      </w:rPr>
      <w:t>-</w:t>
    </w:r>
    <w:r w:rsidR="00192F70">
      <w:rPr>
        <w:rFonts w:ascii="Arial" w:hAnsi="Arial" w:cs="Arial"/>
        <w:b/>
        <w:bCs/>
      </w:rPr>
      <w:t>6</w:t>
    </w:r>
    <w:r w:rsidR="00E20A5E">
      <w:rPr>
        <w:rFonts w:ascii="Arial" w:hAnsi="Arial" w:cs="Arial"/>
        <w:b/>
        <w:bCs/>
      </w:rPr>
      <w:t>9</w:t>
    </w:r>
    <w:r w:rsidR="00192F70">
      <w:rPr>
        <w:rFonts w:ascii="Arial" w:hAnsi="Arial" w:cs="Arial"/>
        <w:b/>
        <w:bCs/>
      </w:rPr>
      <w:t>6</w:t>
    </w:r>
    <w:r w:rsidR="00AB179E">
      <w:rPr>
        <w:rFonts w:ascii="Arial" w:hAnsi="Arial" w:cs="Arial"/>
        <w:b/>
        <w:bCs/>
      </w:rPr>
      <w:t>/202</w:t>
    </w:r>
    <w:r w:rsidR="00192F70">
      <w:rPr>
        <w:rFonts w:ascii="Arial" w:hAnsi="Arial" w:cs="Arial"/>
        <w:b/>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5296" w14:textId="775862F5" w:rsidR="00151FBF" w:rsidRDefault="009E0C39" w:rsidP="00192F70">
    <w:pPr>
      <w:pStyle w:val="Encabezado"/>
      <w:ind w:left="1953" w:firstLine="3711"/>
      <w:jc w:val="right"/>
      <w:rPr>
        <w:rFonts w:ascii="Arial" w:hAnsi="Arial" w:cs="Arial"/>
        <w:b/>
        <w:bCs/>
      </w:rPr>
    </w:pPr>
    <w:r w:rsidRPr="0076066B">
      <w:rPr>
        <w:rFonts w:ascii="Arial" w:hAnsi="Arial" w:cs="Arial"/>
        <w:b/>
        <w:bCs/>
      </w:rPr>
      <w:t>SUP-</w:t>
    </w:r>
    <w:r w:rsidR="00FC1736">
      <w:rPr>
        <w:rFonts w:ascii="Arial" w:hAnsi="Arial" w:cs="Arial"/>
        <w:b/>
        <w:bCs/>
      </w:rPr>
      <w:t>REC</w:t>
    </w:r>
    <w:r>
      <w:rPr>
        <w:rFonts w:ascii="Arial" w:hAnsi="Arial" w:cs="Arial"/>
        <w:b/>
        <w:bCs/>
      </w:rPr>
      <w:t>-</w:t>
    </w:r>
    <w:r w:rsidR="00192F70">
      <w:rPr>
        <w:rFonts w:ascii="Arial" w:hAnsi="Arial" w:cs="Arial"/>
        <w:b/>
        <w:bCs/>
      </w:rPr>
      <w:t>6</w:t>
    </w:r>
    <w:r w:rsidR="002F7E39">
      <w:rPr>
        <w:rFonts w:ascii="Arial" w:hAnsi="Arial" w:cs="Arial"/>
        <w:b/>
        <w:bCs/>
      </w:rPr>
      <w:t>9</w:t>
    </w:r>
    <w:r w:rsidR="00192F70">
      <w:rPr>
        <w:rFonts w:ascii="Arial" w:hAnsi="Arial" w:cs="Arial"/>
        <w:b/>
        <w:bCs/>
      </w:rPr>
      <w:t>6/2021</w:t>
    </w:r>
  </w:p>
  <w:p w14:paraId="38011291" w14:textId="77777777" w:rsidR="009E0C39" w:rsidRDefault="009E0C39">
    <w:pPr>
      <w:pStyle w:val="Encabezado"/>
    </w:pPr>
    <w:r>
      <w:rPr>
        <w:noProof/>
      </w:rPr>
      <w:drawing>
        <wp:anchor distT="0" distB="0" distL="114300" distR="114300" simplePos="0" relativeHeight="251658240" behindDoc="0" locked="0" layoutInCell="1" allowOverlap="1" wp14:anchorId="3EA6EA7C" wp14:editId="247E64E6">
          <wp:simplePos x="0" y="0"/>
          <wp:positionH relativeFrom="leftMargin">
            <wp:align>right</wp:align>
          </wp:positionH>
          <wp:positionV relativeFrom="page">
            <wp:posOffset>350860</wp:posOffset>
          </wp:positionV>
          <wp:extent cx="1378585" cy="1191260"/>
          <wp:effectExtent l="0" t="0" r="0" b="8890"/>
          <wp:wrapNone/>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A19E" w14:textId="22AEC607" w:rsidR="009E0C39" w:rsidRDefault="009E0C39">
    <w:pPr>
      <w:pStyle w:val="Encabezado"/>
    </w:pPr>
    <w:r>
      <w:rPr>
        <w:noProof/>
      </w:rPr>
      <w:drawing>
        <wp:anchor distT="0" distB="0" distL="114300" distR="114300" simplePos="0" relativeHeight="251658241" behindDoc="0" locked="0" layoutInCell="1" allowOverlap="1" wp14:anchorId="743DA797" wp14:editId="7C5331FB">
          <wp:simplePos x="0" y="0"/>
          <wp:positionH relativeFrom="leftMargin">
            <wp:posOffset>465696</wp:posOffset>
          </wp:positionH>
          <wp:positionV relativeFrom="page">
            <wp:posOffset>221872</wp:posOffset>
          </wp:positionV>
          <wp:extent cx="1377950" cy="1192530"/>
          <wp:effectExtent l="0" t="0" r="0" b="762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363"/>
    <w:multiLevelType w:val="hybridMultilevel"/>
    <w:tmpl w:val="A79811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F14834"/>
    <w:multiLevelType w:val="hybridMultilevel"/>
    <w:tmpl w:val="85883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CB2489"/>
    <w:multiLevelType w:val="hybridMultilevel"/>
    <w:tmpl w:val="CA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640CD"/>
    <w:multiLevelType w:val="hybridMultilevel"/>
    <w:tmpl w:val="72C8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22744A"/>
    <w:multiLevelType w:val="hybridMultilevel"/>
    <w:tmpl w:val="04B28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A03858"/>
    <w:multiLevelType w:val="hybridMultilevel"/>
    <w:tmpl w:val="A54CF3D4"/>
    <w:lvl w:ilvl="0" w:tplc="CAC20C2A">
      <w:start w:val="1"/>
      <w:numFmt w:val="upperRoman"/>
      <w:pStyle w:val="TDC1"/>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80812"/>
    <w:multiLevelType w:val="multilevel"/>
    <w:tmpl w:val="A9106264"/>
    <w:numStyleLink w:val="Estilo4"/>
  </w:abstractNum>
  <w:abstractNum w:abstractNumId="7" w15:restartNumberingAfterBreak="0">
    <w:nsid w:val="1278480F"/>
    <w:multiLevelType w:val="hybridMultilevel"/>
    <w:tmpl w:val="3A564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9D4C80"/>
    <w:multiLevelType w:val="multilevel"/>
    <w:tmpl w:val="A9106264"/>
    <w:styleLink w:val="Estilo4"/>
    <w:lvl w:ilvl="0">
      <w:start w:val="1"/>
      <w:numFmt w:val="bullet"/>
      <w:lvlText w:val=""/>
      <w:lvlJc w:val="left"/>
      <w:pPr>
        <w:ind w:left="720" w:hanging="360"/>
      </w:pPr>
      <w:rPr>
        <w:rFonts w:ascii="Symbol" w:hAnsi="Symbol" w:hint="default"/>
      </w:rPr>
    </w:lvl>
    <w:lvl w:ilvl="1">
      <w:start w:val="1"/>
      <w:numFmt w:val="bullet"/>
      <w:lvlText w:val="o"/>
      <w:lvlJc w:val="left"/>
      <w:pPr>
        <w:ind w:left="1094" w:hanging="374"/>
      </w:pPr>
      <w:rPr>
        <w:rFonts w:ascii="Courier New" w:hAnsi="Courier New" w:hint="default"/>
      </w:rPr>
    </w:lvl>
    <w:lvl w:ilvl="2">
      <w:start w:val="1"/>
      <w:numFmt w:val="bullet"/>
      <w:lvlText w:val=""/>
      <w:lvlJc w:val="left"/>
      <w:pPr>
        <w:ind w:left="1463" w:hanging="369"/>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4F5715"/>
    <w:multiLevelType w:val="multilevel"/>
    <w:tmpl w:val="18B4F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80" w:hanging="70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C22C54"/>
    <w:multiLevelType w:val="hybridMultilevel"/>
    <w:tmpl w:val="916437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89A10B3"/>
    <w:multiLevelType w:val="hybridMultilevel"/>
    <w:tmpl w:val="A9C44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8C6E1F"/>
    <w:multiLevelType w:val="hybridMultilevel"/>
    <w:tmpl w:val="9D623C0E"/>
    <w:lvl w:ilvl="0" w:tplc="6C9AC57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B779D8"/>
    <w:multiLevelType w:val="hybridMultilevel"/>
    <w:tmpl w:val="BC602744"/>
    <w:lvl w:ilvl="0" w:tplc="D9ECB904">
      <w:start w:val="1"/>
      <w:numFmt w:val="decimal"/>
      <w:pStyle w:val="Normalsentencia"/>
      <w:lvlText w:val="%1."/>
      <w:lvlJc w:val="left"/>
      <w:pPr>
        <w:ind w:left="2912"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279BF"/>
    <w:multiLevelType w:val="hybridMultilevel"/>
    <w:tmpl w:val="66F8D6C8"/>
    <w:lvl w:ilvl="0" w:tplc="A36850FC">
      <w:start w:val="1"/>
      <w:numFmt w:val="decimal"/>
      <w:lvlText w:val="%1."/>
      <w:lvlJc w:val="left"/>
      <w:pPr>
        <w:ind w:left="975" w:hanging="61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512649"/>
    <w:multiLevelType w:val="hybridMultilevel"/>
    <w:tmpl w:val="CB840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F16C07"/>
    <w:multiLevelType w:val="hybridMultilevel"/>
    <w:tmpl w:val="165C39EA"/>
    <w:lvl w:ilvl="0" w:tplc="080A000F">
      <w:start w:val="1"/>
      <w:numFmt w:val="decimal"/>
      <w:lvlText w:val="%1."/>
      <w:lvlJc w:val="left"/>
      <w:pPr>
        <w:ind w:left="1080" w:hanging="720"/>
      </w:pPr>
      <w:rPr>
        <w:rFonts w:hint="default"/>
        <w:b/>
        <w:bCs/>
      </w:rPr>
    </w:lvl>
    <w:lvl w:ilvl="1" w:tplc="9D4ACF64">
      <w:start w:val="1"/>
      <w:numFmt w:val="upperLetter"/>
      <w:pStyle w:val="TDC3"/>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4159CE"/>
    <w:multiLevelType w:val="hybridMultilevel"/>
    <w:tmpl w:val="CCD0CDDE"/>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8" w15:restartNumberingAfterBreak="0">
    <w:nsid w:val="421D1B99"/>
    <w:multiLevelType w:val="hybridMultilevel"/>
    <w:tmpl w:val="E82A3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804BDC"/>
    <w:multiLevelType w:val="hybridMultilevel"/>
    <w:tmpl w:val="061236E4"/>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0" w15:restartNumberingAfterBreak="0">
    <w:nsid w:val="4775264D"/>
    <w:multiLevelType w:val="hybridMultilevel"/>
    <w:tmpl w:val="1BDAD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7128CA"/>
    <w:multiLevelType w:val="hybridMultilevel"/>
    <w:tmpl w:val="D57C6D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301B43"/>
    <w:multiLevelType w:val="multilevel"/>
    <w:tmpl w:val="A9106264"/>
    <w:numStyleLink w:val="Estilo4"/>
  </w:abstractNum>
  <w:abstractNum w:abstractNumId="23" w15:restartNumberingAfterBreak="0">
    <w:nsid w:val="4E4B5EA6"/>
    <w:multiLevelType w:val="hybridMultilevel"/>
    <w:tmpl w:val="D62CF8FE"/>
    <w:lvl w:ilvl="0" w:tplc="B4884282">
      <w:start w:val="1"/>
      <w:numFmt w:val="decimal"/>
      <w:pStyle w:val="NormalNmerado"/>
      <w:lvlText w:val="%1."/>
      <w:lvlJc w:val="left"/>
      <w:pPr>
        <w:ind w:left="1070" w:hanging="360"/>
      </w:pPr>
      <w:rPr>
        <w:rFonts w:ascii="Univers" w:hAnsi="Univers" w:hint="default"/>
        <w:b/>
        <w:sz w:val="22"/>
        <w:szCs w:val="22"/>
        <w:lang w:val="es-MX"/>
      </w:rPr>
    </w:lvl>
    <w:lvl w:ilvl="1" w:tplc="98907412">
      <w:start w:val="1"/>
      <w:numFmt w:val="upperRoman"/>
      <w:lvlText w:val="%2."/>
      <w:lvlJc w:val="left"/>
      <w:pPr>
        <w:ind w:left="1800" w:hanging="720"/>
      </w:pPr>
      <w:rPr>
        <w:rFonts w:hint="default"/>
      </w:rPr>
    </w:lvl>
    <w:lvl w:ilvl="2" w:tplc="635C49F2">
      <w:start w:val="1"/>
      <w:numFmt w:val="lowerLetter"/>
      <w:lvlText w:val="%3."/>
      <w:lvlJc w:val="left"/>
      <w:pPr>
        <w:ind w:left="2415" w:hanging="435"/>
      </w:pPr>
      <w:rPr>
        <w:rFonts w:hint="default"/>
        <w:b/>
      </w:rPr>
    </w:lvl>
    <w:lvl w:ilvl="3" w:tplc="EE12F2A2">
      <w:start w:val="3"/>
      <w:numFmt w:val="bullet"/>
      <w:lvlText w:val="-"/>
      <w:lvlJc w:val="left"/>
      <w:pPr>
        <w:ind w:left="2880" w:hanging="360"/>
      </w:pPr>
      <w:rPr>
        <w:rFonts w:ascii="Univers" w:eastAsia="Times New Roman" w:hAnsi="Univers"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33617D"/>
    <w:multiLevelType w:val="multilevel"/>
    <w:tmpl w:val="49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05C5D"/>
    <w:multiLevelType w:val="hybridMultilevel"/>
    <w:tmpl w:val="6218A6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C417627"/>
    <w:multiLevelType w:val="hybridMultilevel"/>
    <w:tmpl w:val="015C63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FB44946"/>
    <w:multiLevelType w:val="hybridMultilevel"/>
    <w:tmpl w:val="81AC1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2F5C3C"/>
    <w:multiLevelType w:val="hybridMultilevel"/>
    <w:tmpl w:val="807E0222"/>
    <w:lvl w:ilvl="0" w:tplc="080A0017">
      <w:start w:val="1"/>
      <w:numFmt w:val="lowerLetter"/>
      <w:lvlText w:val="%1)"/>
      <w:lvlJc w:val="lef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29" w15:restartNumberingAfterBreak="0">
    <w:nsid w:val="64887396"/>
    <w:multiLevelType w:val="hybridMultilevel"/>
    <w:tmpl w:val="FE98C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81598"/>
    <w:multiLevelType w:val="hybridMultilevel"/>
    <w:tmpl w:val="90B02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351EA2"/>
    <w:multiLevelType w:val="hybridMultilevel"/>
    <w:tmpl w:val="4EC65D36"/>
    <w:lvl w:ilvl="0" w:tplc="378AFB10">
      <w:start w:val="1"/>
      <w:numFmt w:val="decimal"/>
      <w:lvlText w:val="%1."/>
      <w:lvlJc w:val="left"/>
      <w:pPr>
        <w:ind w:left="1212" w:hanging="360"/>
      </w:pPr>
      <w:rPr>
        <w:b/>
        <w:bCs/>
        <w:sz w:val="24"/>
        <w:szCs w:val="24"/>
      </w:rPr>
    </w:lvl>
    <w:lvl w:ilvl="1" w:tplc="6CF0B4FE">
      <w:numFmt w:val="bullet"/>
      <w:lvlText w:val="-"/>
      <w:lvlJc w:val="left"/>
      <w:pPr>
        <w:ind w:left="1932" w:hanging="360"/>
      </w:pPr>
      <w:rPr>
        <w:rFonts w:ascii="Arial" w:eastAsia="Calibri" w:hAnsi="Arial" w:cs="Arial" w:hint="default"/>
      </w:rPr>
    </w:lvl>
    <w:lvl w:ilvl="2" w:tplc="080A001B">
      <w:start w:val="1"/>
      <w:numFmt w:val="lowerRoman"/>
      <w:lvlText w:val="%3."/>
      <w:lvlJc w:val="right"/>
      <w:pPr>
        <w:ind w:left="2652" w:hanging="180"/>
      </w:pPr>
    </w:lvl>
    <w:lvl w:ilvl="3" w:tplc="080A000F">
      <w:start w:val="1"/>
      <w:numFmt w:val="decimal"/>
      <w:lvlText w:val="%4."/>
      <w:lvlJc w:val="left"/>
      <w:pPr>
        <w:ind w:left="3372" w:hanging="360"/>
      </w:pPr>
    </w:lvl>
    <w:lvl w:ilvl="4" w:tplc="080A0019">
      <w:start w:val="1"/>
      <w:numFmt w:val="lowerLetter"/>
      <w:lvlText w:val="%5."/>
      <w:lvlJc w:val="left"/>
      <w:pPr>
        <w:ind w:left="4092" w:hanging="360"/>
      </w:pPr>
    </w:lvl>
    <w:lvl w:ilvl="5" w:tplc="080A001B">
      <w:start w:val="1"/>
      <w:numFmt w:val="lowerRoman"/>
      <w:lvlText w:val="%6."/>
      <w:lvlJc w:val="right"/>
      <w:pPr>
        <w:ind w:left="4812" w:hanging="180"/>
      </w:pPr>
    </w:lvl>
    <w:lvl w:ilvl="6" w:tplc="080A000F">
      <w:start w:val="1"/>
      <w:numFmt w:val="decimal"/>
      <w:lvlText w:val="%7."/>
      <w:lvlJc w:val="left"/>
      <w:pPr>
        <w:ind w:left="5532" w:hanging="360"/>
      </w:pPr>
    </w:lvl>
    <w:lvl w:ilvl="7" w:tplc="080A0019">
      <w:start w:val="1"/>
      <w:numFmt w:val="lowerLetter"/>
      <w:lvlText w:val="%8."/>
      <w:lvlJc w:val="left"/>
      <w:pPr>
        <w:ind w:left="6252" w:hanging="360"/>
      </w:pPr>
    </w:lvl>
    <w:lvl w:ilvl="8" w:tplc="080A001B">
      <w:start w:val="1"/>
      <w:numFmt w:val="lowerRoman"/>
      <w:lvlText w:val="%9."/>
      <w:lvlJc w:val="right"/>
      <w:pPr>
        <w:ind w:left="6972" w:hanging="180"/>
      </w:pPr>
    </w:lvl>
  </w:abstractNum>
  <w:abstractNum w:abstractNumId="32" w15:restartNumberingAfterBreak="0">
    <w:nsid w:val="6FA71CA8"/>
    <w:multiLevelType w:val="hybridMultilevel"/>
    <w:tmpl w:val="168C7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123E03"/>
    <w:multiLevelType w:val="hybridMultilevel"/>
    <w:tmpl w:val="5AF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EA0489"/>
    <w:multiLevelType w:val="hybridMultilevel"/>
    <w:tmpl w:val="FA286638"/>
    <w:lvl w:ilvl="0" w:tplc="28E4F8F6">
      <w:start w:val="1"/>
      <w:numFmt w:val="decimal"/>
      <w:lvlText w:val="%1."/>
      <w:lvlJc w:val="left"/>
      <w:pPr>
        <w:ind w:left="4897" w:hanging="360"/>
      </w:pPr>
      <w:rPr>
        <w:rFonts w:ascii="Univers" w:hAnsi="Univers" w:hint="default"/>
        <w:b/>
        <w:bCs w:val="0"/>
        <w:sz w:val="26"/>
        <w:szCs w:val="26"/>
      </w:rPr>
    </w:lvl>
    <w:lvl w:ilvl="1" w:tplc="E51E34C0">
      <w:start w:val="1"/>
      <w:numFmt w:val="low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B38EBE8C">
      <w:start w:val="1"/>
      <w:numFmt w:val="lowerLetter"/>
      <w:lvlText w:val="%5."/>
      <w:lvlJc w:val="left"/>
      <w:pPr>
        <w:ind w:left="4187" w:hanging="360"/>
      </w:pPr>
      <w:rPr>
        <w:b/>
      </w:r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9B8670E"/>
    <w:multiLevelType w:val="multilevel"/>
    <w:tmpl w:val="A9106264"/>
    <w:numStyleLink w:val="Estilo4"/>
  </w:abstractNum>
  <w:num w:numId="1">
    <w:abstractNumId w:val="16"/>
  </w:num>
  <w:num w:numId="2">
    <w:abstractNumId w:val="5"/>
  </w:num>
  <w:num w:numId="3">
    <w:abstractNumId w:val="3"/>
  </w:num>
  <w:num w:numId="4">
    <w:abstractNumId w:val="24"/>
  </w:num>
  <w:num w:numId="5">
    <w:abstractNumId w:val="23"/>
  </w:num>
  <w:num w:numId="6">
    <w:abstractNumId w:val="8"/>
  </w:num>
  <w:num w:numId="7">
    <w:abstractNumId w:val="22"/>
  </w:num>
  <w:num w:numId="8">
    <w:abstractNumId w:val="35"/>
  </w:num>
  <w:num w:numId="9">
    <w:abstractNumId w:val="6"/>
  </w:num>
  <w:num w:numId="10">
    <w:abstractNumId w:val="19"/>
  </w:num>
  <w:num w:numId="11">
    <w:abstractNumId w:val="15"/>
  </w:num>
  <w:num w:numId="12">
    <w:abstractNumId w:val="12"/>
  </w:num>
  <w:num w:numId="1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5"/>
  </w:num>
  <w:num w:numId="16">
    <w:abstractNumId w:val="26"/>
  </w:num>
  <w:num w:numId="17">
    <w:abstractNumId w:val="20"/>
  </w:num>
  <w:num w:numId="18">
    <w:abstractNumId w:val="13"/>
  </w:num>
  <w:num w:numId="19">
    <w:abstractNumId w:val="34"/>
  </w:num>
  <w:num w:numId="20">
    <w:abstractNumId w:val="27"/>
  </w:num>
  <w:num w:numId="21">
    <w:abstractNumId w:val="21"/>
  </w:num>
  <w:num w:numId="22">
    <w:abstractNumId w:val="32"/>
  </w:num>
  <w:num w:numId="23">
    <w:abstractNumId w:val="0"/>
  </w:num>
  <w:num w:numId="24">
    <w:abstractNumId w:val="28"/>
  </w:num>
  <w:num w:numId="25">
    <w:abstractNumId w:val="11"/>
  </w:num>
  <w:num w:numId="26">
    <w:abstractNumId w:val="7"/>
  </w:num>
  <w:num w:numId="27">
    <w:abstractNumId w:val="30"/>
  </w:num>
  <w:num w:numId="28">
    <w:abstractNumId w:val="2"/>
  </w:num>
  <w:num w:numId="29">
    <w:abstractNumId w:val="14"/>
  </w:num>
  <w:num w:numId="30">
    <w:abstractNumId w:val="1"/>
  </w:num>
  <w:num w:numId="31">
    <w:abstractNumId w:val="33"/>
  </w:num>
  <w:num w:numId="32">
    <w:abstractNumId w:val="29"/>
  </w:num>
  <w:num w:numId="33">
    <w:abstractNumId w:val="9"/>
  </w:num>
  <w:num w:numId="34">
    <w:abstractNumId w:val="18"/>
  </w:num>
  <w:num w:numId="35">
    <w:abstractNumId w:val="17"/>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FB"/>
    <w:rsid w:val="0000242A"/>
    <w:rsid w:val="0000418A"/>
    <w:rsid w:val="0000568F"/>
    <w:rsid w:val="00006EDC"/>
    <w:rsid w:val="000104A9"/>
    <w:rsid w:val="00013365"/>
    <w:rsid w:val="000145EC"/>
    <w:rsid w:val="00014983"/>
    <w:rsid w:val="0001598A"/>
    <w:rsid w:val="000160BA"/>
    <w:rsid w:val="0002001F"/>
    <w:rsid w:val="00020B7F"/>
    <w:rsid w:val="00021DF4"/>
    <w:rsid w:val="000220B3"/>
    <w:rsid w:val="00023865"/>
    <w:rsid w:val="0002530D"/>
    <w:rsid w:val="00026A5B"/>
    <w:rsid w:val="00031F07"/>
    <w:rsid w:val="00034D9D"/>
    <w:rsid w:val="00037957"/>
    <w:rsid w:val="00040660"/>
    <w:rsid w:val="000410AA"/>
    <w:rsid w:val="000440F2"/>
    <w:rsid w:val="00044BB3"/>
    <w:rsid w:val="00046D97"/>
    <w:rsid w:val="00046EC3"/>
    <w:rsid w:val="00052D77"/>
    <w:rsid w:val="00052EC2"/>
    <w:rsid w:val="00054CFF"/>
    <w:rsid w:val="00055490"/>
    <w:rsid w:val="00057C7F"/>
    <w:rsid w:val="00057E25"/>
    <w:rsid w:val="00061860"/>
    <w:rsid w:val="00061FFA"/>
    <w:rsid w:val="000652AA"/>
    <w:rsid w:val="00065F58"/>
    <w:rsid w:val="00071886"/>
    <w:rsid w:val="0008067F"/>
    <w:rsid w:val="000831B5"/>
    <w:rsid w:val="00092123"/>
    <w:rsid w:val="000A488B"/>
    <w:rsid w:val="000B15B0"/>
    <w:rsid w:val="000B1718"/>
    <w:rsid w:val="000C37BB"/>
    <w:rsid w:val="000C4E65"/>
    <w:rsid w:val="000C6250"/>
    <w:rsid w:val="000C62FF"/>
    <w:rsid w:val="000D0DE6"/>
    <w:rsid w:val="000D1C0E"/>
    <w:rsid w:val="000D1D3B"/>
    <w:rsid w:val="000D30E0"/>
    <w:rsid w:val="000D5E1C"/>
    <w:rsid w:val="000D601A"/>
    <w:rsid w:val="000D7984"/>
    <w:rsid w:val="000D7D7E"/>
    <w:rsid w:val="000E0748"/>
    <w:rsid w:val="000E1B95"/>
    <w:rsid w:val="000E1F2B"/>
    <w:rsid w:val="000E2AFD"/>
    <w:rsid w:val="000E6DA4"/>
    <w:rsid w:val="000E7ADD"/>
    <w:rsid w:val="000F1010"/>
    <w:rsid w:val="000F4938"/>
    <w:rsid w:val="000F5E4C"/>
    <w:rsid w:val="000F77AC"/>
    <w:rsid w:val="00102741"/>
    <w:rsid w:val="00104D44"/>
    <w:rsid w:val="00111799"/>
    <w:rsid w:val="00112E50"/>
    <w:rsid w:val="00120F67"/>
    <w:rsid w:val="001243D1"/>
    <w:rsid w:val="00124798"/>
    <w:rsid w:val="0012676D"/>
    <w:rsid w:val="0013001C"/>
    <w:rsid w:val="0013113D"/>
    <w:rsid w:val="00131FC6"/>
    <w:rsid w:val="0013212E"/>
    <w:rsid w:val="001324BC"/>
    <w:rsid w:val="0013442E"/>
    <w:rsid w:val="001372E2"/>
    <w:rsid w:val="001374F6"/>
    <w:rsid w:val="001402F0"/>
    <w:rsid w:val="001409DE"/>
    <w:rsid w:val="00145AC7"/>
    <w:rsid w:val="00151D5D"/>
    <w:rsid w:val="00151FBF"/>
    <w:rsid w:val="00155C28"/>
    <w:rsid w:val="00160435"/>
    <w:rsid w:val="00161D8A"/>
    <w:rsid w:val="00162801"/>
    <w:rsid w:val="00163F10"/>
    <w:rsid w:val="00165D86"/>
    <w:rsid w:val="0016701A"/>
    <w:rsid w:val="001731E9"/>
    <w:rsid w:val="001735EC"/>
    <w:rsid w:val="001769AD"/>
    <w:rsid w:val="00176E77"/>
    <w:rsid w:val="00180AD8"/>
    <w:rsid w:val="00180DA8"/>
    <w:rsid w:val="00181D86"/>
    <w:rsid w:val="00183BD7"/>
    <w:rsid w:val="00187961"/>
    <w:rsid w:val="001920B2"/>
    <w:rsid w:val="00192F70"/>
    <w:rsid w:val="00196733"/>
    <w:rsid w:val="00196D19"/>
    <w:rsid w:val="001A1148"/>
    <w:rsid w:val="001A1330"/>
    <w:rsid w:val="001A2C1F"/>
    <w:rsid w:val="001A5388"/>
    <w:rsid w:val="001A5A3F"/>
    <w:rsid w:val="001B19F5"/>
    <w:rsid w:val="001B2A02"/>
    <w:rsid w:val="001B4D2A"/>
    <w:rsid w:val="001C18F9"/>
    <w:rsid w:val="001C2B3D"/>
    <w:rsid w:val="001C681D"/>
    <w:rsid w:val="001D0ADC"/>
    <w:rsid w:val="001D1643"/>
    <w:rsid w:val="001D1681"/>
    <w:rsid w:val="001D1D08"/>
    <w:rsid w:val="001D788F"/>
    <w:rsid w:val="001D7B0C"/>
    <w:rsid w:val="001E25E7"/>
    <w:rsid w:val="001E44D0"/>
    <w:rsid w:val="001E69D2"/>
    <w:rsid w:val="001E6E3C"/>
    <w:rsid w:val="001F3587"/>
    <w:rsid w:val="001F466A"/>
    <w:rsid w:val="001F48FB"/>
    <w:rsid w:val="001F5DCD"/>
    <w:rsid w:val="001F72C9"/>
    <w:rsid w:val="00200E48"/>
    <w:rsid w:val="00203A1E"/>
    <w:rsid w:val="00204DAF"/>
    <w:rsid w:val="00205058"/>
    <w:rsid w:val="00205869"/>
    <w:rsid w:val="00211E50"/>
    <w:rsid w:val="00213864"/>
    <w:rsid w:val="00214184"/>
    <w:rsid w:val="0021499F"/>
    <w:rsid w:val="002152A8"/>
    <w:rsid w:val="00215E92"/>
    <w:rsid w:val="00217FBE"/>
    <w:rsid w:val="00220FE5"/>
    <w:rsid w:val="00221222"/>
    <w:rsid w:val="0022221B"/>
    <w:rsid w:val="00222929"/>
    <w:rsid w:val="00223A5A"/>
    <w:rsid w:val="00226DF2"/>
    <w:rsid w:val="0022767A"/>
    <w:rsid w:val="0023015B"/>
    <w:rsid w:val="0023084D"/>
    <w:rsid w:val="00230879"/>
    <w:rsid w:val="002318D4"/>
    <w:rsid w:val="002324D6"/>
    <w:rsid w:val="00232DB9"/>
    <w:rsid w:val="00235A79"/>
    <w:rsid w:val="002367D5"/>
    <w:rsid w:val="00236B98"/>
    <w:rsid w:val="00240FBF"/>
    <w:rsid w:val="002410AD"/>
    <w:rsid w:val="00241835"/>
    <w:rsid w:val="002477DD"/>
    <w:rsid w:val="00251539"/>
    <w:rsid w:val="00255051"/>
    <w:rsid w:val="00256A25"/>
    <w:rsid w:val="002601DF"/>
    <w:rsid w:val="00262A5E"/>
    <w:rsid w:val="00264849"/>
    <w:rsid w:val="002664A9"/>
    <w:rsid w:val="00267384"/>
    <w:rsid w:val="00270C94"/>
    <w:rsid w:val="00271E5F"/>
    <w:rsid w:val="00272862"/>
    <w:rsid w:val="00274C66"/>
    <w:rsid w:val="00275B51"/>
    <w:rsid w:val="002814CA"/>
    <w:rsid w:val="00281FF3"/>
    <w:rsid w:val="002834B7"/>
    <w:rsid w:val="00285CA7"/>
    <w:rsid w:val="0028678C"/>
    <w:rsid w:val="0028738E"/>
    <w:rsid w:val="0029054B"/>
    <w:rsid w:val="00290593"/>
    <w:rsid w:val="002914C9"/>
    <w:rsid w:val="0029539D"/>
    <w:rsid w:val="002A012C"/>
    <w:rsid w:val="002A293D"/>
    <w:rsid w:val="002A551C"/>
    <w:rsid w:val="002B14C7"/>
    <w:rsid w:val="002B402B"/>
    <w:rsid w:val="002B6809"/>
    <w:rsid w:val="002B70C4"/>
    <w:rsid w:val="002C035C"/>
    <w:rsid w:val="002C0506"/>
    <w:rsid w:val="002C0D21"/>
    <w:rsid w:val="002C278D"/>
    <w:rsid w:val="002C3BB2"/>
    <w:rsid w:val="002C7FD6"/>
    <w:rsid w:val="002D4991"/>
    <w:rsid w:val="002E2679"/>
    <w:rsid w:val="002E3FBB"/>
    <w:rsid w:val="002E42F4"/>
    <w:rsid w:val="002F24B1"/>
    <w:rsid w:val="002F3D6F"/>
    <w:rsid w:val="002F5441"/>
    <w:rsid w:val="002F6FFA"/>
    <w:rsid w:val="002F7E39"/>
    <w:rsid w:val="00303196"/>
    <w:rsid w:val="0030743D"/>
    <w:rsid w:val="00310427"/>
    <w:rsid w:val="0031327B"/>
    <w:rsid w:val="00315162"/>
    <w:rsid w:val="003176F9"/>
    <w:rsid w:val="00323F0B"/>
    <w:rsid w:val="00327768"/>
    <w:rsid w:val="00333317"/>
    <w:rsid w:val="00333C15"/>
    <w:rsid w:val="00337C32"/>
    <w:rsid w:val="00341775"/>
    <w:rsid w:val="00342CB6"/>
    <w:rsid w:val="00345C8A"/>
    <w:rsid w:val="00347734"/>
    <w:rsid w:val="003515FA"/>
    <w:rsid w:val="00352926"/>
    <w:rsid w:val="00357CA8"/>
    <w:rsid w:val="00366446"/>
    <w:rsid w:val="00374478"/>
    <w:rsid w:val="00374A3E"/>
    <w:rsid w:val="00381384"/>
    <w:rsid w:val="00383D01"/>
    <w:rsid w:val="00384287"/>
    <w:rsid w:val="00392849"/>
    <w:rsid w:val="00394494"/>
    <w:rsid w:val="0039461C"/>
    <w:rsid w:val="00395046"/>
    <w:rsid w:val="00397904"/>
    <w:rsid w:val="00397DA8"/>
    <w:rsid w:val="003A14D8"/>
    <w:rsid w:val="003A1926"/>
    <w:rsid w:val="003A1AD2"/>
    <w:rsid w:val="003A5935"/>
    <w:rsid w:val="003A653A"/>
    <w:rsid w:val="003B54C1"/>
    <w:rsid w:val="003B5D2D"/>
    <w:rsid w:val="003B6BAB"/>
    <w:rsid w:val="003B7882"/>
    <w:rsid w:val="003B7EF6"/>
    <w:rsid w:val="003C0E91"/>
    <w:rsid w:val="003C15ED"/>
    <w:rsid w:val="003C44ED"/>
    <w:rsid w:val="003C5AF0"/>
    <w:rsid w:val="003C62E9"/>
    <w:rsid w:val="003C66FD"/>
    <w:rsid w:val="003C69F6"/>
    <w:rsid w:val="003C7B5C"/>
    <w:rsid w:val="003D34E6"/>
    <w:rsid w:val="003D3C2F"/>
    <w:rsid w:val="003D3DBC"/>
    <w:rsid w:val="003D5A36"/>
    <w:rsid w:val="003D61C2"/>
    <w:rsid w:val="003E13E4"/>
    <w:rsid w:val="003E2FF1"/>
    <w:rsid w:val="003E4877"/>
    <w:rsid w:val="003E51F2"/>
    <w:rsid w:val="003E539C"/>
    <w:rsid w:val="003E6234"/>
    <w:rsid w:val="003F117D"/>
    <w:rsid w:val="003F3BDE"/>
    <w:rsid w:val="003F4073"/>
    <w:rsid w:val="003F7271"/>
    <w:rsid w:val="00401314"/>
    <w:rsid w:val="0040196E"/>
    <w:rsid w:val="004021A0"/>
    <w:rsid w:val="00402C80"/>
    <w:rsid w:val="00404380"/>
    <w:rsid w:val="004044F1"/>
    <w:rsid w:val="00405BC7"/>
    <w:rsid w:val="00410AFA"/>
    <w:rsid w:val="004128DF"/>
    <w:rsid w:val="00413E6F"/>
    <w:rsid w:val="00414397"/>
    <w:rsid w:val="00414535"/>
    <w:rsid w:val="00415D49"/>
    <w:rsid w:val="00420B48"/>
    <w:rsid w:val="00421D1A"/>
    <w:rsid w:val="00422EC1"/>
    <w:rsid w:val="00422FF1"/>
    <w:rsid w:val="00423808"/>
    <w:rsid w:val="004238DE"/>
    <w:rsid w:val="00426228"/>
    <w:rsid w:val="004279F8"/>
    <w:rsid w:val="00430565"/>
    <w:rsid w:val="0043136B"/>
    <w:rsid w:val="0043200F"/>
    <w:rsid w:val="00434AC9"/>
    <w:rsid w:val="00440078"/>
    <w:rsid w:val="00442034"/>
    <w:rsid w:val="00443F08"/>
    <w:rsid w:val="0044431B"/>
    <w:rsid w:val="004454AF"/>
    <w:rsid w:val="00445977"/>
    <w:rsid w:val="00445D11"/>
    <w:rsid w:val="004508F2"/>
    <w:rsid w:val="0045187B"/>
    <w:rsid w:val="004529E4"/>
    <w:rsid w:val="004530ED"/>
    <w:rsid w:val="00453879"/>
    <w:rsid w:val="004549BE"/>
    <w:rsid w:val="00456592"/>
    <w:rsid w:val="004575A6"/>
    <w:rsid w:val="00457F87"/>
    <w:rsid w:val="004616BB"/>
    <w:rsid w:val="00461D66"/>
    <w:rsid w:val="00463020"/>
    <w:rsid w:val="004639B0"/>
    <w:rsid w:val="00464CB9"/>
    <w:rsid w:val="0046538B"/>
    <w:rsid w:val="0046542A"/>
    <w:rsid w:val="0046686C"/>
    <w:rsid w:val="0047153A"/>
    <w:rsid w:val="004728A7"/>
    <w:rsid w:val="004732EA"/>
    <w:rsid w:val="004741CA"/>
    <w:rsid w:val="00476F25"/>
    <w:rsid w:val="00483560"/>
    <w:rsid w:val="00484A7F"/>
    <w:rsid w:val="00484F35"/>
    <w:rsid w:val="00486A7B"/>
    <w:rsid w:val="00490DE2"/>
    <w:rsid w:val="00495BFC"/>
    <w:rsid w:val="00495DA1"/>
    <w:rsid w:val="00497B1F"/>
    <w:rsid w:val="00497E2F"/>
    <w:rsid w:val="004A1192"/>
    <w:rsid w:val="004A3EDE"/>
    <w:rsid w:val="004A535C"/>
    <w:rsid w:val="004B273C"/>
    <w:rsid w:val="004C0509"/>
    <w:rsid w:val="004C0C65"/>
    <w:rsid w:val="004C1211"/>
    <w:rsid w:val="004C195D"/>
    <w:rsid w:val="004C61FC"/>
    <w:rsid w:val="004D51D0"/>
    <w:rsid w:val="004D5556"/>
    <w:rsid w:val="004D6B87"/>
    <w:rsid w:val="004D79FD"/>
    <w:rsid w:val="004D7AC5"/>
    <w:rsid w:val="004E471E"/>
    <w:rsid w:val="004E4D21"/>
    <w:rsid w:val="004E6137"/>
    <w:rsid w:val="004E6558"/>
    <w:rsid w:val="004F188E"/>
    <w:rsid w:val="004F717F"/>
    <w:rsid w:val="004F7889"/>
    <w:rsid w:val="00500186"/>
    <w:rsid w:val="005012CB"/>
    <w:rsid w:val="005028D5"/>
    <w:rsid w:val="00503FE6"/>
    <w:rsid w:val="00505A40"/>
    <w:rsid w:val="00510138"/>
    <w:rsid w:val="00513A49"/>
    <w:rsid w:val="005178B4"/>
    <w:rsid w:val="00520046"/>
    <w:rsid w:val="00520934"/>
    <w:rsid w:val="00522D65"/>
    <w:rsid w:val="00525FB2"/>
    <w:rsid w:val="00526452"/>
    <w:rsid w:val="00527A5A"/>
    <w:rsid w:val="005329A2"/>
    <w:rsid w:val="00532C86"/>
    <w:rsid w:val="005339C5"/>
    <w:rsid w:val="0053527B"/>
    <w:rsid w:val="0053638F"/>
    <w:rsid w:val="00551676"/>
    <w:rsid w:val="00552B8E"/>
    <w:rsid w:val="0055382E"/>
    <w:rsid w:val="00556540"/>
    <w:rsid w:val="00557374"/>
    <w:rsid w:val="0055740B"/>
    <w:rsid w:val="005577D4"/>
    <w:rsid w:val="0056352C"/>
    <w:rsid w:val="00564670"/>
    <w:rsid w:val="00564F47"/>
    <w:rsid w:val="00565596"/>
    <w:rsid w:val="005662AD"/>
    <w:rsid w:val="00566931"/>
    <w:rsid w:val="00566A1B"/>
    <w:rsid w:val="00570164"/>
    <w:rsid w:val="005702CC"/>
    <w:rsid w:val="00571E28"/>
    <w:rsid w:val="0057324D"/>
    <w:rsid w:val="00574B8E"/>
    <w:rsid w:val="00575492"/>
    <w:rsid w:val="005754DF"/>
    <w:rsid w:val="00576B9B"/>
    <w:rsid w:val="0058059F"/>
    <w:rsid w:val="00582D42"/>
    <w:rsid w:val="00584770"/>
    <w:rsid w:val="005854ED"/>
    <w:rsid w:val="005855C0"/>
    <w:rsid w:val="00587C97"/>
    <w:rsid w:val="0059010E"/>
    <w:rsid w:val="00591CDA"/>
    <w:rsid w:val="00593BB0"/>
    <w:rsid w:val="00595D0C"/>
    <w:rsid w:val="005A7A4A"/>
    <w:rsid w:val="005B0F99"/>
    <w:rsid w:val="005B1EE1"/>
    <w:rsid w:val="005B5832"/>
    <w:rsid w:val="005C0F47"/>
    <w:rsid w:val="005C0FB3"/>
    <w:rsid w:val="005C1120"/>
    <w:rsid w:val="005C46AF"/>
    <w:rsid w:val="005D17B5"/>
    <w:rsid w:val="005D5282"/>
    <w:rsid w:val="005D697C"/>
    <w:rsid w:val="005E4FC6"/>
    <w:rsid w:val="005E51B3"/>
    <w:rsid w:val="005F0BDF"/>
    <w:rsid w:val="005F43D5"/>
    <w:rsid w:val="005F7D89"/>
    <w:rsid w:val="00610118"/>
    <w:rsid w:val="006114A9"/>
    <w:rsid w:val="00611A81"/>
    <w:rsid w:val="0061487A"/>
    <w:rsid w:val="006152EC"/>
    <w:rsid w:val="006202C1"/>
    <w:rsid w:val="00620D98"/>
    <w:rsid w:val="00620F0D"/>
    <w:rsid w:val="0062176C"/>
    <w:rsid w:val="0062326E"/>
    <w:rsid w:val="00623F25"/>
    <w:rsid w:val="0062506B"/>
    <w:rsid w:val="00625319"/>
    <w:rsid w:val="00625A61"/>
    <w:rsid w:val="00627930"/>
    <w:rsid w:val="006279B8"/>
    <w:rsid w:val="00632973"/>
    <w:rsid w:val="00634667"/>
    <w:rsid w:val="006361A5"/>
    <w:rsid w:val="00636B9E"/>
    <w:rsid w:val="00636BBB"/>
    <w:rsid w:val="00636CD0"/>
    <w:rsid w:val="0064132B"/>
    <w:rsid w:val="0064186B"/>
    <w:rsid w:val="00641937"/>
    <w:rsid w:val="00643C0D"/>
    <w:rsid w:val="0064549A"/>
    <w:rsid w:val="00646060"/>
    <w:rsid w:val="0065045E"/>
    <w:rsid w:val="00650F49"/>
    <w:rsid w:val="00651406"/>
    <w:rsid w:val="0065235B"/>
    <w:rsid w:val="006563BD"/>
    <w:rsid w:val="006601DA"/>
    <w:rsid w:val="006618E0"/>
    <w:rsid w:val="006624BB"/>
    <w:rsid w:val="0066705B"/>
    <w:rsid w:val="00672657"/>
    <w:rsid w:val="006756FF"/>
    <w:rsid w:val="00677A45"/>
    <w:rsid w:val="00680310"/>
    <w:rsid w:val="00685704"/>
    <w:rsid w:val="00685C74"/>
    <w:rsid w:val="00691180"/>
    <w:rsid w:val="006929CE"/>
    <w:rsid w:val="00695233"/>
    <w:rsid w:val="00697414"/>
    <w:rsid w:val="006A0478"/>
    <w:rsid w:val="006A1FF8"/>
    <w:rsid w:val="006A218A"/>
    <w:rsid w:val="006B4499"/>
    <w:rsid w:val="006B5EB6"/>
    <w:rsid w:val="006C3BE5"/>
    <w:rsid w:val="006C5A9B"/>
    <w:rsid w:val="006C7257"/>
    <w:rsid w:val="006D0205"/>
    <w:rsid w:val="006D0335"/>
    <w:rsid w:val="006D2680"/>
    <w:rsid w:val="006D632E"/>
    <w:rsid w:val="006D6E90"/>
    <w:rsid w:val="006E387D"/>
    <w:rsid w:val="006E47EF"/>
    <w:rsid w:val="006F02CB"/>
    <w:rsid w:val="006F1828"/>
    <w:rsid w:val="006F2AE7"/>
    <w:rsid w:val="006F2DA4"/>
    <w:rsid w:val="006F2FDE"/>
    <w:rsid w:val="006F4DB2"/>
    <w:rsid w:val="006F5551"/>
    <w:rsid w:val="006F5590"/>
    <w:rsid w:val="006F6B9C"/>
    <w:rsid w:val="007023A8"/>
    <w:rsid w:val="007029D8"/>
    <w:rsid w:val="0071338B"/>
    <w:rsid w:val="007138C6"/>
    <w:rsid w:val="00717578"/>
    <w:rsid w:val="00724074"/>
    <w:rsid w:val="00725175"/>
    <w:rsid w:val="00725B01"/>
    <w:rsid w:val="007262C5"/>
    <w:rsid w:val="00733651"/>
    <w:rsid w:val="00733948"/>
    <w:rsid w:val="00736E94"/>
    <w:rsid w:val="007377B1"/>
    <w:rsid w:val="00737A64"/>
    <w:rsid w:val="00740212"/>
    <w:rsid w:val="00740E9F"/>
    <w:rsid w:val="0074428E"/>
    <w:rsid w:val="007442B1"/>
    <w:rsid w:val="007466CB"/>
    <w:rsid w:val="00747DB6"/>
    <w:rsid w:val="007500FA"/>
    <w:rsid w:val="0075120B"/>
    <w:rsid w:val="00754DA9"/>
    <w:rsid w:val="007564E2"/>
    <w:rsid w:val="007569F6"/>
    <w:rsid w:val="0076066B"/>
    <w:rsid w:val="0076393F"/>
    <w:rsid w:val="00765E27"/>
    <w:rsid w:val="0076770D"/>
    <w:rsid w:val="00767FB7"/>
    <w:rsid w:val="00772675"/>
    <w:rsid w:val="007750FE"/>
    <w:rsid w:val="007752ED"/>
    <w:rsid w:val="00775A04"/>
    <w:rsid w:val="0078089E"/>
    <w:rsid w:val="007820B2"/>
    <w:rsid w:val="00785A1C"/>
    <w:rsid w:val="007879D5"/>
    <w:rsid w:val="0079337B"/>
    <w:rsid w:val="00797B5F"/>
    <w:rsid w:val="007A1756"/>
    <w:rsid w:val="007A28DB"/>
    <w:rsid w:val="007A54F8"/>
    <w:rsid w:val="007A5CA8"/>
    <w:rsid w:val="007B0BDC"/>
    <w:rsid w:val="007B6664"/>
    <w:rsid w:val="007C31B6"/>
    <w:rsid w:val="007C3D05"/>
    <w:rsid w:val="007D0021"/>
    <w:rsid w:val="007D08A3"/>
    <w:rsid w:val="007D21AC"/>
    <w:rsid w:val="007D3228"/>
    <w:rsid w:val="007D3A95"/>
    <w:rsid w:val="007D43A0"/>
    <w:rsid w:val="007D7F9F"/>
    <w:rsid w:val="007E1D7F"/>
    <w:rsid w:val="007E1F6B"/>
    <w:rsid w:val="007E3DDB"/>
    <w:rsid w:val="007F4377"/>
    <w:rsid w:val="00801DEC"/>
    <w:rsid w:val="00803694"/>
    <w:rsid w:val="00803EAB"/>
    <w:rsid w:val="0080673B"/>
    <w:rsid w:val="00813A33"/>
    <w:rsid w:val="0081695A"/>
    <w:rsid w:val="008200DB"/>
    <w:rsid w:val="00821844"/>
    <w:rsid w:val="00823FD9"/>
    <w:rsid w:val="00826ACB"/>
    <w:rsid w:val="00830137"/>
    <w:rsid w:val="00831299"/>
    <w:rsid w:val="0083572A"/>
    <w:rsid w:val="00836FE8"/>
    <w:rsid w:val="00837069"/>
    <w:rsid w:val="00843B70"/>
    <w:rsid w:val="0084601A"/>
    <w:rsid w:val="0084690E"/>
    <w:rsid w:val="00846CC3"/>
    <w:rsid w:val="00851DC5"/>
    <w:rsid w:val="00852C00"/>
    <w:rsid w:val="00855487"/>
    <w:rsid w:val="00862EBB"/>
    <w:rsid w:val="00865E5B"/>
    <w:rsid w:val="00867A87"/>
    <w:rsid w:val="0087282D"/>
    <w:rsid w:val="008728EB"/>
    <w:rsid w:val="00873ABE"/>
    <w:rsid w:val="00875151"/>
    <w:rsid w:val="00883824"/>
    <w:rsid w:val="00892662"/>
    <w:rsid w:val="00892861"/>
    <w:rsid w:val="008A0753"/>
    <w:rsid w:val="008A1083"/>
    <w:rsid w:val="008A1AB0"/>
    <w:rsid w:val="008A4420"/>
    <w:rsid w:val="008A5BF8"/>
    <w:rsid w:val="008B3014"/>
    <w:rsid w:val="008B4633"/>
    <w:rsid w:val="008B5AC3"/>
    <w:rsid w:val="008B66AF"/>
    <w:rsid w:val="008C0421"/>
    <w:rsid w:val="008C1610"/>
    <w:rsid w:val="008C4DF7"/>
    <w:rsid w:val="008C5FE0"/>
    <w:rsid w:val="008C6764"/>
    <w:rsid w:val="008D125F"/>
    <w:rsid w:val="008D2342"/>
    <w:rsid w:val="008D4B1A"/>
    <w:rsid w:val="008D5031"/>
    <w:rsid w:val="008D698A"/>
    <w:rsid w:val="008D73FD"/>
    <w:rsid w:val="008E1E68"/>
    <w:rsid w:val="008E2653"/>
    <w:rsid w:val="008E45D9"/>
    <w:rsid w:val="008F08CA"/>
    <w:rsid w:val="008F10D1"/>
    <w:rsid w:val="008F7499"/>
    <w:rsid w:val="009015DE"/>
    <w:rsid w:val="00903031"/>
    <w:rsid w:val="0090361B"/>
    <w:rsid w:val="00904022"/>
    <w:rsid w:val="00906439"/>
    <w:rsid w:val="0090708C"/>
    <w:rsid w:val="00910B9E"/>
    <w:rsid w:val="00911613"/>
    <w:rsid w:val="00912E26"/>
    <w:rsid w:val="00913F15"/>
    <w:rsid w:val="009144DC"/>
    <w:rsid w:val="009149D4"/>
    <w:rsid w:val="00914EC2"/>
    <w:rsid w:val="00917188"/>
    <w:rsid w:val="009256B4"/>
    <w:rsid w:val="009365C7"/>
    <w:rsid w:val="00937131"/>
    <w:rsid w:val="00937303"/>
    <w:rsid w:val="00940A2F"/>
    <w:rsid w:val="00941331"/>
    <w:rsid w:val="00943BB9"/>
    <w:rsid w:val="00945F25"/>
    <w:rsid w:val="009524E6"/>
    <w:rsid w:val="00952D6F"/>
    <w:rsid w:val="009540F8"/>
    <w:rsid w:val="0095475E"/>
    <w:rsid w:val="00955179"/>
    <w:rsid w:val="00964C7E"/>
    <w:rsid w:val="0097091F"/>
    <w:rsid w:val="0097270E"/>
    <w:rsid w:val="00973E04"/>
    <w:rsid w:val="00974046"/>
    <w:rsid w:val="009748F1"/>
    <w:rsid w:val="00980050"/>
    <w:rsid w:val="00981065"/>
    <w:rsid w:val="00984B3B"/>
    <w:rsid w:val="00984E0C"/>
    <w:rsid w:val="009860BF"/>
    <w:rsid w:val="009865F4"/>
    <w:rsid w:val="009910E5"/>
    <w:rsid w:val="009939F3"/>
    <w:rsid w:val="00994909"/>
    <w:rsid w:val="00994B67"/>
    <w:rsid w:val="00997AB2"/>
    <w:rsid w:val="009A3B4A"/>
    <w:rsid w:val="009A58FA"/>
    <w:rsid w:val="009A6287"/>
    <w:rsid w:val="009B2058"/>
    <w:rsid w:val="009B4BB4"/>
    <w:rsid w:val="009B5BAE"/>
    <w:rsid w:val="009B6C4F"/>
    <w:rsid w:val="009B7BC9"/>
    <w:rsid w:val="009C192B"/>
    <w:rsid w:val="009C1BC0"/>
    <w:rsid w:val="009C36FC"/>
    <w:rsid w:val="009C608F"/>
    <w:rsid w:val="009D3A7E"/>
    <w:rsid w:val="009D4F02"/>
    <w:rsid w:val="009D5CA9"/>
    <w:rsid w:val="009D66E4"/>
    <w:rsid w:val="009D7EF4"/>
    <w:rsid w:val="009E0C39"/>
    <w:rsid w:val="009E588A"/>
    <w:rsid w:val="009E5D17"/>
    <w:rsid w:val="009E5DCE"/>
    <w:rsid w:val="009E5F20"/>
    <w:rsid w:val="009E62A7"/>
    <w:rsid w:val="009E6421"/>
    <w:rsid w:val="009E74AC"/>
    <w:rsid w:val="009E789F"/>
    <w:rsid w:val="009E7EE9"/>
    <w:rsid w:val="00A02124"/>
    <w:rsid w:val="00A0320E"/>
    <w:rsid w:val="00A058E9"/>
    <w:rsid w:val="00A104FE"/>
    <w:rsid w:val="00A13C05"/>
    <w:rsid w:val="00A20C82"/>
    <w:rsid w:val="00A21553"/>
    <w:rsid w:val="00A23CBC"/>
    <w:rsid w:val="00A24B00"/>
    <w:rsid w:val="00A24BD5"/>
    <w:rsid w:val="00A24C00"/>
    <w:rsid w:val="00A24F7B"/>
    <w:rsid w:val="00A263B7"/>
    <w:rsid w:val="00A278D6"/>
    <w:rsid w:val="00A33817"/>
    <w:rsid w:val="00A366D0"/>
    <w:rsid w:val="00A36FFB"/>
    <w:rsid w:val="00A42C41"/>
    <w:rsid w:val="00A4734F"/>
    <w:rsid w:val="00A47935"/>
    <w:rsid w:val="00A47B72"/>
    <w:rsid w:val="00A47F1B"/>
    <w:rsid w:val="00A51A85"/>
    <w:rsid w:val="00A61DB1"/>
    <w:rsid w:val="00A63AFC"/>
    <w:rsid w:val="00A646E5"/>
    <w:rsid w:val="00A665E1"/>
    <w:rsid w:val="00A67026"/>
    <w:rsid w:val="00A7090F"/>
    <w:rsid w:val="00A7154C"/>
    <w:rsid w:val="00A71CEA"/>
    <w:rsid w:val="00A7706A"/>
    <w:rsid w:val="00A81063"/>
    <w:rsid w:val="00A902E6"/>
    <w:rsid w:val="00A90BED"/>
    <w:rsid w:val="00A90E05"/>
    <w:rsid w:val="00A924E0"/>
    <w:rsid w:val="00A953E5"/>
    <w:rsid w:val="00A96F3A"/>
    <w:rsid w:val="00A972A4"/>
    <w:rsid w:val="00A97B9A"/>
    <w:rsid w:val="00AA1DCC"/>
    <w:rsid w:val="00AA2092"/>
    <w:rsid w:val="00AA34D3"/>
    <w:rsid w:val="00AA36A7"/>
    <w:rsid w:val="00AB048E"/>
    <w:rsid w:val="00AB170F"/>
    <w:rsid w:val="00AB179E"/>
    <w:rsid w:val="00AB2D1A"/>
    <w:rsid w:val="00AB5FA6"/>
    <w:rsid w:val="00AC0F79"/>
    <w:rsid w:val="00AC101B"/>
    <w:rsid w:val="00AC1B0E"/>
    <w:rsid w:val="00AC1CB6"/>
    <w:rsid w:val="00AC1FBB"/>
    <w:rsid w:val="00AC4365"/>
    <w:rsid w:val="00AC6561"/>
    <w:rsid w:val="00AC71F7"/>
    <w:rsid w:val="00AC735E"/>
    <w:rsid w:val="00AD081B"/>
    <w:rsid w:val="00AD1AA4"/>
    <w:rsid w:val="00AD3041"/>
    <w:rsid w:val="00AD361D"/>
    <w:rsid w:val="00AD499F"/>
    <w:rsid w:val="00AD52D9"/>
    <w:rsid w:val="00AD6AA8"/>
    <w:rsid w:val="00AE4BD3"/>
    <w:rsid w:val="00AE6EC3"/>
    <w:rsid w:val="00AF045F"/>
    <w:rsid w:val="00AF49EC"/>
    <w:rsid w:val="00AF6013"/>
    <w:rsid w:val="00B00BD5"/>
    <w:rsid w:val="00B04656"/>
    <w:rsid w:val="00B06668"/>
    <w:rsid w:val="00B06E13"/>
    <w:rsid w:val="00B1151D"/>
    <w:rsid w:val="00B1380F"/>
    <w:rsid w:val="00B156D8"/>
    <w:rsid w:val="00B15FE3"/>
    <w:rsid w:val="00B21FC7"/>
    <w:rsid w:val="00B25929"/>
    <w:rsid w:val="00B3312C"/>
    <w:rsid w:val="00B35AA4"/>
    <w:rsid w:val="00B368E7"/>
    <w:rsid w:val="00B37C39"/>
    <w:rsid w:val="00B42ED5"/>
    <w:rsid w:val="00B45B45"/>
    <w:rsid w:val="00B4656A"/>
    <w:rsid w:val="00B472CE"/>
    <w:rsid w:val="00B5064F"/>
    <w:rsid w:val="00B51115"/>
    <w:rsid w:val="00B53970"/>
    <w:rsid w:val="00B5511E"/>
    <w:rsid w:val="00B55E65"/>
    <w:rsid w:val="00B613A8"/>
    <w:rsid w:val="00B62433"/>
    <w:rsid w:val="00B6326F"/>
    <w:rsid w:val="00B6382E"/>
    <w:rsid w:val="00B645B1"/>
    <w:rsid w:val="00B661ED"/>
    <w:rsid w:val="00B67673"/>
    <w:rsid w:val="00B728E4"/>
    <w:rsid w:val="00B73CD3"/>
    <w:rsid w:val="00B75BA6"/>
    <w:rsid w:val="00B76572"/>
    <w:rsid w:val="00B76E1B"/>
    <w:rsid w:val="00B81E61"/>
    <w:rsid w:val="00B828DA"/>
    <w:rsid w:val="00B8356E"/>
    <w:rsid w:val="00B84754"/>
    <w:rsid w:val="00B84AC0"/>
    <w:rsid w:val="00B84F28"/>
    <w:rsid w:val="00B911C6"/>
    <w:rsid w:val="00B91693"/>
    <w:rsid w:val="00B92078"/>
    <w:rsid w:val="00B94B11"/>
    <w:rsid w:val="00B966FC"/>
    <w:rsid w:val="00BA4294"/>
    <w:rsid w:val="00BA4D6C"/>
    <w:rsid w:val="00BA68B4"/>
    <w:rsid w:val="00BB0F85"/>
    <w:rsid w:val="00BB4894"/>
    <w:rsid w:val="00BB5187"/>
    <w:rsid w:val="00BC0D33"/>
    <w:rsid w:val="00BC325E"/>
    <w:rsid w:val="00BC56AF"/>
    <w:rsid w:val="00BC6648"/>
    <w:rsid w:val="00BD2E7C"/>
    <w:rsid w:val="00BD45AE"/>
    <w:rsid w:val="00BE05C1"/>
    <w:rsid w:val="00BE0773"/>
    <w:rsid w:val="00BE2E39"/>
    <w:rsid w:val="00BE4D6F"/>
    <w:rsid w:val="00BF1AE7"/>
    <w:rsid w:val="00BF2989"/>
    <w:rsid w:val="00BF3368"/>
    <w:rsid w:val="00BF45E6"/>
    <w:rsid w:val="00C002F4"/>
    <w:rsid w:val="00C00D83"/>
    <w:rsid w:val="00C0751D"/>
    <w:rsid w:val="00C07F04"/>
    <w:rsid w:val="00C07F25"/>
    <w:rsid w:val="00C112F5"/>
    <w:rsid w:val="00C11BC1"/>
    <w:rsid w:val="00C23AA2"/>
    <w:rsid w:val="00C24153"/>
    <w:rsid w:val="00C25338"/>
    <w:rsid w:val="00C342A6"/>
    <w:rsid w:val="00C34739"/>
    <w:rsid w:val="00C3646E"/>
    <w:rsid w:val="00C36625"/>
    <w:rsid w:val="00C3736A"/>
    <w:rsid w:val="00C40DEA"/>
    <w:rsid w:val="00C4104D"/>
    <w:rsid w:val="00C42CD6"/>
    <w:rsid w:val="00C434B6"/>
    <w:rsid w:val="00C5088E"/>
    <w:rsid w:val="00C5566D"/>
    <w:rsid w:val="00C664AF"/>
    <w:rsid w:val="00C70E7F"/>
    <w:rsid w:val="00C71E7F"/>
    <w:rsid w:val="00C72F6D"/>
    <w:rsid w:val="00C750FB"/>
    <w:rsid w:val="00C7677F"/>
    <w:rsid w:val="00C806F0"/>
    <w:rsid w:val="00C810DF"/>
    <w:rsid w:val="00C82C6B"/>
    <w:rsid w:val="00C83BDA"/>
    <w:rsid w:val="00C86F10"/>
    <w:rsid w:val="00C90EDB"/>
    <w:rsid w:val="00C92205"/>
    <w:rsid w:val="00C93E58"/>
    <w:rsid w:val="00CA212D"/>
    <w:rsid w:val="00CA67B1"/>
    <w:rsid w:val="00CB4C43"/>
    <w:rsid w:val="00CB78E3"/>
    <w:rsid w:val="00CC29FD"/>
    <w:rsid w:val="00CC605F"/>
    <w:rsid w:val="00CC63F2"/>
    <w:rsid w:val="00CC7D56"/>
    <w:rsid w:val="00CD23DB"/>
    <w:rsid w:val="00CD41D1"/>
    <w:rsid w:val="00CD7942"/>
    <w:rsid w:val="00CD7C89"/>
    <w:rsid w:val="00CE06D0"/>
    <w:rsid w:val="00CE0785"/>
    <w:rsid w:val="00CE249D"/>
    <w:rsid w:val="00CE44DC"/>
    <w:rsid w:val="00CE5340"/>
    <w:rsid w:val="00CF0E8D"/>
    <w:rsid w:val="00CF1409"/>
    <w:rsid w:val="00CF20FA"/>
    <w:rsid w:val="00CF269B"/>
    <w:rsid w:val="00CF4090"/>
    <w:rsid w:val="00CF7D77"/>
    <w:rsid w:val="00D00DFF"/>
    <w:rsid w:val="00D01157"/>
    <w:rsid w:val="00D0198A"/>
    <w:rsid w:val="00D07ECE"/>
    <w:rsid w:val="00D14DE7"/>
    <w:rsid w:val="00D15631"/>
    <w:rsid w:val="00D16D4E"/>
    <w:rsid w:val="00D21AC5"/>
    <w:rsid w:val="00D24A09"/>
    <w:rsid w:val="00D24F8B"/>
    <w:rsid w:val="00D25E0B"/>
    <w:rsid w:val="00D34CC5"/>
    <w:rsid w:val="00D41C42"/>
    <w:rsid w:val="00D4554D"/>
    <w:rsid w:val="00D47A15"/>
    <w:rsid w:val="00D47C45"/>
    <w:rsid w:val="00D50472"/>
    <w:rsid w:val="00D5344B"/>
    <w:rsid w:val="00D53AB8"/>
    <w:rsid w:val="00D54AC8"/>
    <w:rsid w:val="00D54E27"/>
    <w:rsid w:val="00D55585"/>
    <w:rsid w:val="00D6034C"/>
    <w:rsid w:val="00D62F52"/>
    <w:rsid w:val="00D65C76"/>
    <w:rsid w:val="00D7251A"/>
    <w:rsid w:val="00D730D6"/>
    <w:rsid w:val="00D745AA"/>
    <w:rsid w:val="00D74B62"/>
    <w:rsid w:val="00D8042F"/>
    <w:rsid w:val="00D80A68"/>
    <w:rsid w:val="00D80B4F"/>
    <w:rsid w:val="00D8179A"/>
    <w:rsid w:val="00D81DF5"/>
    <w:rsid w:val="00D868FC"/>
    <w:rsid w:val="00D92F93"/>
    <w:rsid w:val="00D94A87"/>
    <w:rsid w:val="00D94DAB"/>
    <w:rsid w:val="00DA2AB4"/>
    <w:rsid w:val="00DB1516"/>
    <w:rsid w:val="00DB5355"/>
    <w:rsid w:val="00DB565F"/>
    <w:rsid w:val="00DC1D47"/>
    <w:rsid w:val="00DC21B7"/>
    <w:rsid w:val="00DD0AF0"/>
    <w:rsid w:val="00DD4415"/>
    <w:rsid w:val="00DD47E9"/>
    <w:rsid w:val="00DD7BE7"/>
    <w:rsid w:val="00DD7C53"/>
    <w:rsid w:val="00DD7D68"/>
    <w:rsid w:val="00DE16DC"/>
    <w:rsid w:val="00DE3076"/>
    <w:rsid w:val="00DE3343"/>
    <w:rsid w:val="00DE5D62"/>
    <w:rsid w:val="00DE61A5"/>
    <w:rsid w:val="00DE69E3"/>
    <w:rsid w:val="00DF1383"/>
    <w:rsid w:val="00DF1E31"/>
    <w:rsid w:val="00DF39AF"/>
    <w:rsid w:val="00DF4E99"/>
    <w:rsid w:val="00DF53BA"/>
    <w:rsid w:val="00DF5467"/>
    <w:rsid w:val="00E01209"/>
    <w:rsid w:val="00E0652F"/>
    <w:rsid w:val="00E11BF5"/>
    <w:rsid w:val="00E12DFA"/>
    <w:rsid w:val="00E1317A"/>
    <w:rsid w:val="00E17D8D"/>
    <w:rsid w:val="00E20A5E"/>
    <w:rsid w:val="00E22254"/>
    <w:rsid w:val="00E2226D"/>
    <w:rsid w:val="00E22832"/>
    <w:rsid w:val="00E229B6"/>
    <w:rsid w:val="00E235D4"/>
    <w:rsid w:val="00E25B5A"/>
    <w:rsid w:val="00E30EFA"/>
    <w:rsid w:val="00E35113"/>
    <w:rsid w:val="00E41F7C"/>
    <w:rsid w:val="00E453DC"/>
    <w:rsid w:val="00E47A62"/>
    <w:rsid w:val="00E5085E"/>
    <w:rsid w:val="00E50949"/>
    <w:rsid w:val="00E51500"/>
    <w:rsid w:val="00E57825"/>
    <w:rsid w:val="00E607E6"/>
    <w:rsid w:val="00E62B4E"/>
    <w:rsid w:val="00E64770"/>
    <w:rsid w:val="00E65C7E"/>
    <w:rsid w:val="00E746D6"/>
    <w:rsid w:val="00E75985"/>
    <w:rsid w:val="00E827D3"/>
    <w:rsid w:val="00E83D14"/>
    <w:rsid w:val="00E85C67"/>
    <w:rsid w:val="00E879FE"/>
    <w:rsid w:val="00EA1219"/>
    <w:rsid w:val="00EA1A94"/>
    <w:rsid w:val="00EA1CAC"/>
    <w:rsid w:val="00EA3E83"/>
    <w:rsid w:val="00EA5038"/>
    <w:rsid w:val="00EA634C"/>
    <w:rsid w:val="00EA7D3C"/>
    <w:rsid w:val="00EB1BDC"/>
    <w:rsid w:val="00EB274A"/>
    <w:rsid w:val="00EB2D7B"/>
    <w:rsid w:val="00EC18BA"/>
    <w:rsid w:val="00EC1E20"/>
    <w:rsid w:val="00EC2598"/>
    <w:rsid w:val="00EC377A"/>
    <w:rsid w:val="00EC4EA9"/>
    <w:rsid w:val="00EC5332"/>
    <w:rsid w:val="00EC53C5"/>
    <w:rsid w:val="00EC57B0"/>
    <w:rsid w:val="00EC6887"/>
    <w:rsid w:val="00EC77CD"/>
    <w:rsid w:val="00ED01D6"/>
    <w:rsid w:val="00ED1300"/>
    <w:rsid w:val="00ED1B2B"/>
    <w:rsid w:val="00ED3253"/>
    <w:rsid w:val="00ED3E54"/>
    <w:rsid w:val="00ED4AD3"/>
    <w:rsid w:val="00ED7A62"/>
    <w:rsid w:val="00EE325B"/>
    <w:rsid w:val="00EE5909"/>
    <w:rsid w:val="00EE5F0A"/>
    <w:rsid w:val="00EE6437"/>
    <w:rsid w:val="00EE6F78"/>
    <w:rsid w:val="00EF4CCB"/>
    <w:rsid w:val="00EF714D"/>
    <w:rsid w:val="00EF7898"/>
    <w:rsid w:val="00F0014E"/>
    <w:rsid w:val="00F00209"/>
    <w:rsid w:val="00F0110F"/>
    <w:rsid w:val="00F013E9"/>
    <w:rsid w:val="00F0375A"/>
    <w:rsid w:val="00F0477F"/>
    <w:rsid w:val="00F07489"/>
    <w:rsid w:val="00F13C60"/>
    <w:rsid w:val="00F23508"/>
    <w:rsid w:val="00F23FF5"/>
    <w:rsid w:val="00F24286"/>
    <w:rsid w:val="00F364C2"/>
    <w:rsid w:val="00F37075"/>
    <w:rsid w:val="00F404D8"/>
    <w:rsid w:val="00F4221D"/>
    <w:rsid w:val="00F428C0"/>
    <w:rsid w:val="00F44C20"/>
    <w:rsid w:val="00F45699"/>
    <w:rsid w:val="00F45A0E"/>
    <w:rsid w:val="00F47482"/>
    <w:rsid w:val="00F51ADA"/>
    <w:rsid w:val="00F52287"/>
    <w:rsid w:val="00F55AB0"/>
    <w:rsid w:val="00F56653"/>
    <w:rsid w:val="00F56F2A"/>
    <w:rsid w:val="00F62408"/>
    <w:rsid w:val="00F72A79"/>
    <w:rsid w:val="00F744F1"/>
    <w:rsid w:val="00F76F8B"/>
    <w:rsid w:val="00F80D25"/>
    <w:rsid w:val="00F824B8"/>
    <w:rsid w:val="00F8392C"/>
    <w:rsid w:val="00F83961"/>
    <w:rsid w:val="00F873E4"/>
    <w:rsid w:val="00F87B33"/>
    <w:rsid w:val="00F900F5"/>
    <w:rsid w:val="00F9065C"/>
    <w:rsid w:val="00F9288A"/>
    <w:rsid w:val="00F9421A"/>
    <w:rsid w:val="00F942C1"/>
    <w:rsid w:val="00F94ECA"/>
    <w:rsid w:val="00F95E18"/>
    <w:rsid w:val="00FA380F"/>
    <w:rsid w:val="00FA3A80"/>
    <w:rsid w:val="00FA4931"/>
    <w:rsid w:val="00FA77FE"/>
    <w:rsid w:val="00FB27F7"/>
    <w:rsid w:val="00FB2A29"/>
    <w:rsid w:val="00FB2E6D"/>
    <w:rsid w:val="00FB300D"/>
    <w:rsid w:val="00FB4AEA"/>
    <w:rsid w:val="00FC13B8"/>
    <w:rsid w:val="00FC1736"/>
    <w:rsid w:val="00FC3B08"/>
    <w:rsid w:val="00FC433E"/>
    <w:rsid w:val="00FD0B44"/>
    <w:rsid w:val="00FD20DA"/>
    <w:rsid w:val="00FD30B4"/>
    <w:rsid w:val="00FD7335"/>
    <w:rsid w:val="00FD783D"/>
    <w:rsid w:val="00FE1323"/>
    <w:rsid w:val="00FE276D"/>
    <w:rsid w:val="00FE5804"/>
    <w:rsid w:val="00FE582F"/>
    <w:rsid w:val="00FE642B"/>
    <w:rsid w:val="00FE6840"/>
    <w:rsid w:val="00FE68ED"/>
    <w:rsid w:val="00FF1841"/>
    <w:rsid w:val="00FF208B"/>
    <w:rsid w:val="00FF2CB9"/>
    <w:rsid w:val="00FF5C3E"/>
    <w:rsid w:val="00FF7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16D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FFB"/>
  </w:style>
  <w:style w:type="paragraph" w:styleId="Ttulo1">
    <w:name w:val="heading 1"/>
    <w:basedOn w:val="Normal"/>
    <w:next w:val="Normal"/>
    <w:link w:val="Ttulo1Car"/>
    <w:uiPriority w:val="9"/>
    <w:qFormat/>
    <w:rsid w:val="00986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C6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618E0"/>
    <w:pPr>
      <w:keepNext/>
      <w:keepLines/>
      <w:spacing w:before="40" w:after="0" w:line="240" w:lineRule="auto"/>
      <w:outlineLvl w:val="2"/>
    </w:pPr>
    <w:rPr>
      <w:rFonts w:ascii="Arial" w:eastAsiaTheme="majorEastAsia" w:hAnsi="Arial" w:cstheme="majorBidi"/>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6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FFB"/>
  </w:style>
  <w:style w:type="paragraph" w:styleId="Piedepgina">
    <w:name w:val="footer"/>
    <w:basedOn w:val="Normal"/>
    <w:link w:val="PiedepginaCar"/>
    <w:uiPriority w:val="99"/>
    <w:unhideWhenUsed/>
    <w:rsid w:val="00A36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FFB"/>
  </w:style>
  <w:style w:type="character" w:customStyle="1" w:styleId="Ttulo1Car">
    <w:name w:val="Título 1 Car"/>
    <w:basedOn w:val="Fuentedeprrafopredeter"/>
    <w:link w:val="Ttulo1"/>
    <w:uiPriority w:val="9"/>
    <w:rsid w:val="009860BF"/>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860BF"/>
    <w:pPr>
      <w:outlineLvl w:val="9"/>
    </w:pPr>
    <w:rPr>
      <w:lang w:eastAsia="es-MX"/>
    </w:rPr>
  </w:style>
  <w:style w:type="paragraph" w:styleId="TDC2">
    <w:name w:val="toc 2"/>
    <w:basedOn w:val="Normal"/>
    <w:next w:val="Normal"/>
    <w:autoRedefine/>
    <w:uiPriority w:val="39"/>
    <w:unhideWhenUsed/>
    <w:rsid w:val="000E1F2B"/>
    <w:pPr>
      <w:spacing w:after="100"/>
      <w:ind w:left="216"/>
    </w:pPr>
    <w:rPr>
      <w:rFonts w:eastAsiaTheme="minorEastAsia" w:cs="Times New Roman"/>
      <w:lang w:eastAsia="es-MX"/>
    </w:rPr>
  </w:style>
  <w:style w:type="paragraph" w:styleId="TDC1">
    <w:name w:val="toc 1"/>
    <w:basedOn w:val="Normal"/>
    <w:next w:val="Normal"/>
    <w:autoRedefine/>
    <w:uiPriority w:val="39"/>
    <w:unhideWhenUsed/>
    <w:rsid w:val="000E1F2B"/>
    <w:pPr>
      <w:numPr>
        <w:numId w:val="2"/>
      </w:numPr>
      <w:spacing w:after="100"/>
    </w:pPr>
    <w:rPr>
      <w:rFonts w:ascii="Arial" w:hAnsi="Arial" w:cs="Arial"/>
      <w:b/>
      <w:bCs/>
      <w:caps/>
      <w:sz w:val="24"/>
      <w:szCs w:val="24"/>
      <w:lang w:val="es-ES"/>
    </w:rPr>
  </w:style>
  <w:style w:type="paragraph" w:styleId="TDC3">
    <w:name w:val="toc 3"/>
    <w:basedOn w:val="Normal"/>
    <w:next w:val="Normal"/>
    <w:autoRedefine/>
    <w:uiPriority w:val="39"/>
    <w:unhideWhenUsed/>
    <w:rsid w:val="000E1F2B"/>
    <w:pPr>
      <w:numPr>
        <w:ilvl w:val="1"/>
        <w:numId w:val="1"/>
      </w:numPr>
      <w:spacing w:after="100"/>
    </w:pPr>
    <w:rPr>
      <w:rFonts w:eastAsiaTheme="minorEastAsia" w:cs="Times New Roman"/>
      <w:lang w:eastAsia="es-MX"/>
    </w:rPr>
  </w:style>
  <w:style w:type="table" w:styleId="Tablaconcuadrcula">
    <w:name w:val="Table Grid"/>
    <w:basedOn w:val="Tablanormal"/>
    <w:uiPriority w:val="39"/>
    <w:rsid w:val="0097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Lista vistosa - Énfasis 11,Cuadrícula media 1 - Énfasis 21,List Paragraph-Thesis,Cita texto,Footnote,Cuadrícula media 1 - Énfasis 211,Listas,List Paragraph2"/>
    <w:basedOn w:val="Normal"/>
    <w:link w:val="PrrafodelistaCar"/>
    <w:uiPriority w:val="34"/>
    <w:qFormat/>
    <w:rsid w:val="004A1192"/>
    <w:pPr>
      <w:ind w:left="720"/>
      <w:contextualSpacing/>
    </w:pPr>
  </w:style>
  <w:style w:type="paragraph" w:styleId="Textodeglobo">
    <w:name w:val="Balloon Text"/>
    <w:basedOn w:val="Normal"/>
    <w:link w:val="TextodegloboCar"/>
    <w:uiPriority w:val="99"/>
    <w:semiHidden/>
    <w:unhideWhenUsed/>
    <w:rsid w:val="00DF5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467"/>
    <w:rPr>
      <w:rFonts w:ascii="Segoe UI" w:hAnsi="Segoe UI" w:cs="Segoe UI"/>
      <w:sz w:val="18"/>
      <w:szCs w:val="18"/>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625319"/>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625319"/>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625319"/>
    <w:rPr>
      <w:vertAlign w:val="superscript"/>
    </w:rPr>
  </w:style>
  <w:style w:type="character" w:styleId="Refdecomentario">
    <w:name w:val="annotation reference"/>
    <w:basedOn w:val="Fuentedeprrafopredeter"/>
    <w:uiPriority w:val="99"/>
    <w:semiHidden/>
    <w:unhideWhenUsed/>
    <w:rsid w:val="00333C15"/>
    <w:rPr>
      <w:sz w:val="16"/>
      <w:szCs w:val="16"/>
    </w:rPr>
  </w:style>
  <w:style w:type="paragraph" w:styleId="Textocomentario">
    <w:name w:val="annotation text"/>
    <w:basedOn w:val="Normal"/>
    <w:link w:val="TextocomentarioCar"/>
    <w:uiPriority w:val="99"/>
    <w:unhideWhenUsed/>
    <w:rsid w:val="00333C15"/>
    <w:pPr>
      <w:spacing w:line="240" w:lineRule="auto"/>
    </w:pPr>
    <w:rPr>
      <w:sz w:val="20"/>
      <w:szCs w:val="20"/>
    </w:rPr>
  </w:style>
  <w:style w:type="character" w:customStyle="1" w:styleId="TextocomentarioCar">
    <w:name w:val="Texto comentario Car"/>
    <w:basedOn w:val="Fuentedeprrafopredeter"/>
    <w:link w:val="Textocomentario"/>
    <w:uiPriority w:val="99"/>
    <w:rsid w:val="00333C15"/>
    <w:rPr>
      <w:sz w:val="20"/>
      <w:szCs w:val="20"/>
    </w:rPr>
  </w:style>
  <w:style w:type="paragraph" w:styleId="Asuntodelcomentario">
    <w:name w:val="annotation subject"/>
    <w:basedOn w:val="Textocomentario"/>
    <w:next w:val="Textocomentario"/>
    <w:link w:val="AsuntodelcomentarioCar"/>
    <w:uiPriority w:val="99"/>
    <w:semiHidden/>
    <w:unhideWhenUsed/>
    <w:rsid w:val="00333C15"/>
    <w:rPr>
      <w:b/>
      <w:bCs/>
    </w:rPr>
  </w:style>
  <w:style w:type="character" w:customStyle="1" w:styleId="AsuntodelcomentarioCar">
    <w:name w:val="Asunto del comentario Car"/>
    <w:basedOn w:val="TextocomentarioCar"/>
    <w:link w:val="Asuntodelcomentario"/>
    <w:uiPriority w:val="99"/>
    <w:semiHidden/>
    <w:rsid w:val="00333C15"/>
    <w:rPr>
      <w:b/>
      <w:bCs/>
      <w:sz w:val="20"/>
      <w:szCs w:val="20"/>
    </w:rPr>
  </w:style>
  <w:style w:type="character" w:styleId="Hipervnculo">
    <w:name w:val="Hyperlink"/>
    <w:basedOn w:val="Fuentedeprrafopredeter"/>
    <w:uiPriority w:val="99"/>
    <w:unhideWhenUsed/>
    <w:rsid w:val="00DC1D47"/>
    <w:rPr>
      <w:color w:val="0563C1" w:themeColor="hyperlink"/>
      <w:u w:val="single"/>
    </w:rPr>
  </w:style>
  <w:style w:type="character" w:styleId="Mencinsinresolver">
    <w:name w:val="Unresolved Mention"/>
    <w:basedOn w:val="Fuentedeprrafopredeter"/>
    <w:uiPriority w:val="99"/>
    <w:semiHidden/>
    <w:unhideWhenUsed/>
    <w:rsid w:val="00DC1D47"/>
    <w:rPr>
      <w:color w:val="605E5C"/>
      <w:shd w:val="clear" w:color="auto" w:fill="E1DFDD"/>
    </w:rPr>
  </w:style>
  <w:style w:type="paragraph" w:styleId="Revisin">
    <w:name w:val="Revision"/>
    <w:hidden/>
    <w:uiPriority w:val="99"/>
    <w:semiHidden/>
    <w:rsid w:val="00131FC6"/>
    <w:pPr>
      <w:spacing w:after="0" w:line="240" w:lineRule="auto"/>
    </w:pPr>
  </w:style>
  <w:style w:type="character" w:customStyle="1" w:styleId="Ttulo3Car">
    <w:name w:val="Título 3 Car"/>
    <w:basedOn w:val="Fuentedeprrafopredeter"/>
    <w:link w:val="Ttulo3"/>
    <w:uiPriority w:val="9"/>
    <w:rsid w:val="006618E0"/>
    <w:rPr>
      <w:rFonts w:ascii="Arial" w:eastAsiaTheme="majorEastAsia" w:hAnsi="Arial" w:cstheme="majorBidi"/>
      <w:b/>
      <w:sz w:val="24"/>
      <w:szCs w:val="24"/>
      <w:lang w:val="es-ES" w:eastAsia="es-ES"/>
    </w:rPr>
  </w:style>
  <w:style w:type="paragraph" w:customStyle="1" w:styleId="Cuerpo">
    <w:name w:val="Cuerpo"/>
    <w:qFormat/>
    <w:rsid w:val="00955179"/>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ableParagraph">
    <w:name w:val="Table Paragraph"/>
    <w:basedOn w:val="Normal"/>
    <w:uiPriority w:val="1"/>
    <w:qFormat/>
    <w:rsid w:val="00FE276D"/>
    <w:pPr>
      <w:widowControl w:val="0"/>
      <w:spacing w:after="0" w:line="240" w:lineRule="auto"/>
    </w:pPr>
    <w:rPr>
      <w:lang w:val="en-US"/>
    </w:rPr>
  </w:style>
  <w:style w:type="table" w:styleId="Tablaconcuadrculaclara">
    <w:name w:val="Grid Table Light"/>
    <w:basedOn w:val="Tablanormal"/>
    <w:uiPriority w:val="40"/>
    <w:rsid w:val="00FE27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9C60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9C608F"/>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C608F"/>
    <w:pPr>
      <w:spacing w:after="0" w:line="240" w:lineRule="auto"/>
      <w:jc w:val="both"/>
    </w:pPr>
    <w:rPr>
      <w:vertAlign w:val="superscript"/>
    </w:rPr>
  </w:style>
  <w:style w:type="character" w:customStyle="1" w:styleId="Ttulo2Car">
    <w:name w:val="Título 2 Car"/>
    <w:basedOn w:val="Fuentedeprrafopredeter"/>
    <w:link w:val="Ttulo2"/>
    <w:uiPriority w:val="9"/>
    <w:rsid w:val="009C608F"/>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basedOn w:val="Fuentedeprrafopredeter"/>
    <w:link w:val="Prrafodelista"/>
    <w:uiPriority w:val="34"/>
    <w:qFormat/>
    <w:locked/>
    <w:rsid w:val="009E0C39"/>
  </w:style>
  <w:style w:type="character" w:customStyle="1" w:styleId="PRRAFOSENTENCIACar">
    <w:name w:val="PÁRRAFO SENTENCIA Car"/>
    <w:basedOn w:val="Fuentedeprrafopredeter"/>
    <w:link w:val="PRRAFOSENTENCIA"/>
    <w:locked/>
    <w:rsid w:val="009E0C39"/>
    <w:rPr>
      <w:rFonts w:ascii="Arial" w:hAnsi="Arial" w:cs="Arial"/>
      <w:sz w:val="26"/>
      <w:szCs w:val="28"/>
      <w:lang w:val="it-IT"/>
    </w:rPr>
  </w:style>
  <w:style w:type="paragraph" w:customStyle="1" w:styleId="PRRAFOSENTENCIA">
    <w:name w:val="PÁRRAFO SENTENCIA"/>
    <w:basedOn w:val="Normal"/>
    <w:link w:val="PRRAFOSENTENCIACar"/>
    <w:qFormat/>
    <w:rsid w:val="009E0C39"/>
    <w:pPr>
      <w:spacing w:before="360" w:after="360" w:line="360" w:lineRule="auto"/>
      <w:ind w:firstLine="1418"/>
      <w:jc w:val="both"/>
    </w:pPr>
    <w:rPr>
      <w:rFonts w:ascii="Arial" w:hAnsi="Arial" w:cs="Arial"/>
      <w:sz w:val="26"/>
      <w:szCs w:val="28"/>
      <w:lang w:val="it-IT"/>
    </w:rPr>
  </w:style>
  <w:style w:type="paragraph" w:customStyle="1" w:styleId="TEXTOLIBRE">
    <w:name w:val="TEXTO LIBRE"/>
    <w:basedOn w:val="Normal"/>
    <w:rsid w:val="009E0C39"/>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NormalNmerado">
    <w:name w:val="Normal Númerado"/>
    <w:basedOn w:val="Normal"/>
    <w:link w:val="NormalNmeradoCar"/>
    <w:qFormat/>
    <w:rsid w:val="009E0C39"/>
    <w:pPr>
      <w:numPr>
        <w:numId w:val="5"/>
      </w:numPr>
      <w:spacing w:before="240" w:after="240" w:line="360" w:lineRule="auto"/>
      <w:ind w:left="0" w:firstLine="0"/>
      <w:jc w:val="both"/>
    </w:pPr>
    <w:rPr>
      <w:rFonts w:ascii="Univers" w:eastAsia="Times New Roman" w:hAnsi="Univers" w:cs="Arial"/>
      <w:sz w:val="28"/>
      <w:lang w:val="es-ES" w:eastAsia="es-ES"/>
    </w:rPr>
  </w:style>
  <w:style w:type="character" w:customStyle="1" w:styleId="NormalNmeradoCar">
    <w:name w:val="Normal Númerado Car"/>
    <w:basedOn w:val="Fuentedeprrafopredeter"/>
    <w:link w:val="NormalNmerado"/>
    <w:rsid w:val="009E0C39"/>
    <w:rPr>
      <w:rFonts w:ascii="Univers" w:eastAsia="Times New Roman" w:hAnsi="Univers" w:cs="Arial"/>
      <w:sz w:val="28"/>
      <w:lang w:val="es-ES" w:eastAsia="es-ES"/>
    </w:rPr>
  </w:style>
  <w:style w:type="character" w:customStyle="1" w:styleId="CharacterStyle1">
    <w:name w:val="Character Style 1"/>
    <w:uiPriority w:val="99"/>
    <w:rsid w:val="009E0C39"/>
    <w:rPr>
      <w:rFonts w:ascii="Arial" w:hAnsi="Arial" w:cs="Arial" w:hint="default"/>
      <w:sz w:val="28"/>
      <w:szCs w:val="28"/>
    </w:rPr>
  </w:style>
  <w:style w:type="numbering" w:customStyle="1" w:styleId="Estilo4">
    <w:name w:val="Estilo4"/>
    <w:uiPriority w:val="99"/>
    <w:rsid w:val="00161D8A"/>
    <w:pPr>
      <w:numPr>
        <w:numId w:val="6"/>
      </w:numPr>
    </w:pPr>
  </w:style>
  <w:style w:type="character" w:customStyle="1" w:styleId="FontStyle20">
    <w:name w:val="Font Style20"/>
    <w:uiPriority w:val="99"/>
    <w:rsid w:val="0047153A"/>
    <w:rPr>
      <w:rFonts w:ascii="Arial" w:hAnsi="Arial" w:cs="Arial"/>
      <w:sz w:val="24"/>
      <w:szCs w:val="24"/>
    </w:rPr>
  </w:style>
  <w:style w:type="paragraph" w:customStyle="1" w:styleId="Normalsentencia">
    <w:name w:val="Normal sentencia"/>
    <w:basedOn w:val="Normal"/>
    <w:link w:val="NormalsentenciaCar"/>
    <w:qFormat/>
    <w:rsid w:val="00D94DAB"/>
    <w:pPr>
      <w:numPr>
        <w:numId w:val="18"/>
      </w:numPr>
      <w:spacing w:before="240" w:after="240" w:line="360" w:lineRule="auto"/>
      <w:ind w:left="0" w:firstLine="0"/>
      <w:jc w:val="both"/>
    </w:pPr>
    <w:rPr>
      <w:rFonts w:ascii="Univers" w:eastAsia="Times New Roman" w:hAnsi="Univers" w:cs="Arial"/>
      <w:sz w:val="28"/>
      <w:lang w:val="es-ES" w:eastAsia="es-ES"/>
    </w:rPr>
  </w:style>
  <w:style w:type="character" w:customStyle="1" w:styleId="NormalsentenciaCar">
    <w:name w:val="Normal sentencia Car"/>
    <w:link w:val="Normalsentencia"/>
    <w:rsid w:val="00D94DAB"/>
    <w:rPr>
      <w:rFonts w:ascii="Univers" w:eastAsia="Times New Roman" w:hAnsi="Univers" w:cs="Arial"/>
      <w:sz w:val="28"/>
      <w:lang w:val="es-ES" w:eastAsia="es-ES"/>
    </w:rPr>
  </w:style>
  <w:style w:type="paragraph" w:customStyle="1" w:styleId="numerados">
    <w:name w:val="numerados"/>
    <w:basedOn w:val="Normal"/>
    <w:qFormat/>
    <w:rsid w:val="00D94DAB"/>
    <w:pPr>
      <w:spacing w:after="240" w:line="360" w:lineRule="auto"/>
      <w:jc w:val="both"/>
    </w:pPr>
    <w:rPr>
      <w:rFonts w:ascii="Univers" w:eastAsia="Times New Roman" w:hAnsi="Univer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0842">
      <w:bodyDiv w:val="1"/>
      <w:marLeft w:val="0"/>
      <w:marRight w:val="0"/>
      <w:marTop w:val="0"/>
      <w:marBottom w:val="0"/>
      <w:divBdr>
        <w:top w:val="none" w:sz="0" w:space="0" w:color="auto"/>
        <w:left w:val="none" w:sz="0" w:space="0" w:color="auto"/>
        <w:bottom w:val="none" w:sz="0" w:space="0" w:color="auto"/>
        <w:right w:val="none" w:sz="0" w:space="0" w:color="auto"/>
      </w:divBdr>
    </w:div>
    <w:div w:id="335115458">
      <w:bodyDiv w:val="1"/>
      <w:marLeft w:val="0"/>
      <w:marRight w:val="0"/>
      <w:marTop w:val="0"/>
      <w:marBottom w:val="0"/>
      <w:divBdr>
        <w:top w:val="none" w:sz="0" w:space="0" w:color="auto"/>
        <w:left w:val="none" w:sz="0" w:space="0" w:color="auto"/>
        <w:bottom w:val="none" w:sz="0" w:space="0" w:color="auto"/>
        <w:right w:val="none" w:sz="0" w:space="0" w:color="auto"/>
      </w:divBdr>
    </w:div>
    <w:div w:id="391344269">
      <w:bodyDiv w:val="1"/>
      <w:marLeft w:val="0"/>
      <w:marRight w:val="0"/>
      <w:marTop w:val="0"/>
      <w:marBottom w:val="0"/>
      <w:divBdr>
        <w:top w:val="none" w:sz="0" w:space="0" w:color="auto"/>
        <w:left w:val="none" w:sz="0" w:space="0" w:color="auto"/>
        <w:bottom w:val="none" w:sz="0" w:space="0" w:color="auto"/>
        <w:right w:val="none" w:sz="0" w:space="0" w:color="auto"/>
      </w:divBdr>
    </w:div>
    <w:div w:id="405300509">
      <w:bodyDiv w:val="1"/>
      <w:marLeft w:val="0"/>
      <w:marRight w:val="0"/>
      <w:marTop w:val="0"/>
      <w:marBottom w:val="0"/>
      <w:divBdr>
        <w:top w:val="none" w:sz="0" w:space="0" w:color="auto"/>
        <w:left w:val="none" w:sz="0" w:space="0" w:color="auto"/>
        <w:bottom w:val="none" w:sz="0" w:space="0" w:color="auto"/>
        <w:right w:val="none" w:sz="0" w:space="0" w:color="auto"/>
      </w:divBdr>
    </w:div>
    <w:div w:id="568931043">
      <w:bodyDiv w:val="1"/>
      <w:marLeft w:val="0"/>
      <w:marRight w:val="0"/>
      <w:marTop w:val="0"/>
      <w:marBottom w:val="0"/>
      <w:divBdr>
        <w:top w:val="none" w:sz="0" w:space="0" w:color="auto"/>
        <w:left w:val="none" w:sz="0" w:space="0" w:color="auto"/>
        <w:bottom w:val="none" w:sz="0" w:space="0" w:color="auto"/>
        <w:right w:val="none" w:sz="0" w:space="0" w:color="auto"/>
      </w:divBdr>
    </w:div>
    <w:div w:id="653219949">
      <w:bodyDiv w:val="1"/>
      <w:marLeft w:val="0"/>
      <w:marRight w:val="0"/>
      <w:marTop w:val="0"/>
      <w:marBottom w:val="0"/>
      <w:divBdr>
        <w:top w:val="none" w:sz="0" w:space="0" w:color="auto"/>
        <w:left w:val="none" w:sz="0" w:space="0" w:color="auto"/>
        <w:bottom w:val="none" w:sz="0" w:space="0" w:color="auto"/>
        <w:right w:val="none" w:sz="0" w:space="0" w:color="auto"/>
      </w:divBdr>
    </w:div>
    <w:div w:id="718894341">
      <w:bodyDiv w:val="1"/>
      <w:marLeft w:val="0"/>
      <w:marRight w:val="0"/>
      <w:marTop w:val="0"/>
      <w:marBottom w:val="0"/>
      <w:divBdr>
        <w:top w:val="none" w:sz="0" w:space="0" w:color="auto"/>
        <w:left w:val="none" w:sz="0" w:space="0" w:color="auto"/>
        <w:bottom w:val="none" w:sz="0" w:space="0" w:color="auto"/>
        <w:right w:val="none" w:sz="0" w:space="0" w:color="auto"/>
      </w:divBdr>
    </w:div>
    <w:div w:id="1049498888">
      <w:bodyDiv w:val="1"/>
      <w:marLeft w:val="0"/>
      <w:marRight w:val="0"/>
      <w:marTop w:val="0"/>
      <w:marBottom w:val="0"/>
      <w:divBdr>
        <w:top w:val="none" w:sz="0" w:space="0" w:color="auto"/>
        <w:left w:val="none" w:sz="0" w:space="0" w:color="auto"/>
        <w:bottom w:val="none" w:sz="0" w:space="0" w:color="auto"/>
        <w:right w:val="none" w:sz="0" w:space="0" w:color="auto"/>
      </w:divBdr>
    </w:div>
    <w:div w:id="1266307146">
      <w:bodyDiv w:val="1"/>
      <w:marLeft w:val="0"/>
      <w:marRight w:val="0"/>
      <w:marTop w:val="0"/>
      <w:marBottom w:val="0"/>
      <w:divBdr>
        <w:top w:val="none" w:sz="0" w:space="0" w:color="auto"/>
        <w:left w:val="none" w:sz="0" w:space="0" w:color="auto"/>
        <w:bottom w:val="none" w:sz="0" w:space="0" w:color="auto"/>
        <w:right w:val="none" w:sz="0" w:space="0" w:color="auto"/>
      </w:divBdr>
    </w:div>
    <w:div w:id="1324241624">
      <w:bodyDiv w:val="1"/>
      <w:marLeft w:val="0"/>
      <w:marRight w:val="0"/>
      <w:marTop w:val="0"/>
      <w:marBottom w:val="0"/>
      <w:divBdr>
        <w:top w:val="none" w:sz="0" w:space="0" w:color="auto"/>
        <w:left w:val="none" w:sz="0" w:space="0" w:color="auto"/>
        <w:bottom w:val="none" w:sz="0" w:space="0" w:color="auto"/>
        <w:right w:val="none" w:sz="0" w:space="0" w:color="auto"/>
      </w:divBdr>
    </w:div>
    <w:div w:id="1372683431">
      <w:bodyDiv w:val="1"/>
      <w:marLeft w:val="0"/>
      <w:marRight w:val="0"/>
      <w:marTop w:val="0"/>
      <w:marBottom w:val="0"/>
      <w:divBdr>
        <w:top w:val="none" w:sz="0" w:space="0" w:color="auto"/>
        <w:left w:val="none" w:sz="0" w:space="0" w:color="auto"/>
        <w:bottom w:val="none" w:sz="0" w:space="0" w:color="auto"/>
        <w:right w:val="none" w:sz="0" w:space="0" w:color="auto"/>
      </w:divBdr>
    </w:div>
    <w:div w:id="1517189110">
      <w:bodyDiv w:val="1"/>
      <w:marLeft w:val="0"/>
      <w:marRight w:val="0"/>
      <w:marTop w:val="0"/>
      <w:marBottom w:val="0"/>
      <w:divBdr>
        <w:top w:val="none" w:sz="0" w:space="0" w:color="auto"/>
        <w:left w:val="none" w:sz="0" w:space="0" w:color="auto"/>
        <w:bottom w:val="none" w:sz="0" w:space="0" w:color="auto"/>
        <w:right w:val="none" w:sz="0" w:space="0" w:color="auto"/>
      </w:divBdr>
    </w:div>
    <w:div w:id="1692148983">
      <w:bodyDiv w:val="1"/>
      <w:marLeft w:val="0"/>
      <w:marRight w:val="0"/>
      <w:marTop w:val="0"/>
      <w:marBottom w:val="0"/>
      <w:divBdr>
        <w:top w:val="none" w:sz="0" w:space="0" w:color="auto"/>
        <w:left w:val="none" w:sz="0" w:space="0" w:color="auto"/>
        <w:bottom w:val="none" w:sz="0" w:space="0" w:color="auto"/>
        <w:right w:val="none" w:sz="0" w:space="0" w:color="auto"/>
      </w:divBdr>
    </w:div>
    <w:div w:id="1695034988">
      <w:bodyDiv w:val="1"/>
      <w:marLeft w:val="0"/>
      <w:marRight w:val="0"/>
      <w:marTop w:val="0"/>
      <w:marBottom w:val="0"/>
      <w:divBdr>
        <w:top w:val="none" w:sz="0" w:space="0" w:color="auto"/>
        <w:left w:val="none" w:sz="0" w:space="0" w:color="auto"/>
        <w:bottom w:val="none" w:sz="0" w:space="0" w:color="auto"/>
        <w:right w:val="none" w:sz="0" w:space="0" w:color="auto"/>
      </w:divBdr>
    </w:div>
    <w:div w:id="1777941531">
      <w:bodyDiv w:val="1"/>
      <w:marLeft w:val="0"/>
      <w:marRight w:val="0"/>
      <w:marTop w:val="0"/>
      <w:marBottom w:val="0"/>
      <w:divBdr>
        <w:top w:val="none" w:sz="0" w:space="0" w:color="auto"/>
        <w:left w:val="none" w:sz="0" w:space="0" w:color="auto"/>
        <w:bottom w:val="none" w:sz="0" w:space="0" w:color="auto"/>
        <w:right w:val="none" w:sz="0" w:space="0" w:color="auto"/>
      </w:divBdr>
    </w:div>
    <w:div w:id="19270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oter1.xml" Type="http://schemas.openxmlformats.org/officeDocument/2006/relationships/footer"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2.xml" Type="http://schemas.openxmlformats.org/officeDocument/2006/relationships/header" Id="rId12"></Relationship><Relationship Target="theme/theme1.xml" Type="http://schemas.openxmlformats.org/officeDocument/2006/relationships/theme" Id="rId17"></Relationship><Relationship Target="../customXml/item2.xml" Type="http://schemas.openxmlformats.org/officeDocument/2006/relationships/customXml" Id="rId2"></Relationship><Relationship Target="fontTable.xml" Type="http://schemas.openxmlformats.org/officeDocument/2006/relationships/fontTable"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header3.xml" Type="http://schemas.openxmlformats.org/officeDocument/2006/relationships/header"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footer2.xml" Type="http://schemas.openxmlformats.org/officeDocument/2006/relationships/footer" Id="rId14"></Relationship></Relationships>
</file>

<file path=word/_rels/footnotes.xml.rels><?xml version="1.0" encoding="UTF-8" ?><Relationships xmlns="http://schemas.openxmlformats.org/package/2006/relationships"><Relationship TargetMode="External" Target="http://10.10.15.15/siscon/gateway.dll/nJurisprudenciayTesis/nVigentesTercerayCuartaEpoca/compilaci%C3%B3n.htm?f=templates$fn=document-frame.htm$3.0$q=$uq=$x=$up=1$nc=6280" Type="http://schemas.openxmlformats.org/officeDocument/2006/relationships/hyperlink" Id="rId1"></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3.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DF39C373906443B9CF48BAFF8C737B" ma:contentTypeVersion="11" ma:contentTypeDescription="Crear nuevo documento." ma:contentTypeScope="" ma:versionID="da9c852758f6d4fcdf40ddd3ea89ea18">
  <xsd:schema xmlns:xsd="http://www.w3.org/2001/XMLSchema" xmlns:xs="http://www.w3.org/2001/XMLSchema" xmlns:p="http://schemas.microsoft.com/office/2006/metadata/properties" xmlns:ns3="5df7b161-deae-4679-84a7-7ff2ada704d6" xmlns:ns4="9b3dec64-ff41-4d3e-9254-fbd8ef4a5ea0" targetNamespace="http://schemas.microsoft.com/office/2006/metadata/properties" ma:root="true" ma:fieldsID="4d30eac3d4a7ce41f15faa6c7d55d157" ns3:_="" ns4:_="">
    <xsd:import namespace="5df7b161-deae-4679-84a7-7ff2ada704d6"/>
    <xsd:import namespace="9b3dec64-ff41-4d3e-9254-fbd8ef4a5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b161-deae-4679-84a7-7ff2ada70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dec64-ff41-4d3e-9254-fbd8ef4a5e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3352-C29E-4018-AB58-D36EEC68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b161-deae-4679-84a7-7ff2ada704d6"/>
    <ds:schemaRef ds:uri="9b3dec64-ff41-4d3e-9254-fbd8ef4a5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6F673-E2F3-491D-93B1-DA1B52EDDC0B}">
  <ds:schemaRefs>
    <ds:schemaRef ds:uri="http://purl.org/dc/terms/"/>
    <ds:schemaRef ds:uri="http://schemas.microsoft.com/office/2006/metadata/properties"/>
    <ds:schemaRef ds:uri="http://purl.org/dc/elements/1.1/"/>
    <ds:schemaRef ds:uri="5df7b161-deae-4679-84a7-7ff2ada704d6"/>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b3dec64-ff41-4d3e-9254-fbd8ef4a5ea0"/>
    <ds:schemaRef ds:uri="http://www.w3.org/XML/1998/namespace"/>
  </ds:schemaRefs>
</ds:datastoreItem>
</file>

<file path=customXml/itemProps3.xml><?xml version="1.0" encoding="utf-8"?>
<ds:datastoreItem xmlns:ds="http://schemas.openxmlformats.org/officeDocument/2006/customXml" ds:itemID="{C9FDBE79-5B63-4A5F-AB69-4C454F0C6C70}">
  <ds:schemaRefs>
    <ds:schemaRef ds:uri="http://schemas.microsoft.com/sharepoint/v3/contenttype/forms"/>
  </ds:schemaRefs>
</ds:datastoreItem>
</file>

<file path=customXml/itemProps4.xml><?xml version="1.0" encoding="utf-8"?>
<ds:datastoreItem xmlns:ds="http://schemas.openxmlformats.org/officeDocument/2006/customXml" ds:itemID="{83031D84-E0AD-4C16-8CC2-F8114A7F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3368</Words>
  <Characters>18528</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2021-06-05T23:11:00Z</dcterms:created>
  <dcterms:modified xsi:type="dcterms:W3CDTF">2021-06-05T23:11:00Z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0x01010066DF39C373906443B9CF48BAFF8C737B</vt:lpwstr>
  </property>
</Properties>
</file>