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8EA3" w14:textId="42605333" w:rsidR="00243172" w:rsidRPr="00216ACE" w:rsidRDefault="00243172" w:rsidP="00243172">
      <w:pPr>
        <w:spacing w:after="120" w:line="240" w:lineRule="auto"/>
        <w:ind w:left="4253"/>
        <w:jc w:val="both"/>
        <w:rPr>
          <w:b/>
          <w:sz w:val="22"/>
          <w:szCs w:val="22"/>
        </w:rPr>
      </w:pPr>
      <w:r w:rsidRPr="00216ACE">
        <w:rPr>
          <w:b/>
          <w:sz w:val="22"/>
          <w:szCs w:val="22"/>
        </w:rPr>
        <w:t>JUICIO</w:t>
      </w:r>
      <w:r w:rsidR="002C4184" w:rsidRPr="00216ACE">
        <w:rPr>
          <w:b/>
          <w:sz w:val="22"/>
          <w:szCs w:val="22"/>
        </w:rPr>
        <w:t xml:space="preserve"> ELECTORAL</w:t>
      </w:r>
    </w:p>
    <w:p w14:paraId="044FD2DE" w14:textId="6A71582F" w:rsidR="00243172" w:rsidRPr="00216ACE" w:rsidRDefault="00243172" w:rsidP="00243172">
      <w:pPr>
        <w:spacing w:after="120" w:line="240" w:lineRule="auto"/>
        <w:ind w:left="4253"/>
        <w:jc w:val="both"/>
        <w:rPr>
          <w:sz w:val="22"/>
          <w:szCs w:val="22"/>
        </w:rPr>
      </w:pPr>
      <w:r w:rsidRPr="00216ACE">
        <w:rPr>
          <w:b/>
          <w:sz w:val="22"/>
          <w:szCs w:val="22"/>
        </w:rPr>
        <w:t>EXPEDIENTE:</w:t>
      </w:r>
      <w:r w:rsidRPr="00216ACE">
        <w:rPr>
          <w:sz w:val="22"/>
          <w:szCs w:val="22"/>
        </w:rPr>
        <w:t xml:space="preserve"> SM-J</w:t>
      </w:r>
      <w:r w:rsidR="00ED465D">
        <w:rPr>
          <w:sz w:val="22"/>
          <w:szCs w:val="22"/>
        </w:rPr>
        <w:t>E</w:t>
      </w:r>
      <w:r w:rsidRPr="00216ACE">
        <w:rPr>
          <w:sz w:val="22"/>
          <w:szCs w:val="22"/>
        </w:rPr>
        <w:t>-</w:t>
      </w:r>
      <w:r w:rsidR="00ED465D">
        <w:rPr>
          <w:sz w:val="22"/>
          <w:szCs w:val="22"/>
        </w:rPr>
        <w:t>206</w:t>
      </w:r>
      <w:r w:rsidRPr="00216ACE">
        <w:rPr>
          <w:sz w:val="22"/>
          <w:szCs w:val="22"/>
        </w:rPr>
        <w:t>/202</w:t>
      </w:r>
      <w:r w:rsidR="008C6B73" w:rsidRPr="00216ACE">
        <w:rPr>
          <w:sz w:val="22"/>
          <w:szCs w:val="22"/>
        </w:rPr>
        <w:t>1</w:t>
      </w:r>
      <w:r w:rsidRPr="00216ACE">
        <w:rPr>
          <w:sz w:val="22"/>
          <w:szCs w:val="22"/>
        </w:rPr>
        <w:t xml:space="preserve"> </w:t>
      </w:r>
    </w:p>
    <w:p w14:paraId="0559455A" w14:textId="6C863A91" w:rsidR="00243172" w:rsidRPr="005A2A48" w:rsidRDefault="00243172" w:rsidP="00243172">
      <w:pPr>
        <w:spacing w:after="120" w:line="240" w:lineRule="auto"/>
        <w:ind w:left="4253"/>
        <w:jc w:val="both"/>
        <w:rPr>
          <w:sz w:val="22"/>
          <w:szCs w:val="22"/>
        </w:rPr>
      </w:pPr>
      <w:r w:rsidRPr="00216ACE">
        <w:rPr>
          <w:b/>
          <w:sz w:val="22"/>
          <w:szCs w:val="22"/>
        </w:rPr>
        <w:t xml:space="preserve">IMPUGNANTE: </w:t>
      </w:r>
      <w:r w:rsidR="00ED465D">
        <w:rPr>
          <w:sz w:val="22"/>
          <w:szCs w:val="22"/>
        </w:rPr>
        <w:t>JOSÉ LUIS MONTOYA VARGAS</w:t>
      </w:r>
    </w:p>
    <w:p w14:paraId="4CC631BC" w14:textId="4F173490" w:rsidR="00243172" w:rsidRPr="00216ACE" w:rsidRDefault="00243172" w:rsidP="00243172">
      <w:pPr>
        <w:spacing w:after="120" w:line="240" w:lineRule="auto"/>
        <w:ind w:left="4253"/>
        <w:jc w:val="both"/>
        <w:rPr>
          <w:bCs/>
          <w:sz w:val="22"/>
          <w:szCs w:val="22"/>
        </w:rPr>
      </w:pPr>
      <w:r w:rsidRPr="00216ACE">
        <w:rPr>
          <w:b/>
          <w:bCs/>
          <w:sz w:val="22"/>
          <w:szCs w:val="22"/>
        </w:rPr>
        <w:t>RESPONSABLE:</w:t>
      </w:r>
      <w:r w:rsidRPr="00216ACE">
        <w:rPr>
          <w:bCs/>
          <w:sz w:val="22"/>
          <w:szCs w:val="22"/>
        </w:rPr>
        <w:t xml:space="preserve"> </w:t>
      </w:r>
      <w:r w:rsidR="00BE26D1">
        <w:rPr>
          <w:rFonts w:eastAsia="Times New Roman"/>
          <w:bCs/>
          <w:sz w:val="22"/>
          <w:szCs w:val="22"/>
          <w:lang w:eastAsia="es-MX"/>
        </w:rPr>
        <w:t xml:space="preserve">TRIBUNAL </w:t>
      </w:r>
      <w:r w:rsidR="00ED465D">
        <w:rPr>
          <w:rFonts w:eastAsia="Times New Roman"/>
          <w:bCs/>
          <w:sz w:val="22"/>
          <w:szCs w:val="22"/>
          <w:lang w:eastAsia="es-MX"/>
        </w:rPr>
        <w:t xml:space="preserve">ESTATAL </w:t>
      </w:r>
      <w:r w:rsidR="00BE26D1">
        <w:rPr>
          <w:rFonts w:eastAsia="Times New Roman"/>
          <w:bCs/>
          <w:sz w:val="22"/>
          <w:szCs w:val="22"/>
          <w:lang w:eastAsia="es-MX"/>
        </w:rPr>
        <w:t xml:space="preserve">ELECTORAL DE </w:t>
      </w:r>
      <w:r w:rsidR="00ED465D">
        <w:rPr>
          <w:rFonts w:eastAsia="Times New Roman"/>
          <w:bCs/>
          <w:sz w:val="22"/>
          <w:szCs w:val="22"/>
          <w:lang w:eastAsia="es-MX"/>
        </w:rPr>
        <w:t>GUANAJUATO</w:t>
      </w:r>
    </w:p>
    <w:p w14:paraId="6A6EE14C" w14:textId="25B46847" w:rsidR="00243172" w:rsidRPr="00216ACE" w:rsidRDefault="00243172" w:rsidP="00243172">
      <w:pPr>
        <w:spacing w:after="120" w:line="240" w:lineRule="auto"/>
        <w:ind w:left="4253"/>
        <w:jc w:val="both"/>
        <w:rPr>
          <w:sz w:val="22"/>
          <w:szCs w:val="22"/>
        </w:rPr>
      </w:pPr>
      <w:r w:rsidRPr="00216ACE">
        <w:rPr>
          <w:b/>
          <w:sz w:val="22"/>
          <w:szCs w:val="22"/>
        </w:rPr>
        <w:t>MAGISTRADO PONENTE:</w:t>
      </w:r>
      <w:r w:rsidRPr="00216ACE">
        <w:rPr>
          <w:sz w:val="22"/>
          <w:szCs w:val="22"/>
        </w:rPr>
        <w:t xml:space="preserve"> ERNESTO CAMACHO OCHOA</w:t>
      </w:r>
    </w:p>
    <w:p w14:paraId="400925C1" w14:textId="101B8B7F" w:rsidR="00AF1984" w:rsidRDefault="00243172" w:rsidP="00ED465D">
      <w:pPr>
        <w:pStyle w:val="Normalsentencia"/>
        <w:spacing w:before="0" w:line="240" w:lineRule="auto"/>
        <w:ind w:left="4253" w:firstLine="0"/>
        <w:rPr>
          <w:b/>
          <w:sz w:val="22"/>
        </w:rPr>
      </w:pPr>
      <w:r w:rsidRPr="00216ACE">
        <w:rPr>
          <w:b/>
          <w:sz w:val="22"/>
        </w:rPr>
        <w:t>SECRETARI</w:t>
      </w:r>
      <w:r w:rsidR="00825FE1" w:rsidRPr="00216ACE">
        <w:rPr>
          <w:b/>
          <w:sz w:val="22"/>
        </w:rPr>
        <w:t>A</w:t>
      </w:r>
      <w:r w:rsidR="00370C6B">
        <w:rPr>
          <w:b/>
          <w:sz w:val="22"/>
        </w:rPr>
        <w:t>DO</w:t>
      </w:r>
      <w:r w:rsidRPr="00216ACE">
        <w:rPr>
          <w:b/>
          <w:sz w:val="22"/>
        </w:rPr>
        <w:t>:</w:t>
      </w:r>
      <w:r w:rsidR="00825FE1" w:rsidRPr="00216ACE">
        <w:rPr>
          <w:b/>
          <w:sz w:val="22"/>
        </w:rPr>
        <w:t xml:space="preserve"> </w:t>
      </w:r>
      <w:r w:rsidR="00AF1984" w:rsidRPr="00AF1984">
        <w:rPr>
          <w:sz w:val="22"/>
        </w:rPr>
        <w:t>MAGIN FERNANDO HINOJOSA OCHOA Y GERARDO MAGADÁN BARRAGÁN</w:t>
      </w:r>
    </w:p>
    <w:p w14:paraId="454C2632" w14:textId="490F81CE" w:rsidR="001C0E79" w:rsidRPr="001C0E79" w:rsidRDefault="00AF1984" w:rsidP="00ED465D">
      <w:pPr>
        <w:pStyle w:val="Normalsentencia"/>
        <w:spacing w:before="0" w:line="240" w:lineRule="auto"/>
        <w:ind w:left="4253" w:firstLine="0"/>
        <w:rPr>
          <w:bCs/>
          <w:sz w:val="22"/>
        </w:rPr>
      </w:pPr>
      <w:r w:rsidRPr="00AF1984">
        <w:rPr>
          <w:b/>
          <w:bCs/>
          <w:sz w:val="22"/>
        </w:rPr>
        <w:t>COLABORÓ:</w:t>
      </w:r>
      <w:r>
        <w:rPr>
          <w:bCs/>
          <w:sz w:val="22"/>
        </w:rPr>
        <w:t xml:space="preserve"> </w:t>
      </w:r>
      <w:r w:rsidR="00ED465D">
        <w:rPr>
          <w:bCs/>
          <w:sz w:val="22"/>
        </w:rPr>
        <w:t>SERGIO CARLOS ROBLES GUTIÉRREZ</w:t>
      </w:r>
    </w:p>
    <w:p w14:paraId="58D257B0" w14:textId="77777777" w:rsidR="006D750E" w:rsidRPr="00216ACE" w:rsidRDefault="006D750E" w:rsidP="00151947">
      <w:pPr>
        <w:pStyle w:val="Normalsentencia"/>
        <w:spacing w:before="0" w:line="240" w:lineRule="auto"/>
        <w:ind w:left="4253" w:firstLine="0"/>
        <w:rPr>
          <w:sz w:val="22"/>
        </w:rPr>
      </w:pPr>
    </w:p>
    <w:p w14:paraId="187AE99C" w14:textId="4E658613" w:rsidR="00243172" w:rsidRPr="00216ACE" w:rsidRDefault="00243172" w:rsidP="00151947">
      <w:pPr>
        <w:pStyle w:val="Normalsentencia"/>
        <w:spacing w:before="0" w:after="0"/>
        <w:ind w:firstLine="0"/>
        <w:rPr>
          <w:sz w:val="24"/>
          <w:szCs w:val="24"/>
        </w:rPr>
      </w:pPr>
      <w:r w:rsidRPr="00216ACE">
        <w:rPr>
          <w:sz w:val="24"/>
          <w:szCs w:val="24"/>
        </w:rPr>
        <w:t>Monterrey, Nuevo León, a</w:t>
      </w:r>
      <w:r w:rsidR="00AF1984">
        <w:rPr>
          <w:sz w:val="24"/>
          <w:szCs w:val="24"/>
        </w:rPr>
        <w:t xml:space="preserve"> 30</w:t>
      </w:r>
      <w:r w:rsidR="00ED465D">
        <w:rPr>
          <w:sz w:val="24"/>
          <w:szCs w:val="24"/>
        </w:rPr>
        <w:t xml:space="preserve"> </w:t>
      </w:r>
      <w:r w:rsidRPr="003F2C0D">
        <w:rPr>
          <w:sz w:val="24"/>
          <w:szCs w:val="24"/>
        </w:rPr>
        <w:t xml:space="preserve">de </w:t>
      </w:r>
      <w:r w:rsidR="008B7E5E" w:rsidRPr="003F2C0D">
        <w:rPr>
          <w:sz w:val="24"/>
          <w:szCs w:val="24"/>
        </w:rPr>
        <w:t>junio</w:t>
      </w:r>
      <w:r w:rsidR="00A54E3B" w:rsidRPr="003F2C0D">
        <w:rPr>
          <w:sz w:val="24"/>
          <w:szCs w:val="24"/>
        </w:rPr>
        <w:t xml:space="preserve"> </w:t>
      </w:r>
      <w:r w:rsidRPr="003F2C0D">
        <w:rPr>
          <w:sz w:val="24"/>
          <w:szCs w:val="24"/>
        </w:rPr>
        <w:t>de</w:t>
      </w:r>
      <w:r w:rsidRPr="00216ACE">
        <w:rPr>
          <w:sz w:val="24"/>
          <w:szCs w:val="24"/>
        </w:rPr>
        <w:t xml:space="preserve"> 202</w:t>
      </w:r>
      <w:r w:rsidR="008C6B73" w:rsidRPr="00216ACE">
        <w:rPr>
          <w:sz w:val="24"/>
          <w:szCs w:val="24"/>
        </w:rPr>
        <w:t>1</w:t>
      </w:r>
      <w:r w:rsidRPr="00216ACE">
        <w:rPr>
          <w:sz w:val="24"/>
          <w:szCs w:val="24"/>
        </w:rPr>
        <w:t>.</w:t>
      </w:r>
    </w:p>
    <w:p w14:paraId="3E60C403" w14:textId="77777777" w:rsidR="00243172" w:rsidRPr="00216ACE" w:rsidRDefault="00243172" w:rsidP="00151947">
      <w:pPr>
        <w:pStyle w:val="Normalsentencia"/>
        <w:spacing w:before="0" w:after="0" w:line="240" w:lineRule="auto"/>
        <w:ind w:firstLine="0"/>
        <w:rPr>
          <w:b/>
          <w:sz w:val="24"/>
          <w:szCs w:val="24"/>
        </w:rPr>
      </w:pPr>
    </w:p>
    <w:p w14:paraId="719B31E3" w14:textId="0BC34FBF" w:rsidR="00BE43FD" w:rsidRPr="00ED465D" w:rsidRDefault="00243172" w:rsidP="003E0F7C">
      <w:pPr>
        <w:spacing w:line="360" w:lineRule="auto"/>
        <w:contextualSpacing/>
        <w:jc w:val="both"/>
      </w:pPr>
      <w:r w:rsidRPr="00216ACE">
        <w:rPr>
          <w:b/>
        </w:rPr>
        <w:t>Sentencia</w:t>
      </w:r>
      <w:r w:rsidRPr="00216ACE">
        <w:t xml:space="preserve"> de la Sala Monterrey que</w:t>
      </w:r>
      <w:r w:rsidRPr="00216ACE">
        <w:rPr>
          <w:b/>
        </w:rPr>
        <w:t xml:space="preserve"> </w:t>
      </w:r>
      <w:r w:rsidR="00B255E2" w:rsidRPr="00216ACE">
        <w:rPr>
          <w:b/>
          <w:bCs/>
        </w:rPr>
        <w:t>confirma</w:t>
      </w:r>
      <w:r w:rsidRPr="00216ACE">
        <w:rPr>
          <w:b/>
        </w:rPr>
        <w:t xml:space="preserve"> </w:t>
      </w:r>
      <w:r w:rsidRPr="00216ACE">
        <w:t xml:space="preserve">la </w:t>
      </w:r>
      <w:r w:rsidR="00BE26D1">
        <w:t xml:space="preserve">del Tribunal de </w:t>
      </w:r>
      <w:r w:rsidR="00ED465D">
        <w:t xml:space="preserve">Guanajuato, que determinó que el síndico de Salamanca, José Luis Montoya, cometió </w:t>
      </w:r>
      <w:r w:rsidR="003E0F7C">
        <w:t>violencia política de género</w:t>
      </w:r>
      <w:r w:rsidR="00ED465D">
        <w:t xml:space="preserve"> contra la </w:t>
      </w:r>
      <w:r w:rsidR="00241BA4">
        <w:t>senadora</w:t>
      </w:r>
      <w:r w:rsidR="00ED465D">
        <w:t xml:space="preserve"> Lilly Téllez, </w:t>
      </w:r>
      <w:r w:rsidR="00ED465D" w:rsidRPr="00ED465D">
        <w:t>p</w:t>
      </w:r>
      <w:r w:rsidR="00073495">
        <w:t>or</w:t>
      </w:r>
      <w:r w:rsidR="00ED465D" w:rsidRPr="00ED465D">
        <w:t xml:space="preserve"> </w:t>
      </w:r>
      <w:r w:rsidR="00AE5A68">
        <w:t xml:space="preserve">la </w:t>
      </w:r>
      <w:r w:rsidR="009F7DBB">
        <w:t>expresión</w:t>
      </w:r>
      <w:r w:rsidR="00ED465D">
        <w:t xml:space="preserve"> </w:t>
      </w:r>
      <w:r w:rsidR="00AE5A68">
        <w:t>realizada</w:t>
      </w:r>
      <w:r w:rsidR="00ED465D" w:rsidRPr="00ED465D">
        <w:t xml:space="preserve"> en </w:t>
      </w:r>
      <w:r w:rsidR="009F7DBB">
        <w:t>Facebook</w:t>
      </w:r>
      <w:r w:rsidR="006E06E8">
        <w:t xml:space="preserve"> </w:t>
      </w:r>
      <w:r w:rsidR="006B60F9">
        <w:t>vinculada a la sexualidad de la denunciante</w:t>
      </w:r>
      <w:r w:rsidR="001130F3">
        <w:t>,</w:t>
      </w:r>
      <w:r w:rsidR="006B60F9">
        <w:t xml:space="preserve"> que </w:t>
      </w:r>
      <w:r w:rsidR="00ED465D" w:rsidRPr="00ED465D">
        <w:t>traspas</w:t>
      </w:r>
      <w:r w:rsidR="009F7DBB">
        <w:t>ó</w:t>
      </w:r>
      <w:r w:rsidR="00ED465D" w:rsidRPr="00ED465D">
        <w:t xml:space="preserve"> los límites y estándares de protección de l</w:t>
      </w:r>
      <w:r w:rsidR="006B60F9">
        <w:t>a</w:t>
      </w:r>
      <w:r w:rsidR="00ED465D" w:rsidRPr="00ED465D">
        <w:t xml:space="preserve"> </w:t>
      </w:r>
      <w:r w:rsidR="006B60F9">
        <w:t>libertad de expresión</w:t>
      </w:r>
      <w:r w:rsidR="003B4D40" w:rsidRPr="00ED465D">
        <w:t>;</w:t>
      </w:r>
      <w:r w:rsidR="00315344" w:rsidRPr="00ED465D">
        <w:t xml:space="preserve"> </w:t>
      </w:r>
      <w:r w:rsidR="00315344" w:rsidRPr="00ED465D">
        <w:rPr>
          <w:b/>
          <w:bCs/>
        </w:rPr>
        <w:t>porque</w:t>
      </w:r>
      <w:r w:rsidR="00315344" w:rsidRPr="00ED465D">
        <w:t xml:space="preserve"> </w:t>
      </w:r>
      <w:r w:rsidR="00315344" w:rsidRPr="00ED465D">
        <w:rPr>
          <w:b/>
        </w:rPr>
        <w:t>esta Sala considera</w:t>
      </w:r>
      <w:r w:rsidR="00315344" w:rsidRPr="00ED465D">
        <w:t xml:space="preserve"> que </w:t>
      </w:r>
      <w:r w:rsidR="00227605" w:rsidRPr="00AF1984">
        <w:t>e</w:t>
      </w:r>
      <w:r w:rsidR="00564282" w:rsidRPr="00AF1984">
        <w:rPr>
          <w:bCs/>
        </w:rPr>
        <w:t>l</w:t>
      </w:r>
      <w:r w:rsidR="00564282" w:rsidRPr="00ED465D">
        <w:rPr>
          <w:bCs/>
        </w:rPr>
        <w:t xml:space="preserve"> inconforme</w:t>
      </w:r>
      <w:r w:rsidR="00315344" w:rsidRPr="00ED465D">
        <w:t xml:space="preserve"> no cuestiona debidamente </w:t>
      </w:r>
      <w:r w:rsidR="003E4736" w:rsidRPr="00ED465D">
        <w:t>los argumentos</w:t>
      </w:r>
      <w:r w:rsidR="00315344" w:rsidRPr="00ED465D">
        <w:t xml:space="preserve"> que sustentan el sentido de la </w:t>
      </w:r>
      <w:r w:rsidR="003E4736" w:rsidRPr="00ED465D">
        <w:t>resolución</w:t>
      </w:r>
      <w:r w:rsidR="00315344" w:rsidRPr="00ED465D">
        <w:t xml:space="preserve"> impugnada, a partir de l</w:t>
      </w:r>
      <w:r w:rsidR="00631DAE" w:rsidRPr="00ED465D">
        <w:t>o</w:t>
      </w:r>
      <w:r w:rsidR="00315344" w:rsidRPr="00ED465D">
        <w:t>s cuales</w:t>
      </w:r>
      <w:r w:rsidR="003E0F7C">
        <w:t xml:space="preserve"> </w:t>
      </w:r>
      <w:r w:rsidR="00315344" w:rsidRPr="00ED465D">
        <w:t xml:space="preserve">la responsable </w:t>
      </w:r>
      <w:r w:rsidR="00D13524" w:rsidRPr="00ED465D">
        <w:t xml:space="preserve">determinó que </w:t>
      </w:r>
      <w:r w:rsidR="000D4E1A" w:rsidRPr="00ED465D">
        <w:t>se acreditó la violencia a</w:t>
      </w:r>
      <w:bookmarkStart w:id="0" w:name="_GoBack"/>
      <w:bookmarkEnd w:id="0"/>
      <w:r w:rsidR="000D4E1A" w:rsidRPr="00ED465D">
        <w:t>legada</w:t>
      </w:r>
      <w:r w:rsidR="00D13524" w:rsidRPr="00ED465D">
        <w:t xml:space="preserve">, bajo </w:t>
      </w:r>
      <w:r w:rsidR="008C5D89" w:rsidRPr="00ED465D">
        <w:t>la consideración</w:t>
      </w:r>
      <w:r w:rsidR="00D13524" w:rsidRPr="00ED465D">
        <w:t xml:space="preserve"> esencial de que </w:t>
      </w:r>
      <w:r w:rsidR="00E021F0">
        <w:t xml:space="preserve">la expresión del denunciado </w:t>
      </w:r>
      <w:r w:rsidR="00241BA4">
        <w:t>contiene</w:t>
      </w:r>
      <w:r w:rsidR="00E021F0">
        <w:t xml:space="preserve"> estereotipos de género y </w:t>
      </w:r>
      <w:r w:rsidR="00B04684">
        <w:t>traspas</w:t>
      </w:r>
      <w:r w:rsidR="00241BA4">
        <w:t>a</w:t>
      </w:r>
      <w:r w:rsidR="00B04684">
        <w:t xml:space="preserve"> los límites de la libertad de expresión</w:t>
      </w:r>
      <w:r w:rsidR="00D13524" w:rsidRPr="00ED465D">
        <w:t>,</w:t>
      </w:r>
      <w:r w:rsidR="00B04684">
        <w:t xml:space="preserve"> </w:t>
      </w:r>
      <w:r w:rsidR="00315344" w:rsidRPr="00ED465D">
        <w:t xml:space="preserve">de manera que, dichas </w:t>
      </w:r>
      <w:r w:rsidR="008C5D89" w:rsidRPr="00ED465D">
        <w:t>razones</w:t>
      </w:r>
      <w:r w:rsidR="00315344" w:rsidRPr="00ED465D">
        <w:t xml:space="preserve"> deben seguir rigiendo el sentido de esa decisión</w:t>
      </w:r>
      <w:r w:rsidR="00FC76C5" w:rsidRPr="00ED465D">
        <w:t xml:space="preserve"> y, por ende, deben quedar firmes</w:t>
      </w:r>
      <w:r w:rsidR="00315344" w:rsidRPr="00ED465D">
        <w:t>, con la consecuente ineficacia de todos los agravios.</w:t>
      </w:r>
    </w:p>
    <w:sdt>
      <w:sdtPr>
        <w:rPr>
          <w:rFonts w:ascii="Arial" w:eastAsia="Calibri" w:hAnsi="Arial" w:cs="Arial"/>
          <w:b/>
          <w:bCs/>
          <w:caps/>
          <w:color w:val="auto"/>
          <w:kern w:val="32"/>
          <w:sz w:val="18"/>
          <w:szCs w:val="18"/>
          <w:lang w:val="es-ES" w:eastAsia="en-US"/>
        </w:rPr>
        <w:id w:val="572401020"/>
        <w:docPartObj>
          <w:docPartGallery w:val="Table of Contents"/>
          <w:docPartUnique/>
        </w:docPartObj>
      </w:sdtPr>
      <w:sdtEndPr>
        <w:rPr>
          <w:rFonts w:eastAsiaTheme="majorEastAsia" w:cstheme="majorBidi"/>
        </w:rPr>
      </w:sdtEndPr>
      <w:sdtContent>
        <w:p w14:paraId="0FB2F3DC" w14:textId="77777777" w:rsidR="00243172" w:rsidRPr="00A90117" w:rsidRDefault="00243172" w:rsidP="00A90117">
          <w:pPr>
            <w:pStyle w:val="TtuloTDC"/>
            <w:spacing w:before="0" w:line="240" w:lineRule="auto"/>
            <w:jc w:val="center"/>
            <w:rPr>
              <w:rFonts w:ascii="Arial" w:hAnsi="Arial" w:cs="Arial"/>
              <w:sz w:val="18"/>
              <w:szCs w:val="18"/>
            </w:rPr>
          </w:pPr>
          <w:r w:rsidRPr="00A90117">
            <w:rPr>
              <w:rFonts w:ascii="Arial" w:hAnsi="Arial" w:cs="Arial"/>
              <w:b/>
              <w:color w:val="000000" w:themeColor="text1"/>
              <w:sz w:val="18"/>
              <w:szCs w:val="18"/>
              <w:lang w:val="es-ES"/>
            </w:rPr>
            <w:t>Índice</w:t>
          </w:r>
        </w:p>
        <w:p w14:paraId="0ADA50EF" w14:textId="1A5E6157" w:rsidR="00672E92" w:rsidRPr="00672E92" w:rsidRDefault="00A90117" w:rsidP="00672E92">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r w:rsidRPr="00672E92">
            <w:rPr>
              <w:rFonts w:eastAsia="Times New Roman"/>
              <w:b/>
              <w:bCs/>
              <w:caps/>
              <w:noProof/>
              <w:sz w:val="18"/>
              <w:szCs w:val="18"/>
              <w:lang w:val="es-MX" w:eastAsia="es-ES"/>
            </w:rPr>
            <w:fldChar w:fldCharType="begin"/>
          </w:r>
          <w:r w:rsidRPr="0050019B">
            <w:rPr>
              <w:rFonts w:eastAsia="Times New Roman"/>
              <w:b/>
              <w:bCs/>
              <w:caps/>
              <w:noProof/>
              <w:sz w:val="18"/>
              <w:szCs w:val="18"/>
              <w:lang w:val="es-MX" w:eastAsia="es-ES"/>
            </w:rPr>
            <w:instrText xml:space="preserve"> TOC \o "1-3" \h \z \u </w:instrText>
          </w:r>
          <w:r w:rsidRPr="00672E92">
            <w:rPr>
              <w:rFonts w:eastAsia="Times New Roman"/>
              <w:b/>
              <w:bCs/>
              <w:caps/>
              <w:noProof/>
              <w:sz w:val="18"/>
              <w:szCs w:val="18"/>
              <w:lang w:val="es-MX" w:eastAsia="es-ES"/>
            </w:rPr>
            <w:fldChar w:fldCharType="separate"/>
          </w:r>
          <w:hyperlink w:anchor="_Toc73062686" w:history="1">
            <w:r w:rsidR="00672E92" w:rsidRPr="004353F2">
              <w:rPr>
                <w:rStyle w:val="Hipervnculo"/>
                <w:b/>
                <w:noProof/>
                <w:color w:val="auto"/>
                <w:sz w:val="18"/>
                <w:szCs w:val="18"/>
              </w:rPr>
              <w:t>Glosario</w:t>
            </w:r>
            <w:r w:rsidR="00672E92" w:rsidRPr="00672E92">
              <w:rPr>
                <w:noProof/>
                <w:webHidden/>
                <w:sz w:val="18"/>
                <w:szCs w:val="18"/>
              </w:rPr>
              <w:tab/>
            </w:r>
            <w:r w:rsidR="00672E92" w:rsidRPr="00672E92">
              <w:rPr>
                <w:noProof/>
                <w:webHidden/>
                <w:sz w:val="18"/>
                <w:szCs w:val="18"/>
              </w:rPr>
              <w:fldChar w:fldCharType="begin"/>
            </w:r>
            <w:r w:rsidR="00672E92" w:rsidRPr="00672E92">
              <w:rPr>
                <w:noProof/>
                <w:webHidden/>
                <w:sz w:val="18"/>
                <w:szCs w:val="18"/>
              </w:rPr>
              <w:instrText xml:space="preserve"> PAGEREF _Toc73062686 \h </w:instrText>
            </w:r>
            <w:r w:rsidR="00672E92" w:rsidRPr="00672E92">
              <w:rPr>
                <w:noProof/>
                <w:webHidden/>
                <w:sz w:val="18"/>
                <w:szCs w:val="18"/>
              </w:rPr>
            </w:r>
            <w:r w:rsidR="00672E92" w:rsidRPr="00672E92">
              <w:rPr>
                <w:noProof/>
                <w:webHidden/>
                <w:sz w:val="18"/>
                <w:szCs w:val="18"/>
              </w:rPr>
              <w:fldChar w:fldCharType="separate"/>
            </w:r>
            <w:r w:rsidR="008B5D8A">
              <w:rPr>
                <w:noProof/>
                <w:webHidden/>
                <w:sz w:val="18"/>
                <w:szCs w:val="18"/>
              </w:rPr>
              <w:t>1</w:t>
            </w:r>
            <w:r w:rsidR="00672E92" w:rsidRPr="00672E92">
              <w:rPr>
                <w:noProof/>
                <w:webHidden/>
                <w:sz w:val="18"/>
                <w:szCs w:val="18"/>
              </w:rPr>
              <w:fldChar w:fldCharType="end"/>
            </w:r>
          </w:hyperlink>
        </w:p>
        <w:p w14:paraId="745FA707" w14:textId="0784D9EA" w:rsidR="00672E92" w:rsidRPr="00672E92" w:rsidRDefault="00431B2B" w:rsidP="00672E92">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73062687" w:history="1">
            <w:r w:rsidR="00672E92" w:rsidRPr="004353F2">
              <w:rPr>
                <w:rStyle w:val="Hipervnculo"/>
                <w:rFonts w:eastAsia="Times New Roman"/>
                <w:b/>
                <w:noProof/>
                <w:color w:val="auto"/>
                <w:sz w:val="18"/>
                <w:szCs w:val="18"/>
              </w:rPr>
              <w:t>Competencia y procedencia</w:t>
            </w:r>
            <w:r w:rsidR="00672E92" w:rsidRPr="00672E92">
              <w:rPr>
                <w:noProof/>
                <w:webHidden/>
                <w:sz w:val="18"/>
                <w:szCs w:val="18"/>
              </w:rPr>
              <w:tab/>
            </w:r>
            <w:r w:rsidR="00672E92" w:rsidRPr="00672E92">
              <w:rPr>
                <w:noProof/>
                <w:webHidden/>
                <w:sz w:val="18"/>
                <w:szCs w:val="18"/>
              </w:rPr>
              <w:fldChar w:fldCharType="begin"/>
            </w:r>
            <w:r w:rsidR="00672E92" w:rsidRPr="00672E92">
              <w:rPr>
                <w:noProof/>
                <w:webHidden/>
                <w:sz w:val="18"/>
                <w:szCs w:val="18"/>
              </w:rPr>
              <w:instrText xml:space="preserve"> PAGEREF _Toc73062687 \h </w:instrText>
            </w:r>
            <w:r w:rsidR="00672E92" w:rsidRPr="00672E92">
              <w:rPr>
                <w:noProof/>
                <w:webHidden/>
                <w:sz w:val="18"/>
                <w:szCs w:val="18"/>
              </w:rPr>
            </w:r>
            <w:r w:rsidR="00672E92" w:rsidRPr="00672E92">
              <w:rPr>
                <w:noProof/>
                <w:webHidden/>
                <w:sz w:val="18"/>
                <w:szCs w:val="18"/>
              </w:rPr>
              <w:fldChar w:fldCharType="separate"/>
            </w:r>
            <w:r w:rsidR="008B5D8A">
              <w:rPr>
                <w:noProof/>
                <w:webHidden/>
                <w:sz w:val="18"/>
                <w:szCs w:val="18"/>
              </w:rPr>
              <w:t>2</w:t>
            </w:r>
            <w:r w:rsidR="00672E92" w:rsidRPr="00672E92">
              <w:rPr>
                <w:noProof/>
                <w:webHidden/>
                <w:sz w:val="18"/>
                <w:szCs w:val="18"/>
              </w:rPr>
              <w:fldChar w:fldCharType="end"/>
            </w:r>
          </w:hyperlink>
        </w:p>
        <w:p w14:paraId="1497BF51" w14:textId="7642CE23" w:rsidR="00672E92" w:rsidRPr="00672E92" w:rsidRDefault="00431B2B" w:rsidP="00672E92">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73062688" w:history="1">
            <w:r w:rsidR="00672E92" w:rsidRPr="004353F2">
              <w:rPr>
                <w:rStyle w:val="Hipervnculo"/>
                <w:rFonts w:eastAsia="Times New Roman"/>
                <w:b/>
                <w:noProof/>
                <w:color w:val="auto"/>
                <w:sz w:val="18"/>
                <w:szCs w:val="18"/>
              </w:rPr>
              <w:t>Antecedentes</w:t>
            </w:r>
            <w:r w:rsidR="00672E92" w:rsidRPr="00672E92">
              <w:rPr>
                <w:noProof/>
                <w:webHidden/>
                <w:sz w:val="18"/>
                <w:szCs w:val="18"/>
              </w:rPr>
              <w:tab/>
            </w:r>
            <w:r w:rsidR="00672E92" w:rsidRPr="00672E92">
              <w:rPr>
                <w:noProof/>
                <w:webHidden/>
                <w:sz w:val="18"/>
                <w:szCs w:val="18"/>
              </w:rPr>
              <w:fldChar w:fldCharType="begin"/>
            </w:r>
            <w:r w:rsidR="00672E92" w:rsidRPr="00672E92">
              <w:rPr>
                <w:noProof/>
                <w:webHidden/>
                <w:sz w:val="18"/>
                <w:szCs w:val="18"/>
              </w:rPr>
              <w:instrText xml:space="preserve"> PAGEREF _Toc73062688 \h </w:instrText>
            </w:r>
            <w:r w:rsidR="00672E92" w:rsidRPr="00672E92">
              <w:rPr>
                <w:noProof/>
                <w:webHidden/>
                <w:sz w:val="18"/>
                <w:szCs w:val="18"/>
              </w:rPr>
            </w:r>
            <w:r w:rsidR="00672E92" w:rsidRPr="00672E92">
              <w:rPr>
                <w:noProof/>
                <w:webHidden/>
                <w:sz w:val="18"/>
                <w:szCs w:val="18"/>
              </w:rPr>
              <w:fldChar w:fldCharType="separate"/>
            </w:r>
            <w:r w:rsidR="008B5D8A">
              <w:rPr>
                <w:noProof/>
                <w:webHidden/>
                <w:sz w:val="18"/>
                <w:szCs w:val="18"/>
              </w:rPr>
              <w:t>2</w:t>
            </w:r>
            <w:r w:rsidR="00672E92" w:rsidRPr="00672E92">
              <w:rPr>
                <w:noProof/>
                <w:webHidden/>
                <w:sz w:val="18"/>
                <w:szCs w:val="18"/>
              </w:rPr>
              <w:fldChar w:fldCharType="end"/>
            </w:r>
          </w:hyperlink>
        </w:p>
        <w:p w14:paraId="1C933F00" w14:textId="02E20077" w:rsidR="00672E92" w:rsidRPr="00672E92" w:rsidRDefault="00431B2B" w:rsidP="00672E92">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73062689" w:history="1">
            <w:r w:rsidR="00672E92" w:rsidRPr="004353F2">
              <w:rPr>
                <w:rStyle w:val="Hipervnculo"/>
                <w:rFonts w:eastAsia="Times New Roman"/>
                <w:b/>
                <w:noProof/>
                <w:color w:val="auto"/>
                <w:sz w:val="18"/>
                <w:szCs w:val="18"/>
              </w:rPr>
              <w:t>Estudio de fondo</w:t>
            </w:r>
            <w:r w:rsidR="00672E92" w:rsidRPr="00672E92">
              <w:rPr>
                <w:noProof/>
                <w:webHidden/>
                <w:sz w:val="18"/>
                <w:szCs w:val="18"/>
              </w:rPr>
              <w:tab/>
            </w:r>
            <w:r w:rsidR="00672E92" w:rsidRPr="00672E92">
              <w:rPr>
                <w:noProof/>
                <w:webHidden/>
                <w:sz w:val="18"/>
                <w:szCs w:val="18"/>
              </w:rPr>
              <w:fldChar w:fldCharType="begin"/>
            </w:r>
            <w:r w:rsidR="00672E92" w:rsidRPr="00672E92">
              <w:rPr>
                <w:noProof/>
                <w:webHidden/>
                <w:sz w:val="18"/>
                <w:szCs w:val="18"/>
              </w:rPr>
              <w:instrText xml:space="preserve"> PAGEREF _Toc73062689 \h </w:instrText>
            </w:r>
            <w:r w:rsidR="00672E92" w:rsidRPr="00672E92">
              <w:rPr>
                <w:noProof/>
                <w:webHidden/>
                <w:sz w:val="18"/>
                <w:szCs w:val="18"/>
              </w:rPr>
            </w:r>
            <w:r w:rsidR="00672E92" w:rsidRPr="00672E92">
              <w:rPr>
                <w:noProof/>
                <w:webHidden/>
                <w:sz w:val="18"/>
                <w:szCs w:val="18"/>
              </w:rPr>
              <w:fldChar w:fldCharType="separate"/>
            </w:r>
            <w:r w:rsidR="008B5D8A">
              <w:rPr>
                <w:noProof/>
                <w:webHidden/>
                <w:sz w:val="18"/>
                <w:szCs w:val="18"/>
              </w:rPr>
              <w:t>4</w:t>
            </w:r>
            <w:r w:rsidR="00672E92" w:rsidRPr="00672E92">
              <w:rPr>
                <w:noProof/>
                <w:webHidden/>
                <w:sz w:val="18"/>
                <w:szCs w:val="18"/>
              </w:rPr>
              <w:fldChar w:fldCharType="end"/>
            </w:r>
          </w:hyperlink>
        </w:p>
        <w:p w14:paraId="57E49BCB" w14:textId="1CF241A2" w:rsidR="00672E92" w:rsidRPr="00672E92" w:rsidRDefault="00431B2B" w:rsidP="0050019B">
          <w:pPr>
            <w:pStyle w:val="TDC2"/>
            <w:rPr>
              <w:rFonts w:asciiTheme="minorHAnsi" w:eastAsiaTheme="minorEastAsia" w:hAnsiTheme="minorHAnsi" w:cstheme="minorBidi"/>
              <w:u w:val="none"/>
              <w:lang w:val="es-MX" w:eastAsia="es-MX"/>
            </w:rPr>
          </w:pPr>
          <w:hyperlink w:anchor="_Toc73062690" w:history="1">
            <w:r w:rsidR="00672E92" w:rsidRPr="004353F2">
              <w:rPr>
                <w:rStyle w:val="Hipervnculo"/>
                <w:color w:val="auto"/>
              </w:rPr>
              <w:t>Apartado preliminar</w:t>
            </w:r>
            <w:r w:rsidR="00672E92" w:rsidRPr="004353F2">
              <w:rPr>
                <w:rStyle w:val="Hipervnculo"/>
                <w:b w:val="0"/>
                <w:color w:val="auto"/>
                <w:u w:val="none"/>
              </w:rPr>
              <w:t>. Definición de la materia de controversia</w:t>
            </w:r>
            <w:r w:rsidR="00672E92" w:rsidRPr="0050019B">
              <w:rPr>
                <w:b w:val="0"/>
                <w:bCs w:val="0"/>
                <w:webHidden/>
                <w:u w:val="none"/>
              </w:rPr>
              <w:tab/>
            </w:r>
            <w:r w:rsidR="00672E92" w:rsidRPr="0050019B">
              <w:rPr>
                <w:b w:val="0"/>
                <w:bCs w:val="0"/>
                <w:webHidden/>
                <w:u w:val="none"/>
              </w:rPr>
              <w:fldChar w:fldCharType="begin"/>
            </w:r>
            <w:r w:rsidR="00672E92" w:rsidRPr="0050019B">
              <w:rPr>
                <w:b w:val="0"/>
                <w:bCs w:val="0"/>
                <w:webHidden/>
                <w:u w:val="none"/>
              </w:rPr>
              <w:instrText xml:space="preserve"> PAGEREF _Toc73062690 \h </w:instrText>
            </w:r>
            <w:r w:rsidR="00672E92" w:rsidRPr="0050019B">
              <w:rPr>
                <w:b w:val="0"/>
                <w:bCs w:val="0"/>
                <w:webHidden/>
                <w:u w:val="none"/>
              </w:rPr>
            </w:r>
            <w:r w:rsidR="00672E92" w:rsidRPr="0050019B">
              <w:rPr>
                <w:b w:val="0"/>
                <w:bCs w:val="0"/>
                <w:webHidden/>
                <w:u w:val="none"/>
              </w:rPr>
              <w:fldChar w:fldCharType="separate"/>
            </w:r>
            <w:r w:rsidR="008B5D8A">
              <w:rPr>
                <w:b w:val="0"/>
                <w:bCs w:val="0"/>
                <w:webHidden/>
                <w:u w:val="none"/>
              </w:rPr>
              <w:t>4</w:t>
            </w:r>
            <w:r w:rsidR="00672E92" w:rsidRPr="0050019B">
              <w:rPr>
                <w:b w:val="0"/>
                <w:bCs w:val="0"/>
                <w:webHidden/>
                <w:u w:val="none"/>
              </w:rPr>
              <w:fldChar w:fldCharType="end"/>
            </w:r>
          </w:hyperlink>
        </w:p>
        <w:p w14:paraId="7839AECF" w14:textId="0C906CBF" w:rsidR="00672E92" w:rsidRPr="004353F2" w:rsidRDefault="00431B2B" w:rsidP="0050019B">
          <w:pPr>
            <w:pStyle w:val="TDC2"/>
            <w:rPr>
              <w:rStyle w:val="Hipervnculo"/>
              <w:b w:val="0"/>
              <w:color w:val="auto"/>
            </w:rPr>
          </w:pPr>
          <w:hyperlink w:anchor="_Toc73062691" w:history="1">
            <w:r w:rsidR="00672E92" w:rsidRPr="004353F2">
              <w:rPr>
                <w:rStyle w:val="Hipervnculo"/>
                <w:color w:val="auto"/>
              </w:rPr>
              <w:t>Apartado I</w:t>
            </w:r>
            <w:r w:rsidR="00672E92" w:rsidRPr="004353F2">
              <w:rPr>
                <w:rStyle w:val="Hipervnculo"/>
                <w:color w:val="auto"/>
                <w:u w:val="none"/>
              </w:rPr>
              <w:t>.</w:t>
            </w:r>
            <w:r w:rsidR="00672E92" w:rsidRPr="004353F2">
              <w:rPr>
                <w:rStyle w:val="Hipervnculo"/>
                <w:b w:val="0"/>
                <w:color w:val="auto"/>
                <w:u w:val="none"/>
              </w:rPr>
              <w:t xml:space="preserve"> Decisión general</w:t>
            </w:r>
            <w:r w:rsidR="00672E92" w:rsidRPr="004353F2">
              <w:rPr>
                <w:rStyle w:val="Hipervnculo"/>
                <w:b w:val="0"/>
                <w:webHidden/>
                <w:color w:val="auto"/>
                <w:u w:val="none"/>
              </w:rPr>
              <w:tab/>
            </w:r>
            <w:r w:rsidR="00672E92" w:rsidRPr="004353F2">
              <w:rPr>
                <w:rStyle w:val="Hipervnculo"/>
                <w:b w:val="0"/>
                <w:webHidden/>
                <w:color w:val="auto"/>
                <w:u w:val="none"/>
              </w:rPr>
              <w:fldChar w:fldCharType="begin"/>
            </w:r>
            <w:r w:rsidR="00672E92" w:rsidRPr="004353F2">
              <w:rPr>
                <w:rStyle w:val="Hipervnculo"/>
                <w:b w:val="0"/>
                <w:webHidden/>
                <w:color w:val="auto"/>
                <w:u w:val="none"/>
              </w:rPr>
              <w:instrText xml:space="preserve"> PAGEREF _Toc73062691 \h </w:instrText>
            </w:r>
            <w:r w:rsidR="00672E92" w:rsidRPr="004353F2">
              <w:rPr>
                <w:rStyle w:val="Hipervnculo"/>
                <w:b w:val="0"/>
                <w:webHidden/>
                <w:color w:val="auto"/>
                <w:u w:val="none"/>
              </w:rPr>
            </w:r>
            <w:r w:rsidR="00672E92" w:rsidRPr="004353F2">
              <w:rPr>
                <w:rStyle w:val="Hipervnculo"/>
                <w:b w:val="0"/>
                <w:webHidden/>
                <w:color w:val="auto"/>
                <w:u w:val="none"/>
              </w:rPr>
              <w:fldChar w:fldCharType="separate"/>
            </w:r>
            <w:r w:rsidR="008B5D8A">
              <w:rPr>
                <w:rStyle w:val="Hipervnculo"/>
                <w:b w:val="0"/>
                <w:webHidden/>
                <w:color w:val="auto"/>
                <w:u w:val="none"/>
              </w:rPr>
              <w:t>4</w:t>
            </w:r>
            <w:r w:rsidR="00672E92" w:rsidRPr="004353F2">
              <w:rPr>
                <w:rStyle w:val="Hipervnculo"/>
                <w:b w:val="0"/>
                <w:webHidden/>
                <w:color w:val="auto"/>
                <w:u w:val="none"/>
              </w:rPr>
              <w:fldChar w:fldCharType="end"/>
            </w:r>
          </w:hyperlink>
        </w:p>
        <w:p w14:paraId="57F422E6" w14:textId="2B21B59B" w:rsidR="00672E92" w:rsidRPr="00672E92" w:rsidRDefault="00431B2B" w:rsidP="0050019B">
          <w:pPr>
            <w:pStyle w:val="TDC2"/>
            <w:rPr>
              <w:rFonts w:asciiTheme="minorHAnsi" w:eastAsiaTheme="minorEastAsia" w:hAnsiTheme="minorHAnsi" w:cstheme="minorBidi"/>
              <w:u w:val="none"/>
              <w:lang w:val="es-MX" w:eastAsia="es-MX"/>
            </w:rPr>
          </w:pPr>
          <w:hyperlink w:anchor="_Toc73062692" w:history="1">
            <w:r w:rsidR="00672E92" w:rsidRPr="004353F2">
              <w:rPr>
                <w:rStyle w:val="Hipervnculo"/>
                <w:color w:val="auto"/>
              </w:rPr>
              <w:t>Apartado II</w:t>
            </w:r>
            <w:r w:rsidR="00672E92" w:rsidRPr="004353F2">
              <w:rPr>
                <w:rStyle w:val="Hipervnculo"/>
                <w:b w:val="0"/>
                <w:color w:val="auto"/>
                <w:u w:val="none"/>
              </w:rPr>
              <w:t>. Desarrollo o justificación de la decisión</w:t>
            </w:r>
            <w:r w:rsidR="00672E92" w:rsidRPr="0050019B">
              <w:rPr>
                <w:b w:val="0"/>
                <w:bCs w:val="0"/>
                <w:webHidden/>
                <w:u w:val="none"/>
              </w:rPr>
              <w:tab/>
            </w:r>
            <w:r w:rsidR="00672E92" w:rsidRPr="0050019B">
              <w:rPr>
                <w:b w:val="0"/>
                <w:bCs w:val="0"/>
                <w:webHidden/>
                <w:u w:val="none"/>
              </w:rPr>
              <w:fldChar w:fldCharType="begin"/>
            </w:r>
            <w:r w:rsidR="00672E92" w:rsidRPr="0050019B">
              <w:rPr>
                <w:b w:val="0"/>
                <w:bCs w:val="0"/>
                <w:webHidden/>
                <w:u w:val="none"/>
              </w:rPr>
              <w:instrText xml:space="preserve"> PAGEREF _Toc73062692 \h </w:instrText>
            </w:r>
            <w:r w:rsidR="00672E92" w:rsidRPr="0050019B">
              <w:rPr>
                <w:b w:val="0"/>
                <w:bCs w:val="0"/>
                <w:webHidden/>
                <w:u w:val="none"/>
              </w:rPr>
            </w:r>
            <w:r w:rsidR="00672E92" w:rsidRPr="0050019B">
              <w:rPr>
                <w:b w:val="0"/>
                <w:bCs w:val="0"/>
                <w:webHidden/>
                <w:u w:val="none"/>
              </w:rPr>
              <w:fldChar w:fldCharType="separate"/>
            </w:r>
            <w:r w:rsidR="008B5D8A">
              <w:rPr>
                <w:b w:val="0"/>
                <w:bCs w:val="0"/>
                <w:webHidden/>
                <w:u w:val="none"/>
              </w:rPr>
              <w:t>5</w:t>
            </w:r>
            <w:r w:rsidR="00672E92" w:rsidRPr="0050019B">
              <w:rPr>
                <w:b w:val="0"/>
                <w:bCs w:val="0"/>
                <w:webHidden/>
                <w:u w:val="none"/>
              </w:rPr>
              <w:fldChar w:fldCharType="end"/>
            </w:r>
          </w:hyperlink>
        </w:p>
        <w:p w14:paraId="4BEBBA61" w14:textId="1D29C562" w:rsidR="00672E92" w:rsidRPr="0050019B" w:rsidRDefault="00431B2B" w:rsidP="00672E92">
          <w:pPr>
            <w:pStyle w:val="TDC3"/>
            <w:tabs>
              <w:tab w:val="right" w:leader="dot" w:pos="8505"/>
              <w:tab w:val="right" w:leader="dot" w:pos="8544"/>
            </w:tabs>
            <w:spacing w:after="0" w:line="240" w:lineRule="auto"/>
            <w:jc w:val="both"/>
            <w:rPr>
              <w:rFonts w:asciiTheme="minorHAnsi" w:eastAsiaTheme="minorEastAsia" w:hAnsiTheme="minorHAnsi" w:cstheme="minorBidi"/>
              <w:noProof/>
              <w:sz w:val="18"/>
              <w:szCs w:val="18"/>
              <w:lang w:val="es-MX" w:eastAsia="es-MX"/>
            </w:rPr>
          </w:pPr>
          <w:hyperlink w:anchor="_Toc73062693" w:history="1">
            <w:r w:rsidR="00672E92" w:rsidRPr="0050019B">
              <w:rPr>
                <w:rStyle w:val="Hipervnculo"/>
                <w:noProof/>
                <w:sz w:val="18"/>
                <w:szCs w:val="18"/>
              </w:rPr>
              <w:t>1. Marco o criterio jurisprudencial sobre el análisis de los agravios</w:t>
            </w:r>
            <w:r w:rsidR="00672E92" w:rsidRPr="0050019B">
              <w:rPr>
                <w:noProof/>
                <w:webHidden/>
                <w:sz w:val="18"/>
                <w:szCs w:val="18"/>
              </w:rPr>
              <w:tab/>
            </w:r>
            <w:r w:rsidR="00672E92" w:rsidRPr="0050019B">
              <w:rPr>
                <w:noProof/>
                <w:webHidden/>
                <w:sz w:val="18"/>
                <w:szCs w:val="18"/>
              </w:rPr>
              <w:fldChar w:fldCharType="begin"/>
            </w:r>
            <w:r w:rsidR="00672E92" w:rsidRPr="0050019B">
              <w:rPr>
                <w:noProof/>
                <w:webHidden/>
                <w:sz w:val="18"/>
                <w:szCs w:val="18"/>
              </w:rPr>
              <w:instrText xml:space="preserve"> PAGEREF _Toc73062693 \h </w:instrText>
            </w:r>
            <w:r w:rsidR="00672E92" w:rsidRPr="0050019B">
              <w:rPr>
                <w:noProof/>
                <w:webHidden/>
                <w:sz w:val="18"/>
                <w:szCs w:val="18"/>
              </w:rPr>
            </w:r>
            <w:r w:rsidR="00672E92" w:rsidRPr="0050019B">
              <w:rPr>
                <w:noProof/>
                <w:webHidden/>
                <w:sz w:val="18"/>
                <w:szCs w:val="18"/>
              </w:rPr>
              <w:fldChar w:fldCharType="separate"/>
            </w:r>
            <w:r w:rsidR="008B5D8A">
              <w:rPr>
                <w:noProof/>
                <w:webHidden/>
                <w:sz w:val="18"/>
                <w:szCs w:val="18"/>
              </w:rPr>
              <w:t>5</w:t>
            </w:r>
            <w:r w:rsidR="00672E92" w:rsidRPr="0050019B">
              <w:rPr>
                <w:noProof/>
                <w:webHidden/>
                <w:sz w:val="18"/>
                <w:szCs w:val="18"/>
              </w:rPr>
              <w:fldChar w:fldCharType="end"/>
            </w:r>
          </w:hyperlink>
        </w:p>
        <w:p w14:paraId="2D59F980" w14:textId="4032E3EC" w:rsidR="00672E92" w:rsidRPr="0050019B" w:rsidRDefault="00431B2B" w:rsidP="00672E92">
          <w:pPr>
            <w:pStyle w:val="TDC3"/>
            <w:tabs>
              <w:tab w:val="right" w:leader="dot" w:pos="8505"/>
              <w:tab w:val="right" w:leader="dot" w:pos="8544"/>
            </w:tabs>
            <w:spacing w:after="0" w:line="240" w:lineRule="auto"/>
            <w:jc w:val="both"/>
            <w:rPr>
              <w:rFonts w:asciiTheme="minorHAnsi" w:eastAsiaTheme="minorEastAsia" w:hAnsiTheme="minorHAnsi" w:cstheme="minorBidi"/>
              <w:noProof/>
              <w:sz w:val="18"/>
              <w:szCs w:val="18"/>
              <w:lang w:val="es-MX" w:eastAsia="es-MX"/>
            </w:rPr>
          </w:pPr>
          <w:hyperlink w:anchor="_Toc73062694" w:history="1">
            <w:r w:rsidR="00672E92" w:rsidRPr="0050019B">
              <w:rPr>
                <w:rStyle w:val="Hipervnculo"/>
                <w:noProof/>
                <w:sz w:val="18"/>
                <w:szCs w:val="18"/>
              </w:rPr>
              <w:t>2. Resolución y agravios concretamente revisados</w:t>
            </w:r>
            <w:r w:rsidR="00672E92" w:rsidRPr="0050019B">
              <w:rPr>
                <w:noProof/>
                <w:webHidden/>
                <w:sz w:val="18"/>
                <w:szCs w:val="18"/>
              </w:rPr>
              <w:tab/>
            </w:r>
            <w:r w:rsidR="00672E92" w:rsidRPr="0050019B">
              <w:rPr>
                <w:noProof/>
                <w:webHidden/>
                <w:sz w:val="18"/>
                <w:szCs w:val="18"/>
              </w:rPr>
              <w:fldChar w:fldCharType="begin"/>
            </w:r>
            <w:r w:rsidR="00672E92" w:rsidRPr="0050019B">
              <w:rPr>
                <w:noProof/>
                <w:webHidden/>
                <w:sz w:val="18"/>
                <w:szCs w:val="18"/>
              </w:rPr>
              <w:instrText xml:space="preserve"> PAGEREF _Toc73062694 \h </w:instrText>
            </w:r>
            <w:r w:rsidR="00672E92" w:rsidRPr="0050019B">
              <w:rPr>
                <w:noProof/>
                <w:webHidden/>
                <w:sz w:val="18"/>
                <w:szCs w:val="18"/>
              </w:rPr>
            </w:r>
            <w:r w:rsidR="00672E92" w:rsidRPr="0050019B">
              <w:rPr>
                <w:noProof/>
                <w:webHidden/>
                <w:sz w:val="18"/>
                <w:szCs w:val="18"/>
              </w:rPr>
              <w:fldChar w:fldCharType="separate"/>
            </w:r>
            <w:r w:rsidR="008B5D8A">
              <w:rPr>
                <w:noProof/>
                <w:webHidden/>
                <w:sz w:val="18"/>
                <w:szCs w:val="18"/>
              </w:rPr>
              <w:t>7</w:t>
            </w:r>
            <w:r w:rsidR="00672E92" w:rsidRPr="0050019B">
              <w:rPr>
                <w:noProof/>
                <w:webHidden/>
                <w:sz w:val="18"/>
                <w:szCs w:val="18"/>
              </w:rPr>
              <w:fldChar w:fldCharType="end"/>
            </w:r>
          </w:hyperlink>
        </w:p>
        <w:p w14:paraId="6FC56A4E" w14:textId="7BF15CD6" w:rsidR="00672E92" w:rsidRPr="0050019B" w:rsidRDefault="00431B2B" w:rsidP="00672E92">
          <w:pPr>
            <w:pStyle w:val="TDC3"/>
            <w:tabs>
              <w:tab w:val="right" w:leader="dot" w:pos="8505"/>
              <w:tab w:val="right" w:leader="dot" w:pos="8544"/>
            </w:tabs>
            <w:spacing w:after="0" w:line="240" w:lineRule="auto"/>
            <w:jc w:val="both"/>
            <w:rPr>
              <w:rFonts w:asciiTheme="minorHAnsi" w:eastAsiaTheme="minorEastAsia" w:hAnsiTheme="minorHAnsi" w:cstheme="minorBidi"/>
              <w:noProof/>
              <w:sz w:val="18"/>
              <w:szCs w:val="18"/>
              <w:lang w:val="es-MX" w:eastAsia="es-MX"/>
            </w:rPr>
          </w:pPr>
          <w:hyperlink w:anchor="_Toc73062695" w:history="1">
            <w:r w:rsidR="00672E92" w:rsidRPr="0050019B">
              <w:rPr>
                <w:rStyle w:val="Hipervnculo"/>
                <w:noProof/>
                <w:sz w:val="18"/>
                <w:szCs w:val="18"/>
              </w:rPr>
              <w:t>3</w:t>
            </w:r>
            <w:r w:rsidR="00672E92" w:rsidRPr="0050019B">
              <w:rPr>
                <w:rStyle w:val="Hipervnculo"/>
                <w:rFonts w:eastAsia="Times New Roman"/>
                <w:noProof/>
                <w:sz w:val="18"/>
                <w:szCs w:val="18"/>
                <w:lang w:eastAsia="es-MX"/>
              </w:rPr>
              <w:t>. Valoración</w:t>
            </w:r>
            <w:r w:rsidR="00672E92" w:rsidRPr="0050019B">
              <w:rPr>
                <w:noProof/>
                <w:webHidden/>
                <w:sz w:val="18"/>
                <w:szCs w:val="18"/>
              </w:rPr>
              <w:tab/>
            </w:r>
            <w:r w:rsidR="00672E92" w:rsidRPr="0050019B">
              <w:rPr>
                <w:noProof/>
                <w:webHidden/>
                <w:sz w:val="18"/>
                <w:szCs w:val="18"/>
              </w:rPr>
              <w:fldChar w:fldCharType="begin"/>
            </w:r>
            <w:r w:rsidR="00672E92" w:rsidRPr="0050019B">
              <w:rPr>
                <w:noProof/>
                <w:webHidden/>
                <w:sz w:val="18"/>
                <w:szCs w:val="18"/>
              </w:rPr>
              <w:instrText xml:space="preserve"> PAGEREF _Toc73062695 \h </w:instrText>
            </w:r>
            <w:r w:rsidR="00672E92" w:rsidRPr="0050019B">
              <w:rPr>
                <w:noProof/>
                <w:webHidden/>
                <w:sz w:val="18"/>
                <w:szCs w:val="18"/>
              </w:rPr>
            </w:r>
            <w:r w:rsidR="00672E92" w:rsidRPr="0050019B">
              <w:rPr>
                <w:noProof/>
                <w:webHidden/>
                <w:sz w:val="18"/>
                <w:szCs w:val="18"/>
              </w:rPr>
              <w:fldChar w:fldCharType="separate"/>
            </w:r>
            <w:r w:rsidR="008B5D8A">
              <w:rPr>
                <w:noProof/>
                <w:webHidden/>
                <w:sz w:val="18"/>
                <w:szCs w:val="18"/>
              </w:rPr>
              <w:t>9</w:t>
            </w:r>
            <w:r w:rsidR="00672E92" w:rsidRPr="0050019B">
              <w:rPr>
                <w:noProof/>
                <w:webHidden/>
                <w:sz w:val="18"/>
                <w:szCs w:val="18"/>
              </w:rPr>
              <w:fldChar w:fldCharType="end"/>
            </w:r>
          </w:hyperlink>
        </w:p>
        <w:p w14:paraId="038C2521" w14:textId="4F9D8902" w:rsidR="00672E92" w:rsidRPr="00672E92" w:rsidRDefault="00431B2B" w:rsidP="00672E92">
          <w:pPr>
            <w:pStyle w:val="TDC1"/>
            <w:tabs>
              <w:tab w:val="clear" w:pos="8263"/>
              <w:tab w:val="right" w:leader="dot" w:pos="8505"/>
            </w:tabs>
            <w:spacing w:after="0" w:line="240" w:lineRule="auto"/>
            <w:rPr>
              <w:rFonts w:asciiTheme="minorHAnsi" w:eastAsiaTheme="minorEastAsia" w:hAnsiTheme="minorHAnsi" w:cstheme="minorBidi"/>
              <w:noProof/>
              <w:sz w:val="18"/>
              <w:szCs w:val="18"/>
              <w:lang w:val="es-MX" w:eastAsia="es-MX"/>
            </w:rPr>
          </w:pPr>
          <w:hyperlink w:anchor="_Toc73062696" w:history="1">
            <w:r w:rsidR="00672E92" w:rsidRPr="0050019B">
              <w:rPr>
                <w:rStyle w:val="Hipervnculo"/>
                <w:b/>
                <w:bCs/>
                <w:noProof/>
                <w:sz w:val="18"/>
                <w:szCs w:val="18"/>
              </w:rPr>
              <w:t>Resuelve</w:t>
            </w:r>
            <w:r w:rsidR="00672E92" w:rsidRPr="00672E92">
              <w:rPr>
                <w:noProof/>
                <w:webHidden/>
                <w:sz w:val="18"/>
                <w:szCs w:val="18"/>
              </w:rPr>
              <w:tab/>
            </w:r>
            <w:r w:rsidR="00672E92" w:rsidRPr="00672E92">
              <w:rPr>
                <w:noProof/>
                <w:webHidden/>
                <w:sz w:val="18"/>
                <w:szCs w:val="18"/>
              </w:rPr>
              <w:fldChar w:fldCharType="begin"/>
            </w:r>
            <w:r w:rsidR="00672E92" w:rsidRPr="00672E92">
              <w:rPr>
                <w:noProof/>
                <w:webHidden/>
                <w:sz w:val="18"/>
                <w:szCs w:val="18"/>
              </w:rPr>
              <w:instrText xml:space="preserve"> PAGEREF _Toc73062696 \h </w:instrText>
            </w:r>
            <w:r w:rsidR="00672E92" w:rsidRPr="00672E92">
              <w:rPr>
                <w:noProof/>
                <w:webHidden/>
                <w:sz w:val="18"/>
                <w:szCs w:val="18"/>
              </w:rPr>
            </w:r>
            <w:r w:rsidR="00672E92" w:rsidRPr="00672E92">
              <w:rPr>
                <w:noProof/>
                <w:webHidden/>
                <w:sz w:val="18"/>
                <w:szCs w:val="18"/>
              </w:rPr>
              <w:fldChar w:fldCharType="separate"/>
            </w:r>
            <w:r w:rsidR="008B5D8A">
              <w:rPr>
                <w:noProof/>
                <w:webHidden/>
                <w:sz w:val="18"/>
                <w:szCs w:val="18"/>
              </w:rPr>
              <w:t>11</w:t>
            </w:r>
            <w:r w:rsidR="00672E92" w:rsidRPr="00672E92">
              <w:rPr>
                <w:noProof/>
                <w:webHidden/>
                <w:sz w:val="18"/>
                <w:szCs w:val="18"/>
              </w:rPr>
              <w:fldChar w:fldCharType="end"/>
            </w:r>
          </w:hyperlink>
        </w:p>
        <w:p w14:paraId="5020AEEF" w14:textId="327920F5" w:rsidR="00243172" w:rsidRPr="00672E92" w:rsidRDefault="00A90117" w:rsidP="00672E92">
          <w:pPr>
            <w:pStyle w:val="Ttulo1"/>
            <w:tabs>
              <w:tab w:val="right" w:leader="dot" w:pos="8505"/>
            </w:tabs>
            <w:spacing w:before="0" w:beforeAutospacing="0" w:after="0" w:afterAutospacing="0" w:line="240" w:lineRule="auto"/>
            <w:rPr>
              <w:bCs w:val="0"/>
              <w:sz w:val="18"/>
              <w:szCs w:val="18"/>
              <w:lang w:val="es-ES"/>
            </w:rPr>
          </w:pPr>
          <w:r w:rsidRPr="00672E92">
            <w:rPr>
              <w:rFonts w:eastAsia="Times New Roman" w:cs="Arial"/>
              <w:caps w:val="0"/>
              <w:noProof/>
              <w:kern w:val="0"/>
              <w:sz w:val="18"/>
              <w:szCs w:val="18"/>
              <w:lang w:val="es-MX" w:eastAsia="es-ES"/>
            </w:rPr>
            <w:fldChar w:fldCharType="end"/>
          </w:r>
        </w:p>
      </w:sdtContent>
    </w:sdt>
    <w:bookmarkStart w:id="1" w:name="_Toc19640897" w:displacedByCustomXml="prev"/>
    <w:p w14:paraId="103A566D" w14:textId="77777777" w:rsidR="00243172" w:rsidRPr="00216ACE" w:rsidRDefault="00243172" w:rsidP="00243172">
      <w:pPr>
        <w:pStyle w:val="Ttulo1"/>
        <w:spacing w:before="0" w:beforeAutospacing="0" w:after="0" w:afterAutospacing="0"/>
        <w:jc w:val="center"/>
        <w:rPr>
          <w:rFonts w:eastAsiaTheme="minorHAnsi" w:cs="Arial"/>
          <w:bCs w:val="0"/>
          <w:caps w:val="0"/>
          <w:kern w:val="0"/>
          <w:sz w:val="18"/>
          <w:szCs w:val="18"/>
        </w:rPr>
      </w:pPr>
      <w:bookmarkStart w:id="2" w:name="_Toc73062686"/>
      <w:r w:rsidRPr="00216ACE">
        <w:rPr>
          <w:rFonts w:eastAsiaTheme="minorHAnsi" w:cs="Arial"/>
          <w:bCs w:val="0"/>
          <w:caps w:val="0"/>
          <w:kern w:val="0"/>
          <w:sz w:val="18"/>
          <w:szCs w:val="18"/>
        </w:rPr>
        <w:t>Glosario</w:t>
      </w:r>
      <w:bookmarkEnd w:id="1"/>
      <w:bookmarkEnd w:id="2"/>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958"/>
      </w:tblGrid>
      <w:tr w:rsidR="00DC25CE" w:rsidRPr="00216ACE" w14:paraId="758309B2" w14:textId="77777777" w:rsidTr="00C419C9">
        <w:trPr>
          <w:trHeight w:val="233"/>
        </w:trPr>
        <w:tc>
          <w:tcPr>
            <w:tcW w:w="2689" w:type="dxa"/>
          </w:tcPr>
          <w:p w14:paraId="3C4F6B0E" w14:textId="24821CBC" w:rsidR="00DC25CE" w:rsidRDefault="001F7170" w:rsidP="002F6BEE">
            <w:pPr>
              <w:spacing w:after="0" w:line="240" w:lineRule="auto"/>
              <w:ind w:right="-23"/>
              <w:rPr>
                <w:b/>
                <w:sz w:val="18"/>
                <w:szCs w:val="18"/>
              </w:rPr>
            </w:pPr>
            <w:r>
              <w:rPr>
                <w:b/>
                <w:sz w:val="18"/>
                <w:szCs w:val="18"/>
              </w:rPr>
              <w:t>Instituto Local:</w:t>
            </w:r>
          </w:p>
        </w:tc>
        <w:tc>
          <w:tcPr>
            <w:tcW w:w="5958" w:type="dxa"/>
          </w:tcPr>
          <w:p w14:paraId="4DCABB5F" w14:textId="121E386D" w:rsidR="00DC25CE" w:rsidRDefault="001F7170" w:rsidP="002F6BEE">
            <w:pPr>
              <w:pStyle w:val="Default"/>
              <w:jc w:val="both"/>
              <w:rPr>
                <w:sz w:val="18"/>
                <w:szCs w:val="18"/>
              </w:rPr>
            </w:pPr>
            <w:r>
              <w:rPr>
                <w:sz w:val="18"/>
                <w:szCs w:val="18"/>
              </w:rPr>
              <w:t xml:space="preserve">Instituto </w:t>
            </w:r>
            <w:r w:rsidR="00C419C9">
              <w:rPr>
                <w:sz w:val="18"/>
                <w:szCs w:val="18"/>
              </w:rPr>
              <w:t>Electoral del Estado de Guanajuato.</w:t>
            </w:r>
          </w:p>
        </w:tc>
      </w:tr>
      <w:tr w:rsidR="001F7170" w:rsidRPr="00216ACE" w14:paraId="130AE7D5" w14:textId="77777777" w:rsidTr="00C419C9">
        <w:trPr>
          <w:trHeight w:val="233"/>
        </w:trPr>
        <w:tc>
          <w:tcPr>
            <w:tcW w:w="2689" w:type="dxa"/>
          </w:tcPr>
          <w:p w14:paraId="4C425A79" w14:textId="3A32192C" w:rsidR="001F7170" w:rsidRPr="00241BA4" w:rsidRDefault="001F7170" w:rsidP="001F7170">
            <w:pPr>
              <w:spacing w:after="0" w:line="240" w:lineRule="auto"/>
              <w:ind w:right="-23"/>
              <w:rPr>
                <w:b/>
                <w:sz w:val="18"/>
                <w:szCs w:val="18"/>
              </w:rPr>
            </w:pPr>
            <w:r w:rsidRPr="00241BA4">
              <w:rPr>
                <w:b/>
                <w:sz w:val="18"/>
                <w:szCs w:val="18"/>
              </w:rPr>
              <w:t>José Luis Montoya</w:t>
            </w:r>
            <w:r>
              <w:rPr>
                <w:b/>
                <w:sz w:val="18"/>
                <w:szCs w:val="18"/>
              </w:rPr>
              <w:t>:</w:t>
            </w:r>
          </w:p>
        </w:tc>
        <w:tc>
          <w:tcPr>
            <w:tcW w:w="5958" w:type="dxa"/>
          </w:tcPr>
          <w:p w14:paraId="2895B9F0" w14:textId="2EFC77C4" w:rsidR="001F7170" w:rsidRPr="00241BA4" w:rsidRDefault="001F7170" w:rsidP="001F7170">
            <w:pPr>
              <w:pStyle w:val="Default"/>
              <w:jc w:val="both"/>
              <w:rPr>
                <w:sz w:val="18"/>
                <w:szCs w:val="18"/>
                <w:lang w:val="es-ES_tradnl"/>
              </w:rPr>
            </w:pPr>
            <w:r w:rsidRPr="00241BA4">
              <w:rPr>
                <w:sz w:val="18"/>
                <w:szCs w:val="18"/>
                <w:lang w:val="es-ES_tradnl"/>
              </w:rPr>
              <w:t>José Luis Montoya</w:t>
            </w:r>
            <w:r>
              <w:rPr>
                <w:sz w:val="18"/>
                <w:szCs w:val="18"/>
                <w:lang w:val="es-ES_tradnl"/>
              </w:rPr>
              <w:t xml:space="preserve"> Vargas.</w:t>
            </w:r>
          </w:p>
        </w:tc>
      </w:tr>
      <w:tr w:rsidR="001F7170" w:rsidRPr="00216ACE" w14:paraId="7F0670E2" w14:textId="77777777" w:rsidTr="00C419C9">
        <w:trPr>
          <w:trHeight w:val="233"/>
        </w:trPr>
        <w:tc>
          <w:tcPr>
            <w:tcW w:w="2689" w:type="dxa"/>
          </w:tcPr>
          <w:p w14:paraId="4EC07D14" w14:textId="144483BE" w:rsidR="001F7170" w:rsidRDefault="001F7170" w:rsidP="001F7170">
            <w:pPr>
              <w:spacing w:after="0" w:line="240" w:lineRule="auto"/>
              <w:ind w:right="-23"/>
              <w:rPr>
                <w:b/>
                <w:sz w:val="18"/>
                <w:szCs w:val="18"/>
              </w:rPr>
            </w:pPr>
            <w:r>
              <w:rPr>
                <w:b/>
                <w:sz w:val="18"/>
                <w:szCs w:val="18"/>
              </w:rPr>
              <w:t>Lilly Téllez:</w:t>
            </w:r>
          </w:p>
        </w:tc>
        <w:tc>
          <w:tcPr>
            <w:tcW w:w="5958" w:type="dxa"/>
          </w:tcPr>
          <w:p w14:paraId="498B45ED" w14:textId="237EDDA7" w:rsidR="001F7170" w:rsidRDefault="001F7170" w:rsidP="001F7170">
            <w:pPr>
              <w:pStyle w:val="Default"/>
              <w:jc w:val="both"/>
              <w:rPr>
                <w:sz w:val="18"/>
                <w:szCs w:val="18"/>
              </w:rPr>
            </w:pPr>
            <w:r>
              <w:rPr>
                <w:sz w:val="18"/>
                <w:szCs w:val="18"/>
              </w:rPr>
              <w:t>María Lilly del Carmen Téllez Garcia.</w:t>
            </w:r>
          </w:p>
        </w:tc>
      </w:tr>
      <w:tr w:rsidR="001F7170" w:rsidRPr="00216ACE" w14:paraId="57058E08" w14:textId="77777777" w:rsidTr="00C419C9">
        <w:trPr>
          <w:trHeight w:val="233"/>
        </w:trPr>
        <w:tc>
          <w:tcPr>
            <w:tcW w:w="2689" w:type="dxa"/>
          </w:tcPr>
          <w:p w14:paraId="562D7758" w14:textId="0E6705ED" w:rsidR="001F7170" w:rsidRDefault="001F7170" w:rsidP="001F7170">
            <w:pPr>
              <w:spacing w:after="0" w:line="240" w:lineRule="auto"/>
              <w:ind w:right="-23"/>
              <w:rPr>
                <w:b/>
                <w:sz w:val="18"/>
                <w:szCs w:val="18"/>
              </w:rPr>
            </w:pPr>
            <w:r>
              <w:rPr>
                <w:b/>
                <w:sz w:val="18"/>
                <w:szCs w:val="18"/>
              </w:rPr>
              <w:t>Sala Superior:</w:t>
            </w:r>
          </w:p>
        </w:tc>
        <w:tc>
          <w:tcPr>
            <w:tcW w:w="5958" w:type="dxa"/>
          </w:tcPr>
          <w:p w14:paraId="29485585" w14:textId="215B1217" w:rsidR="001F7170" w:rsidRDefault="001F7170" w:rsidP="001F7170">
            <w:pPr>
              <w:pStyle w:val="Default"/>
              <w:jc w:val="both"/>
              <w:rPr>
                <w:sz w:val="18"/>
                <w:szCs w:val="18"/>
              </w:rPr>
            </w:pPr>
            <w:r>
              <w:rPr>
                <w:sz w:val="18"/>
                <w:szCs w:val="18"/>
              </w:rPr>
              <w:t>Sala Superior del Tribunal Electoral del Poder Judicial de la Federación.</w:t>
            </w:r>
          </w:p>
        </w:tc>
      </w:tr>
      <w:tr w:rsidR="001F7170" w:rsidRPr="00370C6B" w14:paraId="7F3F411D" w14:textId="77777777" w:rsidTr="00C419C9">
        <w:trPr>
          <w:trHeight w:val="253"/>
        </w:trPr>
        <w:tc>
          <w:tcPr>
            <w:tcW w:w="2689" w:type="dxa"/>
          </w:tcPr>
          <w:p w14:paraId="6D2C3285" w14:textId="155F6A2D" w:rsidR="001F7170" w:rsidRPr="00370C6B" w:rsidRDefault="001F7170" w:rsidP="001F7170">
            <w:pPr>
              <w:spacing w:after="0" w:line="240" w:lineRule="auto"/>
              <w:ind w:right="-23"/>
              <w:rPr>
                <w:b/>
                <w:sz w:val="18"/>
                <w:szCs w:val="18"/>
              </w:rPr>
            </w:pPr>
            <w:r w:rsidRPr="00370C6B">
              <w:rPr>
                <w:b/>
                <w:sz w:val="18"/>
                <w:szCs w:val="18"/>
              </w:rPr>
              <w:t xml:space="preserve">Tribunal de </w:t>
            </w:r>
            <w:r>
              <w:rPr>
                <w:b/>
                <w:sz w:val="18"/>
                <w:szCs w:val="18"/>
              </w:rPr>
              <w:t>Guanajuato</w:t>
            </w:r>
            <w:r w:rsidRPr="00370C6B">
              <w:rPr>
                <w:b/>
                <w:sz w:val="18"/>
                <w:szCs w:val="18"/>
              </w:rPr>
              <w:t>/</w:t>
            </w:r>
            <w:r>
              <w:rPr>
                <w:b/>
                <w:sz w:val="18"/>
                <w:szCs w:val="18"/>
              </w:rPr>
              <w:t xml:space="preserve">Tribunal </w:t>
            </w:r>
            <w:r w:rsidRPr="00370C6B">
              <w:rPr>
                <w:b/>
                <w:sz w:val="18"/>
                <w:szCs w:val="18"/>
              </w:rPr>
              <w:t>Local:</w:t>
            </w:r>
          </w:p>
        </w:tc>
        <w:tc>
          <w:tcPr>
            <w:tcW w:w="5958" w:type="dxa"/>
          </w:tcPr>
          <w:p w14:paraId="539B1346" w14:textId="1B5EEE3C" w:rsidR="001F7170" w:rsidRPr="00370C6B" w:rsidRDefault="001F7170" w:rsidP="001F7170">
            <w:pPr>
              <w:pStyle w:val="Default"/>
              <w:jc w:val="both"/>
              <w:rPr>
                <w:sz w:val="18"/>
                <w:szCs w:val="18"/>
              </w:rPr>
            </w:pPr>
            <w:r w:rsidRPr="00370C6B">
              <w:rPr>
                <w:sz w:val="18"/>
                <w:szCs w:val="18"/>
              </w:rPr>
              <w:t xml:space="preserve">Tribunal Electoral del Estado de </w:t>
            </w:r>
            <w:r w:rsidR="00C419C9">
              <w:rPr>
                <w:sz w:val="18"/>
                <w:szCs w:val="18"/>
              </w:rPr>
              <w:t>Guanajuato</w:t>
            </w:r>
            <w:r w:rsidRPr="00370C6B">
              <w:rPr>
                <w:sz w:val="18"/>
                <w:szCs w:val="18"/>
              </w:rPr>
              <w:t>.</w:t>
            </w:r>
          </w:p>
        </w:tc>
      </w:tr>
      <w:tr w:rsidR="001F7170" w:rsidRPr="00370C6B" w14:paraId="7AD21089" w14:textId="77777777" w:rsidTr="00C419C9">
        <w:trPr>
          <w:trHeight w:val="253"/>
        </w:trPr>
        <w:tc>
          <w:tcPr>
            <w:tcW w:w="2689" w:type="dxa"/>
          </w:tcPr>
          <w:p w14:paraId="25F74845" w14:textId="6FA3293D" w:rsidR="001F7170" w:rsidRPr="00370C6B" w:rsidRDefault="001F7170" w:rsidP="001F7170">
            <w:pPr>
              <w:spacing w:after="0" w:line="240" w:lineRule="auto"/>
              <w:ind w:right="-23"/>
              <w:rPr>
                <w:b/>
                <w:sz w:val="18"/>
                <w:szCs w:val="18"/>
              </w:rPr>
            </w:pPr>
            <w:r>
              <w:rPr>
                <w:b/>
                <w:sz w:val="18"/>
                <w:szCs w:val="18"/>
              </w:rPr>
              <w:lastRenderedPageBreak/>
              <w:t>vpg:</w:t>
            </w:r>
          </w:p>
        </w:tc>
        <w:tc>
          <w:tcPr>
            <w:tcW w:w="5958" w:type="dxa"/>
          </w:tcPr>
          <w:p w14:paraId="1A9C5769" w14:textId="42ABCBBA" w:rsidR="001F7170" w:rsidRPr="00370C6B" w:rsidRDefault="001F7170" w:rsidP="001F7170">
            <w:pPr>
              <w:pStyle w:val="Default"/>
              <w:jc w:val="both"/>
              <w:rPr>
                <w:sz w:val="18"/>
                <w:szCs w:val="18"/>
              </w:rPr>
            </w:pPr>
            <w:r>
              <w:rPr>
                <w:sz w:val="18"/>
                <w:szCs w:val="18"/>
              </w:rPr>
              <w:t>Violencia política de género.</w:t>
            </w:r>
          </w:p>
        </w:tc>
      </w:tr>
    </w:tbl>
    <w:p w14:paraId="2FDCFFC6" w14:textId="77777777" w:rsidR="00971779" w:rsidRPr="00370C6B" w:rsidRDefault="00971779" w:rsidP="001B3C29">
      <w:pPr>
        <w:spacing w:line="240" w:lineRule="auto"/>
        <w:rPr>
          <w:sz w:val="12"/>
          <w:szCs w:val="12"/>
        </w:rPr>
      </w:pPr>
    </w:p>
    <w:p w14:paraId="474242A7" w14:textId="77777777" w:rsidR="00243172" w:rsidRPr="008A2757" w:rsidRDefault="00243172" w:rsidP="001B3C29">
      <w:pPr>
        <w:pStyle w:val="Ttulo1"/>
        <w:spacing w:before="0" w:beforeAutospacing="0" w:after="0" w:afterAutospacing="0" w:line="240" w:lineRule="auto"/>
        <w:jc w:val="center"/>
        <w:rPr>
          <w:rFonts w:eastAsia="BatangChe" w:cs="Arial"/>
          <w:szCs w:val="24"/>
        </w:rPr>
      </w:pPr>
      <w:bookmarkStart w:id="3" w:name="_Toc45621481"/>
      <w:bookmarkStart w:id="4" w:name="_Toc73062687"/>
      <w:r w:rsidRPr="008A2757">
        <w:rPr>
          <w:rFonts w:eastAsia="Times New Roman" w:cs="Arial"/>
          <w:caps w:val="0"/>
          <w:szCs w:val="24"/>
        </w:rPr>
        <w:t>Competenci</w:t>
      </w:r>
      <w:bookmarkEnd w:id="3"/>
      <w:r w:rsidRPr="008A2757">
        <w:rPr>
          <w:rFonts w:eastAsia="Times New Roman" w:cs="Arial"/>
          <w:caps w:val="0"/>
          <w:szCs w:val="24"/>
        </w:rPr>
        <w:t>a y procedencia</w:t>
      </w:r>
      <w:bookmarkEnd w:id="4"/>
    </w:p>
    <w:p w14:paraId="5403E00D" w14:textId="77777777" w:rsidR="00243172" w:rsidRPr="008A2757" w:rsidRDefault="00243172" w:rsidP="00151947">
      <w:pPr>
        <w:spacing w:after="0" w:line="240" w:lineRule="auto"/>
        <w:jc w:val="center"/>
        <w:rPr>
          <w:rFonts w:eastAsia="BatangChe"/>
          <w:b/>
        </w:rPr>
      </w:pPr>
    </w:p>
    <w:p w14:paraId="33B73554" w14:textId="756D988C" w:rsidR="00243172" w:rsidRPr="008A2757" w:rsidRDefault="00243172" w:rsidP="00151947">
      <w:pPr>
        <w:spacing w:after="0" w:line="360" w:lineRule="auto"/>
        <w:jc w:val="both"/>
      </w:pPr>
      <w:r w:rsidRPr="008A2757">
        <w:rPr>
          <w:b/>
        </w:rPr>
        <w:t>1. Competencia.</w:t>
      </w:r>
      <w:r w:rsidRPr="008A2757">
        <w:t xml:space="preserve"> Esta Sala </w:t>
      </w:r>
      <w:r w:rsidR="001328B3" w:rsidRPr="008A2757">
        <w:t>Monterrey</w:t>
      </w:r>
      <w:r w:rsidRPr="008A2757">
        <w:t xml:space="preserve"> es competente para </w:t>
      </w:r>
      <w:r w:rsidR="00612A14" w:rsidRPr="008A2757">
        <w:t>conocer</w:t>
      </w:r>
      <w:r w:rsidRPr="008A2757">
        <w:t xml:space="preserve"> el presente juicio </w:t>
      </w:r>
      <w:r w:rsidR="002C4184" w:rsidRPr="008A2757">
        <w:t xml:space="preserve">ciudadano </w:t>
      </w:r>
      <w:r w:rsidRPr="008A2757">
        <w:t>promovido contra</w:t>
      </w:r>
      <w:r w:rsidR="002C4184" w:rsidRPr="008A2757">
        <w:t xml:space="preserve"> la </w:t>
      </w:r>
      <w:r w:rsidR="00F20B6E" w:rsidRPr="008A2757">
        <w:t>sentencia del Tribunal Local</w:t>
      </w:r>
      <w:r w:rsidR="007F672C" w:rsidRPr="008A2757">
        <w:t xml:space="preserve">, </w:t>
      </w:r>
      <w:r w:rsidR="006543A2">
        <w:t xml:space="preserve">que tuvo por </w:t>
      </w:r>
      <w:r w:rsidR="00CE1EF7">
        <w:t>acredita</w:t>
      </w:r>
      <w:r w:rsidR="006543A2">
        <w:t>da</w:t>
      </w:r>
      <w:r w:rsidR="007F672C" w:rsidRPr="008A2757">
        <w:t xml:space="preserve"> la </w:t>
      </w:r>
      <w:r w:rsidR="00241BA4" w:rsidRPr="008A2757">
        <w:t>vpg</w:t>
      </w:r>
      <w:r w:rsidR="007F672C" w:rsidRPr="008A2757">
        <w:t xml:space="preserve"> </w:t>
      </w:r>
      <w:r w:rsidR="00227605" w:rsidRPr="00AF1984">
        <w:t>cometida por</w:t>
      </w:r>
      <w:r w:rsidR="00244096" w:rsidRPr="00AF1984">
        <w:t xml:space="preserve"> el</w:t>
      </w:r>
      <w:r w:rsidR="007F672C" w:rsidRPr="00AF1984">
        <w:t xml:space="preserve"> </w:t>
      </w:r>
      <w:r w:rsidR="000876C4" w:rsidRPr="00AF1984">
        <w:t>sí</w:t>
      </w:r>
      <w:r w:rsidR="000876C4">
        <w:t>ndico</w:t>
      </w:r>
      <w:r w:rsidR="007F672C" w:rsidRPr="008A2757">
        <w:t xml:space="preserve"> </w:t>
      </w:r>
      <w:r w:rsidR="00F20B6E" w:rsidRPr="008A2757">
        <w:t xml:space="preserve">del Ayuntamiento de </w:t>
      </w:r>
      <w:r w:rsidR="000379A4">
        <w:t>Salamanca</w:t>
      </w:r>
      <w:r w:rsidR="006543A2">
        <w:t>, Guanajuato</w:t>
      </w:r>
      <w:r w:rsidRPr="008A2757">
        <w:t>, entidad federativa ubicada en la Segunda Circunscripción Electoral Plurinominal en la que esta Sala ejerce jurisdicción</w:t>
      </w:r>
      <w:r w:rsidRPr="008A2757">
        <w:rPr>
          <w:rStyle w:val="Refdenotaalpie"/>
        </w:rPr>
        <w:footnoteReference w:id="2"/>
      </w:r>
      <w:r w:rsidRPr="008A2757">
        <w:t>.</w:t>
      </w:r>
    </w:p>
    <w:p w14:paraId="1685B2DB" w14:textId="77777777" w:rsidR="00243172" w:rsidRPr="008A2757" w:rsidRDefault="00243172" w:rsidP="00151947">
      <w:pPr>
        <w:spacing w:after="0" w:line="240" w:lineRule="auto"/>
        <w:jc w:val="both"/>
      </w:pPr>
    </w:p>
    <w:p w14:paraId="222B3F25" w14:textId="169DCC70" w:rsidR="00243172" w:rsidRPr="008A2757" w:rsidRDefault="00243172" w:rsidP="00151947">
      <w:pPr>
        <w:shd w:val="clear" w:color="auto" w:fill="FFFFFF" w:themeFill="background1"/>
        <w:spacing w:after="0" w:line="360" w:lineRule="auto"/>
        <w:contextualSpacing/>
        <w:jc w:val="both"/>
      </w:pPr>
      <w:r w:rsidRPr="008A2757">
        <w:rPr>
          <w:b/>
        </w:rPr>
        <w:t xml:space="preserve">2. </w:t>
      </w:r>
      <w:r w:rsidR="003D6849" w:rsidRPr="008A2757">
        <w:rPr>
          <w:b/>
        </w:rPr>
        <w:t>Requisitos de procedencia</w:t>
      </w:r>
      <w:r w:rsidRPr="008A2757">
        <w:rPr>
          <w:b/>
        </w:rPr>
        <w:t xml:space="preserve">. </w:t>
      </w:r>
      <w:r w:rsidRPr="008A2757">
        <w:t>Esta Sala Monterrey los tiene satisfechos en los términos del acuerdo de admisión</w:t>
      </w:r>
      <w:r w:rsidRPr="008A2757">
        <w:rPr>
          <w:rStyle w:val="Refdenotaalpie"/>
        </w:rPr>
        <w:footnoteReference w:id="3"/>
      </w:r>
      <w:r w:rsidRPr="008A2757">
        <w:t>.</w:t>
      </w:r>
    </w:p>
    <w:p w14:paraId="70224222" w14:textId="77777777" w:rsidR="00F47CAB" w:rsidRPr="00244096" w:rsidRDefault="00F47CAB" w:rsidP="00151947">
      <w:pPr>
        <w:shd w:val="clear" w:color="auto" w:fill="FFFFFF" w:themeFill="background1"/>
        <w:spacing w:after="0" w:line="240" w:lineRule="auto"/>
        <w:contextualSpacing/>
        <w:jc w:val="both"/>
      </w:pPr>
    </w:p>
    <w:p w14:paraId="6D500E6E" w14:textId="7747F12F" w:rsidR="00F47CAB" w:rsidRPr="00244096" w:rsidRDefault="00F47CAB" w:rsidP="001B3C29">
      <w:pPr>
        <w:pStyle w:val="Ttulo1"/>
        <w:spacing w:before="0" w:beforeAutospacing="0" w:after="0" w:afterAutospacing="0" w:line="240" w:lineRule="auto"/>
        <w:jc w:val="center"/>
        <w:rPr>
          <w:rFonts w:eastAsia="Times New Roman" w:cs="Arial"/>
          <w:caps w:val="0"/>
          <w:szCs w:val="24"/>
        </w:rPr>
      </w:pPr>
      <w:bookmarkStart w:id="5" w:name="_Toc73062688"/>
      <w:r w:rsidRPr="00244096">
        <w:rPr>
          <w:rFonts w:eastAsia="Times New Roman" w:cs="Arial"/>
          <w:caps w:val="0"/>
          <w:szCs w:val="24"/>
        </w:rPr>
        <w:t>Antecedentes</w:t>
      </w:r>
      <w:r w:rsidR="001328B3" w:rsidRPr="00244096">
        <w:rPr>
          <w:rStyle w:val="Refdenotaalpie"/>
          <w:caps w:val="0"/>
          <w:szCs w:val="24"/>
        </w:rPr>
        <w:footnoteReference w:id="4"/>
      </w:r>
      <w:bookmarkEnd w:id="5"/>
    </w:p>
    <w:p w14:paraId="33468A5F" w14:textId="77777777" w:rsidR="00F47CAB" w:rsidRPr="00244096" w:rsidRDefault="00F47CAB" w:rsidP="00F47CAB">
      <w:pPr>
        <w:spacing w:after="0" w:line="240" w:lineRule="auto"/>
      </w:pPr>
    </w:p>
    <w:p w14:paraId="00A2BB3A" w14:textId="77777777" w:rsidR="00F47CAB" w:rsidRPr="00244096" w:rsidRDefault="00F47CAB" w:rsidP="00F47CAB">
      <w:pPr>
        <w:spacing w:after="0" w:line="240" w:lineRule="auto"/>
        <w:jc w:val="both"/>
        <w:rPr>
          <w:b/>
        </w:rPr>
      </w:pPr>
      <w:r w:rsidRPr="00244096">
        <w:rPr>
          <w:b/>
        </w:rPr>
        <w:t>I. Hechos contextuales y origen de la controversia</w:t>
      </w:r>
    </w:p>
    <w:p w14:paraId="7DF55AD0" w14:textId="77777777" w:rsidR="00F47CAB" w:rsidRPr="00244096" w:rsidRDefault="00F47CAB" w:rsidP="00F47CAB">
      <w:pPr>
        <w:spacing w:after="0" w:line="240" w:lineRule="auto"/>
        <w:jc w:val="both"/>
      </w:pPr>
    </w:p>
    <w:p w14:paraId="6724F2E7" w14:textId="5EE24BCC" w:rsidR="00A22979" w:rsidRDefault="00F47CAB" w:rsidP="00A22979">
      <w:pPr>
        <w:autoSpaceDE w:val="0"/>
        <w:autoSpaceDN w:val="0"/>
        <w:adjustRightInd w:val="0"/>
        <w:spacing w:after="0" w:line="360" w:lineRule="auto"/>
        <w:jc w:val="both"/>
        <w:rPr>
          <w:lang w:val="es-MX"/>
        </w:rPr>
      </w:pPr>
      <w:r w:rsidRPr="00244096">
        <w:rPr>
          <w:b/>
          <w:bCs/>
        </w:rPr>
        <w:t>1.</w:t>
      </w:r>
      <w:r>
        <w:t xml:space="preserve"> </w:t>
      </w:r>
      <w:r w:rsidR="007F672C" w:rsidRPr="00244096">
        <w:t xml:space="preserve">El </w:t>
      </w:r>
      <w:r w:rsidR="000C46E4">
        <w:t>4</w:t>
      </w:r>
      <w:r w:rsidR="007F672C" w:rsidRPr="00244096">
        <w:t xml:space="preserve"> de </w:t>
      </w:r>
      <w:r w:rsidR="000C46E4">
        <w:t xml:space="preserve">noviembre </w:t>
      </w:r>
      <w:r w:rsidR="007F672C" w:rsidRPr="00244096">
        <w:t>de 20</w:t>
      </w:r>
      <w:r w:rsidR="000C46E4">
        <w:t>20</w:t>
      </w:r>
      <w:r w:rsidR="007F672C" w:rsidRPr="00244096">
        <w:t xml:space="preserve">, </w:t>
      </w:r>
      <w:r w:rsidR="0064607F" w:rsidRPr="0064607F">
        <w:rPr>
          <w:b/>
          <w:bCs/>
        </w:rPr>
        <w:t>la regidora del ayuntamiento de Salamanca denunció</w:t>
      </w:r>
      <w:r w:rsidR="0064607F">
        <w:t xml:space="preserve"> </w:t>
      </w:r>
      <w:r w:rsidR="001F7170">
        <w:t xml:space="preserve">ante el Instituto Local </w:t>
      </w:r>
      <w:r w:rsidR="0064607F">
        <w:t>a</w:t>
      </w:r>
      <w:r w:rsidR="001E5772">
        <w:t xml:space="preserve">l </w:t>
      </w:r>
      <w:r w:rsidR="00EF3FF7">
        <w:t>síndico</w:t>
      </w:r>
      <w:r w:rsidR="001E5772">
        <w:t xml:space="preserve"> municipal José Luis Montoya</w:t>
      </w:r>
      <w:r w:rsidR="00A22979">
        <w:t xml:space="preserve">, por </w:t>
      </w:r>
      <w:r w:rsidR="007C76F1" w:rsidRPr="00BD65CB">
        <w:rPr>
          <w:lang w:val="es-MX"/>
        </w:rPr>
        <w:t xml:space="preserve">manifestaciones realizadas por </w:t>
      </w:r>
      <w:r w:rsidR="0072333C" w:rsidRPr="00BD65CB">
        <w:rPr>
          <w:lang w:val="es-MX"/>
        </w:rPr>
        <w:t xml:space="preserve">dicho </w:t>
      </w:r>
      <w:r w:rsidR="007C76F1" w:rsidRPr="00BD65CB">
        <w:rPr>
          <w:lang w:val="es-MX"/>
        </w:rPr>
        <w:t xml:space="preserve">denunciado desde su cuenta de </w:t>
      </w:r>
      <w:r w:rsidR="007C76F1" w:rsidRPr="00BD65CB">
        <w:rPr>
          <w:i/>
          <w:lang w:val="es-MX"/>
        </w:rPr>
        <w:t xml:space="preserve">Facebook </w:t>
      </w:r>
      <w:r w:rsidR="007C76F1" w:rsidRPr="00BD65CB">
        <w:rPr>
          <w:lang w:val="es-MX"/>
        </w:rPr>
        <w:t>y reproducidas en distintos</w:t>
      </w:r>
      <w:r w:rsidR="0072333C" w:rsidRPr="00BD65CB">
        <w:rPr>
          <w:lang w:val="es-MX"/>
        </w:rPr>
        <w:t xml:space="preserve"> </w:t>
      </w:r>
      <w:r w:rsidR="007C76F1" w:rsidRPr="00BD65CB">
        <w:rPr>
          <w:lang w:val="es-MX"/>
        </w:rPr>
        <w:t>portales electrónicos con expresiones que</w:t>
      </w:r>
      <w:r w:rsidR="00960208">
        <w:rPr>
          <w:lang w:val="es-MX"/>
        </w:rPr>
        <w:t>, en concepto de la denunciante,</w:t>
      </w:r>
      <w:r w:rsidR="007C76F1" w:rsidRPr="00BD65CB">
        <w:rPr>
          <w:lang w:val="es-MX"/>
        </w:rPr>
        <w:t xml:space="preserve"> </w:t>
      </w:r>
      <w:r w:rsidR="007C76F1" w:rsidRPr="00AF1984">
        <w:rPr>
          <w:lang w:val="es-MX"/>
        </w:rPr>
        <w:t>constitu</w:t>
      </w:r>
      <w:r w:rsidR="00960208" w:rsidRPr="00AF1984">
        <w:rPr>
          <w:lang w:val="es-MX"/>
        </w:rPr>
        <w:t>ían</w:t>
      </w:r>
      <w:r w:rsidR="007C76F1" w:rsidRPr="00AF1984">
        <w:rPr>
          <w:lang w:val="es-MX"/>
        </w:rPr>
        <w:t xml:space="preserve"> </w:t>
      </w:r>
      <w:r w:rsidR="001130F3" w:rsidRPr="00AF1984">
        <w:rPr>
          <w:lang w:val="es-MX"/>
        </w:rPr>
        <w:t>vpg</w:t>
      </w:r>
      <w:r w:rsidR="0072676E" w:rsidRPr="00AF1984">
        <w:rPr>
          <w:lang w:val="es-MX"/>
        </w:rPr>
        <w:t>,</w:t>
      </w:r>
      <w:r w:rsidR="0072676E">
        <w:rPr>
          <w:lang w:val="es-MX"/>
        </w:rPr>
        <w:t xml:space="preserve"> en los términos siguientes:</w:t>
      </w:r>
    </w:p>
    <w:p w14:paraId="2C0799BD" w14:textId="77777777" w:rsidR="00E64752" w:rsidRDefault="00E64752" w:rsidP="00A22979">
      <w:pPr>
        <w:autoSpaceDE w:val="0"/>
        <w:autoSpaceDN w:val="0"/>
        <w:adjustRightInd w:val="0"/>
        <w:spacing w:after="0" w:line="360" w:lineRule="auto"/>
        <w:jc w:val="both"/>
        <w:rPr>
          <w:lang w:val="es-MX"/>
        </w:rPr>
      </w:pPr>
    </w:p>
    <w:tbl>
      <w:tblPr>
        <w:tblStyle w:val="Tablaconcuadrcula"/>
        <w:tblW w:w="8642" w:type="dxa"/>
        <w:tblLook w:val="04A0" w:firstRow="1" w:lastRow="0" w:firstColumn="1" w:lastColumn="0" w:noHBand="0" w:noVBand="1"/>
      </w:tblPr>
      <w:tblGrid>
        <w:gridCol w:w="8642"/>
      </w:tblGrid>
      <w:tr w:rsidR="0072676E" w14:paraId="5E492BBF" w14:textId="77777777" w:rsidTr="0072676E">
        <w:tc>
          <w:tcPr>
            <w:tcW w:w="8642" w:type="dxa"/>
          </w:tcPr>
          <w:p w14:paraId="074768E0" w14:textId="25691561" w:rsidR="0072676E" w:rsidRPr="0072676E" w:rsidRDefault="0072676E" w:rsidP="0072676E">
            <w:pPr>
              <w:autoSpaceDE w:val="0"/>
              <w:autoSpaceDN w:val="0"/>
              <w:adjustRightInd w:val="0"/>
              <w:spacing w:after="0" w:line="360" w:lineRule="auto"/>
              <w:jc w:val="center"/>
              <w:rPr>
                <w:b/>
                <w:bCs/>
                <w:lang w:val="es-MX"/>
              </w:rPr>
            </w:pPr>
            <w:r>
              <w:rPr>
                <w:b/>
                <w:bCs/>
                <w:lang w:val="es-MX"/>
              </w:rPr>
              <w:t>Imágenes</w:t>
            </w:r>
          </w:p>
        </w:tc>
      </w:tr>
      <w:tr w:rsidR="0072676E" w14:paraId="7CCEAECC" w14:textId="77777777" w:rsidTr="0072676E">
        <w:tc>
          <w:tcPr>
            <w:tcW w:w="8642" w:type="dxa"/>
          </w:tcPr>
          <w:p w14:paraId="38203200" w14:textId="5A3B1031" w:rsidR="0072676E" w:rsidRDefault="0072676E" w:rsidP="003B2552">
            <w:pPr>
              <w:autoSpaceDE w:val="0"/>
              <w:autoSpaceDN w:val="0"/>
              <w:adjustRightInd w:val="0"/>
              <w:spacing w:after="0" w:line="360" w:lineRule="auto"/>
              <w:jc w:val="center"/>
              <w:rPr>
                <w:lang w:val="es-MX"/>
              </w:rPr>
            </w:pPr>
            <w:r w:rsidRPr="0072676E">
              <w:rPr>
                <w:noProof/>
                <w:lang w:val="es-MX"/>
              </w:rPr>
              <w:drawing>
                <wp:inline distT="0" distB="0" distL="0" distR="0" wp14:anchorId="7AB7F334" wp14:editId="7AA2FFC5">
                  <wp:extent cx="4102735" cy="26555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735" cy="2655570"/>
                          </a:xfrm>
                          <a:prstGeom prst="rect">
                            <a:avLst/>
                          </a:prstGeom>
                          <a:noFill/>
                          <a:ln>
                            <a:noFill/>
                          </a:ln>
                        </pic:spPr>
                      </pic:pic>
                    </a:graphicData>
                  </a:graphic>
                </wp:inline>
              </w:drawing>
            </w:r>
          </w:p>
        </w:tc>
      </w:tr>
      <w:tr w:rsidR="0072676E" w14:paraId="5FB2E284" w14:textId="77777777" w:rsidTr="0072676E">
        <w:tc>
          <w:tcPr>
            <w:tcW w:w="8642" w:type="dxa"/>
          </w:tcPr>
          <w:p w14:paraId="2014CA7D" w14:textId="779D2BC6" w:rsidR="0072676E" w:rsidRDefault="005757C8" w:rsidP="003B2552">
            <w:pPr>
              <w:autoSpaceDE w:val="0"/>
              <w:autoSpaceDN w:val="0"/>
              <w:adjustRightInd w:val="0"/>
              <w:spacing w:after="0" w:line="360" w:lineRule="auto"/>
              <w:jc w:val="center"/>
              <w:rPr>
                <w:lang w:val="es-MX"/>
              </w:rPr>
            </w:pPr>
            <w:r w:rsidRPr="005757C8">
              <w:rPr>
                <w:noProof/>
                <w:lang w:val="es-MX"/>
              </w:rPr>
              <w:lastRenderedPageBreak/>
              <w:drawing>
                <wp:inline distT="0" distB="0" distL="0" distR="0" wp14:anchorId="5BF77511" wp14:editId="30B3AA68">
                  <wp:extent cx="4102735" cy="26555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735" cy="2655570"/>
                          </a:xfrm>
                          <a:prstGeom prst="rect">
                            <a:avLst/>
                          </a:prstGeom>
                          <a:noFill/>
                          <a:ln>
                            <a:noFill/>
                          </a:ln>
                        </pic:spPr>
                      </pic:pic>
                    </a:graphicData>
                  </a:graphic>
                </wp:inline>
              </w:drawing>
            </w:r>
          </w:p>
        </w:tc>
      </w:tr>
      <w:tr w:rsidR="0072676E" w14:paraId="7DA9BB5A" w14:textId="77777777" w:rsidTr="0072676E">
        <w:tc>
          <w:tcPr>
            <w:tcW w:w="8642" w:type="dxa"/>
          </w:tcPr>
          <w:p w14:paraId="6CA8BB0A" w14:textId="631E6465" w:rsidR="0072676E" w:rsidRDefault="000E53CF" w:rsidP="003B2552">
            <w:pPr>
              <w:autoSpaceDE w:val="0"/>
              <w:autoSpaceDN w:val="0"/>
              <w:adjustRightInd w:val="0"/>
              <w:spacing w:after="0" w:line="360" w:lineRule="auto"/>
              <w:jc w:val="center"/>
              <w:rPr>
                <w:lang w:val="es-MX"/>
              </w:rPr>
            </w:pPr>
            <w:r w:rsidRPr="000E53CF">
              <w:rPr>
                <w:noProof/>
                <w:lang w:val="es-MX"/>
              </w:rPr>
              <w:drawing>
                <wp:inline distT="0" distB="0" distL="0" distR="0" wp14:anchorId="0DC684BB" wp14:editId="2FD39596">
                  <wp:extent cx="4102735" cy="256857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735" cy="2568575"/>
                          </a:xfrm>
                          <a:prstGeom prst="rect">
                            <a:avLst/>
                          </a:prstGeom>
                          <a:noFill/>
                          <a:ln>
                            <a:noFill/>
                          </a:ln>
                        </pic:spPr>
                      </pic:pic>
                    </a:graphicData>
                  </a:graphic>
                </wp:inline>
              </w:drawing>
            </w:r>
          </w:p>
        </w:tc>
      </w:tr>
      <w:tr w:rsidR="0072676E" w14:paraId="3A7C06B1" w14:textId="77777777" w:rsidTr="0072676E">
        <w:tc>
          <w:tcPr>
            <w:tcW w:w="8642" w:type="dxa"/>
          </w:tcPr>
          <w:p w14:paraId="73855C89" w14:textId="021AD2E4" w:rsidR="0072676E" w:rsidRDefault="007B5E1C" w:rsidP="003B2552">
            <w:pPr>
              <w:autoSpaceDE w:val="0"/>
              <w:autoSpaceDN w:val="0"/>
              <w:adjustRightInd w:val="0"/>
              <w:spacing w:after="0" w:line="360" w:lineRule="auto"/>
              <w:jc w:val="center"/>
              <w:rPr>
                <w:lang w:val="es-MX"/>
              </w:rPr>
            </w:pPr>
            <w:r w:rsidRPr="007B5E1C">
              <w:rPr>
                <w:noProof/>
                <w:lang w:val="es-MX"/>
              </w:rPr>
              <w:drawing>
                <wp:inline distT="0" distB="0" distL="0" distR="0" wp14:anchorId="6C24269C" wp14:editId="4F0EB3F6">
                  <wp:extent cx="4102735" cy="275907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735" cy="2759075"/>
                          </a:xfrm>
                          <a:prstGeom prst="rect">
                            <a:avLst/>
                          </a:prstGeom>
                          <a:noFill/>
                          <a:ln>
                            <a:noFill/>
                          </a:ln>
                        </pic:spPr>
                      </pic:pic>
                    </a:graphicData>
                  </a:graphic>
                </wp:inline>
              </w:drawing>
            </w:r>
          </w:p>
        </w:tc>
      </w:tr>
    </w:tbl>
    <w:p w14:paraId="6B0F5AB8" w14:textId="77777777" w:rsidR="0072676E" w:rsidRDefault="0072676E" w:rsidP="00A22979">
      <w:pPr>
        <w:autoSpaceDE w:val="0"/>
        <w:autoSpaceDN w:val="0"/>
        <w:adjustRightInd w:val="0"/>
        <w:spacing w:after="0" w:line="360" w:lineRule="auto"/>
        <w:jc w:val="both"/>
        <w:rPr>
          <w:lang w:val="es-MX"/>
        </w:rPr>
      </w:pPr>
    </w:p>
    <w:p w14:paraId="167937F4" w14:textId="2A82AE2C" w:rsidR="001621BB" w:rsidRDefault="00BD65CB" w:rsidP="001621BB">
      <w:pPr>
        <w:autoSpaceDE w:val="0"/>
        <w:autoSpaceDN w:val="0"/>
        <w:adjustRightInd w:val="0"/>
        <w:spacing w:after="0" w:line="360" w:lineRule="auto"/>
        <w:jc w:val="both"/>
        <w:rPr>
          <w:i/>
          <w:lang w:val="es-MX"/>
        </w:rPr>
      </w:pPr>
      <w:r w:rsidRPr="00BD65CB">
        <w:rPr>
          <w:b/>
          <w:bCs/>
        </w:rPr>
        <w:t>2</w:t>
      </w:r>
      <w:r>
        <w:t xml:space="preserve">. </w:t>
      </w:r>
      <w:r w:rsidR="00BD7BA3">
        <w:t xml:space="preserve">El </w:t>
      </w:r>
      <w:r w:rsidR="001F390E">
        <w:t>5 de noviembre</w:t>
      </w:r>
      <w:r w:rsidR="001130F3">
        <w:t>,</w:t>
      </w:r>
      <w:r w:rsidR="001F390E">
        <w:t xml:space="preserve"> el </w:t>
      </w:r>
      <w:r w:rsidR="001F390E" w:rsidRPr="002D19A4">
        <w:rPr>
          <w:b/>
        </w:rPr>
        <w:t>Instituto Local</w:t>
      </w:r>
      <w:r w:rsidR="001F390E">
        <w:t xml:space="preserve">, </w:t>
      </w:r>
      <w:r w:rsidR="002D19A4">
        <w:t xml:space="preserve">derivado del contenido de las publicaciones denunciadas, </w:t>
      </w:r>
      <w:r w:rsidR="002D19A4" w:rsidRPr="002D19A4">
        <w:rPr>
          <w:b/>
          <w:bCs/>
          <w:lang w:val="es-MX"/>
        </w:rPr>
        <w:t>dio</w:t>
      </w:r>
      <w:r w:rsidR="00C4057A" w:rsidRPr="002D19A4">
        <w:rPr>
          <w:b/>
          <w:lang w:val="es-MX"/>
        </w:rPr>
        <w:t xml:space="preserve"> vista a la </w:t>
      </w:r>
      <w:r w:rsidR="00C419C9">
        <w:rPr>
          <w:b/>
          <w:lang w:val="es-MX"/>
        </w:rPr>
        <w:t>s</w:t>
      </w:r>
      <w:r w:rsidR="00241BA4">
        <w:rPr>
          <w:b/>
          <w:lang w:val="es-MX"/>
        </w:rPr>
        <w:t>enadora</w:t>
      </w:r>
      <w:r w:rsidR="00C4057A" w:rsidRPr="00C4057A">
        <w:rPr>
          <w:lang w:val="es-MX"/>
        </w:rPr>
        <w:t xml:space="preserve"> de la</w:t>
      </w:r>
      <w:r w:rsidR="00C4057A">
        <w:rPr>
          <w:lang w:val="es-MX"/>
        </w:rPr>
        <w:t xml:space="preserve"> </w:t>
      </w:r>
      <w:r w:rsidR="00C4057A" w:rsidRPr="00C4057A">
        <w:rPr>
          <w:lang w:val="es-MX"/>
        </w:rPr>
        <w:t xml:space="preserve">República </w:t>
      </w:r>
      <w:r w:rsidR="00C4057A" w:rsidRPr="002D19A4">
        <w:rPr>
          <w:b/>
          <w:lang w:val="es-MX"/>
        </w:rPr>
        <w:t>Lilly</w:t>
      </w:r>
      <w:r w:rsidR="00C4057A" w:rsidRPr="00C4057A">
        <w:rPr>
          <w:lang w:val="es-MX"/>
        </w:rPr>
        <w:t xml:space="preserve"> </w:t>
      </w:r>
      <w:r w:rsidR="00C4057A" w:rsidRPr="002D19A4">
        <w:rPr>
          <w:b/>
          <w:lang w:val="es-MX"/>
        </w:rPr>
        <w:t>Téllez</w:t>
      </w:r>
      <w:r w:rsidR="00C4057A" w:rsidRPr="00C4057A">
        <w:rPr>
          <w:lang w:val="es-MX"/>
        </w:rPr>
        <w:t>, por considerar que sus</w:t>
      </w:r>
      <w:r w:rsidR="00C4057A">
        <w:rPr>
          <w:lang w:val="es-MX"/>
        </w:rPr>
        <w:t xml:space="preserve"> </w:t>
      </w:r>
      <w:r w:rsidR="00C4057A" w:rsidRPr="00C4057A">
        <w:rPr>
          <w:lang w:val="es-MX"/>
        </w:rPr>
        <w:t>derechos pudieran verse afectados</w:t>
      </w:r>
      <w:r w:rsidR="001621BB">
        <w:rPr>
          <w:lang w:val="es-MX"/>
        </w:rPr>
        <w:t xml:space="preserve">, </w:t>
      </w:r>
      <w:r w:rsidR="00DD3A2F" w:rsidRPr="00DD3A2F">
        <w:rPr>
          <w:lang w:val="es-MX"/>
        </w:rPr>
        <w:t>quien,</w:t>
      </w:r>
      <w:r w:rsidR="001621BB">
        <w:rPr>
          <w:lang w:val="es-MX"/>
        </w:rPr>
        <w:t xml:space="preserve"> el 20 siguiente,</w:t>
      </w:r>
      <w:r w:rsidR="004059B7">
        <w:rPr>
          <w:lang w:val="es-MX"/>
        </w:rPr>
        <w:t xml:space="preserve"> </w:t>
      </w:r>
      <w:r w:rsidR="001621BB" w:rsidRPr="00DD3A2F">
        <w:rPr>
          <w:lang w:val="es-MX"/>
        </w:rPr>
        <w:lastRenderedPageBreak/>
        <w:t>vía correo electrónico</w:t>
      </w:r>
      <w:r w:rsidR="00DD3A2F" w:rsidRPr="00DD3A2F">
        <w:rPr>
          <w:lang w:val="es-MX"/>
        </w:rPr>
        <w:t>, presentó</w:t>
      </w:r>
      <w:r w:rsidR="001621BB" w:rsidRPr="00DD3A2F">
        <w:rPr>
          <w:lang w:val="es-MX"/>
        </w:rPr>
        <w:t xml:space="preserve"> denuncia contra </w:t>
      </w:r>
      <w:r w:rsidR="00DD3A2F" w:rsidRPr="00DD3A2F">
        <w:rPr>
          <w:lang w:val="es-MX"/>
        </w:rPr>
        <w:t>el referido</w:t>
      </w:r>
      <w:r w:rsidR="001621BB" w:rsidRPr="00DD3A2F">
        <w:rPr>
          <w:lang w:val="es-MX"/>
        </w:rPr>
        <w:t xml:space="preserve"> síndico del Ayuntamiento de</w:t>
      </w:r>
      <w:r w:rsidR="00DD3A2F" w:rsidRPr="00DD3A2F">
        <w:rPr>
          <w:lang w:val="es-MX"/>
        </w:rPr>
        <w:t xml:space="preserve"> </w:t>
      </w:r>
      <w:r w:rsidR="001621BB" w:rsidRPr="00DD3A2F">
        <w:rPr>
          <w:lang w:val="es-MX"/>
        </w:rPr>
        <w:t xml:space="preserve">Salamanca, Guanajuato, por actos de </w:t>
      </w:r>
      <w:r w:rsidR="00DD3A2F">
        <w:rPr>
          <w:lang w:val="es-MX"/>
        </w:rPr>
        <w:t>vpg</w:t>
      </w:r>
      <w:r w:rsidR="001621BB" w:rsidRPr="00DD3A2F">
        <w:rPr>
          <w:i/>
          <w:lang w:val="es-MX"/>
        </w:rPr>
        <w:t>.</w:t>
      </w:r>
    </w:p>
    <w:p w14:paraId="4D87AC6B" w14:textId="0B819AAB" w:rsidR="003B7F7D" w:rsidRPr="004D0B74" w:rsidRDefault="003B7F7D" w:rsidP="003B7F7D">
      <w:pPr>
        <w:spacing w:after="0" w:line="360" w:lineRule="auto"/>
        <w:jc w:val="both"/>
        <w:rPr>
          <w:bCs/>
          <w:highlight w:val="yellow"/>
        </w:rPr>
      </w:pPr>
    </w:p>
    <w:p w14:paraId="2E644F85" w14:textId="5ED7063C" w:rsidR="00A54E3B" w:rsidRDefault="00922142" w:rsidP="002E3D6C">
      <w:pPr>
        <w:spacing w:after="0" w:line="360" w:lineRule="auto"/>
        <w:jc w:val="both"/>
      </w:pPr>
      <w:r w:rsidRPr="0064607F">
        <w:rPr>
          <w:b/>
        </w:rPr>
        <w:t xml:space="preserve">3. </w:t>
      </w:r>
      <w:r w:rsidRPr="0064607F">
        <w:rPr>
          <w:bCs/>
        </w:rPr>
        <w:t>El 1</w:t>
      </w:r>
      <w:r w:rsidR="00F85C45">
        <w:rPr>
          <w:bCs/>
        </w:rPr>
        <w:t>3 de enero</w:t>
      </w:r>
      <w:r w:rsidR="00BD1E75">
        <w:rPr>
          <w:bCs/>
        </w:rPr>
        <w:t xml:space="preserve"> de 2021</w:t>
      </w:r>
      <w:r w:rsidR="00BD1E75">
        <w:rPr>
          <w:rStyle w:val="Refdenotaalpie"/>
          <w:bCs/>
        </w:rPr>
        <w:footnoteReference w:id="5"/>
      </w:r>
      <w:r w:rsidR="00F85C45">
        <w:rPr>
          <w:bCs/>
        </w:rPr>
        <w:t xml:space="preserve">, </w:t>
      </w:r>
      <w:r w:rsidR="00A823A0">
        <w:rPr>
          <w:bCs/>
        </w:rPr>
        <w:t>previa sustanciación del asunto</w:t>
      </w:r>
      <w:r w:rsidR="00F85C45">
        <w:rPr>
          <w:bCs/>
        </w:rPr>
        <w:t xml:space="preserve">, </w:t>
      </w:r>
      <w:r w:rsidR="00F85C45" w:rsidRPr="00EB53D6">
        <w:rPr>
          <w:b/>
        </w:rPr>
        <w:t xml:space="preserve">el </w:t>
      </w:r>
      <w:r w:rsidR="00EB53D6" w:rsidRPr="00EB53D6">
        <w:rPr>
          <w:b/>
        </w:rPr>
        <w:t>I</w:t>
      </w:r>
      <w:r w:rsidR="00F85C45" w:rsidRPr="00EB53D6">
        <w:rPr>
          <w:b/>
        </w:rPr>
        <w:t xml:space="preserve">nstituto Local </w:t>
      </w:r>
      <w:r w:rsidR="00ED1227" w:rsidRPr="00EB53D6">
        <w:rPr>
          <w:b/>
        </w:rPr>
        <w:t>remitió</w:t>
      </w:r>
      <w:r w:rsidR="00ED1227">
        <w:rPr>
          <w:bCs/>
        </w:rPr>
        <w:t xml:space="preserve"> </w:t>
      </w:r>
      <w:r w:rsidR="00EB53D6">
        <w:rPr>
          <w:bCs/>
        </w:rPr>
        <w:t>e</w:t>
      </w:r>
      <w:r w:rsidR="00ED1227">
        <w:rPr>
          <w:bCs/>
        </w:rPr>
        <w:t xml:space="preserve">l </w:t>
      </w:r>
      <w:r w:rsidR="003F0A8A">
        <w:rPr>
          <w:bCs/>
        </w:rPr>
        <w:t>expediente</w:t>
      </w:r>
      <w:r w:rsidR="00ED1227">
        <w:rPr>
          <w:bCs/>
        </w:rPr>
        <w:t xml:space="preserve"> a</w:t>
      </w:r>
      <w:r w:rsidRPr="0064607F">
        <w:rPr>
          <w:bCs/>
        </w:rPr>
        <w:t xml:space="preserve">l </w:t>
      </w:r>
      <w:r w:rsidRPr="0064607F">
        <w:rPr>
          <w:b/>
        </w:rPr>
        <w:t xml:space="preserve">Tribunal de </w:t>
      </w:r>
      <w:r w:rsidR="0064607F" w:rsidRPr="0064607F">
        <w:rPr>
          <w:b/>
        </w:rPr>
        <w:t>Guanajuato</w:t>
      </w:r>
      <w:r w:rsidRPr="0064607F">
        <w:t>,</w:t>
      </w:r>
      <w:r w:rsidRPr="0064607F">
        <w:rPr>
          <w:b/>
        </w:rPr>
        <w:t xml:space="preserve"> </w:t>
      </w:r>
      <w:r w:rsidR="00ED1227">
        <w:rPr>
          <w:b/>
        </w:rPr>
        <w:t xml:space="preserve">quien </w:t>
      </w:r>
      <w:r w:rsidRPr="0064607F">
        <w:rPr>
          <w:b/>
          <w:lang w:val="es-ES"/>
        </w:rPr>
        <w:t xml:space="preserve">emitió </w:t>
      </w:r>
      <w:r w:rsidR="0064607F" w:rsidRPr="0064607F">
        <w:rPr>
          <w:b/>
          <w:bCs/>
          <w:lang w:val="es-ES"/>
        </w:rPr>
        <w:t>sentencia</w:t>
      </w:r>
      <w:r w:rsidR="002E3D6C" w:rsidRPr="0064607F">
        <w:rPr>
          <w:b/>
          <w:lang w:val="es-ES"/>
        </w:rPr>
        <w:t xml:space="preserve"> </w:t>
      </w:r>
      <w:r w:rsidR="002E3D6C" w:rsidRPr="0064607F">
        <w:t xml:space="preserve">en los términos que se precisan al inicio del aparatado siguiente, </w:t>
      </w:r>
      <w:r w:rsidRPr="0064607F">
        <w:t>la</w:t>
      </w:r>
      <w:r w:rsidR="002E3D6C" w:rsidRPr="0064607F">
        <w:t xml:space="preserve"> cual constituye la determinación impugnada en el actual juicio.</w:t>
      </w:r>
    </w:p>
    <w:p w14:paraId="0F7AD167" w14:textId="13468DFF" w:rsidR="00C22197" w:rsidRPr="00216ACE" w:rsidRDefault="00C22197" w:rsidP="001B3C29">
      <w:pPr>
        <w:pStyle w:val="Prrafodelista"/>
        <w:tabs>
          <w:tab w:val="left" w:pos="5461"/>
        </w:tabs>
        <w:spacing w:after="0" w:line="240" w:lineRule="auto"/>
        <w:ind w:left="0"/>
        <w:jc w:val="both"/>
        <w:rPr>
          <w:bCs/>
        </w:rPr>
      </w:pPr>
    </w:p>
    <w:p w14:paraId="594B680C" w14:textId="77777777" w:rsidR="00243172" w:rsidRPr="00216ACE" w:rsidRDefault="00243172" w:rsidP="001B3C29">
      <w:pPr>
        <w:pStyle w:val="Ttulo1"/>
        <w:spacing w:before="0" w:beforeAutospacing="0" w:after="0" w:afterAutospacing="0" w:line="240" w:lineRule="auto"/>
        <w:jc w:val="center"/>
        <w:rPr>
          <w:rFonts w:eastAsia="BatangChe" w:cs="Arial"/>
          <w:szCs w:val="24"/>
        </w:rPr>
      </w:pPr>
      <w:bookmarkStart w:id="6" w:name="_Toc73062689"/>
      <w:r w:rsidRPr="00216ACE">
        <w:rPr>
          <w:rFonts w:eastAsia="Times New Roman" w:cs="Arial"/>
          <w:caps w:val="0"/>
          <w:szCs w:val="24"/>
        </w:rPr>
        <w:t>Estudio de fondo</w:t>
      </w:r>
      <w:bookmarkEnd w:id="6"/>
    </w:p>
    <w:p w14:paraId="3CE3802F" w14:textId="77777777" w:rsidR="00243172" w:rsidRPr="00216ACE" w:rsidRDefault="00243172" w:rsidP="001B3C29">
      <w:pPr>
        <w:spacing w:after="0" w:line="240" w:lineRule="auto"/>
        <w:contextualSpacing/>
        <w:rPr>
          <w:lang w:eastAsia="es-MX"/>
        </w:rPr>
      </w:pPr>
    </w:p>
    <w:p w14:paraId="7EB94D28" w14:textId="77777777" w:rsidR="00243172" w:rsidRPr="00216ACE" w:rsidRDefault="00243172" w:rsidP="001B3C29">
      <w:pPr>
        <w:pStyle w:val="Ttulo2"/>
        <w:spacing w:before="0" w:line="240" w:lineRule="auto"/>
        <w:contextualSpacing/>
        <w:rPr>
          <w:rFonts w:ascii="Arial" w:hAnsi="Arial" w:cs="Arial"/>
          <w:color w:val="auto"/>
          <w:sz w:val="24"/>
          <w:szCs w:val="24"/>
        </w:rPr>
      </w:pPr>
      <w:bookmarkStart w:id="7" w:name="_Toc55305688"/>
      <w:bookmarkStart w:id="8" w:name="_Toc56220983"/>
      <w:bookmarkStart w:id="9" w:name="_Toc73062690"/>
      <w:r w:rsidRPr="00216ACE">
        <w:rPr>
          <w:rFonts w:ascii="Arial" w:hAnsi="Arial" w:cs="Arial"/>
          <w:color w:val="auto"/>
          <w:sz w:val="24"/>
          <w:szCs w:val="24"/>
          <w:u w:val="single"/>
        </w:rPr>
        <w:t>Apartado preliminar.</w:t>
      </w:r>
      <w:r w:rsidRPr="00216ACE">
        <w:rPr>
          <w:rFonts w:ascii="Arial" w:hAnsi="Arial" w:cs="Arial"/>
          <w:color w:val="auto"/>
          <w:sz w:val="24"/>
          <w:szCs w:val="24"/>
        </w:rPr>
        <w:t xml:space="preserve"> Definición de la materia de controversia</w:t>
      </w:r>
      <w:bookmarkEnd w:id="7"/>
      <w:bookmarkEnd w:id="8"/>
      <w:bookmarkEnd w:id="9"/>
    </w:p>
    <w:p w14:paraId="25D1FFAE" w14:textId="77777777" w:rsidR="00243172" w:rsidRPr="00216ACE" w:rsidRDefault="00243172" w:rsidP="00243172">
      <w:pPr>
        <w:pStyle w:val="Prrafodelista"/>
        <w:tabs>
          <w:tab w:val="left" w:pos="5461"/>
        </w:tabs>
        <w:spacing w:after="0" w:line="240" w:lineRule="auto"/>
        <w:ind w:left="0"/>
        <w:jc w:val="both"/>
        <w:rPr>
          <w:bCs/>
        </w:rPr>
      </w:pPr>
    </w:p>
    <w:p w14:paraId="5A1266DB" w14:textId="72609863" w:rsidR="00411B44" w:rsidRDefault="00D30E4F" w:rsidP="00411B44">
      <w:pPr>
        <w:pStyle w:val="Normalsentencia"/>
        <w:spacing w:before="0" w:after="0"/>
        <w:ind w:firstLine="0"/>
        <w:rPr>
          <w:sz w:val="24"/>
          <w:szCs w:val="24"/>
        </w:rPr>
      </w:pPr>
      <w:r w:rsidRPr="00411B44">
        <w:rPr>
          <w:b/>
          <w:bCs/>
          <w:sz w:val="24"/>
          <w:szCs w:val="24"/>
        </w:rPr>
        <w:t>1</w:t>
      </w:r>
      <w:r w:rsidR="00243172" w:rsidRPr="00411B44">
        <w:rPr>
          <w:b/>
          <w:sz w:val="24"/>
          <w:szCs w:val="24"/>
        </w:rPr>
        <w:t>.</w:t>
      </w:r>
      <w:bookmarkStart w:id="10" w:name="_Hlk51922322"/>
      <w:r w:rsidR="00F47CAB" w:rsidRPr="00411B44">
        <w:rPr>
          <w:b/>
          <w:sz w:val="24"/>
          <w:szCs w:val="24"/>
        </w:rPr>
        <w:t xml:space="preserve"> </w:t>
      </w:r>
      <w:r w:rsidR="003111D0" w:rsidRPr="00411B44">
        <w:rPr>
          <w:b/>
          <w:sz w:val="24"/>
          <w:szCs w:val="24"/>
        </w:rPr>
        <w:t>En la s</w:t>
      </w:r>
      <w:r w:rsidRPr="00411B44">
        <w:rPr>
          <w:b/>
          <w:sz w:val="24"/>
          <w:szCs w:val="24"/>
        </w:rPr>
        <w:t>entencia</w:t>
      </w:r>
      <w:r w:rsidR="00243172" w:rsidRPr="00411B44">
        <w:rPr>
          <w:b/>
          <w:sz w:val="24"/>
          <w:szCs w:val="24"/>
        </w:rPr>
        <w:t xml:space="preserve"> impugnada</w:t>
      </w:r>
      <w:r w:rsidRPr="00411B44">
        <w:rPr>
          <w:rStyle w:val="Refdenotaalpie"/>
          <w:bCs/>
          <w:sz w:val="24"/>
          <w:szCs w:val="24"/>
        </w:rPr>
        <w:footnoteReference w:id="6"/>
      </w:r>
      <w:r w:rsidR="003111D0" w:rsidRPr="00411B44">
        <w:rPr>
          <w:bCs/>
          <w:sz w:val="24"/>
          <w:szCs w:val="24"/>
        </w:rPr>
        <w:t>,</w:t>
      </w:r>
      <w:r w:rsidR="00243172" w:rsidRPr="00411B44">
        <w:rPr>
          <w:bCs/>
          <w:sz w:val="24"/>
          <w:szCs w:val="24"/>
        </w:rPr>
        <w:t xml:space="preserve"> </w:t>
      </w:r>
      <w:r w:rsidR="00411B44" w:rsidRPr="00411B44">
        <w:rPr>
          <w:sz w:val="24"/>
          <w:szCs w:val="24"/>
        </w:rPr>
        <w:t>el</w:t>
      </w:r>
      <w:r w:rsidR="00411B44" w:rsidRPr="00411B44">
        <w:rPr>
          <w:bCs/>
          <w:sz w:val="24"/>
          <w:szCs w:val="24"/>
        </w:rPr>
        <w:t xml:space="preserve"> Tribunal</w:t>
      </w:r>
      <w:r w:rsidR="00411B44" w:rsidRPr="00411B44">
        <w:rPr>
          <w:sz w:val="24"/>
          <w:szCs w:val="24"/>
        </w:rPr>
        <w:t xml:space="preserve"> de Guanajuato </w:t>
      </w:r>
      <w:bookmarkStart w:id="11" w:name="_Hlk75463995"/>
      <w:r w:rsidR="00411B44" w:rsidRPr="00411B44">
        <w:rPr>
          <w:sz w:val="24"/>
          <w:szCs w:val="24"/>
        </w:rPr>
        <w:t>determinó</w:t>
      </w:r>
      <w:r w:rsidR="004E19DE">
        <w:rPr>
          <w:sz w:val="24"/>
          <w:szCs w:val="24"/>
        </w:rPr>
        <w:t>, en esencia,</w:t>
      </w:r>
      <w:r w:rsidR="00411B44" w:rsidRPr="00411B44">
        <w:rPr>
          <w:sz w:val="24"/>
          <w:szCs w:val="24"/>
        </w:rPr>
        <w:t xml:space="preserve"> que el síndico de Salamanca, José Luis Montoya</w:t>
      </w:r>
      <w:r w:rsidR="004E19DE" w:rsidRPr="004E19DE">
        <w:rPr>
          <w:sz w:val="24"/>
          <w:szCs w:val="24"/>
        </w:rPr>
        <w:t>,</w:t>
      </w:r>
      <w:r w:rsidR="00411B44" w:rsidRPr="00411B44">
        <w:rPr>
          <w:sz w:val="24"/>
          <w:szCs w:val="24"/>
        </w:rPr>
        <w:t xml:space="preserve"> cometió </w:t>
      </w:r>
      <w:r w:rsidR="00822397">
        <w:rPr>
          <w:sz w:val="24"/>
          <w:szCs w:val="24"/>
        </w:rPr>
        <w:t>vpg</w:t>
      </w:r>
      <w:r w:rsidR="00411B44" w:rsidRPr="00411B44">
        <w:rPr>
          <w:sz w:val="24"/>
          <w:szCs w:val="24"/>
        </w:rPr>
        <w:t xml:space="preserve"> contra </w:t>
      </w:r>
      <w:r w:rsidR="004E19DE" w:rsidRPr="004E19DE">
        <w:rPr>
          <w:sz w:val="24"/>
          <w:szCs w:val="24"/>
        </w:rPr>
        <w:t xml:space="preserve">la </w:t>
      </w:r>
      <w:r w:rsidR="00241BA4">
        <w:rPr>
          <w:sz w:val="24"/>
          <w:szCs w:val="24"/>
        </w:rPr>
        <w:t>senadora</w:t>
      </w:r>
      <w:r w:rsidR="00411B44" w:rsidRPr="00411B44">
        <w:rPr>
          <w:sz w:val="24"/>
          <w:szCs w:val="24"/>
        </w:rPr>
        <w:t xml:space="preserve"> Lilly Téllez, por expresiones </w:t>
      </w:r>
      <w:r w:rsidR="004E19DE" w:rsidRPr="004E19DE">
        <w:rPr>
          <w:sz w:val="24"/>
          <w:szCs w:val="24"/>
        </w:rPr>
        <w:t xml:space="preserve">hechas en </w:t>
      </w:r>
      <w:r w:rsidR="007F073D">
        <w:rPr>
          <w:sz w:val="24"/>
          <w:szCs w:val="24"/>
        </w:rPr>
        <w:t>redes sociales</w:t>
      </w:r>
      <w:r w:rsidR="004E19DE" w:rsidRPr="004E19DE">
        <w:rPr>
          <w:sz w:val="24"/>
          <w:szCs w:val="24"/>
        </w:rPr>
        <w:t xml:space="preserve"> vinculadas a la sexualidad de la denunciante</w:t>
      </w:r>
      <w:r w:rsidR="001130F3">
        <w:rPr>
          <w:sz w:val="24"/>
          <w:szCs w:val="24"/>
        </w:rPr>
        <w:t>,</w:t>
      </w:r>
      <w:r w:rsidR="004E19DE" w:rsidRPr="004E19DE">
        <w:rPr>
          <w:sz w:val="24"/>
          <w:szCs w:val="24"/>
        </w:rPr>
        <w:t xml:space="preserve"> que traspasaron los límites y estándares de protección de la libertad de expresión</w:t>
      </w:r>
      <w:r w:rsidR="00411B44">
        <w:rPr>
          <w:sz w:val="24"/>
          <w:szCs w:val="24"/>
        </w:rPr>
        <w:t>.</w:t>
      </w:r>
    </w:p>
    <w:bookmarkEnd w:id="11"/>
    <w:p w14:paraId="05C088EB" w14:textId="7DD7FEB2" w:rsidR="00404B34" w:rsidRPr="003F2C0D" w:rsidRDefault="00404B34" w:rsidP="00906130">
      <w:pPr>
        <w:spacing w:after="0" w:line="240" w:lineRule="auto"/>
        <w:jc w:val="both"/>
      </w:pPr>
    </w:p>
    <w:p w14:paraId="30A7C641" w14:textId="1862E311" w:rsidR="00801349" w:rsidRPr="00AF1984" w:rsidRDefault="00D30E4F" w:rsidP="007B3684">
      <w:pPr>
        <w:spacing w:after="0" w:line="360" w:lineRule="auto"/>
        <w:jc w:val="both"/>
        <w:rPr>
          <w:rFonts w:cs="Times New Roman"/>
        </w:rPr>
      </w:pPr>
      <w:r w:rsidRPr="003F2C0D">
        <w:rPr>
          <w:b/>
        </w:rPr>
        <w:t>2</w:t>
      </w:r>
      <w:r w:rsidR="00243172" w:rsidRPr="003F2C0D">
        <w:rPr>
          <w:b/>
        </w:rPr>
        <w:t xml:space="preserve">. </w:t>
      </w:r>
      <w:r w:rsidR="00B57A7A" w:rsidRPr="003F2C0D">
        <w:rPr>
          <w:b/>
        </w:rPr>
        <w:t>Pretensión</w:t>
      </w:r>
      <w:r w:rsidR="00243172" w:rsidRPr="003F2C0D">
        <w:rPr>
          <w:b/>
        </w:rPr>
        <w:t xml:space="preserve"> y planteamientos</w:t>
      </w:r>
      <w:r w:rsidRPr="003F2C0D">
        <w:rPr>
          <w:rStyle w:val="Refdenotaalpie"/>
          <w:bCs/>
        </w:rPr>
        <w:footnoteReference w:id="7"/>
      </w:r>
      <w:r w:rsidR="00243172" w:rsidRPr="003F2C0D">
        <w:rPr>
          <w:bCs/>
        </w:rPr>
        <w:t xml:space="preserve">. </w:t>
      </w:r>
      <w:r w:rsidR="007B3684" w:rsidRPr="005A1782">
        <w:rPr>
          <w:lang w:val="es-ES"/>
        </w:rPr>
        <w:t xml:space="preserve">El </w:t>
      </w:r>
      <w:r w:rsidR="007B3684" w:rsidRPr="005A1782">
        <w:t xml:space="preserve">impugnante pretende que se </w:t>
      </w:r>
      <w:r w:rsidR="007B3684" w:rsidRPr="005A1782">
        <w:rPr>
          <w:b/>
        </w:rPr>
        <w:t>revoque</w:t>
      </w:r>
      <w:r w:rsidR="007B3684" w:rsidRPr="005A1782">
        <w:t xml:space="preserve"> la sentencia impugnada</w:t>
      </w:r>
      <w:r w:rsidR="007B3684">
        <w:t xml:space="preserve">, bajo la consideración esencial de que el Tribunal </w:t>
      </w:r>
      <w:r w:rsidR="001130F3" w:rsidRPr="00AF1984">
        <w:t>L</w:t>
      </w:r>
      <w:r w:rsidR="007B3684" w:rsidRPr="00AF1984">
        <w:t xml:space="preserve">ocal: </w:t>
      </w:r>
      <w:r w:rsidR="007B3684" w:rsidRPr="00AF1984">
        <w:rPr>
          <w:b/>
        </w:rPr>
        <w:t>a)</w:t>
      </w:r>
      <w:r w:rsidR="007B3684" w:rsidRPr="00AF1984">
        <w:t xml:space="preserve"> </w:t>
      </w:r>
      <w:r w:rsidR="00DF08EA" w:rsidRPr="00AF1984">
        <w:t>N</w:t>
      </w:r>
      <w:r w:rsidR="007B3684" w:rsidRPr="00AF1984">
        <w:t xml:space="preserve">o tomó en cuenta que las manifestaciones </w:t>
      </w:r>
      <w:r w:rsidR="0015305C" w:rsidRPr="00AF1984">
        <w:t>realizadas</w:t>
      </w:r>
      <w:r w:rsidR="00D32529" w:rsidRPr="00AF1984">
        <w:t xml:space="preserve"> en </w:t>
      </w:r>
      <w:r w:rsidR="0015305C" w:rsidRPr="00AF1984">
        <w:t>su página de Facebook, respecto de la</w:t>
      </w:r>
      <w:r w:rsidR="00D32529" w:rsidRPr="00AF1984">
        <w:t xml:space="preserve"> </w:t>
      </w:r>
      <w:r w:rsidR="00241BA4" w:rsidRPr="00AF1984">
        <w:t>senadora</w:t>
      </w:r>
      <w:r w:rsidR="00D32529" w:rsidRPr="00AF1984">
        <w:t xml:space="preserve"> Lilly Téllez</w:t>
      </w:r>
      <w:r w:rsidR="0015305C" w:rsidRPr="00AF1984">
        <w:t>,</w:t>
      </w:r>
      <w:r w:rsidR="007B3684" w:rsidRPr="00AF1984">
        <w:t xml:space="preserve"> las </w:t>
      </w:r>
      <w:r w:rsidR="0015305C" w:rsidRPr="00AF1984">
        <w:t>hizo</w:t>
      </w:r>
      <w:r w:rsidR="007B3684" w:rsidRPr="00AF1984">
        <w:t xml:space="preserve"> </w:t>
      </w:r>
      <w:r w:rsidR="00733657" w:rsidRPr="00AF1984">
        <w:t>en ejercicio de su libertad de expresión</w:t>
      </w:r>
      <w:r w:rsidR="007B3684" w:rsidRPr="00AF1984">
        <w:t xml:space="preserve">, por lo que </w:t>
      </w:r>
      <w:r w:rsidR="00463D62" w:rsidRPr="00AF1984">
        <w:t>debió aplicarse un criterio más</w:t>
      </w:r>
      <w:r w:rsidR="00463D62" w:rsidRPr="00AF1984">
        <w:rPr>
          <w:b/>
        </w:rPr>
        <w:t xml:space="preserve"> </w:t>
      </w:r>
      <w:r w:rsidR="00463D62" w:rsidRPr="00AF1984">
        <w:t>ampli</w:t>
      </w:r>
      <w:r w:rsidR="001130F3" w:rsidRPr="00AF1984">
        <w:t>o</w:t>
      </w:r>
      <w:r w:rsidR="00CA677E" w:rsidRPr="00AF1984">
        <w:t>, derivado de que</w:t>
      </w:r>
      <w:r w:rsidR="00463D62" w:rsidRPr="00AF1984">
        <w:t xml:space="preserve"> la </w:t>
      </w:r>
      <w:r w:rsidR="00241BA4" w:rsidRPr="00AF1984">
        <w:t>senadora</w:t>
      </w:r>
      <w:r w:rsidR="00463D62" w:rsidRPr="00AF1984">
        <w:t xml:space="preserve"> es una figura pública</w:t>
      </w:r>
      <w:bookmarkStart w:id="12" w:name="_Hlk67987561"/>
      <w:r w:rsidR="007B3684" w:rsidRPr="00AF1984">
        <w:t xml:space="preserve">, </w:t>
      </w:r>
      <w:r w:rsidR="007B3684" w:rsidRPr="00AF1984">
        <w:rPr>
          <w:b/>
        </w:rPr>
        <w:t xml:space="preserve">b) </w:t>
      </w:r>
      <w:r w:rsidR="00DF08EA" w:rsidRPr="00AF1984">
        <w:rPr>
          <w:bCs/>
        </w:rPr>
        <w:t>L</w:t>
      </w:r>
      <w:r w:rsidR="001712A7" w:rsidRPr="00AF1984">
        <w:t>a</w:t>
      </w:r>
      <w:r w:rsidR="007B3684" w:rsidRPr="00AF1984">
        <w:t xml:space="preserve"> decisión</w:t>
      </w:r>
      <w:r w:rsidR="007B3684" w:rsidRPr="00AF1984">
        <w:rPr>
          <w:b/>
        </w:rPr>
        <w:t xml:space="preserve"> </w:t>
      </w:r>
      <w:r w:rsidR="00DF08EA" w:rsidRPr="00AF1984">
        <w:rPr>
          <w:bCs/>
        </w:rPr>
        <w:t>se sustenta</w:t>
      </w:r>
      <w:r w:rsidR="00DF08EA" w:rsidRPr="00AF1984">
        <w:rPr>
          <w:b/>
        </w:rPr>
        <w:t xml:space="preserve"> </w:t>
      </w:r>
      <w:r w:rsidR="007B3684" w:rsidRPr="00AF1984">
        <w:t xml:space="preserve">en imágenes y vínculos de internet que no deben tener valor probatorio, </w:t>
      </w:r>
      <w:r w:rsidR="00423E72" w:rsidRPr="00AF1984">
        <w:t>y, finalmente,</w:t>
      </w:r>
      <w:r w:rsidR="007B3684" w:rsidRPr="00AF1984">
        <w:t xml:space="preserve"> </w:t>
      </w:r>
      <w:r w:rsidR="007B3684" w:rsidRPr="00AF1984">
        <w:rPr>
          <w:b/>
        </w:rPr>
        <w:t>c)</w:t>
      </w:r>
      <w:r w:rsidR="007B3684" w:rsidRPr="00AF1984">
        <w:t xml:space="preserve"> </w:t>
      </w:r>
      <w:r w:rsidR="00DF08EA" w:rsidRPr="00AF1984">
        <w:rPr>
          <w:bCs/>
        </w:rPr>
        <w:t>No se consideró</w:t>
      </w:r>
      <w:r w:rsidR="007B3684" w:rsidRPr="00AF1984">
        <w:t xml:space="preserve"> que</w:t>
      </w:r>
      <w:r w:rsidR="007B3684" w:rsidRPr="00AF1984">
        <w:rPr>
          <w:b/>
        </w:rPr>
        <w:t xml:space="preserve"> </w:t>
      </w:r>
      <w:r w:rsidR="007B3684" w:rsidRPr="00AF1984">
        <w:t xml:space="preserve">la propia </w:t>
      </w:r>
      <w:r w:rsidR="00241BA4" w:rsidRPr="00AF1984">
        <w:t>senadora</w:t>
      </w:r>
      <w:r w:rsidR="007B3684" w:rsidRPr="00AF1984">
        <w:t xml:space="preserve"> </w:t>
      </w:r>
      <w:r w:rsidR="00E2054E" w:rsidRPr="00AF1984">
        <w:t>manifestó</w:t>
      </w:r>
      <w:r w:rsidR="007B3684" w:rsidRPr="00AF1984">
        <w:t xml:space="preserve"> que desconocía la autoría de la publicación</w:t>
      </w:r>
      <w:bookmarkEnd w:id="12"/>
      <w:r w:rsidR="00F06B5C" w:rsidRPr="00AF1984">
        <w:t xml:space="preserve"> denunciada</w:t>
      </w:r>
      <w:r w:rsidR="00F3264D" w:rsidRPr="00AF1984">
        <w:t>.</w:t>
      </w:r>
    </w:p>
    <w:p w14:paraId="32D1B080" w14:textId="77777777" w:rsidR="00D53E94" w:rsidRPr="00AF1984" w:rsidRDefault="00D53E94" w:rsidP="00906130">
      <w:pPr>
        <w:spacing w:after="0" w:line="240" w:lineRule="auto"/>
        <w:jc w:val="both"/>
        <w:rPr>
          <w:b/>
        </w:rPr>
      </w:pPr>
    </w:p>
    <w:p w14:paraId="316CE981" w14:textId="090609A3" w:rsidR="00906130" w:rsidRPr="00216ACE" w:rsidRDefault="00D30E4F" w:rsidP="00DE3697">
      <w:pPr>
        <w:spacing w:after="0" w:line="360" w:lineRule="auto"/>
        <w:jc w:val="both"/>
      </w:pPr>
      <w:r w:rsidRPr="00AF1984">
        <w:rPr>
          <w:b/>
        </w:rPr>
        <w:t>3</w:t>
      </w:r>
      <w:r w:rsidR="00243172" w:rsidRPr="00AF1984">
        <w:rPr>
          <w:b/>
        </w:rPr>
        <w:t>. Cuesti</w:t>
      </w:r>
      <w:r w:rsidR="007C51AC" w:rsidRPr="00AF1984">
        <w:rPr>
          <w:b/>
        </w:rPr>
        <w:t>ón</w:t>
      </w:r>
      <w:r w:rsidR="00243172" w:rsidRPr="00AF1984">
        <w:rPr>
          <w:b/>
        </w:rPr>
        <w:t xml:space="preserve"> a resolver. </w:t>
      </w:r>
      <w:r w:rsidR="00C817E0" w:rsidRPr="00AF1984">
        <w:rPr>
          <w:bCs/>
        </w:rPr>
        <w:t>D</w:t>
      </w:r>
      <w:r w:rsidR="006D2E01" w:rsidRPr="00AF1984">
        <w:rPr>
          <w:bCs/>
        </w:rPr>
        <w:t>eterminar si a</w:t>
      </w:r>
      <w:r w:rsidR="006D2E01" w:rsidRPr="00AF1984">
        <w:t xml:space="preserve"> partir de l</w:t>
      </w:r>
      <w:r w:rsidR="00801349" w:rsidRPr="00AF1984">
        <w:t>a</w:t>
      </w:r>
      <w:r w:rsidR="006D2E01" w:rsidRPr="00AF1984">
        <w:t>s</w:t>
      </w:r>
      <w:r w:rsidR="00801349" w:rsidRPr="00AF1984">
        <w:t xml:space="preserve"> consideraciones de la responsable y los</w:t>
      </w:r>
      <w:r w:rsidR="006D2E01" w:rsidRPr="00AF1984">
        <w:t xml:space="preserve"> agravios expuestos:</w:t>
      </w:r>
      <w:r w:rsidR="004217BB" w:rsidRPr="00AF1984">
        <w:t xml:space="preserve"> </w:t>
      </w:r>
      <w:r w:rsidR="00C279E0" w:rsidRPr="00AF1984">
        <w:t>¿</w:t>
      </w:r>
      <w:r w:rsidR="006F6D86" w:rsidRPr="00AF1984">
        <w:t xml:space="preserve">Debe quedar firme la </w:t>
      </w:r>
      <w:r w:rsidR="000D444F" w:rsidRPr="00AF1984">
        <w:t>decisión</w:t>
      </w:r>
      <w:r w:rsidR="00CA0D22" w:rsidRPr="00AF1984">
        <w:t xml:space="preserve"> del </w:t>
      </w:r>
      <w:r w:rsidR="00C279E0" w:rsidRPr="00AF1984">
        <w:t xml:space="preserve">Tribunal </w:t>
      </w:r>
      <w:r w:rsidR="007B3684" w:rsidRPr="00AF1984">
        <w:t>L</w:t>
      </w:r>
      <w:r w:rsidR="00C279E0" w:rsidRPr="00AF1984">
        <w:t xml:space="preserve">ocal </w:t>
      </w:r>
      <w:r w:rsidR="00CA0D22" w:rsidRPr="00AF1984">
        <w:t xml:space="preserve">sobre la </w:t>
      </w:r>
      <w:r w:rsidR="00EC06BA" w:rsidRPr="00AF1984">
        <w:t xml:space="preserve">acreditación de la </w:t>
      </w:r>
      <w:r w:rsidR="00C419C9" w:rsidRPr="00AF1984">
        <w:t>vpg</w:t>
      </w:r>
      <w:r w:rsidR="00F06B5C" w:rsidRPr="00AF1984">
        <w:t xml:space="preserve">, o bien, </w:t>
      </w:r>
      <w:r w:rsidR="0009315D" w:rsidRPr="00AF1984">
        <w:t>las expresiones del</w:t>
      </w:r>
      <w:r w:rsidR="0009315D">
        <w:t xml:space="preserve"> denunciado están dentro del ejercicio de libertad de expresión</w:t>
      </w:r>
      <w:r w:rsidR="00691966" w:rsidRPr="00216ACE">
        <w:t xml:space="preserve">? </w:t>
      </w:r>
      <w:bookmarkStart w:id="13" w:name="_Toc483300362"/>
      <w:bookmarkStart w:id="14" w:name="_Toc11874847"/>
      <w:bookmarkEnd w:id="10"/>
    </w:p>
    <w:p w14:paraId="3A46CCE2" w14:textId="77777777" w:rsidR="00F47CAB" w:rsidRPr="00216ACE" w:rsidRDefault="00F47CAB" w:rsidP="00151947">
      <w:pPr>
        <w:spacing w:after="0" w:line="240" w:lineRule="auto"/>
        <w:jc w:val="both"/>
      </w:pPr>
    </w:p>
    <w:p w14:paraId="492EDDD5" w14:textId="5CBCB870" w:rsidR="00243172" w:rsidRPr="00216ACE" w:rsidRDefault="00243172" w:rsidP="00481287">
      <w:pPr>
        <w:pStyle w:val="Ttulo1"/>
        <w:spacing w:before="0" w:beforeAutospacing="0" w:after="0" w:afterAutospacing="0" w:line="240" w:lineRule="auto"/>
        <w:rPr>
          <w:rFonts w:cs="Arial"/>
          <w:caps w:val="0"/>
          <w:szCs w:val="24"/>
        </w:rPr>
      </w:pPr>
      <w:bookmarkStart w:id="15" w:name="_Toc73062691"/>
      <w:r w:rsidRPr="00216ACE">
        <w:rPr>
          <w:rFonts w:eastAsia="Times New Roman" w:cs="Arial"/>
          <w:caps w:val="0"/>
          <w:szCs w:val="24"/>
          <w:u w:val="single"/>
          <w:lang w:eastAsia="es-MX"/>
        </w:rPr>
        <w:t>Apartado I</w:t>
      </w:r>
      <w:r w:rsidRPr="00216ACE">
        <w:rPr>
          <w:rFonts w:eastAsia="Times New Roman" w:cs="Arial"/>
          <w:caps w:val="0"/>
          <w:szCs w:val="24"/>
          <w:lang w:eastAsia="es-MX"/>
        </w:rPr>
        <w:t>.</w:t>
      </w:r>
      <w:r w:rsidRPr="00216ACE">
        <w:rPr>
          <w:rFonts w:cs="Arial"/>
          <w:szCs w:val="24"/>
        </w:rPr>
        <w:t xml:space="preserve"> </w:t>
      </w:r>
      <w:r w:rsidRPr="00216ACE">
        <w:rPr>
          <w:rFonts w:cs="Arial"/>
          <w:caps w:val="0"/>
          <w:szCs w:val="24"/>
        </w:rPr>
        <w:t>Decisión</w:t>
      </w:r>
      <w:bookmarkEnd w:id="13"/>
      <w:bookmarkEnd w:id="14"/>
      <w:r w:rsidRPr="00216ACE">
        <w:rPr>
          <w:rFonts w:cs="Arial"/>
          <w:caps w:val="0"/>
          <w:szCs w:val="24"/>
        </w:rPr>
        <w:t xml:space="preserve"> general</w:t>
      </w:r>
      <w:bookmarkEnd w:id="15"/>
      <w:r w:rsidR="00C41902">
        <w:rPr>
          <w:rFonts w:cs="Arial"/>
          <w:caps w:val="0"/>
          <w:szCs w:val="24"/>
        </w:rPr>
        <w:t xml:space="preserve"> </w:t>
      </w:r>
    </w:p>
    <w:p w14:paraId="26010527" w14:textId="77777777" w:rsidR="00243172" w:rsidRPr="00216ACE" w:rsidRDefault="00243172" w:rsidP="00243172">
      <w:pPr>
        <w:shd w:val="clear" w:color="auto" w:fill="FFFFFF" w:themeFill="background1"/>
        <w:spacing w:after="0" w:line="240" w:lineRule="auto"/>
        <w:jc w:val="both"/>
      </w:pPr>
    </w:p>
    <w:p w14:paraId="4EFC8611" w14:textId="7A17204F" w:rsidR="001B3C29" w:rsidRDefault="00243172" w:rsidP="001B3C29">
      <w:pPr>
        <w:spacing w:line="360" w:lineRule="auto"/>
        <w:contextualSpacing/>
        <w:jc w:val="both"/>
      </w:pPr>
      <w:r w:rsidRPr="00216ACE">
        <w:t xml:space="preserve">Esta Sala Monterrey considera que debe </w:t>
      </w:r>
      <w:r w:rsidR="00A54E3B" w:rsidRPr="00216ACE">
        <w:rPr>
          <w:b/>
        </w:rPr>
        <w:t>confirmarse</w:t>
      </w:r>
      <w:r w:rsidR="00B04684" w:rsidRPr="00216ACE">
        <w:rPr>
          <w:b/>
        </w:rPr>
        <w:t xml:space="preserve"> </w:t>
      </w:r>
      <w:r w:rsidR="00B04684" w:rsidRPr="00216ACE">
        <w:t xml:space="preserve">la </w:t>
      </w:r>
      <w:r w:rsidR="00B04684">
        <w:t xml:space="preserve">sentencia del </w:t>
      </w:r>
      <w:r w:rsidR="00906130">
        <w:t xml:space="preserve">Tribunal de Guanajuato, que determinó que el síndico de Salamanca, José Luis Montoya, </w:t>
      </w:r>
      <w:r w:rsidR="00906130" w:rsidRPr="00AF1984">
        <w:lastRenderedPageBreak/>
        <w:t xml:space="preserve">cometió </w:t>
      </w:r>
      <w:r w:rsidR="001130F3" w:rsidRPr="00AF1984">
        <w:t>vpg</w:t>
      </w:r>
      <w:r w:rsidR="00906130" w:rsidRPr="00AF1984">
        <w:t xml:space="preserve"> contra</w:t>
      </w:r>
      <w:r w:rsidR="00906130">
        <w:t xml:space="preserve"> la senadora Lilly Téllez, </w:t>
      </w:r>
      <w:r w:rsidR="00906130" w:rsidRPr="00ED465D">
        <w:t>p</w:t>
      </w:r>
      <w:r w:rsidR="00906130">
        <w:t>or</w:t>
      </w:r>
      <w:r w:rsidR="00906130" w:rsidRPr="00ED465D">
        <w:t xml:space="preserve"> </w:t>
      </w:r>
      <w:r w:rsidR="00906130">
        <w:t>la expresión realizada</w:t>
      </w:r>
      <w:r w:rsidR="00906130" w:rsidRPr="00ED465D">
        <w:t xml:space="preserve"> en </w:t>
      </w:r>
      <w:r w:rsidR="00906130">
        <w:t>Facebook vinculada a la sexualidad de la denunciante</w:t>
      </w:r>
      <w:r w:rsidR="000D444F">
        <w:t>,</w:t>
      </w:r>
      <w:r w:rsidR="00906130">
        <w:t xml:space="preserve"> que </w:t>
      </w:r>
      <w:r w:rsidR="00906130" w:rsidRPr="00ED465D">
        <w:t>traspas</w:t>
      </w:r>
      <w:r w:rsidR="00906130">
        <w:t>ó</w:t>
      </w:r>
      <w:r w:rsidR="00906130" w:rsidRPr="00ED465D">
        <w:t xml:space="preserve"> los límites y estándares de protección de l</w:t>
      </w:r>
      <w:r w:rsidR="00906130">
        <w:t>a</w:t>
      </w:r>
      <w:r w:rsidR="00906130" w:rsidRPr="00ED465D">
        <w:t xml:space="preserve"> </w:t>
      </w:r>
      <w:r w:rsidR="00906130">
        <w:t>libertad de expresión</w:t>
      </w:r>
      <w:r w:rsidR="00906130" w:rsidRPr="00ED465D">
        <w:t xml:space="preserve">; </w:t>
      </w:r>
      <w:r w:rsidR="00906130" w:rsidRPr="00ED465D">
        <w:rPr>
          <w:b/>
          <w:bCs/>
        </w:rPr>
        <w:t>porque</w:t>
      </w:r>
      <w:r w:rsidR="00906130" w:rsidRPr="00ED465D">
        <w:t xml:space="preserve"> </w:t>
      </w:r>
      <w:r w:rsidR="00906130" w:rsidRPr="00ED465D">
        <w:rPr>
          <w:b/>
        </w:rPr>
        <w:t>esta Sala considera</w:t>
      </w:r>
      <w:r w:rsidR="00906130" w:rsidRPr="00ED465D">
        <w:t xml:space="preserve"> que </w:t>
      </w:r>
      <w:r w:rsidR="00906130" w:rsidRPr="00ED465D">
        <w:rPr>
          <w:bCs/>
        </w:rPr>
        <w:t>la inconforme</w:t>
      </w:r>
      <w:r w:rsidR="00906130" w:rsidRPr="00ED465D">
        <w:t xml:space="preserve"> no cuestiona debidamente los argumentos que sustentan el sentido de la resolución impugnada, a partir de los cuales</w:t>
      </w:r>
      <w:r w:rsidR="00906130">
        <w:t xml:space="preserve"> </w:t>
      </w:r>
      <w:r w:rsidR="00906130" w:rsidRPr="00ED465D">
        <w:t xml:space="preserve">la responsable determinó que se acreditó la violencia alegada, bajo la consideración esencial de que </w:t>
      </w:r>
      <w:r w:rsidR="00906130">
        <w:t>la expresión del denunciado contiene estereotipos de género y traspasa los límites de la libertad de expresión</w:t>
      </w:r>
      <w:r w:rsidR="00906130" w:rsidRPr="00ED465D">
        <w:t>,</w:t>
      </w:r>
      <w:r w:rsidR="00906130">
        <w:t xml:space="preserve"> </w:t>
      </w:r>
      <w:r w:rsidR="00906130" w:rsidRPr="00ED465D">
        <w:t>de manera que, dichas razones deben seguir rigiendo el sentido de esa decisión y, por ende, deben quedar firmes, con la consecuente ineficacia de todos los agravios.</w:t>
      </w:r>
    </w:p>
    <w:p w14:paraId="08A80213" w14:textId="77777777" w:rsidR="00A8664D" w:rsidRPr="00216ACE" w:rsidRDefault="00A8664D" w:rsidP="006752C0">
      <w:pPr>
        <w:shd w:val="clear" w:color="auto" w:fill="FFFFFF" w:themeFill="background1"/>
        <w:tabs>
          <w:tab w:val="left" w:pos="5583"/>
        </w:tabs>
        <w:spacing w:after="0" w:line="360" w:lineRule="auto"/>
        <w:jc w:val="both"/>
      </w:pPr>
    </w:p>
    <w:p w14:paraId="30645A29" w14:textId="77777777" w:rsidR="00243172" w:rsidRPr="00216ACE" w:rsidRDefault="00243172" w:rsidP="008F22CF">
      <w:pPr>
        <w:pStyle w:val="Ttulo2"/>
        <w:shd w:val="clear" w:color="auto" w:fill="FFFFFF" w:themeFill="background1"/>
        <w:spacing w:before="0" w:line="240" w:lineRule="auto"/>
        <w:rPr>
          <w:rFonts w:ascii="Arial" w:hAnsi="Arial" w:cs="Arial"/>
          <w:color w:val="auto"/>
          <w:sz w:val="24"/>
          <w:szCs w:val="24"/>
        </w:rPr>
      </w:pPr>
      <w:bookmarkStart w:id="16" w:name="_Toc11874848"/>
      <w:bookmarkStart w:id="17" w:name="_Toc73062692"/>
      <w:r w:rsidRPr="00216ACE">
        <w:rPr>
          <w:rFonts w:ascii="Arial" w:hAnsi="Arial" w:cs="Arial"/>
          <w:color w:val="auto"/>
          <w:sz w:val="24"/>
          <w:szCs w:val="24"/>
          <w:u w:val="single"/>
        </w:rPr>
        <w:t>Apartado II</w:t>
      </w:r>
      <w:r w:rsidRPr="00216ACE">
        <w:rPr>
          <w:rFonts w:ascii="Arial" w:hAnsi="Arial" w:cs="Arial"/>
          <w:color w:val="auto"/>
          <w:sz w:val="24"/>
          <w:szCs w:val="24"/>
        </w:rPr>
        <w:t>. Desarrollo o justificación de la decisión</w:t>
      </w:r>
      <w:bookmarkEnd w:id="16"/>
      <w:bookmarkEnd w:id="17"/>
    </w:p>
    <w:p w14:paraId="14E3A6C5" w14:textId="77777777" w:rsidR="00EE6E52" w:rsidRPr="00216ACE" w:rsidRDefault="00EE6E52" w:rsidP="00583C0D">
      <w:pPr>
        <w:spacing w:after="0" w:line="240" w:lineRule="auto"/>
        <w:jc w:val="both"/>
        <w:rPr>
          <w:bCs/>
        </w:rPr>
      </w:pPr>
    </w:p>
    <w:p w14:paraId="27814DFD" w14:textId="6E999214" w:rsidR="00583C0D" w:rsidRPr="00A87E9D" w:rsidRDefault="00583C0D" w:rsidP="00A87E9D">
      <w:pPr>
        <w:pStyle w:val="Ttulo3"/>
        <w:rPr>
          <w:rFonts w:ascii="Arial" w:hAnsi="Arial" w:cs="Arial"/>
          <w:b/>
          <w:bCs/>
          <w:color w:val="auto"/>
        </w:rPr>
      </w:pPr>
      <w:bookmarkStart w:id="18" w:name="_Toc73062693"/>
      <w:r w:rsidRPr="00A87E9D">
        <w:rPr>
          <w:rFonts w:ascii="Arial" w:hAnsi="Arial" w:cs="Arial"/>
          <w:b/>
          <w:bCs/>
          <w:color w:val="auto"/>
        </w:rPr>
        <w:t>1. Marco o criterio jurisprudencial sobre el análisis de los agravios</w:t>
      </w:r>
      <w:bookmarkEnd w:id="18"/>
    </w:p>
    <w:p w14:paraId="2699A5D3" w14:textId="77777777" w:rsidR="00583C0D" w:rsidRPr="00A60249" w:rsidRDefault="00583C0D" w:rsidP="00583C0D">
      <w:pPr>
        <w:spacing w:after="0" w:line="240" w:lineRule="auto"/>
        <w:jc w:val="both"/>
        <w:rPr>
          <w:b/>
          <w:bCs/>
        </w:rPr>
      </w:pPr>
    </w:p>
    <w:p w14:paraId="101015EE" w14:textId="6BA26AAB" w:rsidR="008B5247" w:rsidRDefault="008B5247" w:rsidP="008B5247">
      <w:pPr>
        <w:spacing w:after="0" w:line="360" w:lineRule="auto"/>
        <w:jc w:val="both"/>
      </w:pPr>
      <w:r w:rsidRPr="008F622B">
        <w:t xml:space="preserve">La </w:t>
      </w:r>
      <w:r w:rsidRPr="0044329C">
        <w:t>jurisprudencia</w:t>
      </w:r>
      <w:r w:rsidRPr="008F622B">
        <w:t>, ciertamente,</w:t>
      </w:r>
      <w:r w:rsidRPr="0044329C">
        <w:t xml:space="preserve"> ha establecido que cuando el promovente manifiesta sus agravios para cuestionar un acto o resolución con el propósito que los órganos de justicia puedan revisarla de fondo, no tiene el deber de exponerlos bajo una formalidad específica y</w:t>
      </w:r>
      <w:r w:rsidR="002F6F6B">
        <w:t>,</w:t>
      </w:r>
      <w:r w:rsidRPr="0044329C">
        <w:t xml:space="preserve"> para tenerlos por expresados</w:t>
      </w:r>
      <w:r w:rsidR="002F6F6B">
        <w:t>,</w:t>
      </w:r>
      <w:r w:rsidRPr="0044329C">
        <w:t xml:space="preserve"> sólo se requiere la mención clara de los hechos concretos que le causan perjuicio, causa de pedir o un principio de agravio</w:t>
      </w:r>
      <w:r w:rsidRPr="0044329C">
        <w:rPr>
          <w:vertAlign w:val="superscript"/>
        </w:rPr>
        <w:footnoteReference w:id="8"/>
      </w:r>
      <w:r w:rsidRPr="0044329C">
        <w:t>.</w:t>
      </w:r>
    </w:p>
    <w:p w14:paraId="542602C2" w14:textId="77777777" w:rsidR="008B5247" w:rsidRPr="0044329C" w:rsidRDefault="008B5247" w:rsidP="008B5247">
      <w:pPr>
        <w:spacing w:after="0" w:line="360" w:lineRule="auto"/>
        <w:jc w:val="both"/>
      </w:pPr>
      <w:r>
        <w:lastRenderedPageBreak/>
        <w:tab/>
      </w:r>
    </w:p>
    <w:p w14:paraId="5144A843" w14:textId="59CE8724" w:rsidR="008B5247" w:rsidRDefault="008B5247" w:rsidP="008B5247">
      <w:pPr>
        <w:spacing w:after="0" w:line="360" w:lineRule="auto"/>
        <w:jc w:val="both"/>
      </w:pPr>
      <w:r w:rsidRPr="00860E78">
        <w:t>Incluso, con la precisión de que no hace falta que los demandantes o impugnantes mencionen los preceptos o normas que consideren aplicables, conforme al principio jurídico que dispone</w:t>
      </w:r>
      <w:r w:rsidR="00860E78" w:rsidRPr="00860E78">
        <w:t xml:space="preserve"> que </w:t>
      </w:r>
      <w:r w:rsidRPr="00860E78">
        <w:t>las partes sólo deben proporcionar los hechos y al juzgador conocer el derecho, la identificación de los preceptos aplicables a los hechos no implica suplir los agravios.</w:t>
      </w:r>
    </w:p>
    <w:p w14:paraId="51F7FFBC" w14:textId="77777777" w:rsidR="008B5247" w:rsidRPr="0044329C" w:rsidRDefault="008B5247" w:rsidP="008B5247">
      <w:pPr>
        <w:spacing w:after="0" w:line="360" w:lineRule="auto"/>
        <w:jc w:val="both"/>
      </w:pPr>
    </w:p>
    <w:p w14:paraId="321AB0A1" w14:textId="77777777" w:rsidR="008B5247" w:rsidRDefault="008B5247" w:rsidP="008B5247">
      <w:pPr>
        <w:spacing w:after="0" w:line="360" w:lineRule="auto"/>
        <w:jc w:val="both"/>
      </w:pPr>
      <w:r w:rsidRPr="0044329C">
        <w:rPr>
          <w:b/>
          <w:bCs/>
        </w:rPr>
        <w:t>Sin embargo</w:t>
      </w:r>
      <w:r w:rsidRPr="0044329C">
        <w:t xml:space="preserve">, </w:t>
      </w:r>
      <w:r w:rsidRPr="0044329C">
        <w:rPr>
          <w:b/>
          <w:bCs/>
        </w:rPr>
        <w:t>el deber de expresar al menos los hechos (aun cuando sea sin mayor formalismo), lógicamente, requiere como presupuesto fundamental, que esos hechos o agravios identifiquen con precisión la parte específica que causa perjuicio y la razones por las cuales en su concepto</w:t>
      </w:r>
      <w:r w:rsidRPr="0044329C">
        <w:t xml:space="preserve"> </w:t>
      </w:r>
      <w:r w:rsidRPr="0044329C">
        <w:rPr>
          <w:b/>
          <w:bCs/>
        </w:rPr>
        <w:t>es así</w:t>
      </w:r>
      <w:r w:rsidRPr="0044329C">
        <w:t>, por lo menos, a través de una afirmación de hechos mínimos pero concretos para cuestionar o confrontar las consideraciones del acto impugnado o decisión emitida en una instancia previa.</w:t>
      </w:r>
    </w:p>
    <w:p w14:paraId="44F6E874" w14:textId="77777777" w:rsidR="008B5247" w:rsidRPr="0044329C" w:rsidRDefault="008B5247" w:rsidP="008B5247">
      <w:pPr>
        <w:spacing w:after="0" w:line="360" w:lineRule="auto"/>
        <w:jc w:val="both"/>
      </w:pPr>
    </w:p>
    <w:p w14:paraId="4F408D6C" w14:textId="77777777" w:rsidR="008B5247" w:rsidRDefault="008B5247" w:rsidP="008B5247">
      <w:pPr>
        <w:spacing w:after="0" w:line="360" w:lineRule="auto"/>
        <w:jc w:val="both"/>
      </w:pPr>
      <w:r w:rsidRPr="0044329C">
        <w:t>Esto es, en términos generales, para revisar si un impugnante tiene o no razón</w:t>
      </w:r>
      <w:r>
        <w:t>,</w:t>
      </w:r>
      <w:r w:rsidRPr="0044329C">
        <w:t xml:space="preserve"> </w:t>
      </w:r>
      <w:r>
        <w:t xml:space="preserve">aun cuando </w:t>
      </w:r>
      <w:r w:rsidRPr="0044329C">
        <w:t>sólo se requieren hechos que identifiquen la consideración o decisión concretamente cuestionada y las razones por las que consideran que esto es así, sin una formalidad específica,</w:t>
      </w:r>
      <w:r w:rsidRPr="0044329C">
        <w:rPr>
          <w:b/>
          <w:bCs/>
        </w:rPr>
        <w:t xml:space="preserve"> lo expresado en sus agravios</w:t>
      </w:r>
      <w:r>
        <w:t xml:space="preserve"> </w:t>
      </w:r>
      <w:r w:rsidRPr="0044329C">
        <w:rPr>
          <w:b/>
          <w:bCs/>
        </w:rPr>
        <w:t>debe ser suficientes para cuestionar el sustento o fundamento de la decisión que impugnan</w:t>
      </w:r>
      <w:r w:rsidRPr="0044329C">
        <w:t>.</w:t>
      </w:r>
    </w:p>
    <w:p w14:paraId="7A7E358F" w14:textId="77777777" w:rsidR="008B5247" w:rsidRPr="0044329C" w:rsidRDefault="008B5247" w:rsidP="008B5247">
      <w:pPr>
        <w:spacing w:after="0" w:line="360" w:lineRule="auto"/>
        <w:jc w:val="both"/>
      </w:pPr>
    </w:p>
    <w:p w14:paraId="56D99A2C" w14:textId="77777777" w:rsidR="008B5247" w:rsidRDefault="008B5247" w:rsidP="008B5247">
      <w:pPr>
        <w:spacing w:after="0" w:line="360" w:lineRule="auto"/>
        <w:jc w:val="both"/>
      </w:pPr>
      <w:r w:rsidRPr="0044329C">
        <w:t>De otra manera, dichas consideraciones quedarían firmes y sustentarían el sentido de lo decidido, con independencia de lo que pudiera resolverse en relación con diversas consideraciones, dando lugar a la ineficacia de los planteamientos.</w:t>
      </w:r>
    </w:p>
    <w:p w14:paraId="74FC6120" w14:textId="77777777" w:rsidR="008B5247" w:rsidRPr="0044329C" w:rsidRDefault="008B5247" w:rsidP="008B5247">
      <w:pPr>
        <w:spacing w:after="0" w:line="360" w:lineRule="auto"/>
        <w:jc w:val="both"/>
      </w:pPr>
    </w:p>
    <w:p w14:paraId="1126EBFC" w14:textId="77777777" w:rsidR="008B5247" w:rsidRDefault="008B5247" w:rsidP="008B5247">
      <w:pPr>
        <w:spacing w:after="0" w:line="360" w:lineRule="auto"/>
        <w:jc w:val="both"/>
      </w:pPr>
      <w:r w:rsidRPr="0044329C">
        <w:t>Ello, porque asumir una visión en la que, argumentando la suplencia de los agravios</w:t>
      </w:r>
      <w:r w:rsidRPr="0044329C">
        <w:rPr>
          <w:color w:val="000000"/>
          <w:vertAlign w:val="superscript"/>
        </w:rPr>
        <w:footnoteReference w:id="9"/>
      </w:r>
      <w:r w:rsidRPr="0044329C">
        <w:t xml:space="preserve">, el juzgador pudiera arrogarse una autoridad absoluta para revisar en </w:t>
      </w:r>
      <w:r w:rsidRPr="0044329C">
        <w:lastRenderedPageBreak/>
        <w:t>cualquier recurso o juicio, oficiosamente o al margen de los agravios, los actos o decisiones de instancia previa, ubicaría al Tribunal en un papel intervencionista, previsto sólo para los procesos o acciones judiciales en los que sí existe una autorización legal o expresa en la jurisprudencia, para que el juez asuma la revisión directa de un asunto y deje de lado su función de administrar justicia con equilibrio procesal para las partes.</w:t>
      </w:r>
    </w:p>
    <w:p w14:paraId="1D37D0A1" w14:textId="77777777" w:rsidR="008B5247" w:rsidRPr="0044329C" w:rsidRDefault="008B5247" w:rsidP="008B5247">
      <w:pPr>
        <w:spacing w:after="0" w:line="360" w:lineRule="auto"/>
        <w:jc w:val="both"/>
        <w:rPr>
          <w:color w:val="000000"/>
        </w:rPr>
      </w:pPr>
    </w:p>
    <w:p w14:paraId="014B7F2B" w14:textId="77777777" w:rsidR="008B5247" w:rsidRPr="00524B92" w:rsidRDefault="008B5247" w:rsidP="008B5247">
      <w:pPr>
        <w:spacing w:after="0" w:line="360" w:lineRule="auto"/>
        <w:jc w:val="both"/>
        <w:rPr>
          <w:color w:val="000000"/>
          <w:lang w:eastAsia="zh-CN"/>
        </w:rPr>
      </w:pPr>
      <w:r w:rsidRPr="0044329C">
        <w:rPr>
          <w:color w:val="000000"/>
        </w:rPr>
        <w:t xml:space="preserve">De ahí que, la suplencia sólo debe implicar la autorización para </w:t>
      </w:r>
      <w:r w:rsidRPr="0044329C">
        <w:rPr>
          <w:lang w:eastAsia="zh-CN"/>
        </w:rPr>
        <w:t xml:space="preserve">integrar o </w:t>
      </w:r>
      <w:r w:rsidRPr="0044329C">
        <w:rPr>
          <w:color w:val="000000"/>
          <w:lang w:eastAsia="zh-CN"/>
        </w:rPr>
        <w:t>subsanar imperfecciones</w:t>
      </w:r>
      <w:r w:rsidRPr="0044329C">
        <w:rPr>
          <w:color w:val="000000"/>
        </w:rPr>
        <w:t xml:space="preserve"> </w:t>
      </w:r>
      <w:r w:rsidRPr="0044329C">
        <w:rPr>
          <w:color w:val="000000"/>
          <w:lang w:eastAsia="zh-CN"/>
        </w:rPr>
        <w:t>y únicamente sobre conceptos de violación o agravios, pero no para autorizar un análisis oficioso o revisión directa del acto o resolución impugnada</w:t>
      </w:r>
      <w:r>
        <w:rPr>
          <w:color w:val="000000"/>
          <w:lang w:eastAsia="zh-CN"/>
        </w:rPr>
        <w:t>,</w:t>
      </w:r>
      <w:r w:rsidRPr="0044329C">
        <w:rPr>
          <w:color w:val="000000"/>
          <w:lang w:eastAsia="zh-CN"/>
        </w:rPr>
        <w:t xml:space="preserve"> al margen de los motivos de inconformidad.</w:t>
      </w:r>
    </w:p>
    <w:p w14:paraId="3BC35E73" w14:textId="510B3EC3" w:rsidR="00A87E9D" w:rsidRDefault="00A87E9D" w:rsidP="00583C0D">
      <w:pPr>
        <w:spacing w:after="0" w:line="360" w:lineRule="auto"/>
        <w:jc w:val="both"/>
      </w:pPr>
    </w:p>
    <w:p w14:paraId="3773A8A4" w14:textId="28BAE817" w:rsidR="00A87E9D" w:rsidRPr="00A87E9D" w:rsidRDefault="00A87E9D" w:rsidP="008460EE">
      <w:pPr>
        <w:pStyle w:val="Ttulo3"/>
        <w:spacing w:before="0" w:line="240" w:lineRule="auto"/>
        <w:rPr>
          <w:rFonts w:ascii="Arial" w:hAnsi="Arial" w:cs="Arial"/>
          <w:b/>
          <w:bCs/>
          <w:color w:val="auto"/>
        </w:rPr>
      </w:pPr>
      <w:bookmarkStart w:id="19" w:name="_Toc73062694"/>
      <w:r w:rsidRPr="00A87E9D">
        <w:rPr>
          <w:rFonts w:ascii="Arial" w:hAnsi="Arial" w:cs="Arial"/>
          <w:b/>
          <w:bCs/>
          <w:color w:val="auto"/>
        </w:rPr>
        <w:t>2. Resolución y agravios concretamente revisados</w:t>
      </w:r>
      <w:bookmarkEnd w:id="19"/>
    </w:p>
    <w:p w14:paraId="0A09BACE" w14:textId="77777777" w:rsidR="00583C0D" w:rsidRPr="002C08D5" w:rsidRDefault="00583C0D" w:rsidP="008460EE">
      <w:pPr>
        <w:spacing w:after="0" w:line="240" w:lineRule="auto"/>
        <w:jc w:val="both"/>
      </w:pPr>
    </w:p>
    <w:p w14:paraId="002A35E6" w14:textId="24BA488F" w:rsidR="00C41902" w:rsidRDefault="00047332" w:rsidP="008460EE">
      <w:pPr>
        <w:pStyle w:val="Prrafodelista"/>
        <w:spacing w:after="0" w:line="360" w:lineRule="auto"/>
        <w:ind w:left="0"/>
        <w:jc w:val="both"/>
        <w:rPr>
          <w:bCs/>
        </w:rPr>
      </w:pPr>
      <w:r w:rsidRPr="5112FE08">
        <w:rPr>
          <w:color w:val="000000" w:themeColor="text1"/>
        </w:rPr>
        <w:t xml:space="preserve">En efecto, </w:t>
      </w:r>
      <w:r w:rsidR="00F936A3" w:rsidRPr="5112FE08">
        <w:rPr>
          <w:color w:val="000000" w:themeColor="text1"/>
          <w:u w:val="single"/>
        </w:rPr>
        <w:t xml:space="preserve">en </w:t>
      </w:r>
      <w:r w:rsidR="000965FC">
        <w:rPr>
          <w:color w:val="000000" w:themeColor="text1"/>
          <w:u w:val="single"/>
        </w:rPr>
        <w:t>las denuncias</w:t>
      </w:r>
      <w:r w:rsidR="00F936A3" w:rsidRPr="5112FE08">
        <w:rPr>
          <w:color w:val="000000" w:themeColor="text1"/>
          <w:u w:val="single"/>
        </w:rPr>
        <w:t xml:space="preserve"> que di</w:t>
      </w:r>
      <w:r w:rsidR="000965FC">
        <w:rPr>
          <w:color w:val="000000" w:themeColor="text1"/>
          <w:u w:val="single"/>
        </w:rPr>
        <w:t>eron</w:t>
      </w:r>
      <w:r w:rsidR="00F936A3" w:rsidRPr="5112FE08">
        <w:rPr>
          <w:color w:val="000000" w:themeColor="text1"/>
          <w:u w:val="single"/>
        </w:rPr>
        <w:t xml:space="preserve"> origen</w:t>
      </w:r>
      <w:r w:rsidR="00F936A3" w:rsidRPr="5112FE08">
        <w:rPr>
          <w:color w:val="000000" w:themeColor="text1"/>
        </w:rPr>
        <w:t xml:space="preserve"> a la decisión del Tribunal Local, </w:t>
      </w:r>
      <w:r w:rsidR="00F936A3">
        <w:rPr>
          <w:bCs/>
        </w:rPr>
        <w:t>la</w:t>
      </w:r>
      <w:r w:rsidR="000965FC">
        <w:rPr>
          <w:bCs/>
        </w:rPr>
        <w:t xml:space="preserve">s </w:t>
      </w:r>
      <w:r w:rsidR="002F6F6B" w:rsidRPr="00AF1984">
        <w:rPr>
          <w:bCs/>
        </w:rPr>
        <w:t>entonces</w:t>
      </w:r>
      <w:r w:rsidR="002F6F6B">
        <w:rPr>
          <w:bCs/>
        </w:rPr>
        <w:t xml:space="preserve"> </w:t>
      </w:r>
      <w:r w:rsidR="000965FC">
        <w:rPr>
          <w:bCs/>
        </w:rPr>
        <w:t>denunciantes</w:t>
      </w:r>
      <w:r w:rsidR="00F936A3">
        <w:rPr>
          <w:bCs/>
        </w:rPr>
        <w:t xml:space="preserve"> controvirti</w:t>
      </w:r>
      <w:r w:rsidR="000965FC">
        <w:rPr>
          <w:bCs/>
        </w:rPr>
        <w:t xml:space="preserve">eron </w:t>
      </w:r>
      <w:r w:rsidR="007001CD" w:rsidRPr="00EF4B0D">
        <w:rPr>
          <w:bCs/>
        </w:rPr>
        <w:t xml:space="preserve">actos </w:t>
      </w:r>
      <w:r w:rsidR="007001CD">
        <w:rPr>
          <w:bCs/>
        </w:rPr>
        <w:t>que considera</w:t>
      </w:r>
      <w:r w:rsidR="000965FC">
        <w:rPr>
          <w:bCs/>
        </w:rPr>
        <w:t>n</w:t>
      </w:r>
      <w:r w:rsidR="007001CD">
        <w:rPr>
          <w:bCs/>
        </w:rPr>
        <w:t xml:space="preserve"> constituyen</w:t>
      </w:r>
      <w:r w:rsidR="007001CD" w:rsidRPr="00EF4B0D">
        <w:rPr>
          <w:bCs/>
        </w:rPr>
        <w:t xml:space="preserve"> </w:t>
      </w:r>
      <w:r w:rsidR="00FF0560">
        <w:rPr>
          <w:bCs/>
        </w:rPr>
        <w:t>vpg</w:t>
      </w:r>
      <w:r w:rsidR="007001CD">
        <w:rPr>
          <w:bCs/>
        </w:rPr>
        <w:t>, atribuidos a</w:t>
      </w:r>
      <w:r w:rsidR="00526CB1">
        <w:rPr>
          <w:bCs/>
        </w:rPr>
        <w:t xml:space="preserve"> </w:t>
      </w:r>
      <w:r w:rsidR="00200787">
        <w:rPr>
          <w:bCs/>
        </w:rPr>
        <w:t xml:space="preserve">José Luis Montoya, </w:t>
      </w:r>
      <w:r w:rsidR="00FF0560">
        <w:rPr>
          <w:bCs/>
        </w:rPr>
        <w:t xml:space="preserve">derivado de </w:t>
      </w:r>
      <w:r w:rsidR="00D9442C">
        <w:rPr>
          <w:bCs/>
        </w:rPr>
        <w:t xml:space="preserve">que, en </w:t>
      </w:r>
      <w:r w:rsidR="00FF0560">
        <w:rPr>
          <w:bCs/>
        </w:rPr>
        <w:t>diversas</w:t>
      </w:r>
      <w:r w:rsidR="00200787">
        <w:rPr>
          <w:bCs/>
        </w:rPr>
        <w:t xml:space="preserve"> publicaciones </w:t>
      </w:r>
      <w:r w:rsidR="00200787">
        <w:rPr>
          <w:bCs/>
        </w:rPr>
        <w:lastRenderedPageBreak/>
        <w:t xml:space="preserve">realizadas en </w:t>
      </w:r>
      <w:r w:rsidR="00200787" w:rsidRPr="00FF0560">
        <w:rPr>
          <w:i/>
        </w:rPr>
        <w:t>Facebook</w:t>
      </w:r>
      <w:r w:rsidR="00200787">
        <w:rPr>
          <w:bCs/>
        </w:rPr>
        <w:t xml:space="preserve">, </w:t>
      </w:r>
      <w:r w:rsidR="004F65BE">
        <w:rPr>
          <w:bCs/>
        </w:rPr>
        <w:t>a</w:t>
      </w:r>
      <w:r w:rsidR="00D9442C">
        <w:rPr>
          <w:bCs/>
        </w:rPr>
        <w:t xml:space="preserve">l referirse a la </w:t>
      </w:r>
      <w:r w:rsidR="00241BA4">
        <w:rPr>
          <w:bCs/>
        </w:rPr>
        <w:t>senadora</w:t>
      </w:r>
      <w:r w:rsidR="00D9442C">
        <w:rPr>
          <w:bCs/>
        </w:rPr>
        <w:t xml:space="preserve"> Lilly Téllez</w:t>
      </w:r>
      <w:r w:rsidR="004F65BE">
        <w:rPr>
          <w:bCs/>
        </w:rPr>
        <w:t>,</w:t>
      </w:r>
      <w:r w:rsidR="00200787">
        <w:rPr>
          <w:bCs/>
        </w:rPr>
        <w:t xml:space="preserve"> expresó: </w:t>
      </w:r>
      <w:r w:rsidR="00200787" w:rsidRPr="00710859">
        <w:rPr>
          <w:b/>
        </w:rPr>
        <w:t>“Ahora se dan cuenta del nivel de esta imbécil!!”</w:t>
      </w:r>
      <w:r w:rsidR="00200787" w:rsidRPr="00710859">
        <w:rPr>
          <w:bCs/>
        </w:rPr>
        <w:t xml:space="preserve"> y </w:t>
      </w:r>
      <w:r w:rsidR="00200787" w:rsidRPr="00710859">
        <w:rPr>
          <w:b/>
        </w:rPr>
        <w:t>“Y apart</w:t>
      </w:r>
      <w:r w:rsidR="00710859" w:rsidRPr="00710859">
        <w:rPr>
          <w:b/>
        </w:rPr>
        <w:t>e</w:t>
      </w:r>
      <w:r w:rsidR="00200787" w:rsidRPr="00710859">
        <w:rPr>
          <w:b/>
        </w:rPr>
        <w:t xml:space="preserve"> de imbécil frígida</w:t>
      </w:r>
      <w:r w:rsidR="00200787" w:rsidRPr="00710859">
        <w:rPr>
          <w:b/>
          <w:iCs/>
        </w:rPr>
        <w:t>!!”</w:t>
      </w:r>
      <w:r w:rsidR="004D0B74" w:rsidRPr="00710859">
        <w:rPr>
          <w:bCs/>
        </w:rPr>
        <w:t>.</w:t>
      </w:r>
    </w:p>
    <w:p w14:paraId="0A2008F5" w14:textId="0A045ABA" w:rsidR="007001CD" w:rsidRDefault="007001CD" w:rsidP="007001CD">
      <w:pPr>
        <w:pStyle w:val="Prrafodelista"/>
        <w:spacing w:before="240" w:after="240" w:line="360" w:lineRule="auto"/>
        <w:ind w:left="0"/>
        <w:jc w:val="both"/>
        <w:rPr>
          <w:bCs/>
        </w:rPr>
      </w:pPr>
    </w:p>
    <w:p w14:paraId="03320122" w14:textId="6FA1D1FE" w:rsidR="004D0B74" w:rsidRDefault="007001CD" w:rsidP="0093254F">
      <w:pPr>
        <w:pStyle w:val="Prrafodelista"/>
        <w:spacing w:after="0" w:line="360" w:lineRule="auto"/>
        <w:ind w:left="0"/>
        <w:jc w:val="both"/>
        <w:rPr>
          <w:rFonts w:eastAsia="Arial"/>
        </w:rPr>
      </w:pPr>
      <w:r w:rsidRPr="5112FE08">
        <w:rPr>
          <w:rFonts w:eastAsia="Arial"/>
        </w:rPr>
        <w:t xml:space="preserve">Al respecto, </w:t>
      </w:r>
      <w:r w:rsidRPr="5112FE08">
        <w:rPr>
          <w:rFonts w:eastAsia="Arial"/>
          <w:u w:val="single"/>
        </w:rPr>
        <w:t xml:space="preserve">el Tribunal de </w:t>
      </w:r>
      <w:r w:rsidR="00136116">
        <w:rPr>
          <w:rFonts w:eastAsia="Arial"/>
          <w:u w:val="single"/>
        </w:rPr>
        <w:t>Guanajuato</w:t>
      </w:r>
      <w:r w:rsidRPr="5112FE08">
        <w:rPr>
          <w:rFonts w:eastAsia="Arial"/>
        </w:rPr>
        <w:t xml:space="preserve">, en la sentencia impugnada, determinó </w:t>
      </w:r>
      <w:r w:rsidR="002B62AD">
        <w:rPr>
          <w:rFonts w:eastAsia="Arial"/>
        </w:rPr>
        <w:t>que sí se</w:t>
      </w:r>
      <w:r w:rsidR="002B62AD">
        <w:t xml:space="preserve"> </w:t>
      </w:r>
      <w:r w:rsidRPr="5112FE08">
        <w:rPr>
          <w:rFonts w:eastAsia="Arial"/>
        </w:rPr>
        <w:t>acredit</w:t>
      </w:r>
      <w:r w:rsidR="00744516">
        <w:rPr>
          <w:rFonts w:eastAsia="Arial"/>
        </w:rPr>
        <w:t xml:space="preserve">aba </w:t>
      </w:r>
      <w:r w:rsidR="00C419C9">
        <w:rPr>
          <w:rFonts w:eastAsia="Arial"/>
        </w:rPr>
        <w:t>vpg</w:t>
      </w:r>
      <w:r w:rsidR="003F506D">
        <w:rPr>
          <w:rFonts w:eastAsia="Arial"/>
          <w:bCs/>
        </w:rPr>
        <w:t>, bajo las siguientes consideraciones:</w:t>
      </w:r>
    </w:p>
    <w:p w14:paraId="758D6F55" w14:textId="77777777" w:rsidR="00AF440C" w:rsidRDefault="00AF440C" w:rsidP="0093254F">
      <w:pPr>
        <w:pStyle w:val="Prrafodelista"/>
        <w:spacing w:after="0" w:line="360" w:lineRule="auto"/>
        <w:ind w:left="0"/>
        <w:jc w:val="both"/>
        <w:rPr>
          <w:lang w:val="es-MX"/>
        </w:rPr>
      </w:pPr>
    </w:p>
    <w:p w14:paraId="4400CEE5" w14:textId="2EB9BE51" w:rsidR="0097049F" w:rsidRDefault="00BB0427" w:rsidP="0097049F">
      <w:pPr>
        <w:spacing w:after="0" w:line="360" w:lineRule="auto"/>
        <w:ind w:left="284"/>
        <w:jc w:val="both"/>
        <w:rPr>
          <w:lang w:val="es-MX"/>
        </w:rPr>
      </w:pPr>
      <w:r w:rsidRPr="00BB0427">
        <w:rPr>
          <w:lang w:val="es-MX"/>
        </w:rPr>
        <w:t xml:space="preserve">- </w:t>
      </w:r>
      <w:r w:rsidR="00BB55D9" w:rsidRPr="00F10849">
        <w:rPr>
          <w:b/>
          <w:lang w:val="es-MX"/>
        </w:rPr>
        <w:t>En primer lugar</w:t>
      </w:r>
      <w:r w:rsidR="004A1D56" w:rsidRPr="004B64DD">
        <w:rPr>
          <w:lang w:val="es-MX"/>
        </w:rPr>
        <w:t>, el</w:t>
      </w:r>
      <w:r w:rsidR="004A1D56" w:rsidRPr="00F95A24">
        <w:rPr>
          <w:lang w:val="es-MX"/>
        </w:rPr>
        <w:t xml:space="preserve"> Tribunal Local </w:t>
      </w:r>
      <w:r w:rsidR="00F95A24">
        <w:rPr>
          <w:lang w:val="es-MX"/>
        </w:rPr>
        <w:t xml:space="preserve">tuvo </w:t>
      </w:r>
      <w:r w:rsidR="00971D14">
        <w:rPr>
          <w:lang w:val="es-MX"/>
        </w:rPr>
        <w:t>por acreditad</w:t>
      </w:r>
      <w:r w:rsidR="002F32AA">
        <w:rPr>
          <w:lang w:val="es-MX"/>
        </w:rPr>
        <w:t>o que</w:t>
      </w:r>
      <w:r w:rsidR="00811A3E">
        <w:rPr>
          <w:lang w:val="es-MX"/>
        </w:rPr>
        <w:t xml:space="preserve"> José Luis Montoya realizó ambas expresiones</w:t>
      </w:r>
      <w:r w:rsidR="0097049F">
        <w:rPr>
          <w:lang w:val="es-MX"/>
        </w:rPr>
        <w:t xml:space="preserve"> a través de su cuenta de Facebook y reproducidas en distintos portales electrónicos.</w:t>
      </w:r>
    </w:p>
    <w:p w14:paraId="532F0F65" w14:textId="77777777" w:rsidR="007F4A29" w:rsidRDefault="007F4A29" w:rsidP="0097049F">
      <w:pPr>
        <w:spacing w:after="0" w:line="360" w:lineRule="auto"/>
        <w:ind w:left="284"/>
        <w:jc w:val="both"/>
        <w:rPr>
          <w:lang w:val="es-MX"/>
        </w:rPr>
      </w:pPr>
    </w:p>
    <w:p w14:paraId="071157E5" w14:textId="013241CF" w:rsidR="008D18CB" w:rsidRDefault="0097049F" w:rsidP="008D18CB">
      <w:pPr>
        <w:spacing w:after="0" w:line="360" w:lineRule="auto"/>
        <w:ind w:left="284"/>
        <w:jc w:val="both"/>
        <w:rPr>
          <w:bCs/>
        </w:rPr>
      </w:pPr>
      <w:r>
        <w:rPr>
          <w:lang w:val="es-MX"/>
        </w:rPr>
        <w:t xml:space="preserve">- </w:t>
      </w:r>
      <w:r w:rsidR="0086577B">
        <w:rPr>
          <w:lang w:val="es-MX"/>
        </w:rPr>
        <w:t>Luego</w:t>
      </w:r>
      <w:r w:rsidR="00393442">
        <w:rPr>
          <w:lang w:val="es-MX"/>
        </w:rPr>
        <w:t>,</w:t>
      </w:r>
      <w:r w:rsidR="005910E6">
        <w:rPr>
          <w:lang w:val="es-MX"/>
        </w:rPr>
        <w:t xml:space="preserve"> </w:t>
      </w:r>
      <w:r w:rsidR="0086577B">
        <w:rPr>
          <w:lang w:val="es-MX"/>
        </w:rPr>
        <w:t>concluyó</w:t>
      </w:r>
      <w:r w:rsidR="00FF7DC8">
        <w:rPr>
          <w:lang w:val="es-MX"/>
        </w:rPr>
        <w:t xml:space="preserve"> que</w:t>
      </w:r>
      <w:r w:rsidR="00DA5370">
        <w:rPr>
          <w:lang w:val="es-MX"/>
        </w:rPr>
        <w:t xml:space="preserve"> la</w:t>
      </w:r>
      <w:r w:rsidR="00FF7DC8">
        <w:rPr>
          <w:lang w:val="es-MX"/>
        </w:rPr>
        <w:t xml:space="preserve"> </w:t>
      </w:r>
      <w:r w:rsidR="00DA5370">
        <w:rPr>
          <w:lang w:val="es-MX"/>
        </w:rPr>
        <w:t>manifestación</w:t>
      </w:r>
      <w:r w:rsidR="005A58B7">
        <w:rPr>
          <w:lang w:val="es-MX"/>
        </w:rPr>
        <w:t>:</w:t>
      </w:r>
      <w:r w:rsidR="00DA5370">
        <w:rPr>
          <w:lang w:val="es-MX"/>
        </w:rPr>
        <w:t xml:space="preserve"> </w:t>
      </w:r>
      <w:r w:rsidR="00DA5370">
        <w:rPr>
          <w:bCs/>
        </w:rPr>
        <w:t>“</w:t>
      </w:r>
      <w:r w:rsidR="00DA5370" w:rsidRPr="00200787">
        <w:rPr>
          <w:bCs/>
        </w:rPr>
        <w:t>Ahora se dan cuenta del nivel de esta imbécil!!”</w:t>
      </w:r>
      <w:r w:rsidR="0086577B">
        <w:rPr>
          <w:bCs/>
        </w:rPr>
        <w:t xml:space="preserve"> no actualizaba </w:t>
      </w:r>
      <w:r w:rsidR="0020279A">
        <w:rPr>
          <w:bCs/>
        </w:rPr>
        <w:t>vpg</w:t>
      </w:r>
      <w:r w:rsidR="00BD664A">
        <w:rPr>
          <w:bCs/>
        </w:rPr>
        <w:t xml:space="preserve">, pues </w:t>
      </w:r>
      <w:r w:rsidR="00906130">
        <w:rPr>
          <w:bCs/>
        </w:rPr>
        <w:t xml:space="preserve">dicho </w:t>
      </w:r>
      <w:r w:rsidR="00BD664A">
        <w:rPr>
          <w:bCs/>
        </w:rPr>
        <w:t>intercambio de opiniones o posturas se dio entre personas servidoras públicas</w:t>
      </w:r>
      <w:r w:rsidR="00BE0695">
        <w:rPr>
          <w:bCs/>
        </w:rPr>
        <w:t xml:space="preserve"> que obedecen a ideologías </w:t>
      </w:r>
      <w:r w:rsidR="00821C17">
        <w:rPr>
          <w:bCs/>
        </w:rPr>
        <w:t>no afines y con diferentes puntos de vista respecto al mismo tema</w:t>
      </w:r>
      <w:r w:rsidR="00251372">
        <w:rPr>
          <w:bCs/>
        </w:rPr>
        <w:t>, esto es, en el plano del debate político</w:t>
      </w:r>
      <w:r w:rsidR="00C679FD">
        <w:rPr>
          <w:bCs/>
        </w:rPr>
        <w:t xml:space="preserve">, donde el margen de tolerancia para quienes </w:t>
      </w:r>
      <w:r w:rsidR="00BA70B7">
        <w:rPr>
          <w:bCs/>
        </w:rPr>
        <w:t xml:space="preserve">intervienen </w:t>
      </w:r>
      <w:r w:rsidR="00C679FD">
        <w:rPr>
          <w:bCs/>
        </w:rPr>
        <w:t>es mayor</w:t>
      </w:r>
      <w:r w:rsidR="008D18CB">
        <w:rPr>
          <w:bCs/>
        </w:rPr>
        <w:t>.</w:t>
      </w:r>
    </w:p>
    <w:p w14:paraId="7F126F0C" w14:textId="77777777" w:rsidR="008D18CB" w:rsidRDefault="008D18CB" w:rsidP="008D18CB">
      <w:pPr>
        <w:spacing w:after="0" w:line="360" w:lineRule="auto"/>
        <w:ind w:left="284"/>
        <w:jc w:val="both"/>
        <w:rPr>
          <w:bCs/>
        </w:rPr>
      </w:pPr>
    </w:p>
    <w:p w14:paraId="51092D95" w14:textId="39C4098B" w:rsidR="008D18CB" w:rsidRPr="008D18CB" w:rsidRDefault="008D18CB" w:rsidP="008D18CB">
      <w:pPr>
        <w:spacing w:after="0" w:line="360" w:lineRule="auto"/>
        <w:ind w:left="284"/>
        <w:jc w:val="both"/>
        <w:rPr>
          <w:bCs/>
        </w:rPr>
      </w:pPr>
      <w:r>
        <w:rPr>
          <w:bCs/>
        </w:rPr>
        <w:t xml:space="preserve">- Sobre esa base, </w:t>
      </w:r>
      <w:r w:rsidR="000E4DB0">
        <w:rPr>
          <w:bCs/>
        </w:rPr>
        <w:t xml:space="preserve">señaló que </w:t>
      </w:r>
      <w:r>
        <w:rPr>
          <w:bCs/>
        </w:rPr>
        <w:t xml:space="preserve">no podría considerarse que el comentario se haya realizado por el hecho de ser mujer, sino </w:t>
      </w:r>
      <w:r w:rsidR="004C4A63">
        <w:rPr>
          <w:bCs/>
        </w:rPr>
        <w:t xml:space="preserve">como </w:t>
      </w:r>
      <w:r>
        <w:rPr>
          <w:bCs/>
        </w:rPr>
        <w:t>legisladora federal</w:t>
      </w:r>
      <w:r w:rsidR="00611B6E">
        <w:rPr>
          <w:bCs/>
        </w:rPr>
        <w:t>, pues en es</w:t>
      </w:r>
      <w:r w:rsidR="004C4A63">
        <w:rPr>
          <w:bCs/>
        </w:rPr>
        <w:t>a calidad</w:t>
      </w:r>
      <w:r w:rsidR="00C26DFA">
        <w:rPr>
          <w:bCs/>
        </w:rPr>
        <w:t xml:space="preserve"> pretende que se regule la interrupción del embarazo de una manera distinta a la opinión y convicción de</w:t>
      </w:r>
      <w:r w:rsidR="004C4A63">
        <w:rPr>
          <w:bCs/>
        </w:rPr>
        <w:t>l</w:t>
      </w:r>
      <w:r w:rsidR="00C26DFA">
        <w:rPr>
          <w:bCs/>
        </w:rPr>
        <w:t xml:space="preserve"> denunciado</w:t>
      </w:r>
      <w:r>
        <w:rPr>
          <w:bCs/>
        </w:rPr>
        <w:t>.</w:t>
      </w:r>
    </w:p>
    <w:p w14:paraId="530D60DF" w14:textId="77777777" w:rsidR="00DA5370" w:rsidRDefault="00DA5370" w:rsidP="0097049F">
      <w:pPr>
        <w:spacing w:after="0" w:line="360" w:lineRule="auto"/>
        <w:ind w:left="284"/>
        <w:jc w:val="both"/>
        <w:rPr>
          <w:lang w:val="es-MX"/>
        </w:rPr>
      </w:pPr>
    </w:p>
    <w:p w14:paraId="7FC57595" w14:textId="197E4BD3" w:rsidR="0097049F" w:rsidRDefault="00C743B2" w:rsidP="0097049F">
      <w:pPr>
        <w:spacing w:after="0" w:line="360" w:lineRule="auto"/>
        <w:ind w:left="284"/>
        <w:jc w:val="both"/>
        <w:rPr>
          <w:bCs/>
        </w:rPr>
      </w:pPr>
      <w:r>
        <w:rPr>
          <w:lang w:val="es-MX"/>
        </w:rPr>
        <w:t xml:space="preserve">- </w:t>
      </w:r>
      <w:r w:rsidR="00DA5370">
        <w:rPr>
          <w:lang w:val="es-MX"/>
        </w:rPr>
        <w:t>En ese sentido</w:t>
      </w:r>
      <w:r>
        <w:rPr>
          <w:lang w:val="es-MX"/>
        </w:rPr>
        <w:t xml:space="preserve">, </w:t>
      </w:r>
      <w:r w:rsidR="00393442">
        <w:rPr>
          <w:lang w:val="es-MX"/>
        </w:rPr>
        <w:t xml:space="preserve">determinó </w:t>
      </w:r>
      <w:r w:rsidR="008B6573">
        <w:rPr>
          <w:lang w:val="es-MX"/>
        </w:rPr>
        <w:t>que únicamente</w:t>
      </w:r>
      <w:r w:rsidR="002B62AD" w:rsidRPr="002B62AD">
        <w:rPr>
          <w:rFonts w:eastAsia="Arial"/>
        </w:rPr>
        <w:t xml:space="preserve"> </w:t>
      </w:r>
      <w:r w:rsidR="002B62AD">
        <w:rPr>
          <w:rFonts w:eastAsia="Arial"/>
        </w:rPr>
        <w:t>la expresión</w:t>
      </w:r>
      <w:r w:rsidR="00BE5B31">
        <w:rPr>
          <w:rFonts w:eastAsia="Arial"/>
        </w:rPr>
        <w:t>:</w:t>
      </w:r>
      <w:r w:rsidR="002B62AD">
        <w:rPr>
          <w:rFonts w:eastAsia="Arial"/>
        </w:rPr>
        <w:t xml:space="preserve"> </w:t>
      </w:r>
      <w:r w:rsidR="002B62AD" w:rsidRPr="00BE5B31">
        <w:rPr>
          <w:b/>
        </w:rPr>
        <w:t>“Y aparte de imbécil frígida!!”</w:t>
      </w:r>
      <w:r w:rsidR="005E3616">
        <w:rPr>
          <w:bCs/>
        </w:rPr>
        <w:t xml:space="preserve"> actualizaba</w:t>
      </w:r>
      <w:r w:rsidR="00C10953">
        <w:rPr>
          <w:bCs/>
        </w:rPr>
        <w:t xml:space="preserve"> </w:t>
      </w:r>
      <w:r w:rsidR="007A15EB">
        <w:rPr>
          <w:bCs/>
        </w:rPr>
        <w:t>vpg</w:t>
      </w:r>
      <w:r w:rsidR="00C10953">
        <w:rPr>
          <w:bCs/>
        </w:rPr>
        <w:t xml:space="preserve">, </w:t>
      </w:r>
      <w:r w:rsidR="00E9129A">
        <w:rPr>
          <w:bCs/>
        </w:rPr>
        <w:t>porque</w:t>
      </w:r>
      <w:r w:rsidR="00BF2C23">
        <w:rPr>
          <w:bCs/>
        </w:rPr>
        <w:t xml:space="preserve"> reproduce estereotipos de género, </w:t>
      </w:r>
      <w:r w:rsidR="009013CF">
        <w:rPr>
          <w:bCs/>
        </w:rPr>
        <w:t>por haber usado</w:t>
      </w:r>
      <w:r w:rsidR="00BF2C23">
        <w:rPr>
          <w:bCs/>
        </w:rPr>
        <w:t xml:space="preserve"> expresiones</w:t>
      </w:r>
      <w:r w:rsidR="00D9277A">
        <w:rPr>
          <w:bCs/>
        </w:rPr>
        <w:t xml:space="preserve"> </w:t>
      </w:r>
      <w:r w:rsidR="006E63D4">
        <w:rPr>
          <w:bCs/>
        </w:rPr>
        <w:t>vinculadas</w:t>
      </w:r>
      <w:r w:rsidR="00D9277A">
        <w:rPr>
          <w:bCs/>
        </w:rPr>
        <w:t xml:space="preserve"> la sexualidad de las mujeres</w:t>
      </w:r>
      <w:r w:rsidR="002F6F6B">
        <w:rPr>
          <w:bCs/>
        </w:rPr>
        <w:t>,</w:t>
      </w:r>
      <w:r w:rsidR="00F8768F">
        <w:rPr>
          <w:bCs/>
        </w:rPr>
        <w:t xml:space="preserve"> </w:t>
      </w:r>
      <w:r w:rsidR="009013CF">
        <w:rPr>
          <w:bCs/>
        </w:rPr>
        <w:t xml:space="preserve">colocándolas </w:t>
      </w:r>
      <w:r w:rsidR="00F8768F">
        <w:rPr>
          <w:bCs/>
        </w:rPr>
        <w:t>al servicio de los hombres</w:t>
      </w:r>
      <w:r w:rsidR="00CA6DB3">
        <w:rPr>
          <w:bCs/>
        </w:rPr>
        <w:t xml:space="preserve">, poniendo entredicho su moral sexual a través de comentarios sarcásticos </w:t>
      </w:r>
      <w:r w:rsidR="00066009">
        <w:rPr>
          <w:bCs/>
        </w:rPr>
        <w:t xml:space="preserve">y denigrantes contra la </w:t>
      </w:r>
      <w:r w:rsidR="00241BA4">
        <w:rPr>
          <w:bCs/>
        </w:rPr>
        <w:t>senadora</w:t>
      </w:r>
      <w:r w:rsidR="00066009">
        <w:rPr>
          <w:bCs/>
        </w:rPr>
        <w:t>.</w:t>
      </w:r>
    </w:p>
    <w:p w14:paraId="07F4C866" w14:textId="77777777" w:rsidR="00066009" w:rsidRDefault="00066009" w:rsidP="0097049F">
      <w:pPr>
        <w:spacing w:after="0" w:line="360" w:lineRule="auto"/>
        <w:ind w:left="284"/>
        <w:jc w:val="both"/>
        <w:rPr>
          <w:lang w:val="es-MX"/>
        </w:rPr>
      </w:pPr>
    </w:p>
    <w:p w14:paraId="4B22405A" w14:textId="0962D939" w:rsidR="00066009" w:rsidRDefault="00066009" w:rsidP="0097049F">
      <w:pPr>
        <w:spacing w:after="0" w:line="360" w:lineRule="auto"/>
        <w:ind w:left="284"/>
        <w:jc w:val="both"/>
        <w:rPr>
          <w:lang w:val="es-MX"/>
        </w:rPr>
      </w:pPr>
      <w:r>
        <w:rPr>
          <w:lang w:val="es-MX"/>
        </w:rPr>
        <w:t>-</w:t>
      </w:r>
      <w:r w:rsidR="005F00BC">
        <w:rPr>
          <w:lang w:val="es-MX"/>
        </w:rPr>
        <w:t xml:space="preserve"> Además, destacó que</w:t>
      </w:r>
      <w:r w:rsidR="002F6F6B">
        <w:rPr>
          <w:lang w:val="es-MX"/>
        </w:rPr>
        <w:t xml:space="preserve"> </w:t>
      </w:r>
      <w:r w:rsidR="00774504">
        <w:rPr>
          <w:lang w:val="es-MX"/>
        </w:rPr>
        <w:t xml:space="preserve">el hecho que el denunciado haya señalado que </w:t>
      </w:r>
      <w:r w:rsidR="00E35F52">
        <w:rPr>
          <w:lang w:val="es-MX"/>
        </w:rPr>
        <w:t xml:space="preserve">las manifestaciones </w:t>
      </w:r>
      <w:r w:rsidR="00ED10B8">
        <w:rPr>
          <w:lang w:val="es-MX"/>
        </w:rPr>
        <w:t>que</w:t>
      </w:r>
      <w:r w:rsidR="00E35F52">
        <w:rPr>
          <w:lang w:val="es-MX"/>
        </w:rPr>
        <w:t xml:space="preserve"> realizó </w:t>
      </w:r>
      <w:r w:rsidR="00ED10B8">
        <w:rPr>
          <w:lang w:val="es-MX"/>
        </w:rPr>
        <w:t>a</w:t>
      </w:r>
      <w:r w:rsidR="00E35F52">
        <w:rPr>
          <w:lang w:val="es-MX"/>
        </w:rPr>
        <w:t xml:space="preserve"> título personal</w:t>
      </w:r>
      <w:r w:rsidR="006C3C06">
        <w:rPr>
          <w:lang w:val="es-MX"/>
        </w:rPr>
        <w:t xml:space="preserve"> y en su cuenta particular de Facebook </w:t>
      </w:r>
      <w:r w:rsidR="003032DB">
        <w:rPr>
          <w:lang w:val="es-MX"/>
        </w:rPr>
        <w:t>las hizo en</w:t>
      </w:r>
      <w:r w:rsidR="006C3C06">
        <w:rPr>
          <w:lang w:val="es-MX"/>
        </w:rPr>
        <w:t xml:space="preserve"> uso de su libertad de expresión</w:t>
      </w:r>
      <w:r w:rsidR="00D51A24">
        <w:rPr>
          <w:lang w:val="es-MX"/>
        </w:rPr>
        <w:t>, no</w:t>
      </w:r>
      <w:r w:rsidR="00774504">
        <w:rPr>
          <w:lang w:val="es-MX"/>
        </w:rPr>
        <w:t xml:space="preserve"> p</w:t>
      </w:r>
      <w:r w:rsidR="00924321">
        <w:rPr>
          <w:lang w:val="es-MX"/>
        </w:rPr>
        <w:t>odían ser permitidas</w:t>
      </w:r>
      <w:r w:rsidR="00AC65AC">
        <w:rPr>
          <w:lang w:val="es-MX"/>
        </w:rPr>
        <w:t xml:space="preserve"> porque los comentarios traspasaron los límites</w:t>
      </w:r>
      <w:r w:rsidR="003032DB">
        <w:rPr>
          <w:lang w:val="es-MX"/>
        </w:rPr>
        <w:t xml:space="preserve"> y estándares de ese derecho fundamental.</w:t>
      </w:r>
      <w:r w:rsidR="00AC65AC">
        <w:rPr>
          <w:lang w:val="es-MX"/>
        </w:rPr>
        <w:t xml:space="preserve"> </w:t>
      </w:r>
      <w:r w:rsidR="00D51A24">
        <w:rPr>
          <w:lang w:val="es-MX"/>
        </w:rPr>
        <w:t xml:space="preserve"> </w:t>
      </w:r>
    </w:p>
    <w:p w14:paraId="340687C3" w14:textId="77777777" w:rsidR="003032DB" w:rsidRDefault="003032DB" w:rsidP="00AF44F3">
      <w:pPr>
        <w:pStyle w:val="Normalsentencia"/>
        <w:spacing w:before="0" w:after="0"/>
        <w:ind w:left="284" w:firstLine="0"/>
        <w:rPr>
          <w:lang w:val="es-MX"/>
        </w:rPr>
      </w:pPr>
    </w:p>
    <w:p w14:paraId="4B5C2319" w14:textId="64912EED" w:rsidR="00DB0BEB" w:rsidRDefault="003032DB" w:rsidP="00AF44F3">
      <w:pPr>
        <w:pStyle w:val="Normalsentencia"/>
        <w:spacing w:before="0" w:after="0"/>
        <w:ind w:left="284" w:firstLine="0"/>
        <w:rPr>
          <w:sz w:val="24"/>
          <w:szCs w:val="24"/>
        </w:rPr>
      </w:pPr>
      <w:r w:rsidRPr="00D65B29">
        <w:rPr>
          <w:lang w:val="es-MX"/>
        </w:rPr>
        <w:t>-</w:t>
      </w:r>
      <w:r w:rsidR="0007502D" w:rsidRPr="00D65B29">
        <w:rPr>
          <w:lang w:val="es-MX"/>
        </w:rPr>
        <w:t xml:space="preserve"> </w:t>
      </w:r>
      <w:r w:rsidR="006D615C">
        <w:rPr>
          <w:sz w:val="24"/>
          <w:szCs w:val="24"/>
        </w:rPr>
        <w:t xml:space="preserve">Incluso, enfatizó que el ser síndico del Ayuntamiento de Salamanca genera que su cuenta personal de Facebook adquiera la misma relevancia del </w:t>
      </w:r>
      <w:r w:rsidR="006D615C">
        <w:rPr>
          <w:sz w:val="24"/>
          <w:szCs w:val="24"/>
        </w:rPr>
        <w:lastRenderedPageBreak/>
        <w:t>encargo que tiene</w:t>
      </w:r>
      <w:r w:rsidR="007370DD">
        <w:rPr>
          <w:sz w:val="24"/>
          <w:szCs w:val="24"/>
        </w:rPr>
        <w:t xml:space="preserve"> </w:t>
      </w:r>
      <w:r w:rsidR="006D615C">
        <w:rPr>
          <w:sz w:val="24"/>
          <w:szCs w:val="24"/>
        </w:rPr>
        <w:t xml:space="preserve">como servidor público, </w:t>
      </w:r>
      <w:r w:rsidR="007370DD">
        <w:rPr>
          <w:sz w:val="24"/>
          <w:szCs w:val="24"/>
        </w:rPr>
        <w:t>pues</w:t>
      </w:r>
      <w:r w:rsidR="006D615C">
        <w:rPr>
          <w:sz w:val="24"/>
          <w:szCs w:val="24"/>
        </w:rPr>
        <w:t xml:space="preserve"> en </w:t>
      </w:r>
      <w:r w:rsidR="003C06DE">
        <w:rPr>
          <w:sz w:val="24"/>
          <w:szCs w:val="24"/>
        </w:rPr>
        <w:t>dicha red social</w:t>
      </w:r>
      <w:r w:rsidR="006D615C">
        <w:rPr>
          <w:sz w:val="24"/>
          <w:szCs w:val="24"/>
        </w:rPr>
        <w:t xml:space="preserve"> comparte información o manifestaciones re</w:t>
      </w:r>
      <w:r w:rsidR="007370DD">
        <w:rPr>
          <w:sz w:val="24"/>
          <w:szCs w:val="24"/>
        </w:rPr>
        <w:t>ferentes</w:t>
      </w:r>
      <w:r w:rsidR="006D615C">
        <w:rPr>
          <w:sz w:val="24"/>
          <w:szCs w:val="24"/>
        </w:rPr>
        <w:t xml:space="preserve"> a su labor.</w:t>
      </w:r>
    </w:p>
    <w:p w14:paraId="3A7D284C" w14:textId="77777777" w:rsidR="00AF44F3" w:rsidRDefault="00AF44F3" w:rsidP="00AF44F3">
      <w:pPr>
        <w:pStyle w:val="Normalsentencia"/>
        <w:spacing w:before="0" w:after="0"/>
        <w:ind w:left="284" w:firstLine="0"/>
        <w:rPr>
          <w:sz w:val="24"/>
          <w:szCs w:val="24"/>
        </w:rPr>
      </w:pPr>
    </w:p>
    <w:p w14:paraId="1A0572A9" w14:textId="0BA3A4FA" w:rsidR="00232E50" w:rsidRDefault="00AF44F3" w:rsidP="00232E50">
      <w:pPr>
        <w:pStyle w:val="Normalsentencia"/>
        <w:spacing w:before="0" w:after="0"/>
        <w:ind w:left="284" w:firstLine="0"/>
        <w:rPr>
          <w:sz w:val="24"/>
          <w:szCs w:val="24"/>
        </w:rPr>
      </w:pPr>
      <w:r>
        <w:rPr>
          <w:sz w:val="24"/>
          <w:szCs w:val="24"/>
        </w:rPr>
        <w:t xml:space="preserve">- </w:t>
      </w:r>
      <w:r w:rsidR="00F73E4D">
        <w:rPr>
          <w:sz w:val="24"/>
          <w:szCs w:val="24"/>
        </w:rPr>
        <w:t>Finalmente</w:t>
      </w:r>
      <w:r w:rsidR="00874862">
        <w:rPr>
          <w:sz w:val="24"/>
          <w:szCs w:val="24"/>
        </w:rPr>
        <w:t xml:space="preserve">, </w:t>
      </w:r>
      <w:r w:rsidR="00862987">
        <w:rPr>
          <w:sz w:val="24"/>
          <w:szCs w:val="24"/>
        </w:rPr>
        <w:t>resaltó que l</w:t>
      </w:r>
      <w:r w:rsidR="00FB047C">
        <w:rPr>
          <w:sz w:val="24"/>
          <w:szCs w:val="24"/>
        </w:rPr>
        <w:t xml:space="preserve">o manifestado por el denunciado fue dirigido a la </w:t>
      </w:r>
      <w:r w:rsidR="00241BA4">
        <w:rPr>
          <w:sz w:val="24"/>
          <w:szCs w:val="24"/>
        </w:rPr>
        <w:t>senadora</w:t>
      </w:r>
      <w:r w:rsidR="00FB047C">
        <w:rPr>
          <w:sz w:val="24"/>
          <w:szCs w:val="24"/>
        </w:rPr>
        <w:t xml:space="preserve"> por ser mujer</w:t>
      </w:r>
      <w:r w:rsidR="005A16C3">
        <w:rPr>
          <w:sz w:val="24"/>
          <w:szCs w:val="24"/>
        </w:rPr>
        <w:t xml:space="preserve">, ya que el término </w:t>
      </w:r>
      <w:r w:rsidR="00360FFB">
        <w:rPr>
          <w:sz w:val="24"/>
          <w:szCs w:val="24"/>
        </w:rPr>
        <w:t>relacionado con la frigidez</w:t>
      </w:r>
      <w:r w:rsidR="005A16C3">
        <w:rPr>
          <w:sz w:val="24"/>
          <w:szCs w:val="24"/>
        </w:rPr>
        <w:t xml:space="preserve"> no es usual escucharlo </w:t>
      </w:r>
      <w:r w:rsidR="00200C6E">
        <w:rPr>
          <w:sz w:val="24"/>
          <w:szCs w:val="24"/>
        </w:rPr>
        <w:t>aplicado a un hombre</w:t>
      </w:r>
      <w:r w:rsidR="00360FFB">
        <w:rPr>
          <w:sz w:val="24"/>
          <w:szCs w:val="24"/>
        </w:rPr>
        <w:t>.</w:t>
      </w:r>
    </w:p>
    <w:p w14:paraId="4390EC7F" w14:textId="77777777" w:rsidR="000C5176" w:rsidRPr="003F2C0D" w:rsidRDefault="000C5176" w:rsidP="00E22C5D">
      <w:pPr>
        <w:spacing w:after="0" w:line="360" w:lineRule="auto"/>
        <w:jc w:val="both"/>
        <w:rPr>
          <w:lang w:val="es-MX"/>
        </w:rPr>
      </w:pPr>
    </w:p>
    <w:p w14:paraId="298A6F7C" w14:textId="75D6E401" w:rsidR="00E835CF" w:rsidRPr="003F2C0D" w:rsidRDefault="000C5176" w:rsidP="00E835CF">
      <w:pPr>
        <w:pStyle w:val="Prrafodelista"/>
        <w:tabs>
          <w:tab w:val="left" w:pos="5461"/>
        </w:tabs>
        <w:spacing w:after="0" w:line="360" w:lineRule="auto"/>
        <w:ind w:left="0"/>
        <w:jc w:val="both"/>
      </w:pPr>
      <w:r w:rsidRPr="003F2C0D">
        <w:rPr>
          <w:lang w:val="es-MX"/>
        </w:rPr>
        <w:t>Frente a ello</w:t>
      </w:r>
      <w:r w:rsidR="00801F82" w:rsidRPr="003F2C0D">
        <w:rPr>
          <w:lang w:val="es-MX"/>
        </w:rPr>
        <w:t xml:space="preserve">, </w:t>
      </w:r>
      <w:r w:rsidR="00D2749F" w:rsidRPr="00F73E4D">
        <w:rPr>
          <w:bCs/>
          <w:u w:val="single"/>
          <w:lang w:val="es-MX"/>
        </w:rPr>
        <w:t>ante esta instancia federal</w:t>
      </w:r>
      <w:r w:rsidR="00D2749F" w:rsidRPr="003F2C0D">
        <w:rPr>
          <w:b/>
          <w:bCs/>
          <w:lang w:val="es-MX"/>
        </w:rPr>
        <w:t xml:space="preserve">, </w:t>
      </w:r>
      <w:r w:rsidR="008C5CB3">
        <w:rPr>
          <w:b/>
          <w:bCs/>
          <w:lang w:val="es-MX"/>
        </w:rPr>
        <w:t>e</w:t>
      </w:r>
      <w:r w:rsidR="00D2749F" w:rsidRPr="003F2C0D">
        <w:rPr>
          <w:b/>
          <w:bCs/>
          <w:lang w:val="es-MX"/>
        </w:rPr>
        <w:t>l</w:t>
      </w:r>
      <w:r w:rsidR="00E835CF" w:rsidRPr="003F2C0D">
        <w:rPr>
          <w:b/>
          <w:bCs/>
        </w:rPr>
        <w:t xml:space="preserve"> impugnante </w:t>
      </w:r>
      <w:r w:rsidR="00D849EF" w:rsidRPr="003F2C0D">
        <w:rPr>
          <w:b/>
          <w:bCs/>
        </w:rPr>
        <w:t>dirige</w:t>
      </w:r>
      <w:r w:rsidR="00D2749F" w:rsidRPr="003F2C0D">
        <w:rPr>
          <w:b/>
          <w:bCs/>
        </w:rPr>
        <w:t xml:space="preserve"> sus planteamientos </w:t>
      </w:r>
      <w:r w:rsidR="00BA2185" w:rsidRPr="003F2C0D">
        <w:t>bajo el argumento central de que</w:t>
      </w:r>
      <w:r w:rsidR="00BA2185" w:rsidRPr="003F2C0D">
        <w:rPr>
          <w:b/>
          <w:bCs/>
        </w:rPr>
        <w:t xml:space="preserve"> </w:t>
      </w:r>
      <w:r w:rsidR="00BA2185" w:rsidRPr="003F2C0D">
        <w:t xml:space="preserve">el Tribunal de </w:t>
      </w:r>
      <w:r w:rsidR="008C5CB3">
        <w:t>Guanajuato debió tomar en consideración que las</w:t>
      </w:r>
      <w:r w:rsidR="00197483">
        <w:t xml:space="preserve"> expresiones que realizó respecto de la </w:t>
      </w:r>
      <w:r w:rsidR="00241BA4">
        <w:t>senadora</w:t>
      </w:r>
      <w:r w:rsidR="008C5CB3">
        <w:t xml:space="preserve"> Lilly Téllez</w:t>
      </w:r>
      <w:r w:rsidR="00197483">
        <w:t>,</w:t>
      </w:r>
      <w:r w:rsidR="008C5CB3">
        <w:t xml:space="preserve"> las </w:t>
      </w:r>
      <w:r w:rsidR="00197483">
        <w:t>hizo</w:t>
      </w:r>
      <w:r w:rsidR="008C5CB3">
        <w:t xml:space="preserve"> como opinión en ejercicio de su libertad de expresión, por lo que </w:t>
      </w:r>
      <w:r w:rsidR="008C5CB3" w:rsidRPr="00B0763D">
        <w:t>debió aplicar</w:t>
      </w:r>
      <w:r w:rsidR="008C5CB3">
        <w:t>se</w:t>
      </w:r>
      <w:r w:rsidR="008C5CB3" w:rsidRPr="00B0763D">
        <w:t xml:space="preserve"> un criterio más</w:t>
      </w:r>
      <w:r w:rsidR="008C5CB3">
        <w:rPr>
          <w:b/>
        </w:rPr>
        <w:t xml:space="preserve"> </w:t>
      </w:r>
      <w:r w:rsidR="008C5CB3" w:rsidRPr="00AF1984">
        <w:t>ampli</w:t>
      </w:r>
      <w:r w:rsidR="001130F3" w:rsidRPr="00AF1984">
        <w:t>o</w:t>
      </w:r>
      <w:r w:rsidR="008C5CB3" w:rsidRPr="00AF1984">
        <w:t>,</w:t>
      </w:r>
      <w:r w:rsidR="008C5CB3">
        <w:t xml:space="preserve"> derivado de que la </w:t>
      </w:r>
      <w:r w:rsidR="00241BA4">
        <w:t>senadora</w:t>
      </w:r>
      <w:r w:rsidR="008C5CB3">
        <w:t xml:space="preserve"> es una figura pública</w:t>
      </w:r>
      <w:r w:rsidR="00197483">
        <w:t>.</w:t>
      </w:r>
    </w:p>
    <w:p w14:paraId="1B36BEBB" w14:textId="77777777" w:rsidR="00BA2185" w:rsidRPr="003F2C0D" w:rsidRDefault="00BA2185" w:rsidP="00E835CF">
      <w:pPr>
        <w:pStyle w:val="Prrafodelista"/>
        <w:tabs>
          <w:tab w:val="left" w:pos="5461"/>
        </w:tabs>
        <w:spacing w:after="0" w:line="360" w:lineRule="auto"/>
        <w:ind w:left="0"/>
        <w:jc w:val="both"/>
      </w:pPr>
    </w:p>
    <w:p w14:paraId="0E7A1B1A" w14:textId="31CCCD70" w:rsidR="0093254F" w:rsidRPr="003F2C0D" w:rsidRDefault="0093254F" w:rsidP="00BA2185">
      <w:pPr>
        <w:pStyle w:val="Ttulo3"/>
        <w:spacing w:before="0" w:line="240" w:lineRule="auto"/>
        <w:rPr>
          <w:rFonts w:ascii="Arial" w:eastAsia="Times New Roman" w:hAnsi="Arial" w:cs="Arial"/>
          <w:b/>
          <w:color w:val="auto"/>
          <w:lang w:eastAsia="es-MX"/>
        </w:rPr>
      </w:pPr>
      <w:bookmarkStart w:id="20" w:name="_Toc73032671"/>
      <w:bookmarkStart w:id="21" w:name="_Toc73062695"/>
      <w:r w:rsidRPr="003F2C0D">
        <w:rPr>
          <w:rFonts w:ascii="Arial" w:hAnsi="Arial" w:cs="Arial"/>
          <w:b/>
          <w:bCs/>
          <w:color w:val="auto"/>
        </w:rPr>
        <w:t>3</w:t>
      </w:r>
      <w:r w:rsidRPr="003F2C0D">
        <w:rPr>
          <w:rFonts w:ascii="Arial" w:eastAsia="Times New Roman" w:hAnsi="Arial" w:cs="Arial"/>
          <w:b/>
          <w:color w:val="auto"/>
          <w:lang w:eastAsia="es-MX"/>
        </w:rPr>
        <w:t>. Valoración</w:t>
      </w:r>
      <w:bookmarkEnd w:id="20"/>
      <w:bookmarkEnd w:id="21"/>
    </w:p>
    <w:p w14:paraId="7D6E7687" w14:textId="77777777" w:rsidR="0093254F" w:rsidRPr="003F2C0D" w:rsidRDefault="0093254F" w:rsidP="0093254F">
      <w:pPr>
        <w:spacing w:after="0" w:line="240" w:lineRule="auto"/>
        <w:jc w:val="both"/>
        <w:rPr>
          <w:bCs/>
        </w:rPr>
      </w:pPr>
    </w:p>
    <w:p w14:paraId="5AB8C73D" w14:textId="5E87CA93" w:rsidR="009D492A" w:rsidRPr="003F2C0D" w:rsidRDefault="00CB083D" w:rsidP="009D492A">
      <w:pPr>
        <w:spacing w:after="0" w:line="360" w:lineRule="auto"/>
        <w:jc w:val="both"/>
      </w:pPr>
      <w:bookmarkStart w:id="22" w:name="_Hlk73056248"/>
      <w:r w:rsidRPr="003F2C0D">
        <w:rPr>
          <w:b/>
          <w:bCs/>
        </w:rPr>
        <w:t xml:space="preserve">3.1. </w:t>
      </w:r>
      <w:r w:rsidR="009D492A" w:rsidRPr="003F2C0D">
        <w:rPr>
          <w:bCs/>
        </w:rPr>
        <w:t xml:space="preserve">En atención a ello, </w:t>
      </w:r>
      <w:r w:rsidR="009D492A" w:rsidRPr="003F2C0D">
        <w:t xml:space="preserve">como se anticipó, esta </w:t>
      </w:r>
      <w:r w:rsidR="009D492A" w:rsidRPr="003F2C0D">
        <w:rPr>
          <w:b/>
          <w:bCs/>
        </w:rPr>
        <w:t>Sala Monterrey</w:t>
      </w:r>
      <w:r w:rsidR="009D492A" w:rsidRPr="003F2C0D">
        <w:t xml:space="preserve"> considera </w:t>
      </w:r>
      <w:r w:rsidR="009D492A" w:rsidRPr="003F2C0D">
        <w:rPr>
          <w:b/>
          <w:bCs/>
        </w:rPr>
        <w:t>ineficaces</w:t>
      </w:r>
      <w:r w:rsidR="009D492A" w:rsidRPr="003F2C0D">
        <w:t xml:space="preserve"> los planteamientos de</w:t>
      </w:r>
      <w:r w:rsidR="00AB3D88" w:rsidRPr="003F2C0D">
        <w:t>l</w:t>
      </w:r>
      <w:r w:rsidR="009D492A" w:rsidRPr="003F2C0D">
        <w:t xml:space="preserve"> inconforme, porque no cuestionan debidamente </w:t>
      </w:r>
      <w:r w:rsidR="00C609F6" w:rsidRPr="003F2C0D">
        <w:t>los argumentos</w:t>
      </w:r>
      <w:r w:rsidR="009D492A" w:rsidRPr="003F2C0D">
        <w:t xml:space="preserve"> </w:t>
      </w:r>
      <w:r w:rsidR="0046408A">
        <w:t xml:space="preserve">centrales </w:t>
      </w:r>
      <w:r w:rsidR="009D492A" w:rsidRPr="003F2C0D">
        <w:t>que sustentan el sentido de la determinación impugnada.</w:t>
      </w:r>
    </w:p>
    <w:p w14:paraId="7DC05D00" w14:textId="77777777" w:rsidR="009D492A" w:rsidRPr="003F2C0D" w:rsidRDefault="009D492A" w:rsidP="009D492A">
      <w:pPr>
        <w:spacing w:after="0" w:line="240" w:lineRule="auto"/>
        <w:jc w:val="both"/>
      </w:pPr>
    </w:p>
    <w:p w14:paraId="57BCD424" w14:textId="274572AD" w:rsidR="009D492A" w:rsidRPr="009D6F9B" w:rsidRDefault="009D492A" w:rsidP="009D492A">
      <w:pPr>
        <w:spacing w:after="0" w:line="360" w:lineRule="auto"/>
        <w:jc w:val="both"/>
        <w:rPr>
          <w:b/>
          <w:bCs/>
        </w:rPr>
      </w:pPr>
      <w:r w:rsidRPr="003F2C0D">
        <w:t xml:space="preserve">Lo anterior, fundamentalmente, porque, las consideraciones a partir de las cuales la responsable </w:t>
      </w:r>
      <w:r w:rsidRPr="003F2C0D">
        <w:rPr>
          <w:b/>
          <w:bCs/>
        </w:rPr>
        <w:t>sustenta la conclusión de</w:t>
      </w:r>
      <w:r w:rsidR="009D6F9B">
        <w:rPr>
          <w:b/>
          <w:bCs/>
        </w:rPr>
        <w:t xml:space="preserve"> que</w:t>
      </w:r>
      <w:r w:rsidR="00D65B29">
        <w:rPr>
          <w:b/>
          <w:bCs/>
        </w:rPr>
        <w:t xml:space="preserve"> </w:t>
      </w:r>
      <w:r w:rsidR="009D6F9B">
        <w:rPr>
          <w:b/>
          <w:bCs/>
        </w:rPr>
        <w:t xml:space="preserve">se </w:t>
      </w:r>
      <w:r w:rsidR="00D65B29">
        <w:rPr>
          <w:b/>
          <w:bCs/>
        </w:rPr>
        <w:t>acreditó la vpg</w:t>
      </w:r>
      <w:r w:rsidRPr="003F2C0D">
        <w:rPr>
          <w:b/>
          <w:bCs/>
        </w:rPr>
        <w:t xml:space="preserve"> </w:t>
      </w:r>
      <w:r w:rsidR="008B4C74" w:rsidRPr="003F2C0D">
        <w:t xml:space="preserve">contra la </w:t>
      </w:r>
      <w:r w:rsidR="00241BA4">
        <w:t>senadora</w:t>
      </w:r>
      <w:r w:rsidR="008B4C74" w:rsidRPr="003F2C0D">
        <w:t xml:space="preserve">, </w:t>
      </w:r>
      <w:r w:rsidRPr="003F2C0D">
        <w:rPr>
          <w:b/>
          <w:bCs/>
        </w:rPr>
        <w:t xml:space="preserve">no son debidamente cuestionadas por </w:t>
      </w:r>
      <w:r w:rsidR="009D6F9B">
        <w:rPr>
          <w:b/>
          <w:bCs/>
        </w:rPr>
        <w:t>e</w:t>
      </w:r>
      <w:r w:rsidR="008B4C74" w:rsidRPr="003F2C0D">
        <w:rPr>
          <w:b/>
          <w:bCs/>
        </w:rPr>
        <w:t>l</w:t>
      </w:r>
      <w:r w:rsidRPr="003F2C0D">
        <w:rPr>
          <w:b/>
          <w:bCs/>
        </w:rPr>
        <w:t xml:space="preserve"> impugnante</w:t>
      </w:r>
      <w:r w:rsidRPr="003F2C0D">
        <w:t xml:space="preserve"> y, por ende, deben quedar firmes, lo cual, genera la ineficacia de los planteamientos. </w:t>
      </w:r>
    </w:p>
    <w:bookmarkEnd w:id="22"/>
    <w:p w14:paraId="02234EC3" w14:textId="77777777" w:rsidR="009D492A" w:rsidRPr="003F2C0D" w:rsidRDefault="009D492A" w:rsidP="009D492A">
      <w:pPr>
        <w:spacing w:after="0" w:line="240" w:lineRule="auto"/>
        <w:jc w:val="both"/>
      </w:pPr>
    </w:p>
    <w:p w14:paraId="0DB8FAB3" w14:textId="693F0B66" w:rsidR="00FD2BE5" w:rsidRDefault="009D492A" w:rsidP="00FD2BE5">
      <w:pPr>
        <w:spacing w:after="0" w:line="360" w:lineRule="auto"/>
        <w:jc w:val="both"/>
        <w:rPr>
          <w:bCs/>
        </w:rPr>
      </w:pPr>
      <w:r w:rsidRPr="003F2C0D">
        <w:t xml:space="preserve">En </w:t>
      </w:r>
      <w:r w:rsidR="00620026">
        <w:t>efecto</w:t>
      </w:r>
      <w:r w:rsidRPr="003F2C0D">
        <w:t xml:space="preserve">, </w:t>
      </w:r>
      <w:r w:rsidR="009D6F9B">
        <w:t>e</w:t>
      </w:r>
      <w:r w:rsidRPr="003F2C0D">
        <w:t xml:space="preserve">l impugnante no cuestiona lo señalado por la responsable, en cuanto a que </w:t>
      </w:r>
      <w:r w:rsidR="00FD2BE5">
        <w:rPr>
          <w:lang w:val="es-MX"/>
        </w:rPr>
        <w:t xml:space="preserve">la actualización de la vpg derivó de que </w:t>
      </w:r>
      <w:r w:rsidR="0091185F">
        <w:rPr>
          <w:lang w:val="es-MX"/>
        </w:rPr>
        <w:t>la expresión</w:t>
      </w:r>
      <w:r w:rsidR="00063317">
        <w:rPr>
          <w:lang w:val="es-MX"/>
        </w:rPr>
        <w:t>:</w:t>
      </w:r>
      <w:r w:rsidR="0091185F">
        <w:rPr>
          <w:lang w:val="es-MX"/>
        </w:rPr>
        <w:t xml:space="preserve"> </w:t>
      </w:r>
      <w:r w:rsidR="0091185F" w:rsidRPr="00BE5B31">
        <w:rPr>
          <w:b/>
        </w:rPr>
        <w:t>“Y aparte de imbécil frígida!!”</w:t>
      </w:r>
      <w:r w:rsidR="0091185F">
        <w:rPr>
          <w:b/>
        </w:rPr>
        <w:t xml:space="preserve"> </w:t>
      </w:r>
      <w:r w:rsidR="00FD2BE5">
        <w:rPr>
          <w:bCs/>
        </w:rPr>
        <w:t>reproduce</w:t>
      </w:r>
      <w:r w:rsidR="0091185F">
        <w:rPr>
          <w:bCs/>
        </w:rPr>
        <w:t xml:space="preserve"> </w:t>
      </w:r>
      <w:r w:rsidR="00FD2BE5">
        <w:rPr>
          <w:bCs/>
        </w:rPr>
        <w:t xml:space="preserve">estereotipos de género, por haber usado expresiones </w:t>
      </w:r>
      <w:r w:rsidR="00FD2BE5" w:rsidRPr="00AF1984">
        <w:rPr>
          <w:bCs/>
        </w:rPr>
        <w:t xml:space="preserve">vinculadas </w:t>
      </w:r>
      <w:r w:rsidR="00860E78" w:rsidRPr="00AF1984">
        <w:rPr>
          <w:bCs/>
        </w:rPr>
        <w:t xml:space="preserve">a </w:t>
      </w:r>
      <w:r w:rsidR="00FD2BE5" w:rsidRPr="00AF1984">
        <w:rPr>
          <w:bCs/>
        </w:rPr>
        <w:t>la s</w:t>
      </w:r>
      <w:r w:rsidR="00FD2BE5">
        <w:rPr>
          <w:bCs/>
        </w:rPr>
        <w:t>exualidad de las mujeres</w:t>
      </w:r>
      <w:r w:rsidR="00860E78">
        <w:rPr>
          <w:bCs/>
        </w:rPr>
        <w:t>,</w:t>
      </w:r>
      <w:r w:rsidR="00FD2BE5">
        <w:rPr>
          <w:bCs/>
        </w:rPr>
        <w:t xml:space="preserve"> colocándolas al servicio de los hombres, poniendo entredicho su moral sexual a través de comentarios sarcásticos y denigrantes contra la </w:t>
      </w:r>
      <w:r w:rsidR="00241BA4">
        <w:rPr>
          <w:bCs/>
        </w:rPr>
        <w:t>senadora</w:t>
      </w:r>
      <w:r w:rsidR="00FD2BE5">
        <w:rPr>
          <w:bCs/>
        </w:rPr>
        <w:t>.</w:t>
      </w:r>
    </w:p>
    <w:p w14:paraId="7A045AD2" w14:textId="77777777" w:rsidR="00EF7894" w:rsidRPr="0091185F" w:rsidRDefault="00EF7894" w:rsidP="00FD2BE5">
      <w:pPr>
        <w:spacing w:after="0" w:line="360" w:lineRule="auto"/>
        <w:jc w:val="both"/>
        <w:rPr>
          <w:lang w:val="es-MX"/>
        </w:rPr>
      </w:pPr>
    </w:p>
    <w:p w14:paraId="32174B15" w14:textId="4A6ABBC2" w:rsidR="00FD2BE5" w:rsidRDefault="00620026" w:rsidP="00BA38A1">
      <w:pPr>
        <w:spacing w:after="0" w:line="360" w:lineRule="auto"/>
        <w:jc w:val="both"/>
        <w:rPr>
          <w:lang w:val="es-MX"/>
        </w:rPr>
      </w:pPr>
      <w:r>
        <w:rPr>
          <w:lang w:val="es-MX"/>
        </w:rPr>
        <w:t>Máxime</w:t>
      </w:r>
      <w:r w:rsidR="001F7170">
        <w:rPr>
          <w:lang w:val="es-MX"/>
        </w:rPr>
        <w:t xml:space="preserve"> que</w:t>
      </w:r>
      <w:r w:rsidR="00BA38A1">
        <w:rPr>
          <w:lang w:val="es-MX"/>
        </w:rPr>
        <w:t xml:space="preserve"> la responsable</w:t>
      </w:r>
      <w:r w:rsidR="00FD2BE5">
        <w:rPr>
          <w:lang w:val="es-MX"/>
        </w:rPr>
        <w:t xml:space="preserve"> destacó que, el hecho que el denunciado haya señalado que las manifestaciones que realizó a título personal y en su cuenta particular de Facebook las hizo en uso de su libertad de expresión, no podían ser </w:t>
      </w:r>
      <w:r w:rsidR="00FD2BE5">
        <w:rPr>
          <w:lang w:val="es-MX"/>
        </w:rPr>
        <w:lastRenderedPageBreak/>
        <w:t xml:space="preserve">permitidas porque los comentarios traspasaron los límites y estándares de ese derecho fundamental.  </w:t>
      </w:r>
    </w:p>
    <w:p w14:paraId="0F3B29F1" w14:textId="77777777" w:rsidR="00CC2C30" w:rsidRDefault="00CC2C30" w:rsidP="00BA38A1">
      <w:pPr>
        <w:spacing w:after="0" w:line="360" w:lineRule="auto"/>
        <w:jc w:val="both"/>
        <w:rPr>
          <w:lang w:val="es-MX"/>
        </w:rPr>
      </w:pPr>
    </w:p>
    <w:p w14:paraId="78106617" w14:textId="32A52890" w:rsidR="00F34CD2" w:rsidRPr="009918D2" w:rsidRDefault="00F34CD2" w:rsidP="00F34CD2">
      <w:pPr>
        <w:spacing w:after="0" w:line="360" w:lineRule="auto"/>
        <w:jc w:val="both"/>
        <w:rPr>
          <w:rFonts w:eastAsia="Times New Roman"/>
          <w:lang w:val="es-ES" w:eastAsia="es-ES"/>
        </w:rPr>
      </w:pPr>
      <w:r w:rsidRPr="009918D2">
        <w:t xml:space="preserve">Lo cual comparte por esta Sala Monterrey, pues </w:t>
      </w:r>
      <w:r w:rsidRPr="009918D2">
        <w:rPr>
          <w:rFonts w:eastAsia="Times New Roman"/>
          <w:lang w:val="es-ES" w:eastAsia="es-ES"/>
        </w:rPr>
        <w:t>la propia Suprema Corte de Justicia de la Nación ha identificado a la libertad de expresión como una garantía no absoluta, sino en determinados casos, puede ser objetivamente limitada para asegurar el respeto a otros derechos como e</w:t>
      </w:r>
      <w:r w:rsidRPr="009918D2">
        <w:rPr>
          <w:rFonts w:eastAsia="Calibri"/>
          <w:lang w:eastAsia="es-MX"/>
        </w:rPr>
        <w:t>l derecho humano de la mujer a una vida libre de violencia y discriminación es interdependiente del derecho a la igualdad, porque este último funge como presupuesto básico para el goce y ejercicio de otros derechos y porque los derechos humanos de género giran en torno a los principios de igualdad y no discriminación por condiciones de sexo o género</w:t>
      </w:r>
      <w:r w:rsidRPr="009918D2">
        <w:rPr>
          <w:rFonts w:eastAsia="Calibri"/>
          <w:vertAlign w:val="superscript"/>
          <w:lang w:eastAsia="es-MX"/>
        </w:rPr>
        <w:footnoteReference w:id="10"/>
      </w:r>
      <w:r w:rsidRPr="009918D2">
        <w:rPr>
          <w:rFonts w:eastAsia="Calibri"/>
          <w:lang w:eastAsia="es-MX"/>
        </w:rPr>
        <w:t>.</w:t>
      </w:r>
    </w:p>
    <w:p w14:paraId="28296702" w14:textId="77777777" w:rsidR="00F34CD2" w:rsidRPr="009918D2" w:rsidRDefault="00F34CD2" w:rsidP="00F34CD2">
      <w:pPr>
        <w:spacing w:after="0" w:line="360" w:lineRule="auto"/>
        <w:jc w:val="both"/>
      </w:pPr>
    </w:p>
    <w:p w14:paraId="57618BDF" w14:textId="43EA02E8" w:rsidR="00F34CD2" w:rsidRPr="009918D2" w:rsidRDefault="00F34CD2" w:rsidP="00F34CD2">
      <w:pPr>
        <w:pBdr>
          <w:top w:val="nil"/>
          <w:left w:val="nil"/>
          <w:bottom w:val="nil"/>
          <w:right w:val="nil"/>
          <w:between w:val="nil"/>
          <w:bar w:val="nil"/>
        </w:pBdr>
        <w:shd w:val="clear" w:color="auto" w:fill="FFFFFF"/>
        <w:spacing w:after="0" w:line="360" w:lineRule="auto"/>
        <w:contextualSpacing/>
        <w:jc w:val="both"/>
        <w:rPr>
          <w:rFonts w:eastAsia="Calibri"/>
        </w:rPr>
      </w:pPr>
      <w:r w:rsidRPr="009918D2">
        <w:rPr>
          <w:rFonts w:eastAsia="Calibri"/>
        </w:rPr>
        <w:t>Incluso</w:t>
      </w:r>
      <w:r w:rsidR="00AF1984">
        <w:rPr>
          <w:rFonts w:eastAsia="Calibri"/>
        </w:rPr>
        <w:t>,</w:t>
      </w:r>
      <w:r w:rsidRPr="009918D2">
        <w:rPr>
          <w:rFonts w:eastAsia="Calibri"/>
        </w:rPr>
        <w:t xml:space="preserve"> esta Sala Monterrey</w:t>
      </w:r>
      <w:r w:rsidR="00860E78">
        <w:rPr>
          <w:rFonts w:eastAsia="Calibri"/>
        </w:rPr>
        <w:t xml:space="preserve"> </w:t>
      </w:r>
      <w:r w:rsidRPr="009918D2">
        <w:rPr>
          <w:rFonts w:eastAsia="Calibri"/>
        </w:rPr>
        <w:t>ha sustentado el criterio de que, si bien la libertad de expresión en materia política tiene un estándar reforzado de protección en tanto detona el debate político y el intercambio de ideas, no es posible considerarlo como un derecho superior sobre la posibilidad de que en su ejercicio se vulnere, a través de mensajes estereotipados, el derecho del género femenino a una vida libre de violencia</w:t>
      </w:r>
      <w:r w:rsidRPr="009918D2">
        <w:rPr>
          <w:rStyle w:val="Refdenotaalpie"/>
          <w:rFonts w:eastAsia="Calibri"/>
        </w:rPr>
        <w:footnoteReference w:id="11"/>
      </w:r>
      <w:r w:rsidRPr="009918D2">
        <w:rPr>
          <w:rFonts w:eastAsia="Calibri"/>
        </w:rPr>
        <w:t>.</w:t>
      </w:r>
    </w:p>
    <w:p w14:paraId="5B7F3E0B" w14:textId="77777777" w:rsidR="009918D2" w:rsidRPr="003F2C0D" w:rsidRDefault="009918D2" w:rsidP="009918D2">
      <w:pPr>
        <w:spacing w:after="0" w:line="360" w:lineRule="auto"/>
        <w:jc w:val="both"/>
        <w:rPr>
          <w:lang w:val="es-MX"/>
        </w:rPr>
      </w:pPr>
    </w:p>
    <w:p w14:paraId="3B7C10C6" w14:textId="77777777" w:rsidR="009918D2" w:rsidRDefault="009918D2" w:rsidP="009918D2">
      <w:pPr>
        <w:pStyle w:val="Prrafodelista"/>
        <w:tabs>
          <w:tab w:val="left" w:pos="5461"/>
        </w:tabs>
        <w:spacing w:after="0" w:line="360" w:lineRule="auto"/>
        <w:ind w:left="0"/>
        <w:jc w:val="both"/>
        <w:rPr>
          <w:bCs/>
        </w:rPr>
      </w:pPr>
      <w:r w:rsidRPr="003F2C0D">
        <w:t xml:space="preserve">En ese sentido, los planteamientos del inconforme </w:t>
      </w:r>
      <w:r w:rsidRPr="003F2C0D">
        <w:rPr>
          <w:b/>
          <w:bCs/>
        </w:rPr>
        <w:t>no son suficientes</w:t>
      </w:r>
      <w:r w:rsidRPr="003F2C0D">
        <w:t xml:space="preserve"> para cuestionar el sustento o fundamento de la decisión del Tribunal Local, </w:t>
      </w:r>
      <w:r>
        <w:t xml:space="preserve">porque el actor se limita a referir, de manera reiterativa, que no se le debió sancionar porque las expresiones las hizo a título personal y en ejercicio de su libertad de expresión, por lo que, en su concepto, la responsable tenía que aplicarle un criterio más flexible, pues la </w:t>
      </w:r>
      <w:r w:rsidR="00241BA4">
        <w:t>senadora</w:t>
      </w:r>
      <w:r>
        <w:t xml:space="preserve"> es una figura pública</w:t>
      </w:r>
      <w:r w:rsidRPr="003F2C0D">
        <w:t xml:space="preserve">, </w:t>
      </w:r>
      <w:r w:rsidRPr="003F2C0D">
        <w:rPr>
          <w:bCs/>
        </w:rPr>
        <w:t xml:space="preserve">sin controvertir, cómo se estableció previamente, la decisión central en cuanto a </w:t>
      </w:r>
      <w:r w:rsidRPr="003F2C0D">
        <w:t xml:space="preserve">que </w:t>
      </w:r>
      <w:r w:rsidRPr="003F2C0D">
        <w:rPr>
          <w:bCs/>
        </w:rPr>
        <w:t xml:space="preserve">se </w:t>
      </w:r>
      <w:r>
        <w:rPr>
          <w:bCs/>
        </w:rPr>
        <w:t>acreditó la vpg</w:t>
      </w:r>
      <w:r w:rsidRPr="003F2C0D">
        <w:rPr>
          <w:bCs/>
        </w:rPr>
        <w:t xml:space="preserve">. </w:t>
      </w:r>
    </w:p>
    <w:p w14:paraId="478A2FD1" w14:textId="77777777" w:rsidR="009D492A" w:rsidRDefault="009D492A" w:rsidP="009D492A">
      <w:pPr>
        <w:spacing w:after="0" w:line="360" w:lineRule="auto"/>
        <w:jc w:val="both"/>
        <w:rPr>
          <w:bCs/>
        </w:rPr>
      </w:pPr>
    </w:p>
    <w:p w14:paraId="3EB69420" w14:textId="6A047594" w:rsidR="00323C0C" w:rsidRDefault="00323C0C" w:rsidP="009D492A">
      <w:pPr>
        <w:spacing w:after="0" w:line="360" w:lineRule="auto"/>
        <w:jc w:val="both"/>
      </w:pPr>
      <w:r w:rsidRPr="00323C0C">
        <w:rPr>
          <w:b/>
          <w:bCs/>
        </w:rPr>
        <w:t>3.2.</w:t>
      </w:r>
      <w:r w:rsidR="00BB6E22">
        <w:rPr>
          <w:b/>
          <w:bCs/>
        </w:rPr>
        <w:t xml:space="preserve"> </w:t>
      </w:r>
      <w:r w:rsidR="003D3A1A">
        <w:rPr>
          <w:bCs/>
        </w:rPr>
        <w:t>Por otro lado</w:t>
      </w:r>
      <w:r w:rsidR="00BB6E22">
        <w:rPr>
          <w:bCs/>
        </w:rPr>
        <w:t xml:space="preserve">, es </w:t>
      </w:r>
      <w:r w:rsidR="00BB6E22">
        <w:rPr>
          <w:b/>
        </w:rPr>
        <w:t>ineficaz</w:t>
      </w:r>
      <w:r w:rsidR="00BB6E22">
        <w:rPr>
          <w:bCs/>
        </w:rPr>
        <w:t xml:space="preserve"> su </w:t>
      </w:r>
      <w:r w:rsidR="00BB6E22">
        <w:t>planteamiento en el que refiere que l</w:t>
      </w:r>
      <w:r>
        <w:t>a</w:t>
      </w:r>
      <w:r w:rsidRPr="00ED2C5B">
        <w:t xml:space="preserve"> decisión</w:t>
      </w:r>
      <w:r w:rsidR="00BB6E22">
        <w:t xml:space="preserve"> del</w:t>
      </w:r>
      <w:r w:rsidR="00A10172">
        <w:t xml:space="preserve"> Tribunal Local</w:t>
      </w:r>
      <w:r>
        <w:rPr>
          <w:b/>
        </w:rPr>
        <w:t xml:space="preserve"> </w:t>
      </w:r>
      <w:r w:rsidRPr="00DF08EA">
        <w:rPr>
          <w:bCs/>
        </w:rPr>
        <w:t>se sustenta</w:t>
      </w:r>
      <w:r>
        <w:rPr>
          <w:b/>
        </w:rPr>
        <w:t xml:space="preserve"> </w:t>
      </w:r>
      <w:r w:rsidRPr="00ED2C5B">
        <w:t>en imágenes y vínculos de internet</w:t>
      </w:r>
      <w:r>
        <w:t xml:space="preserve"> que no deben tener valor probatorio</w:t>
      </w:r>
      <w:r w:rsidR="00A10172">
        <w:t>.</w:t>
      </w:r>
    </w:p>
    <w:p w14:paraId="25C2ECC1" w14:textId="77777777" w:rsidR="00A10172" w:rsidRDefault="00A10172" w:rsidP="009D492A">
      <w:pPr>
        <w:spacing w:after="0" w:line="360" w:lineRule="auto"/>
        <w:jc w:val="both"/>
        <w:rPr>
          <w:b/>
          <w:bCs/>
        </w:rPr>
      </w:pPr>
    </w:p>
    <w:p w14:paraId="47042D62" w14:textId="1485F7B7" w:rsidR="00A10172" w:rsidRPr="00A10172" w:rsidRDefault="00A10172" w:rsidP="009D492A">
      <w:pPr>
        <w:spacing w:after="0" w:line="360" w:lineRule="auto"/>
        <w:jc w:val="both"/>
        <w:rPr>
          <w:bCs/>
        </w:rPr>
      </w:pPr>
      <w:r w:rsidRPr="00A10172">
        <w:rPr>
          <w:bCs/>
        </w:rPr>
        <w:t>Lo anterior, porque</w:t>
      </w:r>
      <w:r>
        <w:rPr>
          <w:bCs/>
        </w:rPr>
        <w:t xml:space="preserve"> con independencia </w:t>
      </w:r>
      <w:r w:rsidR="00651413">
        <w:rPr>
          <w:bCs/>
        </w:rPr>
        <w:t xml:space="preserve">de lo correcto o no del valor probatorio que la responsable </w:t>
      </w:r>
      <w:r w:rsidR="00710063">
        <w:rPr>
          <w:bCs/>
        </w:rPr>
        <w:t>otorgó</w:t>
      </w:r>
      <w:r w:rsidR="00233C92">
        <w:rPr>
          <w:bCs/>
        </w:rPr>
        <w:t xml:space="preserve"> a los elementos</w:t>
      </w:r>
      <w:r w:rsidR="003D3A1A">
        <w:rPr>
          <w:bCs/>
        </w:rPr>
        <w:t xml:space="preserve"> </w:t>
      </w:r>
      <w:r w:rsidR="00710063">
        <w:rPr>
          <w:bCs/>
        </w:rPr>
        <w:t>de prueba aportados</w:t>
      </w:r>
      <w:r w:rsidR="00233C92">
        <w:rPr>
          <w:bCs/>
        </w:rPr>
        <w:t xml:space="preserve">, lo jurídicamente </w:t>
      </w:r>
      <w:r w:rsidR="00233C92">
        <w:rPr>
          <w:bCs/>
        </w:rPr>
        <w:lastRenderedPageBreak/>
        <w:t xml:space="preserve">relevante es que el propio impugnante </w:t>
      </w:r>
      <w:r w:rsidR="00BE2538">
        <w:rPr>
          <w:bCs/>
        </w:rPr>
        <w:t xml:space="preserve">admitió ser titular de la cuenta de Facebook donde se </w:t>
      </w:r>
      <w:r w:rsidR="00E5537E">
        <w:rPr>
          <w:bCs/>
        </w:rPr>
        <w:t>hicieron las</w:t>
      </w:r>
      <w:r w:rsidR="007344E9">
        <w:rPr>
          <w:bCs/>
        </w:rPr>
        <w:t xml:space="preserve"> publicaciones y </w:t>
      </w:r>
      <w:r w:rsidR="0091495E">
        <w:rPr>
          <w:bCs/>
        </w:rPr>
        <w:t xml:space="preserve">reconoció que sí </w:t>
      </w:r>
      <w:r w:rsidR="00BE2538">
        <w:rPr>
          <w:bCs/>
        </w:rPr>
        <w:t>realiz</w:t>
      </w:r>
      <w:r w:rsidR="0091495E">
        <w:rPr>
          <w:bCs/>
        </w:rPr>
        <w:t>ó</w:t>
      </w:r>
      <w:r w:rsidR="00BE2538">
        <w:rPr>
          <w:bCs/>
        </w:rPr>
        <w:t xml:space="preserve"> las expresiones denunciadas </w:t>
      </w:r>
      <w:r w:rsidR="0091495E">
        <w:rPr>
          <w:bCs/>
        </w:rPr>
        <w:t>a título personal.</w:t>
      </w:r>
    </w:p>
    <w:p w14:paraId="043C250D" w14:textId="77777777" w:rsidR="00323C0C" w:rsidRDefault="00323C0C" w:rsidP="009D492A">
      <w:pPr>
        <w:spacing w:after="0" w:line="360" w:lineRule="auto"/>
        <w:jc w:val="both"/>
        <w:rPr>
          <w:b/>
        </w:rPr>
      </w:pPr>
    </w:p>
    <w:p w14:paraId="5D4D51CD" w14:textId="2BAD355B" w:rsidR="00FD0777" w:rsidRDefault="00323C0C" w:rsidP="00153270">
      <w:pPr>
        <w:spacing w:after="0" w:line="360" w:lineRule="auto"/>
        <w:jc w:val="both"/>
      </w:pPr>
      <w:r>
        <w:rPr>
          <w:b/>
        </w:rPr>
        <w:t xml:space="preserve">3.3. </w:t>
      </w:r>
      <w:r w:rsidRPr="00972108">
        <w:t>De ahí que</w:t>
      </w:r>
      <w:r w:rsidR="00972108" w:rsidRPr="00972108">
        <w:t>, también sea</w:t>
      </w:r>
      <w:r w:rsidR="00972108">
        <w:rPr>
          <w:b/>
        </w:rPr>
        <w:t xml:space="preserve"> ineficaz </w:t>
      </w:r>
      <w:r w:rsidR="00972108" w:rsidRPr="00972108">
        <w:t>lo alegado en cuanto a que el Tribunal</w:t>
      </w:r>
      <w:r w:rsidR="00972108">
        <w:rPr>
          <w:b/>
        </w:rPr>
        <w:t xml:space="preserve"> Local </w:t>
      </w:r>
      <w:r w:rsidR="00972108">
        <w:rPr>
          <w:bCs/>
        </w:rPr>
        <w:t>n</w:t>
      </w:r>
      <w:r>
        <w:rPr>
          <w:bCs/>
        </w:rPr>
        <w:t>o consideró</w:t>
      </w:r>
      <w:r w:rsidRPr="00ED2C5B">
        <w:t xml:space="preserve"> que</w:t>
      </w:r>
      <w:r>
        <w:rPr>
          <w:b/>
        </w:rPr>
        <w:t xml:space="preserve"> </w:t>
      </w:r>
      <w:r w:rsidRPr="00ED2C5B">
        <w:t xml:space="preserve">la propia </w:t>
      </w:r>
      <w:r w:rsidR="00C419C9">
        <w:t>s</w:t>
      </w:r>
      <w:r w:rsidR="00241BA4">
        <w:t>enadora</w:t>
      </w:r>
      <w:r w:rsidRPr="00ED2C5B">
        <w:t xml:space="preserve"> </w:t>
      </w:r>
      <w:r>
        <w:t>manifestó</w:t>
      </w:r>
      <w:r w:rsidRPr="00ED2C5B">
        <w:t xml:space="preserve"> que desconocía la autoría de la publicación</w:t>
      </w:r>
      <w:r>
        <w:t xml:space="preserve"> denunciad</w:t>
      </w:r>
      <w:r w:rsidR="00860E78">
        <w:t>a</w:t>
      </w:r>
      <w:r w:rsidR="00033E41">
        <w:rPr>
          <w:bCs/>
        </w:rPr>
        <w:t xml:space="preserve"> </w:t>
      </w:r>
      <w:r w:rsidR="00972108" w:rsidRPr="00972108">
        <w:rPr>
          <w:bCs/>
        </w:rPr>
        <w:t>porque</w:t>
      </w:r>
      <w:r w:rsidR="00BA0975">
        <w:rPr>
          <w:bCs/>
        </w:rPr>
        <w:t xml:space="preserve">, en el caso, no existe controversia en cuanto a la </w:t>
      </w:r>
      <w:r w:rsidR="00B71DF0">
        <w:rPr>
          <w:bCs/>
        </w:rPr>
        <w:t xml:space="preserve">autoría de las expresiones, </w:t>
      </w:r>
      <w:r w:rsidR="003E009C">
        <w:rPr>
          <w:bCs/>
        </w:rPr>
        <w:t>sino por el contrario</w:t>
      </w:r>
      <w:r w:rsidR="00033E41">
        <w:rPr>
          <w:bCs/>
        </w:rPr>
        <w:t xml:space="preserve">, como ya se dijo, </w:t>
      </w:r>
      <w:r w:rsidR="000F5877">
        <w:rPr>
          <w:bCs/>
        </w:rPr>
        <w:t>el denunciado aceptó que realizó l</w:t>
      </w:r>
      <w:r w:rsidR="005B53C5">
        <w:rPr>
          <w:bCs/>
        </w:rPr>
        <w:t>os comentarios</w:t>
      </w:r>
      <w:r w:rsidR="003E009C">
        <w:rPr>
          <w:bCs/>
        </w:rPr>
        <w:t xml:space="preserve"> que actualizaron la vpg</w:t>
      </w:r>
      <w:r w:rsidR="000F5877">
        <w:rPr>
          <w:bCs/>
        </w:rPr>
        <w:t>.</w:t>
      </w:r>
      <w:r w:rsidR="00033E41">
        <w:rPr>
          <w:bCs/>
        </w:rPr>
        <w:t xml:space="preserve"> </w:t>
      </w:r>
      <w:r w:rsidR="00F34CD2">
        <w:t xml:space="preserve"> </w:t>
      </w:r>
    </w:p>
    <w:p w14:paraId="18070A01" w14:textId="61178009" w:rsidR="00DD1A5A" w:rsidRDefault="00DD1A5A" w:rsidP="00153270">
      <w:pPr>
        <w:spacing w:after="0" w:line="360" w:lineRule="auto"/>
        <w:jc w:val="both"/>
        <w:rPr>
          <w:bCs/>
        </w:rPr>
      </w:pPr>
    </w:p>
    <w:p w14:paraId="2E2EADB5" w14:textId="59697105" w:rsidR="00DD1A5A" w:rsidRPr="00AF1984" w:rsidRDefault="00DD1A5A" w:rsidP="00DD1A5A">
      <w:pPr>
        <w:spacing w:after="0" w:line="360" w:lineRule="auto"/>
        <w:jc w:val="both"/>
        <w:rPr>
          <w:lang w:val="es-MX"/>
        </w:rPr>
      </w:pPr>
      <w:r w:rsidRPr="00AF1984">
        <w:rPr>
          <w:b/>
        </w:rPr>
        <w:t>3.4.</w:t>
      </w:r>
      <w:r w:rsidRPr="00AF1984">
        <w:t xml:space="preserve"> Finalmente, </w:t>
      </w:r>
      <w:r w:rsidR="00E14C38" w:rsidRPr="00AF1984">
        <w:t xml:space="preserve">en términos generales, </w:t>
      </w:r>
      <w:r w:rsidRPr="00AF1984">
        <w:t xml:space="preserve">el inconforme señala que </w:t>
      </w:r>
      <w:r w:rsidRPr="00AF1984">
        <w:rPr>
          <w:i/>
        </w:rPr>
        <w:t xml:space="preserve">la resolución que se combate transgrede el artículo 133 de la Constitución Política de los Estados Unidos Mexicanos, en virtud que la misma se basa en Convenios, Tratados y Protocolos que contravienen a lo dispuesto por </w:t>
      </w:r>
      <w:r w:rsidRPr="00AF1984">
        <w:t>dicho</w:t>
      </w:r>
      <w:r w:rsidRPr="00AF1984">
        <w:rPr>
          <w:i/>
        </w:rPr>
        <w:t xml:space="preserve"> numeral.</w:t>
      </w:r>
    </w:p>
    <w:p w14:paraId="4FCACD6C" w14:textId="77777777" w:rsidR="00DD1A5A" w:rsidRPr="00AF1984" w:rsidRDefault="00DD1A5A" w:rsidP="00DD1A5A">
      <w:pPr>
        <w:spacing w:after="0" w:line="360" w:lineRule="auto"/>
        <w:jc w:val="both"/>
      </w:pPr>
    </w:p>
    <w:p w14:paraId="5D97B189" w14:textId="117C7CE6" w:rsidR="00DD1A5A" w:rsidRPr="00DD1A5A" w:rsidRDefault="00E14C38" w:rsidP="00153270">
      <w:pPr>
        <w:spacing w:after="0" w:line="360" w:lineRule="auto"/>
        <w:jc w:val="both"/>
      </w:pPr>
      <w:r w:rsidRPr="00AF1984">
        <w:t xml:space="preserve">Al respecto, es </w:t>
      </w:r>
      <w:r w:rsidRPr="00AF1984">
        <w:rPr>
          <w:b/>
        </w:rPr>
        <w:t xml:space="preserve">ineficaz </w:t>
      </w:r>
      <w:r w:rsidRPr="00AF1984">
        <w:t>el planteamiento, por genérico</w:t>
      </w:r>
      <w:r w:rsidR="00DD1A5A" w:rsidRPr="00AF1984">
        <w:t>, porque el impugnante no especifica de qué forma el precepto constitucional invocado es vulnerado con la determinación del Tribunal Local.</w:t>
      </w:r>
    </w:p>
    <w:p w14:paraId="521E6F90" w14:textId="77777777" w:rsidR="00A5497C" w:rsidRPr="003F2C0D" w:rsidRDefault="00A5497C" w:rsidP="00820159">
      <w:pPr>
        <w:spacing w:after="0" w:line="360" w:lineRule="auto"/>
        <w:jc w:val="both"/>
      </w:pPr>
    </w:p>
    <w:p w14:paraId="03775650" w14:textId="127F9872" w:rsidR="00F85667" w:rsidRPr="003F2C0D" w:rsidRDefault="00A90C50" w:rsidP="00F85667">
      <w:pPr>
        <w:autoSpaceDE w:val="0"/>
        <w:autoSpaceDN w:val="0"/>
        <w:adjustRightInd w:val="0"/>
        <w:spacing w:after="0" w:line="360" w:lineRule="auto"/>
        <w:jc w:val="both"/>
        <w:rPr>
          <w:color w:val="000000"/>
        </w:rPr>
      </w:pPr>
      <w:r w:rsidRPr="003F2C0D">
        <w:rPr>
          <w:bCs/>
          <w:color w:val="000000"/>
        </w:rPr>
        <w:t>En ese sentido</w:t>
      </w:r>
      <w:r w:rsidR="00F85667" w:rsidRPr="003F2C0D">
        <w:rPr>
          <w:color w:val="000000"/>
        </w:rPr>
        <w:t>, lo procedente es</w:t>
      </w:r>
      <w:r w:rsidR="00691966" w:rsidRPr="003F2C0D">
        <w:rPr>
          <w:color w:val="000000"/>
        </w:rPr>
        <w:t xml:space="preserve"> </w:t>
      </w:r>
      <w:r w:rsidR="00691966" w:rsidRPr="003F2C0D">
        <w:rPr>
          <w:b/>
          <w:bCs/>
          <w:color w:val="000000"/>
        </w:rPr>
        <w:t>confirmar</w:t>
      </w:r>
      <w:r w:rsidR="00F85667" w:rsidRPr="003F2C0D">
        <w:rPr>
          <w:b/>
          <w:bCs/>
          <w:color w:val="000000"/>
        </w:rPr>
        <w:t xml:space="preserve"> </w:t>
      </w:r>
      <w:r w:rsidR="00F85667" w:rsidRPr="003F2C0D">
        <w:rPr>
          <w:color w:val="000000"/>
        </w:rPr>
        <w:t xml:space="preserve">la </w:t>
      </w:r>
      <w:r w:rsidR="00BD3C38" w:rsidRPr="003F2C0D">
        <w:rPr>
          <w:color w:val="000000"/>
        </w:rPr>
        <w:t xml:space="preserve">resolución </w:t>
      </w:r>
      <w:r w:rsidR="008657BE" w:rsidRPr="003F2C0D">
        <w:rPr>
          <w:color w:val="000000"/>
        </w:rPr>
        <w:t>impugnada</w:t>
      </w:r>
      <w:r w:rsidR="00F85667" w:rsidRPr="003F2C0D">
        <w:rPr>
          <w:color w:val="000000"/>
        </w:rPr>
        <w:t xml:space="preserve">. </w:t>
      </w:r>
    </w:p>
    <w:p w14:paraId="1436E121" w14:textId="77777777" w:rsidR="00121979" w:rsidRPr="003F2C0D" w:rsidRDefault="00121979" w:rsidP="00370C6B">
      <w:pPr>
        <w:spacing w:after="0" w:line="240" w:lineRule="auto"/>
        <w:jc w:val="both"/>
        <w:rPr>
          <w:b/>
        </w:rPr>
      </w:pPr>
    </w:p>
    <w:p w14:paraId="18676CF5" w14:textId="77777777" w:rsidR="00243172" w:rsidRPr="003F2C0D" w:rsidRDefault="00243172" w:rsidP="00243172">
      <w:pPr>
        <w:shd w:val="clear" w:color="auto" w:fill="FFFFFF" w:themeFill="background1"/>
        <w:spacing w:after="0" w:line="360" w:lineRule="auto"/>
        <w:jc w:val="both"/>
      </w:pPr>
      <w:r w:rsidRPr="003F2C0D">
        <w:t>Por lo expuesto y fundado se:</w:t>
      </w:r>
    </w:p>
    <w:p w14:paraId="52CBAECC" w14:textId="77777777" w:rsidR="00994CED" w:rsidRPr="003F2C0D" w:rsidRDefault="00994CED" w:rsidP="00370C6B">
      <w:pPr>
        <w:shd w:val="clear" w:color="auto" w:fill="FFFFFF" w:themeFill="background1"/>
        <w:spacing w:after="0" w:line="240" w:lineRule="auto"/>
        <w:jc w:val="both"/>
      </w:pPr>
    </w:p>
    <w:p w14:paraId="6AFD9FFF" w14:textId="77777777" w:rsidR="00243172" w:rsidRPr="003F2C0D" w:rsidRDefault="00243172" w:rsidP="00BD1967">
      <w:pPr>
        <w:pStyle w:val="Ttulo1"/>
        <w:shd w:val="clear" w:color="auto" w:fill="FFFFFF" w:themeFill="background1"/>
        <w:spacing w:before="0" w:beforeAutospacing="0" w:after="0" w:afterAutospacing="0" w:line="240" w:lineRule="auto"/>
        <w:jc w:val="center"/>
        <w:rPr>
          <w:szCs w:val="24"/>
        </w:rPr>
      </w:pPr>
      <w:bookmarkStart w:id="23" w:name="_Toc483300366"/>
      <w:bookmarkStart w:id="24" w:name="_Toc73062696"/>
      <w:r w:rsidRPr="003F2C0D">
        <w:rPr>
          <w:caps w:val="0"/>
          <w:szCs w:val="24"/>
        </w:rPr>
        <w:t>Resuelve</w:t>
      </w:r>
      <w:bookmarkEnd w:id="23"/>
      <w:bookmarkEnd w:id="24"/>
    </w:p>
    <w:p w14:paraId="1EEFFC50" w14:textId="77777777" w:rsidR="00243172" w:rsidRPr="003F2C0D" w:rsidRDefault="00243172" w:rsidP="00BD1967">
      <w:pPr>
        <w:shd w:val="clear" w:color="auto" w:fill="FFFFFF" w:themeFill="background1"/>
        <w:spacing w:after="0" w:line="240" w:lineRule="auto"/>
        <w:jc w:val="both"/>
        <w:rPr>
          <w:b/>
          <w:bCs/>
          <w:lang w:val="it-IT"/>
        </w:rPr>
      </w:pPr>
    </w:p>
    <w:p w14:paraId="77AF5A82" w14:textId="77777777" w:rsidR="009A241D" w:rsidRPr="003F2C0D" w:rsidRDefault="009A241D" w:rsidP="00243172">
      <w:pPr>
        <w:shd w:val="clear" w:color="auto" w:fill="FFFFFF" w:themeFill="background1"/>
        <w:spacing w:after="0" w:line="360" w:lineRule="auto"/>
        <w:jc w:val="both"/>
        <w:rPr>
          <w:bCs/>
          <w:lang w:val="it-IT"/>
        </w:rPr>
      </w:pPr>
      <w:r w:rsidRPr="003F2C0D">
        <w:rPr>
          <w:b/>
          <w:bCs/>
          <w:lang w:val="it-IT"/>
        </w:rPr>
        <w:t>ÚNICO</w:t>
      </w:r>
      <w:r w:rsidR="00243172" w:rsidRPr="003F2C0D">
        <w:rPr>
          <w:b/>
          <w:bCs/>
          <w:lang w:val="it-IT"/>
        </w:rPr>
        <w:t>.</w:t>
      </w:r>
      <w:r w:rsidR="00243172" w:rsidRPr="003F2C0D">
        <w:rPr>
          <w:bCs/>
          <w:lang w:val="it-IT"/>
        </w:rPr>
        <w:t xml:space="preserve"> Se </w:t>
      </w:r>
      <w:r w:rsidR="00691966" w:rsidRPr="003F2C0D">
        <w:rPr>
          <w:b/>
          <w:lang w:val="it-IT"/>
        </w:rPr>
        <w:t>confirma</w:t>
      </w:r>
      <w:r w:rsidR="00243172" w:rsidRPr="003F2C0D">
        <w:rPr>
          <w:b/>
          <w:lang w:val="it-IT"/>
        </w:rPr>
        <w:t xml:space="preserve"> </w:t>
      </w:r>
      <w:r w:rsidR="00243172" w:rsidRPr="003F2C0D">
        <w:rPr>
          <w:bCs/>
          <w:lang w:val="it-IT"/>
        </w:rPr>
        <w:t xml:space="preserve">la </w:t>
      </w:r>
      <w:r w:rsidR="00A54E3B" w:rsidRPr="003F2C0D">
        <w:rPr>
          <w:bCs/>
          <w:lang w:val="it-IT"/>
        </w:rPr>
        <w:t xml:space="preserve">resolución </w:t>
      </w:r>
      <w:r w:rsidR="00243172" w:rsidRPr="003F2C0D">
        <w:rPr>
          <w:bCs/>
          <w:lang w:val="it-IT"/>
        </w:rPr>
        <w:t>impugnada</w:t>
      </w:r>
      <w:r w:rsidRPr="003F2C0D">
        <w:rPr>
          <w:bCs/>
          <w:lang w:val="it-IT"/>
        </w:rPr>
        <w:t>.</w:t>
      </w:r>
    </w:p>
    <w:p w14:paraId="1D301814" w14:textId="77777777" w:rsidR="00243172" w:rsidRPr="003F2C0D" w:rsidRDefault="00243172" w:rsidP="00243172">
      <w:pPr>
        <w:shd w:val="clear" w:color="auto" w:fill="FFFFFF" w:themeFill="background1"/>
        <w:spacing w:after="0" w:line="240" w:lineRule="auto"/>
        <w:jc w:val="both"/>
        <w:rPr>
          <w:bCs/>
          <w:u w:val="single"/>
          <w:lang w:val="it-IT"/>
        </w:rPr>
      </w:pPr>
    </w:p>
    <w:p w14:paraId="59186BA4" w14:textId="77777777" w:rsidR="00243172" w:rsidRPr="003F2C0D" w:rsidRDefault="00243172" w:rsidP="00243172">
      <w:pPr>
        <w:shd w:val="clear" w:color="auto" w:fill="FFFFFF" w:themeFill="background1"/>
        <w:spacing w:after="0" w:line="360" w:lineRule="auto"/>
        <w:jc w:val="both"/>
      </w:pPr>
      <w:r w:rsidRPr="003F2C0D">
        <w:t>En su oportunidad, archívese el expediente como asunto concluido; en su caso, devuélvase la documentación que en original haya exhibido la responsable.</w:t>
      </w:r>
    </w:p>
    <w:p w14:paraId="18E64B25" w14:textId="77777777" w:rsidR="00243172" w:rsidRPr="003F2C0D" w:rsidRDefault="00243172" w:rsidP="00243172">
      <w:pPr>
        <w:shd w:val="clear" w:color="auto" w:fill="FFFFFF" w:themeFill="background1"/>
        <w:spacing w:after="0" w:line="240" w:lineRule="auto"/>
        <w:jc w:val="both"/>
      </w:pPr>
    </w:p>
    <w:p w14:paraId="55DD98BE" w14:textId="77777777" w:rsidR="00243172" w:rsidRPr="003F2C0D" w:rsidRDefault="00243172" w:rsidP="00243172">
      <w:pPr>
        <w:shd w:val="clear" w:color="auto" w:fill="FFFFFF" w:themeFill="background1"/>
        <w:spacing w:after="0" w:line="360" w:lineRule="auto"/>
        <w:jc w:val="both"/>
        <w:rPr>
          <w:lang w:eastAsia="es-MX"/>
        </w:rPr>
      </w:pPr>
      <w:r w:rsidRPr="003F2C0D">
        <w:rPr>
          <w:b/>
          <w:bCs/>
          <w:lang w:eastAsia="es-MX"/>
        </w:rPr>
        <w:t>Notifíquese</w:t>
      </w:r>
      <w:r w:rsidRPr="003F2C0D">
        <w:rPr>
          <w:lang w:eastAsia="es-MX"/>
        </w:rPr>
        <w:t>, como en Derecho corresponda.</w:t>
      </w:r>
    </w:p>
    <w:p w14:paraId="313983BF" w14:textId="77777777" w:rsidR="00243172" w:rsidRPr="003F2C0D" w:rsidRDefault="00243172" w:rsidP="00243172">
      <w:pPr>
        <w:shd w:val="clear" w:color="auto" w:fill="FFFFFF" w:themeFill="background1"/>
        <w:spacing w:after="0" w:line="240" w:lineRule="auto"/>
        <w:jc w:val="both"/>
        <w:rPr>
          <w:lang w:eastAsia="es-MX"/>
        </w:rPr>
      </w:pPr>
    </w:p>
    <w:p w14:paraId="067FFE3F" w14:textId="74678F1B" w:rsidR="00243172" w:rsidRPr="003F2C0D" w:rsidRDefault="00243172" w:rsidP="00243172">
      <w:pPr>
        <w:shd w:val="clear" w:color="auto" w:fill="FFFFFF" w:themeFill="background1"/>
        <w:spacing w:after="0" w:line="360" w:lineRule="auto"/>
        <w:jc w:val="both"/>
        <w:rPr>
          <w:rFonts w:eastAsia="Calibri"/>
          <w:lang w:eastAsia="es-MX"/>
        </w:rPr>
      </w:pPr>
      <w:r w:rsidRPr="003F2C0D">
        <w:rPr>
          <w:rFonts w:eastAsia="Calibri"/>
          <w:lang w:eastAsia="es-MX"/>
        </w:rPr>
        <w:t>Así lo resolvieron</w:t>
      </w:r>
      <w:r w:rsidR="001C0152" w:rsidRPr="003F2C0D">
        <w:rPr>
          <w:rFonts w:eastAsia="Calibri"/>
          <w:lang w:eastAsia="es-MX"/>
        </w:rPr>
        <w:t>,</w:t>
      </w:r>
      <w:r w:rsidRPr="003F2C0D">
        <w:rPr>
          <w:rFonts w:eastAsia="Calibri"/>
          <w:lang w:eastAsia="es-MX"/>
        </w:rPr>
        <w:t xml:space="preserve"> por </w:t>
      </w:r>
      <w:r w:rsidR="00AF1984">
        <w:rPr>
          <w:rFonts w:eastAsia="Calibri"/>
          <w:b/>
          <w:lang w:eastAsia="es-MX"/>
        </w:rPr>
        <w:t>unanimidad</w:t>
      </w:r>
      <w:r w:rsidR="00A54E3B" w:rsidRPr="003F2C0D">
        <w:rPr>
          <w:rFonts w:eastAsia="Calibri"/>
          <w:b/>
          <w:lang w:eastAsia="es-MX"/>
        </w:rPr>
        <w:t xml:space="preserve"> </w:t>
      </w:r>
      <w:r w:rsidRPr="003F2C0D">
        <w:rPr>
          <w:rFonts w:eastAsia="Calibri"/>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74971C7" w14:textId="77777777" w:rsidR="00243172" w:rsidRPr="003F2C0D" w:rsidRDefault="00243172" w:rsidP="00370C6B">
      <w:pPr>
        <w:spacing w:after="0" w:line="240" w:lineRule="auto"/>
        <w:jc w:val="both"/>
        <w:rPr>
          <w:bCs/>
          <w:i/>
          <w:iCs/>
          <w:sz w:val="22"/>
          <w:szCs w:val="22"/>
        </w:rPr>
      </w:pPr>
    </w:p>
    <w:p w14:paraId="579ED6A7" w14:textId="77777777" w:rsidR="000E122C" w:rsidRPr="00F37625" w:rsidRDefault="00243172" w:rsidP="00F37625">
      <w:pPr>
        <w:spacing w:after="0"/>
        <w:jc w:val="both"/>
        <w:rPr>
          <w:rFonts w:eastAsia="Calibri"/>
          <w:lang w:eastAsia="es-MX"/>
        </w:rPr>
      </w:pPr>
      <w:r w:rsidRPr="003F2C0D">
        <w:rPr>
          <w:bCs/>
          <w:i/>
          <w:iCs/>
          <w:sz w:val="22"/>
          <w:szCs w:val="22"/>
        </w:rPr>
        <w:t xml:space="preserve">Este documento es una representación gráfica autorizada mediante firmas electrónicas certificadas, el cual tiene plena validez jurídica, de conformidad con los numerales </w:t>
      </w:r>
      <w:r w:rsidRPr="003F2C0D">
        <w:rPr>
          <w:bCs/>
          <w:i/>
          <w:iCs/>
          <w:sz w:val="22"/>
          <w:szCs w:val="22"/>
        </w:rPr>
        <w:lastRenderedPageBreak/>
        <w:t>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0E122C" w:rsidRPr="00F37625" w:rsidSect="00BD13A2">
      <w:headerReference w:type="even" r:id="rId15"/>
      <w:headerReference w:type="default" r:id="rId16"/>
      <w:footerReference w:type="even" r:id="rId17"/>
      <w:footerReference w:type="default" r:id="rId18"/>
      <w:headerReference w:type="first" r:id="rId19"/>
      <w:footerReference w:type="first" r:id="rId20"/>
      <w:pgSz w:w="12240" w:h="19293" w:code="119"/>
      <w:pgMar w:top="1702"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06B9" w14:textId="77777777" w:rsidR="00431B2B" w:rsidRDefault="00431B2B" w:rsidP="00243172">
      <w:pPr>
        <w:spacing w:after="0" w:line="240" w:lineRule="auto"/>
      </w:pPr>
      <w:r>
        <w:separator/>
      </w:r>
    </w:p>
  </w:endnote>
  <w:endnote w:type="continuationSeparator" w:id="0">
    <w:p w14:paraId="7140AEAB" w14:textId="77777777" w:rsidR="00431B2B" w:rsidRDefault="00431B2B" w:rsidP="00243172">
      <w:pPr>
        <w:spacing w:after="0" w:line="240" w:lineRule="auto"/>
      </w:pPr>
      <w:r>
        <w:continuationSeparator/>
      </w:r>
    </w:p>
  </w:endnote>
  <w:endnote w:type="continuationNotice" w:id="1">
    <w:p w14:paraId="32F1D662" w14:textId="77777777" w:rsidR="00431B2B" w:rsidRDefault="00431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default"/>
    <w:sig w:usb0="00000003" w:usb1="00000000" w:usb2="00000000" w:usb3="00000000" w:csb0="00000001" w:csb1="00000000"/>
  </w:font>
  <w:font w:name="TheSansOsF SemiLight">
    <w:altName w:val="Times New Roman"/>
    <w:charset w:val="00"/>
    <w:family w:val="auto"/>
    <w:pitch w:val="default"/>
  </w:font>
  <w:font w:name="Montserrat">
    <w:altName w:val="Calibri"/>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B989" w14:textId="77777777" w:rsidR="00830FBE" w:rsidRDefault="00830F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E336" w14:textId="77777777" w:rsidR="00830FBE" w:rsidRDefault="00830F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369" w14:textId="77777777" w:rsidR="00830FBE" w:rsidRDefault="00830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C6E0" w14:textId="77777777" w:rsidR="00431B2B" w:rsidRDefault="00431B2B" w:rsidP="00243172">
      <w:pPr>
        <w:spacing w:after="0" w:line="240" w:lineRule="auto"/>
      </w:pPr>
      <w:r>
        <w:separator/>
      </w:r>
    </w:p>
  </w:footnote>
  <w:footnote w:type="continuationSeparator" w:id="0">
    <w:p w14:paraId="21FB8AE1" w14:textId="77777777" w:rsidR="00431B2B" w:rsidRDefault="00431B2B" w:rsidP="00243172">
      <w:pPr>
        <w:spacing w:after="0" w:line="240" w:lineRule="auto"/>
      </w:pPr>
      <w:r>
        <w:continuationSeparator/>
      </w:r>
    </w:p>
  </w:footnote>
  <w:footnote w:type="continuationNotice" w:id="1">
    <w:p w14:paraId="3A09D393" w14:textId="77777777" w:rsidR="00431B2B" w:rsidRDefault="00431B2B">
      <w:pPr>
        <w:spacing w:after="0" w:line="240" w:lineRule="auto"/>
      </w:pPr>
    </w:p>
  </w:footnote>
  <w:footnote w:id="2">
    <w:p w14:paraId="49ADA95D" w14:textId="32718D39" w:rsidR="00830FBE" w:rsidRPr="002335D2" w:rsidRDefault="00830FBE" w:rsidP="002335D2">
      <w:pPr>
        <w:tabs>
          <w:tab w:val="left" w:pos="708"/>
        </w:tabs>
        <w:spacing w:after="0" w:line="240" w:lineRule="auto"/>
        <w:contextualSpacing/>
        <w:jc w:val="both"/>
        <w:rPr>
          <w:sz w:val="16"/>
          <w:szCs w:val="16"/>
          <w:shd w:val="clear" w:color="auto" w:fill="FFFFFF"/>
        </w:rPr>
      </w:pPr>
      <w:r w:rsidRPr="002335D2">
        <w:rPr>
          <w:rStyle w:val="Refdenotaalpie"/>
          <w:sz w:val="16"/>
          <w:szCs w:val="16"/>
        </w:rPr>
        <w:footnoteRef/>
      </w:r>
      <w:r w:rsidRPr="002335D2">
        <w:rPr>
          <w:sz w:val="16"/>
          <w:szCs w:val="16"/>
        </w:rPr>
        <w:t xml:space="preserve"> </w:t>
      </w:r>
      <w:r w:rsidRPr="0060492D">
        <w:rPr>
          <w:rFonts w:eastAsia="Times New Roman"/>
          <w:sz w:val="16"/>
          <w:szCs w:val="16"/>
          <w:lang w:eastAsia="es-MX"/>
        </w:rPr>
        <w:t xml:space="preserve">Lo anterior, con fundamento </w:t>
      </w:r>
      <w:r w:rsidRPr="0060492D">
        <w:rPr>
          <w:sz w:val="16"/>
          <w:szCs w:val="16"/>
          <w:shd w:val="clear" w:color="auto" w:fill="FFFFFF"/>
        </w:rPr>
        <w:t>en el artículo 1</w:t>
      </w:r>
      <w:r>
        <w:rPr>
          <w:sz w:val="16"/>
          <w:szCs w:val="16"/>
          <w:shd w:val="clear" w:color="auto" w:fill="FFFFFF"/>
        </w:rPr>
        <w:t>76</w:t>
      </w:r>
      <w:r w:rsidRPr="0060492D">
        <w:rPr>
          <w:sz w:val="16"/>
          <w:szCs w:val="16"/>
          <w:shd w:val="clear" w:color="auto" w:fill="FFFFFF"/>
        </w:rPr>
        <w:t xml:space="preserve">, fracción XIV, de la Ley Orgánica del Poder Judicial de la Federación, </w:t>
      </w:r>
      <w:r w:rsidRPr="0060492D">
        <w:rPr>
          <w:rFonts w:eastAsia="Times New Roman"/>
          <w:sz w:val="16"/>
          <w:szCs w:val="16"/>
          <w:lang w:eastAsia="es-MX"/>
        </w:rPr>
        <w:t>con relación a lo previsto en</w:t>
      </w:r>
      <w:r w:rsidRPr="0060492D">
        <w:rPr>
          <w:rFonts w:eastAsia="Times New Roman"/>
          <w:bCs/>
          <w:sz w:val="16"/>
          <w:szCs w:val="16"/>
          <w:lang w:eastAsia="es-MX"/>
        </w:rPr>
        <w:t xml:space="preserve"> </w:t>
      </w:r>
      <w:r w:rsidRPr="0060492D">
        <w:rPr>
          <w:rFonts w:eastAsia="Times New Roman"/>
          <w:sz w:val="16"/>
          <w:szCs w:val="16"/>
          <w:lang w:eastAsia="es-MX"/>
        </w:rPr>
        <w:t xml:space="preserve">los Lineamientos </w:t>
      </w:r>
      <w:r w:rsidRPr="0060492D">
        <w:rPr>
          <w:rFonts w:eastAsia="Times New Roman"/>
          <w:bCs/>
          <w:sz w:val="16"/>
          <w:szCs w:val="16"/>
          <w:lang w:eastAsia="es-MX"/>
        </w:rPr>
        <w:t xml:space="preserve">Generales para la Identificación e Integración de Expedientes del TEPJF, </w:t>
      </w:r>
      <w:r w:rsidRPr="005B7B8F">
        <w:rPr>
          <w:rFonts w:eastAsia="Times New Roman"/>
          <w:bCs/>
          <w:sz w:val="16"/>
          <w:szCs w:val="16"/>
          <w:lang w:eastAsia="es-MX"/>
        </w:rPr>
        <w:t>a</w:t>
      </w:r>
      <w:r w:rsidRPr="005B7B8F">
        <w:rPr>
          <w:sz w:val="16"/>
          <w:szCs w:val="16"/>
        </w:rPr>
        <w:t xml:space="preserve">probados por la Presidencia de la Sala Superior del </w:t>
      </w:r>
      <w:r w:rsidRPr="005B7B8F">
        <w:rPr>
          <w:rFonts w:eastAsia="Times New Roman"/>
          <w:bCs/>
          <w:sz w:val="16"/>
          <w:szCs w:val="16"/>
          <w:lang w:eastAsia="es-MX"/>
        </w:rPr>
        <w:t>TEPJF</w:t>
      </w:r>
      <w:r w:rsidRPr="005B7B8F">
        <w:rPr>
          <w:sz w:val="16"/>
          <w:szCs w:val="16"/>
        </w:rPr>
        <w:t xml:space="preserve"> el 12 de noviembre de 2014.</w:t>
      </w:r>
    </w:p>
  </w:footnote>
  <w:footnote w:id="3">
    <w:p w14:paraId="26473692" w14:textId="387305BE" w:rsidR="00830FBE" w:rsidRPr="002335D2" w:rsidRDefault="00830FBE" w:rsidP="002335D2">
      <w:pPr>
        <w:pStyle w:val="Textonotapie"/>
        <w:shd w:val="clear" w:color="auto" w:fill="FFFFFF" w:themeFill="background1"/>
        <w:jc w:val="both"/>
        <w:rPr>
          <w:sz w:val="16"/>
          <w:szCs w:val="16"/>
        </w:rPr>
      </w:pPr>
      <w:r w:rsidRPr="002335D2">
        <w:rPr>
          <w:rStyle w:val="Refdenotaalpie"/>
          <w:sz w:val="16"/>
          <w:szCs w:val="16"/>
        </w:rPr>
        <w:footnoteRef/>
      </w:r>
      <w:r w:rsidRPr="002335D2">
        <w:rPr>
          <w:sz w:val="16"/>
          <w:szCs w:val="16"/>
        </w:rPr>
        <w:t xml:space="preserve"> Véase </w:t>
      </w:r>
      <w:r>
        <w:rPr>
          <w:sz w:val="16"/>
          <w:szCs w:val="16"/>
        </w:rPr>
        <w:t xml:space="preserve">el </w:t>
      </w:r>
      <w:r w:rsidRPr="002335D2">
        <w:rPr>
          <w:sz w:val="16"/>
          <w:szCs w:val="16"/>
        </w:rPr>
        <w:t>acuerdo de admisión.</w:t>
      </w:r>
    </w:p>
  </w:footnote>
  <w:footnote w:id="4">
    <w:p w14:paraId="1DFCA278" w14:textId="77777777" w:rsidR="00830FBE" w:rsidRPr="002335D2" w:rsidRDefault="00830FBE" w:rsidP="002335D2">
      <w:pPr>
        <w:pStyle w:val="Textonotapie"/>
        <w:jc w:val="both"/>
        <w:rPr>
          <w:sz w:val="16"/>
          <w:szCs w:val="16"/>
        </w:rPr>
      </w:pPr>
      <w:r w:rsidRPr="002335D2">
        <w:rPr>
          <w:rStyle w:val="Refdenotaalpie"/>
          <w:sz w:val="16"/>
          <w:szCs w:val="16"/>
        </w:rPr>
        <w:footnoteRef/>
      </w:r>
      <w:r w:rsidRPr="002335D2">
        <w:rPr>
          <w:sz w:val="16"/>
          <w:szCs w:val="16"/>
        </w:rPr>
        <w:t xml:space="preserve"> Hechos relevantes que se advierten de las constancias de autos y afirmaciones realizadas por las partes.</w:t>
      </w:r>
    </w:p>
  </w:footnote>
  <w:footnote w:id="5">
    <w:p w14:paraId="1D462219" w14:textId="09947092" w:rsidR="00830FBE" w:rsidRPr="0015305C" w:rsidRDefault="00830FBE">
      <w:pPr>
        <w:pStyle w:val="Textonotapie"/>
        <w:rPr>
          <w:sz w:val="16"/>
          <w:szCs w:val="16"/>
          <w:lang w:val="es-MX"/>
        </w:rPr>
      </w:pPr>
      <w:r w:rsidRPr="0015305C">
        <w:rPr>
          <w:rStyle w:val="Refdenotaalpie"/>
          <w:sz w:val="16"/>
          <w:szCs w:val="16"/>
        </w:rPr>
        <w:footnoteRef/>
      </w:r>
      <w:r w:rsidRPr="0015305C">
        <w:rPr>
          <w:sz w:val="16"/>
          <w:szCs w:val="16"/>
        </w:rPr>
        <w:t xml:space="preserve"> </w:t>
      </w:r>
      <w:r w:rsidRPr="0015305C">
        <w:rPr>
          <w:sz w:val="16"/>
          <w:szCs w:val="16"/>
          <w:lang w:val="es-MX"/>
        </w:rPr>
        <w:t>En adelante, todas las fechas corresponden al año en curso.</w:t>
      </w:r>
    </w:p>
  </w:footnote>
  <w:footnote w:id="6">
    <w:p w14:paraId="26D32AFE" w14:textId="33569E79" w:rsidR="00830FBE" w:rsidRPr="002335D2" w:rsidRDefault="00830FBE" w:rsidP="002335D2">
      <w:pPr>
        <w:pStyle w:val="Textonotapie"/>
        <w:jc w:val="both"/>
        <w:rPr>
          <w:sz w:val="16"/>
          <w:szCs w:val="16"/>
          <w:lang w:val="es-MX"/>
        </w:rPr>
      </w:pPr>
      <w:r w:rsidRPr="0015305C">
        <w:rPr>
          <w:rStyle w:val="Refdenotaalpie"/>
          <w:sz w:val="16"/>
          <w:szCs w:val="16"/>
        </w:rPr>
        <w:footnoteRef/>
      </w:r>
      <w:r w:rsidRPr="0015305C">
        <w:rPr>
          <w:sz w:val="16"/>
          <w:szCs w:val="16"/>
        </w:rPr>
        <w:t xml:space="preserve"> </w:t>
      </w:r>
      <w:r w:rsidRPr="0015305C">
        <w:rPr>
          <w:sz w:val="16"/>
          <w:szCs w:val="16"/>
          <w:lang w:val="es-MX"/>
        </w:rPr>
        <w:t>Sentencia de 14 de junio de 2021, emitida en el expediente TEEG-PES-02/2021.</w:t>
      </w:r>
    </w:p>
  </w:footnote>
  <w:footnote w:id="7">
    <w:p w14:paraId="376A28AA" w14:textId="09E7CAA4" w:rsidR="00830FBE" w:rsidRPr="002335D2" w:rsidRDefault="00830FBE" w:rsidP="002335D2">
      <w:pPr>
        <w:pStyle w:val="Textonotapie"/>
        <w:jc w:val="both"/>
        <w:rPr>
          <w:sz w:val="16"/>
          <w:szCs w:val="16"/>
          <w:lang w:val="es-MX"/>
        </w:rPr>
      </w:pPr>
      <w:r w:rsidRPr="002335D2">
        <w:rPr>
          <w:rStyle w:val="Refdenotaalpie"/>
          <w:sz w:val="16"/>
          <w:szCs w:val="16"/>
        </w:rPr>
        <w:footnoteRef/>
      </w:r>
      <w:r w:rsidRPr="002335D2">
        <w:rPr>
          <w:sz w:val="16"/>
          <w:szCs w:val="16"/>
        </w:rPr>
        <w:t xml:space="preserve"> </w:t>
      </w:r>
      <w:r>
        <w:rPr>
          <w:sz w:val="16"/>
          <w:szCs w:val="16"/>
          <w:lang w:val="es-MX"/>
        </w:rPr>
        <w:t>L</w:t>
      </w:r>
      <w:r w:rsidRPr="002335D2">
        <w:rPr>
          <w:sz w:val="16"/>
          <w:szCs w:val="16"/>
          <w:lang w:val="es-MX"/>
        </w:rPr>
        <w:t xml:space="preserve">a demanda </w:t>
      </w:r>
      <w:r>
        <w:rPr>
          <w:sz w:val="16"/>
          <w:szCs w:val="16"/>
          <w:lang w:val="es-MX"/>
        </w:rPr>
        <w:t xml:space="preserve">se recibió en esta Sala Monterrey </w:t>
      </w:r>
      <w:r w:rsidRPr="002335D2">
        <w:rPr>
          <w:sz w:val="16"/>
          <w:szCs w:val="16"/>
          <w:lang w:val="es-MX"/>
        </w:rPr>
        <w:t xml:space="preserve">el </w:t>
      </w:r>
      <w:r>
        <w:rPr>
          <w:sz w:val="16"/>
          <w:szCs w:val="16"/>
          <w:lang w:val="es-MX"/>
        </w:rPr>
        <w:t xml:space="preserve">23 </w:t>
      </w:r>
      <w:r w:rsidRPr="002335D2">
        <w:rPr>
          <w:sz w:val="16"/>
          <w:szCs w:val="16"/>
          <w:lang w:val="es-MX"/>
        </w:rPr>
        <w:t xml:space="preserve">de </w:t>
      </w:r>
      <w:r>
        <w:rPr>
          <w:sz w:val="16"/>
          <w:szCs w:val="16"/>
          <w:lang w:val="es-MX"/>
        </w:rPr>
        <w:t>Junio</w:t>
      </w:r>
      <w:r w:rsidRPr="002335D2">
        <w:rPr>
          <w:sz w:val="16"/>
          <w:szCs w:val="16"/>
        </w:rPr>
        <w:t>.</w:t>
      </w:r>
      <w:r>
        <w:rPr>
          <w:sz w:val="16"/>
          <w:szCs w:val="16"/>
        </w:rPr>
        <w:t xml:space="preserve"> </w:t>
      </w:r>
      <w:r w:rsidRPr="002335D2">
        <w:rPr>
          <w:sz w:val="16"/>
          <w:szCs w:val="16"/>
        </w:rPr>
        <w:t>En su oportunidad, el Magistrado instructor radicó el expediente, admitió la demanda y, al no existir trámite pendiente por realizar, cerró la instrucción.</w:t>
      </w:r>
    </w:p>
  </w:footnote>
  <w:footnote w:id="8">
    <w:p w14:paraId="485A3D75" w14:textId="10D51921" w:rsidR="00830FBE" w:rsidRPr="002335D2" w:rsidRDefault="00830FBE" w:rsidP="002335D2">
      <w:pPr>
        <w:pStyle w:val="Textonotapie"/>
        <w:jc w:val="both"/>
        <w:rPr>
          <w:sz w:val="16"/>
          <w:szCs w:val="16"/>
        </w:rPr>
      </w:pPr>
      <w:r w:rsidRPr="002335D2">
        <w:rPr>
          <w:rStyle w:val="Refdenotaalpie"/>
          <w:sz w:val="16"/>
          <w:szCs w:val="16"/>
        </w:rPr>
        <w:footnoteRef/>
      </w:r>
      <w:r w:rsidR="002F6F6B">
        <w:rPr>
          <w:sz w:val="16"/>
          <w:szCs w:val="16"/>
        </w:rPr>
        <w:t xml:space="preserve"> </w:t>
      </w:r>
      <w:r w:rsidRPr="002335D2">
        <w:rPr>
          <w:sz w:val="16"/>
          <w:szCs w:val="16"/>
        </w:rPr>
        <w:t>Véase la jurisprudencia 3/2000, de rubro y contenido: AGRAVIOS. PARA TENERLOS POR DEBIDAMENTE CONFIGURADOS ES SUFICIENTE CON EXPRESAR LA CAUSA DE PEDIR.- En atención a lo previsto en los artículos 2o., párrafo 1, y 23, párrafo 3, de la Ley General del Sistema de Medios de Impugnación en Materia Electoral, que recogen los principios generales del derecho iura novit curia y da mihi factum dabo tibi jus (el juez conoce el derecho y dame los hechos y yo te daré el derecho), ya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p w14:paraId="48F48B1E" w14:textId="77777777" w:rsidR="00830FBE" w:rsidRPr="002335D2" w:rsidRDefault="00830FBE" w:rsidP="002335D2">
      <w:pPr>
        <w:pStyle w:val="Textonotapie"/>
        <w:jc w:val="both"/>
        <w:rPr>
          <w:sz w:val="16"/>
          <w:szCs w:val="16"/>
        </w:rPr>
      </w:pPr>
      <w:r w:rsidRPr="002335D2">
        <w:rPr>
          <w:sz w:val="16"/>
          <w:szCs w:val="16"/>
        </w:rPr>
        <w:t xml:space="preserve">Con la precisión de que, en casos muy específicos, previstos en la legislación y doctrina judicial, el juzgador tiene el deber de suplir la deficiencia de los agravios expresados, a través de la precisión o aclaración de las ideas o el discurso expresado en la demanda, sin que esto implique una afectación al principio general de igualdad formal de las partes en el proceso, porque en esos casos la legislación o ponderación de los tribunales constitucionales ha identificado la necesidad de suplir la deficiencia de los planteamientos precisamente para buscar una auténtica igualdad material de las partes. </w:t>
      </w:r>
    </w:p>
    <w:p w14:paraId="6889EC7E" w14:textId="6AF94022" w:rsidR="00830FBE" w:rsidRPr="002335D2" w:rsidRDefault="00830FBE" w:rsidP="001C3F61">
      <w:pPr>
        <w:pStyle w:val="Textonotapie"/>
        <w:ind w:firstLine="284"/>
        <w:jc w:val="both"/>
        <w:rPr>
          <w:sz w:val="16"/>
          <w:szCs w:val="16"/>
        </w:rPr>
      </w:pPr>
      <w:r w:rsidRPr="002335D2">
        <w:rPr>
          <w:sz w:val="16"/>
          <w:szCs w:val="16"/>
        </w:rPr>
        <w:t>Véase como referente orientador sobre el tema la tesis de rubro y texto: SUPLENCIA DE LA QUEJA DEFICIENTE. ES UNA INSTITUCIÓN DE RANGO CONSTITUCIONAL QUE RESTRINGE VÁLIDAMENTE EL DERECHO A SER JUZGADO CON IGUALDAD PROCESAL (legislación vigente hasta el 2 de abril de 2013). De la fracción II del artículo 107 de la Constitución Política de los Estados Unidos Mexicanos, antes de su reforma publicada en el Diario Oficial de la Federación el 6 de junio de 2011, se advierte que fue voluntad del Constituyente Permanente establecer la suplencia de la queja deficiente como una institución procesal de rango constitucional, dejando a cargo del legislador ordinario regular los supuestos de aplicación, así como la reglamentación que le diera eficacia. Por tal motivo, la incorporación de tales supuestos en el artículo 76 Bis de la Ley de Amparo abrogada sólo significó una labor legislativa concordante con el mandato de la Norma Superior, conforme al cual, bajo determinadas circunstancias, los juzgadores de amparo están obligados constitucionalmente a examinar de oficio la legalidad de las resoluciones reclamadas ante ellos y, de advertir alguna ilegalidad, procederán a revisar si hubo o no argumento coincidente con la irregularidad detectada, a fin de declararlo fundado y, en caso contrario, suplir su deficiencia. Así, la obligación referida puede llegar a ocasionar un desequilibrio o inseguridad procesal para la contraparte de la persona en favor de la que se le suplió su queja deficiente, pues si el juzgador introduce argumentos que no eran conocidos por ninguna de las partes, sino hasta que se dicta sentencia, es inevitable aceptar que sobre tales razonamientos inéditos no fue posible que la contraria hubiese podido formular argumentos defensivos. Empero, de esta imposibilidad que tiene la contraparte para rebatir conceptos de violación imprevistos en la demanda de amparo -y que son desarrollados motu proprio por el órgano de amparo-, no deriva la inconstitucionalidad de la suplencia de la queja deficiente, toda vez que esta institución procesal implica una restricción de rango constitucional de algunas exigencias fundamentales del debido proceso, en concreto, que los tribunales actúen con absoluta imparcialidad, así como su deber de resolver en forma estrictamente congruente con lo pedido, y con base en la fijación de una litis previsible sobre la cual las partes puedan exponer sus puntos de vista antes de que se dicte el fallo definitivo; ya que si bien son evidentes las lesiones de estas elementales obligaciones de los juzgadores, dada la incorporación de dicha figura en el texto de la Constitución Federal, debe estarse a lo ordenado por ella, ante la contradicción insuperable entre la igualdad procesal y el auxilio oficioso impuesto constitucionalmente a los juzgadores de amparo, en favor de determinadas categorías de quejosos. (Tesis aislada de la Segunda Sala de la SCJN XCII/2014 (10ª)).</w:t>
      </w:r>
    </w:p>
  </w:footnote>
  <w:footnote w:id="9">
    <w:p w14:paraId="0E427B83" w14:textId="70C254D3" w:rsidR="00830FBE" w:rsidRPr="002335D2" w:rsidRDefault="00830FBE" w:rsidP="002335D2">
      <w:pPr>
        <w:pStyle w:val="Textonotapie"/>
        <w:jc w:val="both"/>
        <w:rPr>
          <w:sz w:val="16"/>
          <w:szCs w:val="16"/>
          <w:lang w:val="es-ES"/>
        </w:rPr>
      </w:pPr>
      <w:r w:rsidRPr="002335D2">
        <w:rPr>
          <w:rStyle w:val="Refdenotaalpie"/>
          <w:sz w:val="16"/>
          <w:szCs w:val="16"/>
        </w:rPr>
        <w:footnoteRef/>
      </w:r>
      <w:r w:rsidRPr="002335D2">
        <w:rPr>
          <w:sz w:val="16"/>
          <w:szCs w:val="16"/>
        </w:rPr>
        <w:t xml:space="preserve"> </w:t>
      </w:r>
      <w:r w:rsidRPr="002335D2">
        <w:rPr>
          <w:sz w:val="16"/>
          <w:szCs w:val="16"/>
          <w:lang w:val="es-ES"/>
        </w:rPr>
        <w:t>Véanse los juicios ciudadanos SUP-JDC-1200/2015 y SUP-JDC-1201/2015, acumulados, en los que</w:t>
      </w:r>
      <w:r>
        <w:rPr>
          <w:sz w:val="16"/>
          <w:szCs w:val="16"/>
          <w:lang w:val="es-ES"/>
        </w:rPr>
        <w:t xml:space="preserve"> la Sala Superior </w:t>
      </w:r>
      <w:r w:rsidRPr="002335D2">
        <w:rPr>
          <w:sz w:val="16"/>
          <w:szCs w:val="16"/>
          <w:lang w:val="es-ES"/>
        </w:rPr>
        <w:t xml:space="preserve">consideró, esencialmente: […] </w:t>
      </w:r>
      <w:r w:rsidRPr="002335D2">
        <w:rPr>
          <w:i/>
          <w:sz w:val="16"/>
          <w:szCs w:val="16"/>
        </w:rPr>
        <w:t>de conformidad con el artículo 23, párrafo 1, de la Ley General del Sistema de Medios de Impugnación en Materia Electoral, este órgano de control constitucional electoral, en el juicio para la protección de los derechos político-electorales del ciudadano, debe suplir las deficiencias u omisiones en los agravios cuando puedan ser deducidos claramente de los hechos expuestos; empero, la suplencia establecida presupone la existencia de acontecimientos de los cuales puedan deducirse claramente los agravios, o bien, que se expresen motivos de disenso aunque sea de manera deficiente.</w:t>
      </w:r>
    </w:p>
    <w:p w14:paraId="27890CFC" w14:textId="77777777" w:rsidR="00830FBE" w:rsidRPr="002335D2" w:rsidRDefault="00830FBE" w:rsidP="002335D2">
      <w:pPr>
        <w:pStyle w:val="Textonotapie"/>
        <w:ind w:firstLine="284"/>
        <w:jc w:val="both"/>
        <w:rPr>
          <w:i/>
          <w:sz w:val="16"/>
          <w:szCs w:val="16"/>
        </w:rPr>
      </w:pPr>
      <w:r w:rsidRPr="002335D2">
        <w:rPr>
          <w:i/>
          <w:sz w:val="16"/>
          <w:szCs w:val="16"/>
        </w:rPr>
        <w:t>Debe tenerse en cuenta que el vocablo "suplir" utilizado en la redacción del invocado precepto, no debe entenderse como integrar o formular agravios sustituyéndose al promovente, sino más bien, en el sentido de complementar o enmendar los argumentos deficientemente expuestos en vía de inconformidad, aunque no se contengan en el capítulo respectivo de la demanda.</w:t>
      </w:r>
    </w:p>
    <w:p w14:paraId="4FC3E275" w14:textId="77777777" w:rsidR="00830FBE" w:rsidRPr="002335D2" w:rsidRDefault="00830FBE" w:rsidP="002335D2">
      <w:pPr>
        <w:pStyle w:val="Textonotapie"/>
        <w:ind w:firstLine="284"/>
        <w:jc w:val="both"/>
        <w:rPr>
          <w:i/>
          <w:sz w:val="16"/>
          <w:szCs w:val="16"/>
        </w:rPr>
      </w:pPr>
      <w:r w:rsidRPr="002335D2">
        <w:rPr>
          <w:i/>
          <w:sz w:val="16"/>
          <w:szCs w:val="16"/>
        </w:rPr>
        <w:t>Esto es, se necesita la existencia de un alegato limitado por falta de técnica o formalismo jurídico que amerite la intervención en favor del actor por parte de la Sala Superior, para que en ejercicio de la facultad prevista en el artículo de referencia, esté en aptitud de "suplir" la deficiencia y resuelva la controversia que le ha sido planteada.</w:t>
      </w:r>
    </w:p>
    <w:p w14:paraId="28D38436" w14:textId="77777777" w:rsidR="00830FBE" w:rsidRPr="002335D2" w:rsidRDefault="00830FBE" w:rsidP="002335D2">
      <w:pPr>
        <w:pStyle w:val="Textonotapie"/>
        <w:ind w:firstLine="284"/>
        <w:jc w:val="both"/>
        <w:rPr>
          <w:i/>
          <w:sz w:val="16"/>
          <w:szCs w:val="16"/>
        </w:rPr>
      </w:pPr>
      <w:r w:rsidRPr="002335D2">
        <w:rPr>
          <w:i/>
          <w:sz w:val="16"/>
          <w:szCs w:val="16"/>
        </w:rPr>
        <w:t>Lo expuesto no obliga a este órgano jurisdiccional a suplir la inexistencia del agravio, cuando sea imposible desprenderlo de los hechos o cuando sean vagos, generales e imprecisos, de forma tal que no pueda advertirse claramente la causa concreta de pedir.</w:t>
      </w:r>
    </w:p>
    <w:p w14:paraId="5583E00F" w14:textId="77777777" w:rsidR="00830FBE" w:rsidRPr="002335D2" w:rsidRDefault="00830FBE" w:rsidP="002335D2">
      <w:pPr>
        <w:pStyle w:val="Textonotapie"/>
        <w:ind w:firstLine="284"/>
        <w:jc w:val="both"/>
        <w:rPr>
          <w:i/>
          <w:sz w:val="16"/>
          <w:szCs w:val="16"/>
        </w:rPr>
      </w:pPr>
      <w:r w:rsidRPr="002335D2">
        <w:rPr>
          <w:i/>
          <w:sz w:val="16"/>
          <w:szCs w:val="16"/>
        </w:rPr>
        <w:t>Esto es así, porque si de los motivos de inconformidad en modo alguno se deriva la intención de lo que se pretende cuestionar, entonces este órgano jurisdiccional se encuentra impedido para suplir deficiencia alguna, ya que no puede comprenderse tal atribución, en el sentido de ampliar la demanda en cuanto a lo que presumiblemente pretende el demandante como ilegal, o bien, llegar hasta el grado de variar el contenido de los argumentos vertidos por el enjuiciante, traduciéndose en un estudio oficioso del acto o resolución impugnado, cuestión que legalmente está vedada a este órgano jurisdiccional.</w:t>
      </w:r>
    </w:p>
    <w:p w14:paraId="3F37947D" w14:textId="77777777" w:rsidR="00830FBE" w:rsidRPr="002335D2" w:rsidRDefault="00830FBE" w:rsidP="002335D2">
      <w:pPr>
        <w:pStyle w:val="Textonotapie"/>
        <w:ind w:firstLine="284"/>
        <w:jc w:val="both"/>
        <w:rPr>
          <w:i/>
          <w:sz w:val="16"/>
          <w:szCs w:val="16"/>
        </w:rPr>
      </w:pPr>
      <w:r w:rsidRPr="002335D2">
        <w:rPr>
          <w:i/>
          <w:sz w:val="16"/>
          <w:szCs w:val="16"/>
        </w:rPr>
        <w:t>Lo anterior hace palpable que el principio de suplencia en la deficiencia en la expresión de los agravios tiene su límite, por una parte, en las propias facultades discrecionales de la autoridad jurisdiccional para deducirlos de los hechos expuestos y, por otra, en la circunstancia de que los planteamientos del actor sean inviables para atacar el acto impugnado, lo cual actúa cuando son especialmente genéricos, vagos e imprecisos, o se refieren a cuestiones ajenas a la materia de la controversia.</w:t>
      </w:r>
    </w:p>
    <w:p w14:paraId="52484E9C" w14:textId="77777777" w:rsidR="00830FBE" w:rsidRPr="002335D2" w:rsidRDefault="00830FBE" w:rsidP="002335D2">
      <w:pPr>
        <w:pStyle w:val="Textonotapie"/>
        <w:ind w:firstLine="284"/>
        <w:jc w:val="both"/>
        <w:rPr>
          <w:i/>
          <w:sz w:val="16"/>
          <w:szCs w:val="16"/>
        </w:rPr>
      </w:pPr>
      <w:r w:rsidRPr="002335D2">
        <w:rPr>
          <w:i/>
          <w:sz w:val="16"/>
          <w:szCs w:val="16"/>
        </w:rPr>
        <w:t>En otras palabras, no toda deficiencia de una demanda es susceptible de suplirse por el órgano de control de la legalidad y constitucionalidad de los actos y resoluciones de las autoridades electorales emisoras de las determinaciones reclamadas.</w:t>
      </w:r>
    </w:p>
    <w:p w14:paraId="3AFC9049" w14:textId="77777777" w:rsidR="00830FBE" w:rsidRPr="002335D2" w:rsidRDefault="00830FBE" w:rsidP="002335D2">
      <w:pPr>
        <w:pStyle w:val="Textonotapie"/>
        <w:ind w:firstLine="284"/>
        <w:jc w:val="both"/>
        <w:rPr>
          <w:i/>
          <w:sz w:val="16"/>
          <w:szCs w:val="16"/>
        </w:rPr>
      </w:pPr>
      <w:r w:rsidRPr="002335D2">
        <w:rPr>
          <w:i/>
          <w:sz w:val="16"/>
          <w:szCs w:val="16"/>
        </w:rPr>
        <w:t>Ello, porque si bien la expresión de los agravios de ninguna manera está sujeta a una forma sacramental o inamovible, en tanto que éstos pueden encontrarse en cualquier apartado del libelo inicial, también lo es que los que se hagan valer, deben ser, necesariamente, argumentos jurídicos adecuados, encaminados a destruir la validez de las consideraciones o razones que la autoridad responsable tomó en cuenta para resolver en los términos en que lo hizo, haciendo evidente que conforme con los preceptos normativos aplicables son insostenibles, debido a que sus inferencias se apartan de las reglas de la lógica, la experiencia o la sana crítica; que los hechos no fueron debidamente probados; que las pruebas se valoraron de manera indebida o hacer patente cualquier otra circunstancia que haga notorio que se contravino la Constitución o la ley por indebida o defectuosa aplicación o interpretación, o bien, porque simplemente se dejó de aplicar una disposición jurídica.</w:t>
      </w:r>
    </w:p>
    <w:p w14:paraId="063823A7" w14:textId="77777777" w:rsidR="00830FBE" w:rsidRPr="002335D2" w:rsidRDefault="00830FBE" w:rsidP="002335D2">
      <w:pPr>
        <w:pStyle w:val="Textonotapie"/>
        <w:ind w:firstLine="284"/>
        <w:jc w:val="both"/>
        <w:rPr>
          <w:i/>
          <w:sz w:val="16"/>
          <w:szCs w:val="16"/>
        </w:rPr>
      </w:pPr>
      <w:r w:rsidRPr="002335D2">
        <w:rPr>
          <w:i/>
          <w:sz w:val="16"/>
          <w:szCs w:val="16"/>
        </w:rPr>
        <w:t>De esta forma, al expresar cada concepto de violación, el actor debe preferentemente precisar qué aspecto de la resolución impugnada le ocasiona un perjuicio o agravio a sus derechos; citar el precepto o los preceptos que considera transgredidos, y explicar, fundamentalmente, mediante el desarrollo de razonamientos lógico-jurídicos dirigidos a desvirtuar los motivos de la responsable, la causa por la cual fueron infringidos, exponiendo la argumentación que considere conveniente para demostrar la inconstitucionalidad o ilegalidad del acto o resolución reclamados.</w:t>
      </w:r>
    </w:p>
  </w:footnote>
  <w:footnote w:id="10">
    <w:p w14:paraId="543FC32D" w14:textId="77777777" w:rsidR="00830FBE" w:rsidRPr="002A16BF" w:rsidRDefault="00830FBE" w:rsidP="00F34CD2">
      <w:pPr>
        <w:pStyle w:val="Sinespaciado"/>
        <w:rPr>
          <w:rFonts w:cs="Arial"/>
          <w:sz w:val="20"/>
          <w:szCs w:val="20"/>
        </w:rPr>
      </w:pPr>
      <w:r w:rsidRPr="002A16BF">
        <w:rPr>
          <w:rStyle w:val="Refdenotaalpie"/>
          <w:rFonts w:cs="Arial"/>
          <w:sz w:val="20"/>
          <w:szCs w:val="20"/>
        </w:rPr>
        <w:footnoteRef/>
      </w:r>
      <w:r w:rsidRPr="002A16BF">
        <w:rPr>
          <w:rFonts w:cs="Arial"/>
          <w:sz w:val="20"/>
          <w:szCs w:val="20"/>
        </w:rPr>
        <w:t xml:space="preserve"> </w:t>
      </w:r>
      <w:r w:rsidRPr="00A5497C">
        <w:rPr>
          <w:rFonts w:cs="Arial"/>
          <w:sz w:val="16"/>
          <w:szCs w:val="16"/>
        </w:rPr>
        <w:t>Tesis: 1ª XCIX/2014 (10ª) de la Primera Sala de la Suprema Corte de Justicia de la Nación, de rubro “ACCESO A LA JUSTICIA EN CONDICIONES DE IGUALDAD. TODOS LOS ÓRGANOS JURISDICCIONALES DEL PAÍS DEBEN IMPARTIR JUSTICIA CON PERSPECTIVA DE GÉNERO”, visible en la Gaceta del Semanario Judicial de la Federación.</w:t>
      </w:r>
    </w:p>
  </w:footnote>
  <w:footnote w:id="11">
    <w:p w14:paraId="2D2F7508" w14:textId="2D6EB50D" w:rsidR="00830FBE" w:rsidRPr="00CB5238" w:rsidRDefault="00830FBE" w:rsidP="00F34CD2">
      <w:pPr>
        <w:pStyle w:val="Textonotapie"/>
        <w:rPr>
          <w:sz w:val="16"/>
          <w:szCs w:val="16"/>
          <w:lang w:val="es-MX"/>
        </w:rPr>
      </w:pPr>
      <w:r w:rsidRPr="00CB5238">
        <w:rPr>
          <w:rStyle w:val="Refdenotaalpie"/>
          <w:sz w:val="16"/>
          <w:szCs w:val="16"/>
        </w:rPr>
        <w:footnoteRef/>
      </w:r>
      <w:r w:rsidRPr="00CB5238">
        <w:rPr>
          <w:sz w:val="16"/>
          <w:szCs w:val="16"/>
        </w:rPr>
        <w:t xml:space="preserve"> Véase </w:t>
      </w:r>
      <w:r w:rsidR="00AF1984">
        <w:rPr>
          <w:sz w:val="16"/>
          <w:szCs w:val="16"/>
        </w:rPr>
        <w:t xml:space="preserve">la sentencia del juicio electoral </w:t>
      </w:r>
      <w:r w:rsidRPr="00CB5238">
        <w:rPr>
          <w:bCs/>
          <w:sz w:val="16"/>
          <w:szCs w:val="16"/>
        </w:rPr>
        <w:t>SM-JE-25/2019.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363" w14:textId="5C1D58A5" w:rsidR="00830FBE" w:rsidRDefault="00431B2B" w:rsidP="002F6BEE">
    <w:pPr>
      <w:pStyle w:val="Encabezado"/>
      <w:rPr>
        <w:b/>
        <w:noProof/>
        <w:sz w:val="22"/>
        <w:lang w:eastAsia="es-ES"/>
      </w:rPr>
    </w:pPr>
    <w:sdt>
      <w:sdtPr>
        <w:rPr>
          <w:b/>
          <w:noProof/>
          <w:sz w:val="22"/>
          <w:lang w:eastAsia="es-ES"/>
        </w:rPr>
        <w:id w:val="743077007"/>
        <w:docPartObj>
          <w:docPartGallery w:val="Page Numbers (Margins)"/>
          <w:docPartUnique/>
        </w:docPartObj>
      </w:sdtPr>
      <w:sdtEndPr/>
      <w:sdtContent>
        <w:r w:rsidR="00830FBE" w:rsidRPr="007E63D5">
          <w:rPr>
            <w:b/>
            <w:noProof/>
            <w:sz w:val="22"/>
            <w:lang w:val="es-MX" w:eastAsia="es-MX"/>
          </w:rPr>
          <mc:AlternateContent>
            <mc:Choice Requires="wps">
              <w:drawing>
                <wp:anchor distT="0" distB="0" distL="114300" distR="114300" simplePos="0" relativeHeight="251658241" behindDoc="0" locked="0" layoutInCell="0" allowOverlap="1" wp14:anchorId="7B8BC013" wp14:editId="3B549D9A">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66CCEC6F" w14:textId="77777777" w:rsidR="00830FBE" w:rsidRDefault="00830FBE">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C013"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oOS2lOQIAADEEAAAOAAAAAAAAAAAAAAAA&#10;AC4CAABkcnMvZTJvRG9jLnhtbFBLAQItABQABgAIAAAAIQBs1R/T2QAAAAUBAAAPAAAAAAAAAAAA&#10;AAAAAJMEAABkcnMvZG93bnJldi54bWxQSwUGAAAAAAQABADzAAAAmQUAAAAA&#10;" o:allowincell="f" stroked="f">
                  <v:textbo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66CCEC6F" w14:textId="77777777" w:rsidR="00830FBE" w:rsidRDefault="00830FBE">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298B48AE" w14:textId="77777777" w:rsidR="00830FBE" w:rsidRDefault="00830FBE" w:rsidP="002F6BEE">
    <w:pPr>
      <w:pStyle w:val="Encabezado"/>
      <w:rPr>
        <w:b/>
        <w:noProof/>
        <w:sz w:val="22"/>
        <w:lang w:eastAsia="es-ES"/>
      </w:rPr>
    </w:pPr>
  </w:p>
  <w:p w14:paraId="5F6FFB46" w14:textId="6EF616D4" w:rsidR="00830FBE" w:rsidRDefault="00830FBE" w:rsidP="002F6BEE">
    <w:pPr>
      <w:pStyle w:val="Encabezado"/>
      <w:rPr>
        <w:b/>
        <w:noProof/>
        <w:sz w:val="22"/>
        <w:lang w:eastAsia="es-ES"/>
      </w:rPr>
    </w:pPr>
    <w:r w:rsidRPr="00DF1A6E">
      <w:rPr>
        <w:b/>
        <w:noProof/>
        <w:sz w:val="22"/>
        <w:lang w:eastAsia="es-ES"/>
      </w:rPr>
      <w:t>SM-J</w:t>
    </w:r>
    <w:r>
      <w:rPr>
        <w:b/>
        <w:noProof/>
        <w:sz w:val="22"/>
        <w:lang w:eastAsia="es-ES"/>
      </w:rPr>
      <w:t>E</w:t>
    </w:r>
    <w:r w:rsidRPr="00DF1A6E">
      <w:rPr>
        <w:b/>
        <w:noProof/>
        <w:sz w:val="22"/>
        <w:lang w:eastAsia="es-ES"/>
      </w:rPr>
      <w:t>-</w:t>
    </w:r>
    <w:r>
      <w:rPr>
        <w:b/>
        <w:noProof/>
        <w:sz w:val="22"/>
        <w:lang w:eastAsia="es-ES"/>
      </w:rPr>
      <w:t>206</w:t>
    </w:r>
    <w:r w:rsidRPr="00DF1A6E">
      <w:rPr>
        <w:b/>
        <w:noProof/>
        <w:sz w:val="22"/>
        <w:lang w:eastAsia="es-ES"/>
      </w:rPr>
      <w:t>/20</w:t>
    </w:r>
    <w:r>
      <w:rPr>
        <w:b/>
        <w:noProof/>
        <w:sz w:val="22"/>
        <w:lang w:eastAsia="es-ES"/>
      </w:rPr>
      <w:t>21</w:t>
    </w:r>
  </w:p>
  <w:p w14:paraId="660791E1" w14:textId="77777777" w:rsidR="00830FBE" w:rsidRDefault="00830FBE" w:rsidP="002F6BEE">
    <w:pPr>
      <w:pStyle w:val="Encabezado"/>
      <w:rPr>
        <w:b/>
      </w:rPr>
    </w:pPr>
  </w:p>
  <w:p w14:paraId="4B7462B1" w14:textId="77777777" w:rsidR="00830FBE" w:rsidRPr="003F46B4" w:rsidRDefault="00830FBE" w:rsidP="002F6BEE">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E749" w14:textId="6CDE936C" w:rsidR="00830FBE" w:rsidRDefault="00830FBE" w:rsidP="002F6BEE">
    <w:pPr>
      <w:pStyle w:val="Encabezado"/>
      <w:jc w:val="right"/>
    </w:pPr>
  </w:p>
  <w:p w14:paraId="1B4C5261" w14:textId="2324C937" w:rsidR="00830FBE" w:rsidRDefault="00830FBE" w:rsidP="002F6BEE">
    <w:pPr>
      <w:pStyle w:val="Encabezado"/>
      <w:jc w:val="right"/>
    </w:pPr>
    <w:r w:rsidRPr="00A324D6">
      <w:rPr>
        <w:b/>
        <w:noProof/>
        <w:sz w:val="22"/>
        <w:lang w:val="es-MX" w:eastAsia="es-MX"/>
      </w:rPr>
      <w:drawing>
        <wp:anchor distT="0" distB="0" distL="114300" distR="114300" simplePos="0" relativeHeight="251658243" behindDoc="0" locked="0" layoutInCell="1" allowOverlap="1" wp14:anchorId="382EEACC" wp14:editId="15BE0E6B">
          <wp:simplePos x="0" y="0"/>
          <wp:positionH relativeFrom="column">
            <wp:posOffset>-1492250</wp:posOffset>
          </wp:positionH>
          <wp:positionV relativeFrom="paragraph">
            <wp:posOffset>-339090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11639" w14:textId="77777777" w:rsidR="00830FBE" w:rsidRDefault="00830FBE" w:rsidP="002F6BEE">
    <w:pPr>
      <w:pStyle w:val="Encabezado"/>
      <w:jc w:val="right"/>
    </w:pPr>
  </w:p>
  <w:p w14:paraId="76BE7161" w14:textId="5033F1AC" w:rsidR="00830FBE" w:rsidRDefault="00830FBE" w:rsidP="002F6BEE">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3FDB872F" wp14:editId="63DDF528">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6E63061C" w14:textId="77777777" w:rsidR="00830FBE" w:rsidRPr="009F45DC" w:rsidRDefault="00830FBE">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872F"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" o:allowincell="f" stroked="f">
              <v:textbox>
                <w:txbxContent>
                  <w:p w14:paraId="6E63061C" w14:textId="77777777" w:rsidR="00830FBE" w:rsidRPr="009F45DC" w:rsidRDefault="00830FBE">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JE-206</w:t>
    </w:r>
    <w:r w:rsidRPr="00DF1A6E">
      <w:rPr>
        <w:b/>
        <w:noProof/>
        <w:sz w:val="22"/>
        <w:lang w:eastAsia="es-ES"/>
      </w:rPr>
      <w:t>/20</w:t>
    </w:r>
    <w:r>
      <w:rPr>
        <w:b/>
        <w:noProof/>
        <w:sz w:val="22"/>
        <w:lang w:eastAsia="es-ES"/>
      </w:rPr>
      <w:t xml:space="preserve">21 </w:t>
    </w:r>
  </w:p>
  <w:p w14:paraId="03108CEE" w14:textId="77777777" w:rsidR="00830FBE" w:rsidRDefault="00830FBE" w:rsidP="002F6BEE">
    <w:pPr>
      <w:pStyle w:val="Encabezado"/>
      <w:jc w:val="right"/>
    </w:pPr>
  </w:p>
  <w:p w14:paraId="2CFB2F26" w14:textId="77777777" w:rsidR="00830FBE" w:rsidRDefault="00830FBE" w:rsidP="002F6BE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7B22" w14:textId="3AE0C61F" w:rsidR="00830FBE" w:rsidRDefault="00830FBE">
    <w:pPr>
      <w:pStyle w:val="Encabezado"/>
    </w:pPr>
  </w:p>
  <w:p w14:paraId="034FC110" w14:textId="6867AC21" w:rsidR="00830FBE" w:rsidRDefault="00830FBE">
    <w:pPr>
      <w:pStyle w:val="Encabezado"/>
    </w:pPr>
    <w:r>
      <w:rPr>
        <w:noProof/>
        <w:lang w:val="es-MX" w:eastAsia="es-MX"/>
      </w:rPr>
      <w:drawing>
        <wp:anchor distT="0" distB="0" distL="114300" distR="114300" simplePos="0" relativeHeight="251658242" behindDoc="0" locked="0" layoutInCell="1" allowOverlap="1" wp14:anchorId="5512ECA0" wp14:editId="4AA8A3E1">
          <wp:simplePos x="0" y="0"/>
          <wp:positionH relativeFrom="column">
            <wp:posOffset>-1438275</wp:posOffset>
          </wp:positionH>
          <wp:positionV relativeFrom="paragraph">
            <wp:posOffset>-314325</wp:posOffset>
          </wp:positionV>
          <wp:extent cx="1378800" cy="119160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E3863" w14:textId="77777777" w:rsidR="00830FBE" w:rsidRDefault="00830FBE">
    <w:pPr>
      <w:pStyle w:val="Encabezado"/>
    </w:pPr>
  </w:p>
  <w:p w14:paraId="27B602F0" w14:textId="77777777" w:rsidR="00830FBE" w:rsidRDefault="00830FBE">
    <w:pPr>
      <w:pStyle w:val="Encabezado"/>
    </w:pPr>
  </w:p>
  <w:p w14:paraId="0C9B7AEC" w14:textId="77777777" w:rsidR="00830FBE" w:rsidRDefault="00830FBE">
    <w:pPr>
      <w:pStyle w:val="Encabezado"/>
    </w:pPr>
  </w:p>
  <w:p w14:paraId="43C75905" w14:textId="77777777" w:rsidR="00830FBE" w:rsidRDefault="00830F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5C7"/>
    <w:multiLevelType w:val="hybridMultilevel"/>
    <w:tmpl w:val="9112D4A8"/>
    <w:lvl w:ilvl="0" w:tplc="CF7C5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AB0F8A"/>
    <w:multiLevelType w:val="hybridMultilevel"/>
    <w:tmpl w:val="B92445B0"/>
    <w:lvl w:ilvl="0" w:tplc="A154B98C">
      <w:start w:val="2"/>
      <w:numFmt w:val="bullet"/>
      <w:lvlText w:val="-"/>
      <w:lvlJc w:val="left"/>
      <w:pPr>
        <w:ind w:left="644" w:hanging="360"/>
      </w:pPr>
      <w:rPr>
        <w:rFonts w:ascii="Arial" w:eastAsiaTheme="minorHAns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2E095B1E"/>
    <w:multiLevelType w:val="hybridMultilevel"/>
    <w:tmpl w:val="35DA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021668"/>
    <w:multiLevelType w:val="hybridMultilevel"/>
    <w:tmpl w:val="125CA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32601D"/>
    <w:multiLevelType w:val="hybridMultilevel"/>
    <w:tmpl w:val="23CCA03C"/>
    <w:lvl w:ilvl="0" w:tplc="080A0017">
      <w:start w:val="1"/>
      <w:numFmt w:val="lowerLetter"/>
      <w:lvlText w:val="%1)"/>
      <w:lvlJc w:val="left"/>
      <w:pPr>
        <w:ind w:left="720" w:hanging="360"/>
      </w:pPr>
      <w:rPr>
        <w:b/>
        <w:bCs/>
      </w:rPr>
    </w:lvl>
    <w:lvl w:ilvl="1" w:tplc="080A0003">
      <w:numFmt w:val="decimal"/>
      <w:lvlText w:val="o"/>
      <w:lvlJc w:val="left"/>
      <w:pPr>
        <w:ind w:left="1440" w:hanging="360"/>
      </w:pPr>
      <w:rPr>
        <w:rFonts w:ascii="Courier New" w:hAnsi="Courier New" w:cs="Courier New" w:hint="default"/>
      </w:rPr>
    </w:lvl>
    <w:lvl w:ilvl="2" w:tplc="080A0005">
      <w:numFmt w:val="decimal"/>
      <w:lvlText w:val=""/>
      <w:lvlJc w:val="left"/>
      <w:pPr>
        <w:ind w:left="2160" w:hanging="360"/>
      </w:pPr>
      <w:rPr>
        <w:rFonts w:ascii="Wingdings" w:hAnsi="Wingdings" w:hint="default"/>
      </w:rPr>
    </w:lvl>
    <w:lvl w:ilvl="3" w:tplc="080A0001">
      <w:numFmt w:val="decimal"/>
      <w:lvlText w:val=""/>
      <w:lvlJc w:val="left"/>
      <w:pPr>
        <w:ind w:left="2880" w:hanging="360"/>
      </w:pPr>
      <w:rPr>
        <w:rFonts w:ascii="Symbol" w:hAnsi="Symbol" w:hint="default"/>
      </w:rPr>
    </w:lvl>
    <w:lvl w:ilvl="4" w:tplc="080A0003">
      <w:numFmt w:val="decimal"/>
      <w:lvlText w:val="o"/>
      <w:lvlJc w:val="left"/>
      <w:pPr>
        <w:ind w:left="3600" w:hanging="360"/>
      </w:pPr>
      <w:rPr>
        <w:rFonts w:ascii="Courier New" w:hAnsi="Courier New" w:cs="Courier New" w:hint="default"/>
      </w:rPr>
    </w:lvl>
    <w:lvl w:ilvl="5" w:tplc="080A0005">
      <w:numFmt w:val="decimal"/>
      <w:lvlText w:val=""/>
      <w:lvlJc w:val="left"/>
      <w:pPr>
        <w:ind w:left="4320" w:hanging="360"/>
      </w:pPr>
      <w:rPr>
        <w:rFonts w:ascii="Wingdings" w:hAnsi="Wingdings" w:hint="default"/>
      </w:rPr>
    </w:lvl>
    <w:lvl w:ilvl="6" w:tplc="080A0001">
      <w:numFmt w:val="decimal"/>
      <w:lvlText w:val=""/>
      <w:lvlJc w:val="left"/>
      <w:pPr>
        <w:ind w:left="5040" w:hanging="360"/>
      </w:pPr>
      <w:rPr>
        <w:rFonts w:ascii="Symbol" w:hAnsi="Symbol" w:hint="default"/>
      </w:rPr>
    </w:lvl>
    <w:lvl w:ilvl="7" w:tplc="080A0003">
      <w:numFmt w:val="decimal"/>
      <w:lvlText w:val="o"/>
      <w:lvlJc w:val="left"/>
      <w:pPr>
        <w:ind w:left="5760" w:hanging="360"/>
      </w:pPr>
      <w:rPr>
        <w:rFonts w:ascii="Courier New" w:hAnsi="Courier New" w:cs="Courier New" w:hint="default"/>
      </w:rPr>
    </w:lvl>
    <w:lvl w:ilvl="8" w:tplc="080A0005">
      <w:numFmt w:val="decimal"/>
      <w:lvlText w:val=""/>
      <w:lvlJc w:val="left"/>
      <w:pPr>
        <w:ind w:left="6480" w:hanging="360"/>
      </w:pPr>
      <w:rPr>
        <w:rFonts w:ascii="Wingdings" w:hAnsi="Wingdings" w:hint="default"/>
      </w:rPr>
    </w:lvl>
  </w:abstractNum>
  <w:abstractNum w:abstractNumId="14" w15:restartNumberingAfterBreak="0">
    <w:nsid w:val="4FA65E5C"/>
    <w:multiLevelType w:val="hybridMultilevel"/>
    <w:tmpl w:val="E02C994C"/>
    <w:lvl w:ilvl="0" w:tplc="080A0001">
      <w:start w:val="1"/>
      <w:numFmt w:val="bullet"/>
      <w:lvlText w:val=""/>
      <w:lvlJc w:val="left"/>
      <w:pPr>
        <w:ind w:left="1770" w:hanging="360"/>
      </w:pPr>
      <w:rPr>
        <w:rFonts w:ascii="Symbol" w:hAnsi="Symbo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5"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82958C2"/>
    <w:multiLevelType w:val="hybridMultilevel"/>
    <w:tmpl w:val="CCD472C8"/>
    <w:lvl w:ilvl="0" w:tplc="1F3450D8">
      <w:start w:val="2"/>
      <w:numFmt w:val="bullet"/>
      <w:lvlText w:val="-"/>
      <w:lvlJc w:val="left"/>
      <w:pPr>
        <w:ind w:left="644" w:hanging="360"/>
      </w:pPr>
      <w:rPr>
        <w:rFonts w:ascii="Arial" w:eastAsiaTheme="minorHAns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15:restartNumberingAfterBreak="0">
    <w:nsid w:val="5A165153"/>
    <w:multiLevelType w:val="multilevel"/>
    <w:tmpl w:val="FB626C84"/>
    <w:lvl w:ilvl="0">
      <w:start w:val="1"/>
      <w:numFmt w:val="decimal"/>
      <w:lvlText w:val="%1."/>
      <w:lvlJc w:val="left"/>
      <w:pPr>
        <w:ind w:left="360" w:hanging="360"/>
      </w:pPr>
      <w:rPr>
        <w:b/>
      </w:rPr>
    </w:lvl>
    <w:lvl w:ilvl="1">
      <w:start w:val="1"/>
      <w:numFmt w:val="decimal"/>
      <w:isLgl/>
      <w:lvlText w:val="%1.%2."/>
      <w:lvlJc w:val="left"/>
      <w:pPr>
        <w:ind w:left="1713" w:hanging="720"/>
      </w:pPr>
      <w:rPr>
        <w:b/>
        <w:i w:val="0"/>
      </w:rPr>
    </w:lvl>
    <w:lvl w:ilvl="2">
      <w:start w:val="1"/>
      <w:numFmt w:val="decimal"/>
      <w:isLgl/>
      <w:lvlText w:val="%1.%2.%3."/>
      <w:lvlJc w:val="left"/>
      <w:pPr>
        <w:ind w:left="720" w:hanging="720"/>
      </w:pPr>
      <w:rPr>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8" w15:restartNumberingAfterBreak="0">
    <w:nsid w:val="616C3055"/>
    <w:multiLevelType w:val="hybridMultilevel"/>
    <w:tmpl w:val="9B5CB05C"/>
    <w:lvl w:ilvl="0" w:tplc="0F9ADDC0">
      <w:start w:val="2"/>
      <w:numFmt w:val="bullet"/>
      <w:lvlText w:val="-"/>
      <w:lvlJc w:val="left"/>
      <w:pPr>
        <w:ind w:left="644" w:hanging="360"/>
      </w:pPr>
      <w:rPr>
        <w:rFonts w:ascii="Arial" w:eastAsiaTheme="minorHAns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9"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D12CE"/>
    <w:multiLevelType w:val="hybridMultilevel"/>
    <w:tmpl w:val="CDFE234C"/>
    <w:lvl w:ilvl="0" w:tplc="DF4E6576">
      <w:start w:val="6"/>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BB1623"/>
    <w:multiLevelType w:val="hybridMultilevel"/>
    <w:tmpl w:val="9C8E7164"/>
    <w:lvl w:ilvl="0" w:tplc="9D88077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8"/>
  </w:num>
  <w:num w:numId="4">
    <w:abstractNumId w:val="24"/>
  </w:num>
  <w:num w:numId="5">
    <w:abstractNumId w:val="26"/>
  </w:num>
  <w:num w:numId="6">
    <w:abstractNumId w:val="9"/>
  </w:num>
  <w:num w:numId="7">
    <w:abstractNumId w:val="7"/>
  </w:num>
  <w:num w:numId="8">
    <w:abstractNumId w:val="19"/>
  </w:num>
  <w:num w:numId="9">
    <w:abstractNumId w:val="15"/>
  </w:num>
  <w:num w:numId="10">
    <w:abstractNumId w:val="3"/>
  </w:num>
  <w:num w:numId="11">
    <w:abstractNumId w:val="11"/>
  </w:num>
  <w:num w:numId="12">
    <w:abstractNumId w:val="4"/>
  </w:num>
  <w:num w:numId="13">
    <w:abstractNumId w:val="25"/>
  </w:num>
  <w:num w:numId="14">
    <w:abstractNumId w:val="1"/>
  </w:num>
  <w:num w:numId="15">
    <w:abstractNumId w:val="12"/>
  </w:num>
  <w:num w:numId="16">
    <w:abstractNumId w:val="20"/>
  </w:num>
  <w:num w:numId="17">
    <w:abstractNumId w:val="23"/>
  </w:num>
  <w:num w:numId="18">
    <w:abstractNumId w:val="27"/>
  </w:num>
  <w:num w:numId="19">
    <w:abstractNumId w:val="6"/>
  </w:num>
  <w:num w:numId="20">
    <w:abstractNumId w:val="10"/>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1"/>
  </w:num>
  <w:num w:numId="26">
    <w:abstractNumId w:val="16"/>
  </w:num>
  <w:num w:numId="27">
    <w:abstractNumId w:val="0"/>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00EE"/>
    <w:rsid w:val="0000022B"/>
    <w:rsid w:val="00001991"/>
    <w:rsid w:val="00002DB0"/>
    <w:rsid w:val="00003834"/>
    <w:rsid w:val="00004312"/>
    <w:rsid w:val="00006800"/>
    <w:rsid w:val="000070DF"/>
    <w:rsid w:val="00007C78"/>
    <w:rsid w:val="00010871"/>
    <w:rsid w:val="00010F89"/>
    <w:rsid w:val="0001148F"/>
    <w:rsid w:val="00011900"/>
    <w:rsid w:val="0001254C"/>
    <w:rsid w:val="000126D4"/>
    <w:rsid w:val="00014605"/>
    <w:rsid w:val="000154FF"/>
    <w:rsid w:val="00015574"/>
    <w:rsid w:val="0001621C"/>
    <w:rsid w:val="00016571"/>
    <w:rsid w:val="00016FA7"/>
    <w:rsid w:val="00017383"/>
    <w:rsid w:val="000174EF"/>
    <w:rsid w:val="00017956"/>
    <w:rsid w:val="000206EF"/>
    <w:rsid w:val="000209FB"/>
    <w:rsid w:val="00020D16"/>
    <w:rsid w:val="000213A2"/>
    <w:rsid w:val="0002160E"/>
    <w:rsid w:val="00021A66"/>
    <w:rsid w:val="00021A6E"/>
    <w:rsid w:val="0002377D"/>
    <w:rsid w:val="000245B3"/>
    <w:rsid w:val="00025F20"/>
    <w:rsid w:val="00026340"/>
    <w:rsid w:val="00026755"/>
    <w:rsid w:val="000269AA"/>
    <w:rsid w:val="000274B2"/>
    <w:rsid w:val="00027EEF"/>
    <w:rsid w:val="0003170D"/>
    <w:rsid w:val="000328AC"/>
    <w:rsid w:val="00032EE4"/>
    <w:rsid w:val="00032F41"/>
    <w:rsid w:val="00033204"/>
    <w:rsid w:val="00033415"/>
    <w:rsid w:val="000334C9"/>
    <w:rsid w:val="00033E41"/>
    <w:rsid w:val="000351C6"/>
    <w:rsid w:val="000372F6"/>
    <w:rsid w:val="0003748B"/>
    <w:rsid w:val="000379A4"/>
    <w:rsid w:val="00040BA8"/>
    <w:rsid w:val="00040D4C"/>
    <w:rsid w:val="0004100F"/>
    <w:rsid w:val="000414D8"/>
    <w:rsid w:val="00042A18"/>
    <w:rsid w:val="00045D0F"/>
    <w:rsid w:val="0004632F"/>
    <w:rsid w:val="00046488"/>
    <w:rsid w:val="000472A7"/>
    <w:rsid w:val="00047332"/>
    <w:rsid w:val="00047899"/>
    <w:rsid w:val="00050E64"/>
    <w:rsid w:val="00052C97"/>
    <w:rsid w:val="00055100"/>
    <w:rsid w:val="00055151"/>
    <w:rsid w:val="0005541D"/>
    <w:rsid w:val="00057440"/>
    <w:rsid w:val="00057B0D"/>
    <w:rsid w:val="00057F0C"/>
    <w:rsid w:val="00060738"/>
    <w:rsid w:val="00061F7B"/>
    <w:rsid w:val="00063317"/>
    <w:rsid w:val="00063714"/>
    <w:rsid w:val="0006383D"/>
    <w:rsid w:val="00064452"/>
    <w:rsid w:val="00064B09"/>
    <w:rsid w:val="00065525"/>
    <w:rsid w:val="00066009"/>
    <w:rsid w:val="0006635C"/>
    <w:rsid w:val="000667AD"/>
    <w:rsid w:val="00066F7B"/>
    <w:rsid w:val="00070EA3"/>
    <w:rsid w:val="00073495"/>
    <w:rsid w:val="00074C12"/>
    <w:rsid w:val="0007502D"/>
    <w:rsid w:val="000757FB"/>
    <w:rsid w:val="000775E2"/>
    <w:rsid w:val="000778E8"/>
    <w:rsid w:val="00077AE8"/>
    <w:rsid w:val="00077C97"/>
    <w:rsid w:val="0008054E"/>
    <w:rsid w:val="0008192E"/>
    <w:rsid w:val="00082122"/>
    <w:rsid w:val="00083AD2"/>
    <w:rsid w:val="00083C37"/>
    <w:rsid w:val="0008547B"/>
    <w:rsid w:val="00085AE9"/>
    <w:rsid w:val="00085BDF"/>
    <w:rsid w:val="000867EE"/>
    <w:rsid w:val="0008716C"/>
    <w:rsid w:val="000876C4"/>
    <w:rsid w:val="00087BAB"/>
    <w:rsid w:val="0009027E"/>
    <w:rsid w:val="00090F6C"/>
    <w:rsid w:val="000917A6"/>
    <w:rsid w:val="000917C6"/>
    <w:rsid w:val="0009315D"/>
    <w:rsid w:val="00093759"/>
    <w:rsid w:val="00094077"/>
    <w:rsid w:val="00094B6D"/>
    <w:rsid w:val="00095068"/>
    <w:rsid w:val="00095EFA"/>
    <w:rsid w:val="00096028"/>
    <w:rsid w:val="00096261"/>
    <w:rsid w:val="000965FC"/>
    <w:rsid w:val="000972A5"/>
    <w:rsid w:val="000A086F"/>
    <w:rsid w:val="000A1007"/>
    <w:rsid w:val="000A1995"/>
    <w:rsid w:val="000A2295"/>
    <w:rsid w:val="000A2446"/>
    <w:rsid w:val="000A3D0B"/>
    <w:rsid w:val="000A4A3A"/>
    <w:rsid w:val="000A4B4F"/>
    <w:rsid w:val="000A4BCD"/>
    <w:rsid w:val="000A6013"/>
    <w:rsid w:val="000A6193"/>
    <w:rsid w:val="000B1BCC"/>
    <w:rsid w:val="000B1F83"/>
    <w:rsid w:val="000B25B4"/>
    <w:rsid w:val="000B407A"/>
    <w:rsid w:val="000B61FB"/>
    <w:rsid w:val="000B6776"/>
    <w:rsid w:val="000B6C92"/>
    <w:rsid w:val="000B7ABC"/>
    <w:rsid w:val="000C0F2E"/>
    <w:rsid w:val="000C0F34"/>
    <w:rsid w:val="000C2959"/>
    <w:rsid w:val="000C44F3"/>
    <w:rsid w:val="000C4573"/>
    <w:rsid w:val="000C46E4"/>
    <w:rsid w:val="000C5176"/>
    <w:rsid w:val="000C575C"/>
    <w:rsid w:val="000C5E82"/>
    <w:rsid w:val="000C6676"/>
    <w:rsid w:val="000D08B1"/>
    <w:rsid w:val="000D09F2"/>
    <w:rsid w:val="000D1576"/>
    <w:rsid w:val="000D176B"/>
    <w:rsid w:val="000D36DD"/>
    <w:rsid w:val="000D370D"/>
    <w:rsid w:val="000D409C"/>
    <w:rsid w:val="000D444F"/>
    <w:rsid w:val="000D4927"/>
    <w:rsid w:val="000D4E1A"/>
    <w:rsid w:val="000D5A9C"/>
    <w:rsid w:val="000D7706"/>
    <w:rsid w:val="000E122C"/>
    <w:rsid w:val="000E1327"/>
    <w:rsid w:val="000E1BA4"/>
    <w:rsid w:val="000E28D8"/>
    <w:rsid w:val="000E32FC"/>
    <w:rsid w:val="000E419A"/>
    <w:rsid w:val="000E4514"/>
    <w:rsid w:val="000E45BB"/>
    <w:rsid w:val="000E4C3D"/>
    <w:rsid w:val="000E4DB0"/>
    <w:rsid w:val="000E53CF"/>
    <w:rsid w:val="000E5D93"/>
    <w:rsid w:val="000E7140"/>
    <w:rsid w:val="000E7242"/>
    <w:rsid w:val="000E7820"/>
    <w:rsid w:val="000F13DB"/>
    <w:rsid w:val="000F17AB"/>
    <w:rsid w:val="000F1813"/>
    <w:rsid w:val="000F1E06"/>
    <w:rsid w:val="000F2488"/>
    <w:rsid w:val="000F2702"/>
    <w:rsid w:val="000F2B09"/>
    <w:rsid w:val="000F2EA8"/>
    <w:rsid w:val="000F3873"/>
    <w:rsid w:val="000F4A3B"/>
    <w:rsid w:val="000F57AF"/>
    <w:rsid w:val="000F5877"/>
    <w:rsid w:val="000F59F3"/>
    <w:rsid w:val="000F63DC"/>
    <w:rsid w:val="000F72C4"/>
    <w:rsid w:val="000F7480"/>
    <w:rsid w:val="000F7EF0"/>
    <w:rsid w:val="000F7F40"/>
    <w:rsid w:val="00100376"/>
    <w:rsid w:val="00100F85"/>
    <w:rsid w:val="001028ED"/>
    <w:rsid w:val="00102C2B"/>
    <w:rsid w:val="0010599F"/>
    <w:rsid w:val="001062D3"/>
    <w:rsid w:val="00106AA7"/>
    <w:rsid w:val="001108EF"/>
    <w:rsid w:val="00110DCA"/>
    <w:rsid w:val="0011107D"/>
    <w:rsid w:val="00112610"/>
    <w:rsid w:val="00112F0C"/>
    <w:rsid w:val="001130F3"/>
    <w:rsid w:val="00114955"/>
    <w:rsid w:val="001149BF"/>
    <w:rsid w:val="001156BB"/>
    <w:rsid w:val="001162C2"/>
    <w:rsid w:val="00120209"/>
    <w:rsid w:val="00120528"/>
    <w:rsid w:val="001211CB"/>
    <w:rsid w:val="001218F9"/>
    <w:rsid w:val="00121979"/>
    <w:rsid w:val="001229B3"/>
    <w:rsid w:val="00122A35"/>
    <w:rsid w:val="00123D75"/>
    <w:rsid w:val="00123E1C"/>
    <w:rsid w:val="00125069"/>
    <w:rsid w:val="00125E93"/>
    <w:rsid w:val="001266A1"/>
    <w:rsid w:val="00126D73"/>
    <w:rsid w:val="0012784B"/>
    <w:rsid w:val="001304B9"/>
    <w:rsid w:val="00130D15"/>
    <w:rsid w:val="001313CF"/>
    <w:rsid w:val="0013163D"/>
    <w:rsid w:val="001325D2"/>
    <w:rsid w:val="001328B3"/>
    <w:rsid w:val="00133BBA"/>
    <w:rsid w:val="00133C47"/>
    <w:rsid w:val="001360AF"/>
    <w:rsid w:val="001360DE"/>
    <w:rsid w:val="00136116"/>
    <w:rsid w:val="001362ED"/>
    <w:rsid w:val="00136C9D"/>
    <w:rsid w:val="00136E93"/>
    <w:rsid w:val="001375AE"/>
    <w:rsid w:val="00137F7A"/>
    <w:rsid w:val="0014107B"/>
    <w:rsid w:val="00141D0B"/>
    <w:rsid w:val="00143B4C"/>
    <w:rsid w:val="0014408D"/>
    <w:rsid w:val="00144787"/>
    <w:rsid w:val="00144E0E"/>
    <w:rsid w:val="00145B54"/>
    <w:rsid w:val="00146B8E"/>
    <w:rsid w:val="00146BA3"/>
    <w:rsid w:val="00146D6E"/>
    <w:rsid w:val="00147172"/>
    <w:rsid w:val="001507DA"/>
    <w:rsid w:val="00150F3A"/>
    <w:rsid w:val="0015129D"/>
    <w:rsid w:val="00151947"/>
    <w:rsid w:val="0015305C"/>
    <w:rsid w:val="00153270"/>
    <w:rsid w:val="00153444"/>
    <w:rsid w:val="00153A00"/>
    <w:rsid w:val="001544E0"/>
    <w:rsid w:val="00154D0C"/>
    <w:rsid w:val="00154EB5"/>
    <w:rsid w:val="00156149"/>
    <w:rsid w:val="00156FA8"/>
    <w:rsid w:val="00157206"/>
    <w:rsid w:val="001607E3"/>
    <w:rsid w:val="001613B7"/>
    <w:rsid w:val="00161784"/>
    <w:rsid w:val="00161DFA"/>
    <w:rsid w:val="001621BB"/>
    <w:rsid w:val="0016280E"/>
    <w:rsid w:val="00163298"/>
    <w:rsid w:val="0016388A"/>
    <w:rsid w:val="00163D2D"/>
    <w:rsid w:val="00163D44"/>
    <w:rsid w:val="00163E71"/>
    <w:rsid w:val="001644CE"/>
    <w:rsid w:val="0016613D"/>
    <w:rsid w:val="0017053C"/>
    <w:rsid w:val="001709EC"/>
    <w:rsid w:val="001712A7"/>
    <w:rsid w:val="00171403"/>
    <w:rsid w:val="001715F8"/>
    <w:rsid w:val="001716E4"/>
    <w:rsid w:val="00171C58"/>
    <w:rsid w:val="0017213A"/>
    <w:rsid w:val="00172479"/>
    <w:rsid w:val="00172C3C"/>
    <w:rsid w:val="00172F12"/>
    <w:rsid w:val="00173E5B"/>
    <w:rsid w:val="00175488"/>
    <w:rsid w:val="00175764"/>
    <w:rsid w:val="001764A9"/>
    <w:rsid w:val="001777A7"/>
    <w:rsid w:val="0017783E"/>
    <w:rsid w:val="00177BC9"/>
    <w:rsid w:val="0018004D"/>
    <w:rsid w:val="00180077"/>
    <w:rsid w:val="001819FC"/>
    <w:rsid w:val="00182B5D"/>
    <w:rsid w:val="00183CC3"/>
    <w:rsid w:val="00184832"/>
    <w:rsid w:val="00184B67"/>
    <w:rsid w:val="001860A3"/>
    <w:rsid w:val="00186522"/>
    <w:rsid w:val="00187016"/>
    <w:rsid w:val="0019207B"/>
    <w:rsid w:val="00192638"/>
    <w:rsid w:val="001926CE"/>
    <w:rsid w:val="00193B02"/>
    <w:rsid w:val="00194AF5"/>
    <w:rsid w:val="00194BC7"/>
    <w:rsid w:val="001954C9"/>
    <w:rsid w:val="00196347"/>
    <w:rsid w:val="00196EFE"/>
    <w:rsid w:val="001972A8"/>
    <w:rsid w:val="001972E6"/>
    <w:rsid w:val="00197483"/>
    <w:rsid w:val="00197BED"/>
    <w:rsid w:val="001A1EF2"/>
    <w:rsid w:val="001A1F3D"/>
    <w:rsid w:val="001A3EF9"/>
    <w:rsid w:val="001A460F"/>
    <w:rsid w:val="001A4BB4"/>
    <w:rsid w:val="001A5521"/>
    <w:rsid w:val="001A5D3C"/>
    <w:rsid w:val="001A740F"/>
    <w:rsid w:val="001B0DAB"/>
    <w:rsid w:val="001B1D1C"/>
    <w:rsid w:val="001B1DDF"/>
    <w:rsid w:val="001B24E5"/>
    <w:rsid w:val="001B3C29"/>
    <w:rsid w:val="001B3E83"/>
    <w:rsid w:val="001B46AD"/>
    <w:rsid w:val="001B49C4"/>
    <w:rsid w:val="001B5D59"/>
    <w:rsid w:val="001B5E9C"/>
    <w:rsid w:val="001B72DE"/>
    <w:rsid w:val="001C0152"/>
    <w:rsid w:val="001C0E62"/>
    <w:rsid w:val="001C0E79"/>
    <w:rsid w:val="001C10FC"/>
    <w:rsid w:val="001C11FD"/>
    <w:rsid w:val="001C1D78"/>
    <w:rsid w:val="001C2468"/>
    <w:rsid w:val="001C2822"/>
    <w:rsid w:val="001C3228"/>
    <w:rsid w:val="001C3CA0"/>
    <w:rsid w:val="001C3CB7"/>
    <w:rsid w:val="001C3F61"/>
    <w:rsid w:val="001C4297"/>
    <w:rsid w:val="001C49B1"/>
    <w:rsid w:val="001C4B4B"/>
    <w:rsid w:val="001C5263"/>
    <w:rsid w:val="001C5823"/>
    <w:rsid w:val="001C7744"/>
    <w:rsid w:val="001D19C4"/>
    <w:rsid w:val="001D1E1E"/>
    <w:rsid w:val="001D36E2"/>
    <w:rsid w:val="001D4F89"/>
    <w:rsid w:val="001D59FE"/>
    <w:rsid w:val="001D5D11"/>
    <w:rsid w:val="001E0F4F"/>
    <w:rsid w:val="001E5772"/>
    <w:rsid w:val="001E7742"/>
    <w:rsid w:val="001E7BC8"/>
    <w:rsid w:val="001F128B"/>
    <w:rsid w:val="001F22C5"/>
    <w:rsid w:val="001F2C43"/>
    <w:rsid w:val="001F2D7D"/>
    <w:rsid w:val="001F3606"/>
    <w:rsid w:val="001F38DA"/>
    <w:rsid w:val="001F390E"/>
    <w:rsid w:val="001F3BF6"/>
    <w:rsid w:val="001F42C3"/>
    <w:rsid w:val="001F4A96"/>
    <w:rsid w:val="001F7031"/>
    <w:rsid w:val="001F7170"/>
    <w:rsid w:val="00200392"/>
    <w:rsid w:val="00200787"/>
    <w:rsid w:val="00200C6E"/>
    <w:rsid w:val="0020279A"/>
    <w:rsid w:val="00202865"/>
    <w:rsid w:val="00203073"/>
    <w:rsid w:val="0020419A"/>
    <w:rsid w:val="00204727"/>
    <w:rsid w:val="00204F71"/>
    <w:rsid w:val="00206B30"/>
    <w:rsid w:val="00207FAC"/>
    <w:rsid w:val="00210180"/>
    <w:rsid w:val="0021079F"/>
    <w:rsid w:val="00210B8F"/>
    <w:rsid w:val="00212AA3"/>
    <w:rsid w:val="00212EBD"/>
    <w:rsid w:val="002136EF"/>
    <w:rsid w:val="0021484B"/>
    <w:rsid w:val="00216ACE"/>
    <w:rsid w:val="002170FD"/>
    <w:rsid w:val="00220D1F"/>
    <w:rsid w:val="002210C1"/>
    <w:rsid w:val="0022277D"/>
    <w:rsid w:val="00222CD0"/>
    <w:rsid w:val="002242A3"/>
    <w:rsid w:val="002252DA"/>
    <w:rsid w:val="0022551B"/>
    <w:rsid w:val="00226498"/>
    <w:rsid w:val="00226886"/>
    <w:rsid w:val="002268DF"/>
    <w:rsid w:val="00227605"/>
    <w:rsid w:val="00230A89"/>
    <w:rsid w:val="00230B89"/>
    <w:rsid w:val="002323E6"/>
    <w:rsid w:val="0023281C"/>
    <w:rsid w:val="00232E50"/>
    <w:rsid w:val="002332ED"/>
    <w:rsid w:val="002335D2"/>
    <w:rsid w:val="00233C92"/>
    <w:rsid w:val="00233DDC"/>
    <w:rsid w:val="002341FC"/>
    <w:rsid w:val="00234A27"/>
    <w:rsid w:val="002371DE"/>
    <w:rsid w:val="0023790F"/>
    <w:rsid w:val="00237CC4"/>
    <w:rsid w:val="00240021"/>
    <w:rsid w:val="0024067A"/>
    <w:rsid w:val="002410A3"/>
    <w:rsid w:val="00241A0F"/>
    <w:rsid w:val="00241ACB"/>
    <w:rsid w:val="00241BA4"/>
    <w:rsid w:val="00241F2E"/>
    <w:rsid w:val="00243172"/>
    <w:rsid w:val="00243F18"/>
    <w:rsid w:val="00244096"/>
    <w:rsid w:val="002444DB"/>
    <w:rsid w:val="002446D8"/>
    <w:rsid w:val="00244773"/>
    <w:rsid w:val="00245923"/>
    <w:rsid w:val="00247799"/>
    <w:rsid w:val="00250BB0"/>
    <w:rsid w:val="00250F72"/>
    <w:rsid w:val="00251372"/>
    <w:rsid w:val="002535C8"/>
    <w:rsid w:val="00254050"/>
    <w:rsid w:val="00256E0B"/>
    <w:rsid w:val="002623E2"/>
    <w:rsid w:val="0026311E"/>
    <w:rsid w:val="0026538A"/>
    <w:rsid w:val="002656A7"/>
    <w:rsid w:val="002663CC"/>
    <w:rsid w:val="00266AB4"/>
    <w:rsid w:val="002704FB"/>
    <w:rsid w:val="0027066B"/>
    <w:rsid w:val="00271AF1"/>
    <w:rsid w:val="00271D2C"/>
    <w:rsid w:val="00272F59"/>
    <w:rsid w:val="002731D4"/>
    <w:rsid w:val="00274A3C"/>
    <w:rsid w:val="00274A47"/>
    <w:rsid w:val="00275A63"/>
    <w:rsid w:val="0027608D"/>
    <w:rsid w:val="00276512"/>
    <w:rsid w:val="00276A7A"/>
    <w:rsid w:val="00277B94"/>
    <w:rsid w:val="00281401"/>
    <w:rsid w:val="00281ECA"/>
    <w:rsid w:val="002828CA"/>
    <w:rsid w:val="00283B0D"/>
    <w:rsid w:val="00285239"/>
    <w:rsid w:val="00285427"/>
    <w:rsid w:val="002854AD"/>
    <w:rsid w:val="00286057"/>
    <w:rsid w:val="0028612D"/>
    <w:rsid w:val="00286B60"/>
    <w:rsid w:val="0028774F"/>
    <w:rsid w:val="00287BFA"/>
    <w:rsid w:val="00290682"/>
    <w:rsid w:val="00290B09"/>
    <w:rsid w:val="00290BDF"/>
    <w:rsid w:val="002927E1"/>
    <w:rsid w:val="00292857"/>
    <w:rsid w:val="00292C26"/>
    <w:rsid w:val="002933BC"/>
    <w:rsid w:val="00293409"/>
    <w:rsid w:val="0029495A"/>
    <w:rsid w:val="002953AB"/>
    <w:rsid w:val="002959F1"/>
    <w:rsid w:val="002963D2"/>
    <w:rsid w:val="002A0D85"/>
    <w:rsid w:val="002A15F8"/>
    <w:rsid w:val="002A1F84"/>
    <w:rsid w:val="002A2A50"/>
    <w:rsid w:val="002A2AD1"/>
    <w:rsid w:val="002A4C1F"/>
    <w:rsid w:val="002A4EF6"/>
    <w:rsid w:val="002A5DDA"/>
    <w:rsid w:val="002A6014"/>
    <w:rsid w:val="002A79FA"/>
    <w:rsid w:val="002B0F8D"/>
    <w:rsid w:val="002B167C"/>
    <w:rsid w:val="002B2036"/>
    <w:rsid w:val="002B2A4F"/>
    <w:rsid w:val="002B2F21"/>
    <w:rsid w:val="002B3F56"/>
    <w:rsid w:val="002B4FF1"/>
    <w:rsid w:val="002B5BF0"/>
    <w:rsid w:val="002B62AD"/>
    <w:rsid w:val="002B6DA0"/>
    <w:rsid w:val="002B6F35"/>
    <w:rsid w:val="002C0795"/>
    <w:rsid w:val="002C0D9A"/>
    <w:rsid w:val="002C1191"/>
    <w:rsid w:val="002C12EB"/>
    <w:rsid w:val="002C1AA5"/>
    <w:rsid w:val="002C2017"/>
    <w:rsid w:val="002C2928"/>
    <w:rsid w:val="002C2D21"/>
    <w:rsid w:val="002C36FA"/>
    <w:rsid w:val="002C37E6"/>
    <w:rsid w:val="002C3C94"/>
    <w:rsid w:val="002C4184"/>
    <w:rsid w:val="002C5EE3"/>
    <w:rsid w:val="002C7886"/>
    <w:rsid w:val="002D02D9"/>
    <w:rsid w:val="002D19A4"/>
    <w:rsid w:val="002D1A07"/>
    <w:rsid w:val="002D2422"/>
    <w:rsid w:val="002D3932"/>
    <w:rsid w:val="002D3A09"/>
    <w:rsid w:val="002D4B2B"/>
    <w:rsid w:val="002D5360"/>
    <w:rsid w:val="002D5737"/>
    <w:rsid w:val="002D627A"/>
    <w:rsid w:val="002D6AC3"/>
    <w:rsid w:val="002D6ADD"/>
    <w:rsid w:val="002D7FCE"/>
    <w:rsid w:val="002E0673"/>
    <w:rsid w:val="002E0C3B"/>
    <w:rsid w:val="002E184F"/>
    <w:rsid w:val="002E273D"/>
    <w:rsid w:val="002E289A"/>
    <w:rsid w:val="002E2A3D"/>
    <w:rsid w:val="002E3D6C"/>
    <w:rsid w:val="002E44BE"/>
    <w:rsid w:val="002E5729"/>
    <w:rsid w:val="002E61FF"/>
    <w:rsid w:val="002E686E"/>
    <w:rsid w:val="002E7100"/>
    <w:rsid w:val="002E7D69"/>
    <w:rsid w:val="002F20FB"/>
    <w:rsid w:val="002F250D"/>
    <w:rsid w:val="002F2681"/>
    <w:rsid w:val="002F2C01"/>
    <w:rsid w:val="002F32AA"/>
    <w:rsid w:val="002F33D4"/>
    <w:rsid w:val="002F45D2"/>
    <w:rsid w:val="002F4702"/>
    <w:rsid w:val="002F570B"/>
    <w:rsid w:val="002F5A16"/>
    <w:rsid w:val="002F5B31"/>
    <w:rsid w:val="002F5DDC"/>
    <w:rsid w:val="002F6811"/>
    <w:rsid w:val="002F6BEE"/>
    <w:rsid w:val="002F6F6B"/>
    <w:rsid w:val="0030148E"/>
    <w:rsid w:val="0030218D"/>
    <w:rsid w:val="0030266D"/>
    <w:rsid w:val="00302C44"/>
    <w:rsid w:val="003032DB"/>
    <w:rsid w:val="003053B9"/>
    <w:rsid w:val="00305470"/>
    <w:rsid w:val="003054F4"/>
    <w:rsid w:val="00310DBD"/>
    <w:rsid w:val="003111D0"/>
    <w:rsid w:val="00312030"/>
    <w:rsid w:val="003120C6"/>
    <w:rsid w:val="003128F4"/>
    <w:rsid w:val="00312B48"/>
    <w:rsid w:val="00312B71"/>
    <w:rsid w:val="0031362C"/>
    <w:rsid w:val="00313BD6"/>
    <w:rsid w:val="00313C43"/>
    <w:rsid w:val="00315094"/>
    <w:rsid w:val="003150ED"/>
    <w:rsid w:val="00315344"/>
    <w:rsid w:val="00315667"/>
    <w:rsid w:val="00315B44"/>
    <w:rsid w:val="00315C18"/>
    <w:rsid w:val="00316171"/>
    <w:rsid w:val="003162B0"/>
    <w:rsid w:val="0031646B"/>
    <w:rsid w:val="00317932"/>
    <w:rsid w:val="0032398C"/>
    <w:rsid w:val="00323C0C"/>
    <w:rsid w:val="003246A6"/>
    <w:rsid w:val="003262E8"/>
    <w:rsid w:val="0032676A"/>
    <w:rsid w:val="00327FAB"/>
    <w:rsid w:val="00330A39"/>
    <w:rsid w:val="00330EF6"/>
    <w:rsid w:val="00331461"/>
    <w:rsid w:val="0033521A"/>
    <w:rsid w:val="0033555B"/>
    <w:rsid w:val="003369C1"/>
    <w:rsid w:val="003369D1"/>
    <w:rsid w:val="00336FDF"/>
    <w:rsid w:val="003435BC"/>
    <w:rsid w:val="00343F39"/>
    <w:rsid w:val="00345C18"/>
    <w:rsid w:val="00346754"/>
    <w:rsid w:val="0034723E"/>
    <w:rsid w:val="003479CA"/>
    <w:rsid w:val="00347E4F"/>
    <w:rsid w:val="003500AE"/>
    <w:rsid w:val="00351244"/>
    <w:rsid w:val="003514F6"/>
    <w:rsid w:val="00352324"/>
    <w:rsid w:val="003534EA"/>
    <w:rsid w:val="003547CF"/>
    <w:rsid w:val="003551C5"/>
    <w:rsid w:val="00355D96"/>
    <w:rsid w:val="003570C9"/>
    <w:rsid w:val="00357762"/>
    <w:rsid w:val="0035782F"/>
    <w:rsid w:val="00357B85"/>
    <w:rsid w:val="00360287"/>
    <w:rsid w:val="00360FFB"/>
    <w:rsid w:val="0036269A"/>
    <w:rsid w:val="003641CF"/>
    <w:rsid w:val="003653A4"/>
    <w:rsid w:val="0036547E"/>
    <w:rsid w:val="003663FC"/>
    <w:rsid w:val="00366B77"/>
    <w:rsid w:val="00370714"/>
    <w:rsid w:val="00370C6B"/>
    <w:rsid w:val="00370E0A"/>
    <w:rsid w:val="00371D33"/>
    <w:rsid w:val="00372827"/>
    <w:rsid w:val="00373B9F"/>
    <w:rsid w:val="00373D1C"/>
    <w:rsid w:val="003801CB"/>
    <w:rsid w:val="00380C99"/>
    <w:rsid w:val="00380E1F"/>
    <w:rsid w:val="00381105"/>
    <w:rsid w:val="003818F0"/>
    <w:rsid w:val="003820BD"/>
    <w:rsid w:val="0038359D"/>
    <w:rsid w:val="0038469E"/>
    <w:rsid w:val="003846ED"/>
    <w:rsid w:val="003849C0"/>
    <w:rsid w:val="0038640C"/>
    <w:rsid w:val="003869CC"/>
    <w:rsid w:val="00386F65"/>
    <w:rsid w:val="00391222"/>
    <w:rsid w:val="00391E42"/>
    <w:rsid w:val="003927BF"/>
    <w:rsid w:val="00393442"/>
    <w:rsid w:val="003934B6"/>
    <w:rsid w:val="003952EF"/>
    <w:rsid w:val="00396B40"/>
    <w:rsid w:val="00396D96"/>
    <w:rsid w:val="00397C32"/>
    <w:rsid w:val="003A0318"/>
    <w:rsid w:val="003A2E5B"/>
    <w:rsid w:val="003A3539"/>
    <w:rsid w:val="003A3871"/>
    <w:rsid w:val="003A4931"/>
    <w:rsid w:val="003A6124"/>
    <w:rsid w:val="003A686E"/>
    <w:rsid w:val="003A693C"/>
    <w:rsid w:val="003A793D"/>
    <w:rsid w:val="003B0E47"/>
    <w:rsid w:val="003B0EC3"/>
    <w:rsid w:val="003B157E"/>
    <w:rsid w:val="003B1FFB"/>
    <w:rsid w:val="003B2552"/>
    <w:rsid w:val="003B4D40"/>
    <w:rsid w:val="003B5BB8"/>
    <w:rsid w:val="003B66A4"/>
    <w:rsid w:val="003B7BC6"/>
    <w:rsid w:val="003B7F7D"/>
    <w:rsid w:val="003C0130"/>
    <w:rsid w:val="003C0592"/>
    <w:rsid w:val="003C06DE"/>
    <w:rsid w:val="003C233C"/>
    <w:rsid w:val="003C315A"/>
    <w:rsid w:val="003C358D"/>
    <w:rsid w:val="003C3B5B"/>
    <w:rsid w:val="003C3FED"/>
    <w:rsid w:val="003C504F"/>
    <w:rsid w:val="003C5830"/>
    <w:rsid w:val="003C59B1"/>
    <w:rsid w:val="003C6A54"/>
    <w:rsid w:val="003D0004"/>
    <w:rsid w:val="003D04D5"/>
    <w:rsid w:val="003D06ED"/>
    <w:rsid w:val="003D1017"/>
    <w:rsid w:val="003D14CB"/>
    <w:rsid w:val="003D2B83"/>
    <w:rsid w:val="003D3A1A"/>
    <w:rsid w:val="003D42B6"/>
    <w:rsid w:val="003D4A7D"/>
    <w:rsid w:val="003D4EA7"/>
    <w:rsid w:val="003D526A"/>
    <w:rsid w:val="003D527F"/>
    <w:rsid w:val="003D5FA4"/>
    <w:rsid w:val="003D6849"/>
    <w:rsid w:val="003D7B10"/>
    <w:rsid w:val="003E009C"/>
    <w:rsid w:val="003E0A73"/>
    <w:rsid w:val="003E0F42"/>
    <w:rsid w:val="003E0F7C"/>
    <w:rsid w:val="003E1D3B"/>
    <w:rsid w:val="003E2097"/>
    <w:rsid w:val="003E29E6"/>
    <w:rsid w:val="003E411A"/>
    <w:rsid w:val="003E44C0"/>
    <w:rsid w:val="003E4736"/>
    <w:rsid w:val="003E4A0B"/>
    <w:rsid w:val="003E4D3B"/>
    <w:rsid w:val="003E5A0D"/>
    <w:rsid w:val="003E737D"/>
    <w:rsid w:val="003E77E0"/>
    <w:rsid w:val="003F013B"/>
    <w:rsid w:val="003F0235"/>
    <w:rsid w:val="003F0A8A"/>
    <w:rsid w:val="003F0ADE"/>
    <w:rsid w:val="003F1736"/>
    <w:rsid w:val="003F1FE4"/>
    <w:rsid w:val="003F29D0"/>
    <w:rsid w:val="003F2C0D"/>
    <w:rsid w:val="003F3645"/>
    <w:rsid w:val="003F4B75"/>
    <w:rsid w:val="003F506D"/>
    <w:rsid w:val="003F557E"/>
    <w:rsid w:val="003F7037"/>
    <w:rsid w:val="003F7440"/>
    <w:rsid w:val="003F7CA9"/>
    <w:rsid w:val="0040143C"/>
    <w:rsid w:val="00401DE6"/>
    <w:rsid w:val="004032CD"/>
    <w:rsid w:val="00403811"/>
    <w:rsid w:val="00404B34"/>
    <w:rsid w:val="00404C47"/>
    <w:rsid w:val="00404D61"/>
    <w:rsid w:val="004050CA"/>
    <w:rsid w:val="004059B7"/>
    <w:rsid w:val="0040663C"/>
    <w:rsid w:val="00407AEA"/>
    <w:rsid w:val="00407BAD"/>
    <w:rsid w:val="004112D3"/>
    <w:rsid w:val="004112E8"/>
    <w:rsid w:val="004115F5"/>
    <w:rsid w:val="00411B44"/>
    <w:rsid w:val="00411C46"/>
    <w:rsid w:val="004128B7"/>
    <w:rsid w:val="00413763"/>
    <w:rsid w:val="00413C62"/>
    <w:rsid w:val="00415C26"/>
    <w:rsid w:val="004161F7"/>
    <w:rsid w:val="00416F45"/>
    <w:rsid w:val="00417A46"/>
    <w:rsid w:val="00417AB5"/>
    <w:rsid w:val="004217BB"/>
    <w:rsid w:val="004221D3"/>
    <w:rsid w:val="00422E72"/>
    <w:rsid w:val="00422EDF"/>
    <w:rsid w:val="00423051"/>
    <w:rsid w:val="0042346F"/>
    <w:rsid w:val="00423483"/>
    <w:rsid w:val="004234BA"/>
    <w:rsid w:val="0042359D"/>
    <w:rsid w:val="00423E72"/>
    <w:rsid w:val="00424AE0"/>
    <w:rsid w:val="00427FE1"/>
    <w:rsid w:val="0043038C"/>
    <w:rsid w:val="004305A8"/>
    <w:rsid w:val="00430630"/>
    <w:rsid w:val="00430684"/>
    <w:rsid w:val="00430E87"/>
    <w:rsid w:val="00431B2B"/>
    <w:rsid w:val="00431C6C"/>
    <w:rsid w:val="00432D59"/>
    <w:rsid w:val="00433AEF"/>
    <w:rsid w:val="00433B6B"/>
    <w:rsid w:val="00434B39"/>
    <w:rsid w:val="004353F2"/>
    <w:rsid w:val="004359ED"/>
    <w:rsid w:val="00436E09"/>
    <w:rsid w:val="00437184"/>
    <w:rsid w:val="00440178"/>
    <w:rsid w:val="004412E1"/>
    <w:rsid w:val="00441E12"/>
    <w:rsid w:val="00442135"/>
    <w:rsid w:val="004425E7"/>
    <w:rsid w:val="00442B9B"/>
    <w:rsid w:val="00443257"/>
    <w:rsid w:val="00443481"/>
    <w:rsid w:val="0044428E"/>
    <w:rsid w:val="0044477B"/>
    <w:rsid w:val="00447ECB"/>
    <w:rsid w:val="00450235"/>
    <w:rsid w:val="0045171C"/>
    <w:rsid w:val="00452089"/>
    <w:rsid w:val="004528C4"/>
    <w:rsid w:val="0045299F"/>
    <w:rsid w:val="00452D16"/>
    <w:rsid w:val="00452EFF"/>
    <w:rsid w:val="00453873"/>
    <w:rsid w:val="00454994"/>
    <w:rsid w:val="00454CFC"/>
    <w:rsid w:val="0045546D"/>
    <w:rsid w:val="00455816"/>
    <w:rsid w:val="00455B44"/>
    <w:rsid w:val="00456089"/>
    <w:rsid w:val="004613AB"/>
    <w:rsid w:val="00462476"/>
    <w:rsid w:val="0046309A"/>
    <w:rsid w:val="0046352E"/>
    <w:rsid w:val="00463D62"/>
    <w:rsid w:val="0046408A"/>
    <w:rsid w:val="004668EB"/>
    <w:rsid w:val="004669AF"/>
    <w:rsid w:val="00466F67"/>
    <w:rsid w:val="004672B3"/>
    <w:rsid w:val="00467A59"/>
    <w:rsid w:val="004709EF"/>
    <w:rsid w:val="00471F74"/>
    <w:rsid w:val="00472DCB"/>
    <w:rsid w:val="00473330"/>
    <w:rsid w:val="00473512"/>
    <w:rsid w:val="00474C81"/>
    <w:rsid w:val="004750A4"/>
    <w:rsid w:val="00475E19"/>
    <w:rsid w:val="00476E00"/>
    <w:rsid w:val="004777AE"/>
    <w:rsid w:val="004778BC"/>
    <w:rsid w:val="00480171"/>
    <w:rsid w:val="00480227"/>
    <w:rsid w:val="00481287"/>
    <w:rsid w:val="00481D9B"/>
    <w:rsid w:val="0048319B"/>
    <w:rsid w:val="00483F35"/>
    <w:rsid w:val="004842DC"/>
    <w:rsid w:val="00486630"/>
    <w:rsid w:val="00486676"/>
    <w:rsid w:val="004867E3"/>
    <w:rsid w:val="00486C05"/>
    <w:rsid w:val="00490668"/>
    <w:rsid w:val="00493E98"/>
    <w:rsid w:val="00494598"/>
    <w:rsid w:val="004954F9"/>
    <w:rsid w:val="00495AC2"/>
    <w:rsid w:val="0049668A"/>
    <w:rsid w:val="004A04E5"/>
    <w:rsid w:val="004A0BF3"/>
    <w:rsid w:val="004A0E70"/>
    <w:rsid w:val="004A1611"/>
    <w:rsid w:val="004A1D56"/>
    <w:rsid w:val="004A1F57"/>
    <w:rsid w:val="004A32EB"/>
    <w:rsid w:val="004A344E"/>
    <w:rsid w:val="004A46DB"/>
    <w:rsid w:val="004A4B04"/>
    <w:rsid w:val="004A4F25"/>
    <w:rsid w:val="004A4FC1"/>
    <w:rsid w:val="004A632D"/>
    <w:rsid w:val="004A75DC"/>
    <w:rsid w:val="004A76E9"/>
    <w:rsid w:val="004A77E1"/>
    <w:rsid w:val="004A7CEE"/>
    <w:rsid w:val="004B0C29"/>
    <w:rsid w:val="004B13CD"/>
    <w:rsid w:val="004B1B9F"/>
    <w:rsid w:val="004B1E12"/>
    <w:rsid w:val="004B2905"/>
    <w:rsid w:val="004B2D7B"/>
    <w:rsid w:val="004B2DFF"/>
    <w:rsid w:val="004B3D41"/>
    <w:rsid w:val="004B4209"/>
    <w:rsid w:val="004B42D4"/>
    <w:rsid w:val="004B549A"/>
    <w:rsid w:val="004B54CC"/>
    <w:rsid w:val="004B575B"/>
    <w:rsid w:val="004B578C"/>
    <w:rsid w:val="004B59D7"/>
    <w:rsid w:val="004B64DD"/>
    <w:rsid w:val="004B6F7B"/>
    <w:rsid w:val="004B701E"/>
    <w:rsid w:val="004B7049"/>
    <w:rsid w:val="004B7357"/>
    <w:rsid w:val="004B7E45"/>
    <w:rsid w:val="004B7F78"/>
    <w:rsid w:val="004C1EBE"/>
    <w:rsid w:val="004C241F"/>
    <w:rsid w:val="004C4129"/>
    <w:rsid w:val="004C4393"/>
    <w:rsid w:val="004C4A63"/>
    <w:rsid w:val="004C76BD"/>
    <w:rsid w:val="004C7813"/>
    <w:rsid w:val="004C786D"/>
    <w:rsid w:val="004D0B74"/>
    <w:rsid w:val="004D109C"/>
    <w:rsid w:val="004D1175"/>
    <w:rsid w:val="004D12EF"/>
    <w:rsid w:val="004D1481"/>
    <w:rsid w:val="004D2347"/>
    <w:rsid w:val="004D2F9A"/>
    <w:rsid w:val="004D35B2"/>
    <w:rsid w:val="004D3D00"/>
    <w:rsid w:val="004D3EE4"/>
    <w:rsid w:val="004D535E"/>
    <w:rsid w:val="004D6C86"/>
    <w:rsid w:val="004D7052"/>
    <w:rsid w:val="004D7710"/>
    <w:rsid w:val="004D7A8C"/>
    <w:rsid w:val="004E0048"/>
    <w:rsid w:val="004E09E7"/>
    <w:rsid w:val="004E1086"/>
    <w:rsid w:val="004E1831"/>
    <w:rsid w:val="004E19DE"/>
    <w:rsid w:val="004E1C63"/>
    <w:rsid w:val="004E1ED9"/>
    <w:rsid w:val="004E3BD0"/>
    <w:rsid w:val="004E5344"/>
    <w:rsid w:val="004E54DA"/>
    <w:rsid w:val="004E6392"/>
    <w:rsid w:val="004E6EDA"/>
    <w:rsid w:val="004E6F23"/>
    <w:rsid w:val="004E7642"/>
    <w:rsid w:val="004E7D69"/>
    <w:rsid w:val="004F0586"/>
    <w:rsid w:val="004F0874"/>
    <w:rsid w:val="004F134A"/>
    <w:rsid w:val="004F3272"/>
    <w:rsid w:val="004F3CBB"/>
    <w:rsid w:val="004F512B"/>
    <w:rsid w:val="004F5D46"/>
    <w:rsid w:val="004F65BE"/>
    <w:rsid w:val="004F74AF"/>
    <w:rsid w:val="004F7D23"/>
    <w:rsid w:val="0050019B"/>
    <w:rsid w:val="00502DE3"/>
    <w:rsid w:val="00503474"/>
    <w:rsid w:val="00503655"/>
    <w:rsid w:val="00504E7E"/>
    <w:rsid w:val="00505175"/>
    <w:rsid w:val="005063FA"/>
    <w:rsid w:val="0050686B"/>
    <w:rsid w:val="00507391"/>
    <w:rsid w:val="00507953"/>
    <w:rsid w:val="00507C19"/>
    <w:rsid w:val="005102E6"/>
    <w:rsid w:val="00510537"/>
    <w:rsid w:val="005111E1"/>
    <w:rsid w:val="0051124C"/>
    <w:rsid w:val="0051127F"/>
    <w:rsid w:val="0051131A"/>
    <w:rsid w:val="00512E7F"/>
    <w:rsid w:val="00513B30"/>
    <w:rsid w:val="00514614"/>
    <w:rsid w:val="00515275"/>
    <w:rsid w:val="00516765"/>
    <w:rsid w:val="0051706A"/>
    <w:rsid w:val="00517D29"/>
    <w:rsid w:val="0052241D"/>
    <w:rsid w:val="00523B60"/>
    <w:rsid w:val="00523D0F"/>
    <w:rsid w:val="0052485A"/>
    <w:rsid w:val="00526CB1"/>
    <w:rsid w:val="00526E6D"/>
    <w:rsid w:val="005272E0"/>
    <w:rsid w:val="00531B4E"/>
    <w:rsid w:val="00532576"/>
    <w:rsid w:val="00532CED"/>
    <w:rsid w:val="00532DE1"/>
    <w:rsid w:val="00535042"/>
    <w:rsid w:val="0053515D"/>
    <w:rsid w:val="00536590"/>
    <w:rsid w:val="00536D78"/>
    <w:rsid w:val="00537B36"/>
    <w:rsid w:val="00540A3A"/>
    <w:rsid w:val="00541E95"/>
    <w:rsid w:val="005425EF"/>
    <w:rsid w:val="00543C05"/>
    <w:rsid w:val="00547230"/>
    <w:rsid w:val="00550F12"/>
    <w:rsid w:val="00552832"/>
    <w:rsid w:val="0055287A"/>
    <w:rsid w:val="0055464F"/>
    <w:rsid w:val="005559B5"/>
    <w:rsid w:val="00556C04"/>
    <w:rsid w:val="00560CCB"/>
    <w:rsid w:val="00562110"/>
    <w:rsid w:val="0056405D"/>
    <w:rsid w:val="00564282"/>
    <w:rsid w:val="005643FA"/>
    <w:rsid w:val="00564616"/>
    <w:rsid w:val="00564B86"/>
    <w:rsid w:val="00565530"/>
    <w:rsid w:val="00565767"/>
    <w:rsid w:val="005659DC"/>
    <w:rsid w:val="00570C4B"/>
    <w:rsid w:val="00570FE2"/>
    <w:rsid w:val="0057249B"/>
    <w:rsid w:val="005732BE"/>
    <w:rsid w:val="00573B8F"/>
    <w:rsid w:val="005742EA"/>
    <w:rsid w:val="00574BB9"/>
    <w:rsid w:val="005757C8"/>
    <w:rsid w:val="00575FFD"/>
    <w:rsid w:val="005763B0"/>
    <w:rsid w:val="00577265"/>
    <w:rsid w:val="00580057"/>
    <w:rsid w:val="005813B8"/>
    <w:rsid w:val="00582467"/>
    <w:rsid w:val="00583C0D"/>
    <w:rsid w:val="00583E10"/>
    <w:rsid w:val="00584570"/>
    <w:rsid w:val="00584674"/>
    <w:rsid w:val="005849F4"/>
    <w:rsid w:val="00584C75"/>
    <w:rsid w:val="00585475"/>
    <w:rsid w:val="005860DC"/>
    <w:rsid w:val="0058796C"/>
    <w:rsid w:val="00590494"/>
    <w:rsid w:val="00590E3E"/>
    <w:rsid w:val="005910E6"/>
    <w:rsid w:val="005925ED"/>
    <w:rsid w:val="00592AEE"/>
    <w:rsid w:val="005954EB"/>
    <w:rsid w:val="00595EEA"/>
    <w:rsid w:val="005966C2"/>
    <w:rsid w:val="00596D8C"/>
    <w:rsid w:val="00597F37"/>
    <w:rsid w:val="005A00E1"/>
    <w:rsid w:val="005A091E"/>
    <w:rsid w:val="005A16C3"/>
    <w:rsid w:val="005A1F87"/>
    <w:rsid w:val="005A2262"/>
    <w:rsid w:val="005A26C9"/>
    <w:rsid w:val="005A2A48"/>
    <w:rsid w:val="005A2ACE"/>
    <w:rsid w:val="005A3616"/>
    <w:rsid w:val="005A3BB5"/>
    <w:rsid w:val="005A58B7"/>
    <w:rsid w:val="005A6BB6"/>
    <w:rsid w:val="005B1928"/>
    <w:rsid w:val="005B2E8C"/>
    <w:rsid w:val="005B5365"/>
    <w:rsid w:val="005B53C5"/>
    <w:rsid w:val="005B5B97"/>
    <w:rsid w:val="005B6852"/>
    <w:rsid w:val="005C25CE"/>
    <w:rsid w:val="005C265E"/>
    <w:rsid w:val="005C269C"/>
    <w:rsid w:val="005C4918"/>
    <w:rsid w:val="005C544E"/>
    <w:rsid w:val="005D0FC2"/>
    <w:rsid w:val="005D4214"/>
    <w:rsid w:val="005D5BD1"/>
    <w:rsid w:val="005D5CF3"/>
    <w:rsid w:val="005D61C3"/>
    <w:rsid w:val="005D6244"/>
    <w:rsid w:val="005D6B91"/>
    <w:rsid w:val="005D7120"/>
    <w:rsid w:val="005D72CC"/>
    <w:rsid w:val="005D76FE"/>
    <w:rsid w:val="005D7DA5"/>
    <w:rsid w:val="005E16AD"/>
    <w:rsid w:val="005E1929"/>
    <w:rsid w:val="005E288E"/>
    <w:rsid w:val="005E3616"/>
    <w:rsid w:val="005E45E2"/>
    <w:rsid w:val="005E62FB"/>
    <w:rsid w:val="005E6D6D"/>
    <w:rsid w:val="005E6F5F"/>
    <w:rsid w:val="005E7098"/>
    <w:rsid w:val="005E7379"/>
    <w:rsid w:val="005F00BC"/>
    <w:rsid w:val="005F0815"/>
    <w:rsid w:val="005F104B"/>
    <w:rsid w:val="005F12AE"/>
    <w:rsid w:val="005F2394"/>
    <w:rsid w:val="005F24F7"/>
    <w:rsid w:val="005F40B4"/>
    <w:rsid w:val="005F412C"/>
    <w:rsid w:val="005F4E30"/>
    <w:rsid w:val="005F5A92"/>
    <w:rsid w:val="005F7D9B"/>
    <w:rsid w:val="0060038E"/>
    <w:rsid w:val="00600B38"/>
    <w:rsid w:val="00602E2D"/>
    <w:rsid w:val="006054BB"/>
    <w:rsid w:val="00605FAC"/>
    <w:rsid w:val="006063D0"/>
    <w:rsid w:val="006111CD"/>
    <w:rsid w:val="00611B6E"/>
    <w:rsid w:val="006123A7"/>
    <w:rsid w:val="00612A14"/>
    <w:rsid w:val="00612CCC"/>
    <w:rsid w:val="0061366C"/>
    <w:rsid w:val="0061371E"/>
    <w:rsid w:val="006138A3"/>
    <w:rsid w:val="00613CEC"/>
    <w:rsid w:val="00614274"/>
    <w:rsid w:val="00616112"/>
    <w:rsid w:val="00617431"/>
    <w:rsid w:val="00617A57"/>
    <w:rsid w:val="00617E1A"/>
    <w:rsid w:val="00620026"/>
    <w:rsid w:val="00620ADA"/>
    <w:rsid w:val="00620F2D"/>
    <w:rsid w:val="00622153"/>
    <w:rsid w:val="00625626"/>
    <w:rsid w:val="00625CFC"/>
    <w:rsid w:val="00627596"/>
    <w:rsid w:val="00630A81"/>
    <w:rsid w:val="00630C2B"/>
    <w:rsid w:val="00631735"/>
    <w:rsid w:val="00631DAE"/>
    <w:rsid w:val="00632DCD"/>
    <w:rsid w:val="00632E1C"/>
    <w:rsid w:val="00633434"/>
    <w:rsid w:val="00633D79"/>
    <w:rsid w:val="006354BD"/>
    <w:rsid w:val="0063579E"/>
    <w:rsid w:val="00636546"/>
    <w:rsid w:val="00636573"/>
    <w:rsid w:val="00636F1A"/>
    <w:rsid w:val="0064071C"/>
    <w:rsid w:val="006408FD"/>
    <w:rsid w:val="00640909"/>
    <w:rsid w:val="00640C18"/>
    <w:rsid w:val="006415BF"/>
    <w:rsid w:val="00641F97"/>
    <w:rsid w:val="006454A7"/>
    <w:rsid w:val="00645827"/>
    <w:rsid w:val="00645ADC"/>
    <w:rsid w:val="0064607F"/>
    <w:rsid w:val="00646B2A"/>
    <w:rsid w:val="0065047E"/>
    <w:rsid w:val="00651413"/>
    <w:rsid w:val="00651475"/>
    <w:rsid w:val="006514C9"/>
    <w:rsid w:val="00652706"/>
    <w:rsid w:val="00652A30"/>
    <w:rsid w:val="00652A4E"/>
    <w:rsid w:val="00652C03"/>
    <w:rsid w:val="006538C5"/>
    <w:rsid w:val="006542E3"/>
    <w:rsid w:val="006543A2"/>
    <w:rsid w:val="00654865"/>
    <w:rsid w:val="00654AF8"/>
    <w:rsid w:val="00656023"/>
    <w:rsid w:val="0065650B"/>
    <w:rsid w:val="0065673D"/>
    <w:rsid w:val="00657464"/>
    <w:rsid w:val="00661657"/>
    <w:rsid w:val="006617AF"/>
    <w:rsid w:val="00661853"/>
    <w:rsid w:val="00661D92"/>
    <w:rsid w:val="00662360"/>
    <w:rsid w:val="00662795"/>
    <w:rsid w:val="006640B4"/>
    <w:rsid w:val="00664582"/>
    <w:rsid w:val="006649BF"/>
    <w:rsid w:val="00665721"/>
    <w:rsid w:val="00666560"/>
    <w:rsid w:val="006670FB"/>
    <w:rsid w:val="00667907"/>
    <w:rsid w:val="0066794A"/>
    <w:rsid w:val="00667FAA"/>
    <w:rsid w:val="006709E6"/>
    <w:rsid w:val="00671E60"/>
    <w:rsid w:val="006720F3"/>
    <w:rsid w:val="00672E92"/>
    <w:rsid w:val="00673D55"/>
    <w:rsid w:val="0067417F"/>
    <w:rsid w:val="00674328"/>
    <w:rsid w:val="006752C0"/>
    <w:rsid w:val="006754FB"/>
    <w:rsid w:val="0067588A"/>
    <w:rsid w:val="006758BE"/>
    <w:rsid w:val="006759A3"/>
    <w:rsid w:val="0067762B"/>
    <w:rsid w:val="00677CC0"/>
    <w:rsid w:val="00680C11"/>
    <w:rsid w:val="00681A7B"/>
    <w:rsid w:val="006820B8"/>
    <w:rsid w:val="006822DD"/>
    <w:rsid w:val="00683831"/>
    <w:rsid w:val="00683CEE"/>
    <w:rsid w:val="0068438F"/>
    <w:rsid w:val="0068484A"/>
    <w:rsid w:val="00685384"/>
    <w:rsid w:val="0068610B"/>
    <w:rsid w:val="00686A80"/>
    <w:rsid w:val="00691966"/>
    <w:rsid w:val="00691F70"/>
    <w:rsid w:val="00693516"/>
    <w:rsid w:val="00694A07"/>
    <w:rsid w:val="006954BE"/>
    <w:rsid w:val="00695A33"/>
    <w:rsid w:val="00696979"/>
    <w:rsid w:val="006978F1"/>
    <w:rsid w:val="00697A62"/>
    <w:rsid w:val="006A11B7"/>
    <w:rsid w:val="006A1396"/>
    <w:rsid w:val="006A165D"/>
    <w:rsid w:val="006A198E"/>
    <w:rsid w:val="006A1BD6"/>
    <w:rsid w:val="006A1C87"/>
    <w:rsid w:val="006A1CD3"/>
    <w:rsid w:val="006A2313"/>
    <w:rsid w:val="006A256F"/>
    <w:rsid w:val="006A2F93"/>
    <w:rsid w:val="006A32DD"/>
    <w:rsid w:val="006A3308"/>
    <w:rsid w:val="006A42F6"/>
    <w:rsid w:val="006A62D2"/>
    <w:rsid w:val="006A7A88"/>
    <w:rsid w:val="006A7E75"/>
    <w:rsid w:val="006B069E"/>
    <w:rsid w:val="006B0C2A"/>
    <w:rsid w:val="006B4492"/>
    <w:rsid w:val="006B51DF"/>
    <w:rsid w:val="006B546A"/>
    <w:rsid w:val="006B58E5"/>
    <w:rsid w:val="006B60F9"/>
    <w:rsid w:val="006B6DE4"/>
    <w:rsid w:val="006B73D9"/>
    <w:rsid w:val="006B7B61"/>
    <w:rsid w:val="006B7FC4"/>
    <w:rsid w:val="006C25CB"/>
    <w:rsid w:val="006C2A11"/>
    <w:rsid w:val="006C2A4B"/>
    <w:rsid w:val="006C3C06"/>
    <w:rsid w:val="006C40B5"/>
    <w:rsid w:val="006C475D"/>
    <w:rsid w:val="006C5A1E"/>
    <w:rsid w:val="006C7650"/>
    <w:rsid w:val="006D1B37"/>
    <w:rsid w:val="006D26A5"/>
    <w:rsid w:val="006D2E01"/>
    <w:rsid w:val="006D2E4C"/>
    <w:rsid w:val="006D30D8"/>
    <w:rsid w:val="006D39F4"/>
    <w:rsid w:val="006D3E45"/>
    <w:rsid w:val="006D436F"/>
    <w:rsid w:val="006D47A2"/>
    <w:rsid w:val="006D508F"/>
    <w:rsid w:val="006D5410"/>
    <w:rsid w:val="006D59CD"/>
    <w:rsid w:val="006D5D7A"/>
    <w:rsid w:val="006D5D89"/>
    <w:rsid w:val="006D615C"/>
    <w:rsid w:val="006D633C"/>
    <w:rsid w:val="006D750E"/>
    <w:rsid w:val="006D7E0B"/>
    <w:rsid w:val="006D7F76"/>
    <w:rsid w:val="006E06E8"/>
    <w:rsid w:val="006E0DC8"/>
    <w:rsid w:val="006E1899"/>
    <w:rsid w:val="006E2EBA"/>
    <w:rsid w:val="006E2EE5"/>
    <w:rsid w:val="006E300F"/>
    <w:rsid w:val="006E35A4"/>
    <w:rsid w:val="006E3CDB"/>
    <w:rsid w:val="006E4C70"/>
    <w:rsid w:val="006E62CD"/>
    <w:rsid w:val="006E63D4"/>
    <w:rsid w:val="006E7977"/>
    <w:rsid w:val="006F1E9D"/>
    <w:rsid w:val="006F6052"/>
    <w:rsid w:val="006F67A7"/>
    <w:rsid w:val="006F69D1"/>
    <w:rsid w:val="006F6D86"/>
    <w:rsid w:val="006F72BD"/>
    <w:rsid w:val="007001CD"/>
    <w:rsid w:val="00700624"/>
    <w:rsid w:val="0070062B"/>
    <w:rsid w:val="00701F03"/>
    <w:rsid w:val="00706C39"/>
    <w:rsid w:val="00706DBE"/>
    <w:rsid w:val="007070FA"/>
    <w:rsid w:val="00707707"/>
    <w:rsid w:val="00707AC3"/>
    <w:rsid w:val="00707B1F"/>
    <w:rsid w:val="00707B61"/>
    <w:rsid w:val="00707E7D"/>
    <w:rsid w:val="00710063"/>
    <w:rsid w:val="007100C2"/>
    <w:rsid w:val="00710859"/>
    <w:rsid w:val="00712511"/>
    <w:rsid w:val="007127D4"/>
    <w:rsid w:val="007139AC"/>
    <w:rsid w:val="00714476"/>
    <w:rsid w:val="007148DD"/>
    <w:rsid w:val="00714F3A"/>
    <w:rsid w:val="00714F68"/>
    <w:rsid w:val="00716A75"/>
    <w:rsid w:val="00716C14"/>
    <w:rsid w:val="00717262"/>
    <w:rsid w:val="0072119F"/>
    <w:rsid w:val="00721227"/>
    <w:rsid w:val="007212E6"/>
    <w:rsid w:val="0072333C"/>
    <w:rsid w:val="0072369A"/>
    <w:rsid w:val="00723BF9"/>
    <w:rsid w:val="00723FF9"/>
    <w:rsid w:val="007243A3"/>
    <w:rsid w:val="007259C2"/>
    <w:rsid w:val="00726177"/>
    <w:rsid w:val="0072676E"/>
    <w:rsid w:val="00726C12"/>
    <w:rsid w:val="007302F4"/>
    <w:rsid w:val="00730322"/>
    <w:rsid w:val="0073107B"/>
    <w:rsid w:val="007311D1"/>
    <w:rsid w:val="00732A6F"/>
    <w:rsid w:val="00732BC1"/>
    <w:rsid w:val="00733083"/>
    <w:rsid w:val="00733657"/>
    <w:rsid w:val="007344E9"/>
    <w:rsid w:val="00734794"/>
    <w:rsid w:val="00734EA2"/>
    <w:rsid w:val="00736969"/>
    <w:rsid w:val="00736A73"/>
    <w:rsid w:val="00736D30"/>
    <w:rsid w:val="007370DD"/>
    <w:rsid w:val="00737279"/>
    <w:rsid w:val="00737F17"/>
    <w:rsid w:val="00740241"/>
    <w:rsid w:val="0074046A"/>
    <w:rsid w:val="00742C05"/>
    <w:rsid w:val="00742DDE"/>
    <w:rsid w:val="007430DD"/>
    <w:rsid w:val="00743D30"/>
    <w:rsid w:val="00744516"/>
    <w:rsid w:val="0074727A"/>
    <w:rsid w:val="00747B80"/>
    <w:rsid w:val="00750BD0"/>
    <w:rsid w:val="0075146F"/>
    <w:rsid w:val="0075282D"/>
    <w:rsid w:val="007531A6"/>
    <w:rsid w:val="0075333F"/>
    <w:rsid w:val="00753668"/>
    <w:rsid w:val="00753C2D"/>
    <w:rsid w:val="00754286"/>
    <w:rsid w:val="007552BC"/>
    <w:rsid w:val="00756A99"/>
    <w:rsid w:val="00757ACE"/>
    <w:rsid w:val="00757FD1"/>
    <w:rsid w:val="00760070"/>
    <w:rsid w:val="0076014B"/>
    <w:rsid w:val="007610B7"/>
    <w:rsid w:val="00761563"/>
    <w:rsid w:val="0076442C"/>
    <w:rsid w:val="00764606"/>
    <w:rsid w:val="0076628E"/>
    <w:rsid w:val="00766B1E"/>
    <w:rsid w:val="007677A3"/>
    <w:rsid w:val="00767BC4"/>
    <w:rsid w:val="00770593"/>
    <w:rsid w:val="00770BF4"/>
    <w:rsid w:val="007710F8"/>
    <w:rsid w:val="00771166"/>
    <w:rsid w:val="0077139C"/>
    <w:rsid w:val="00772568"/>
    <w:rsid w:val="00772BA3"/>
    <w:rsid w:val="00773423"/>
    <w:rsid w:val="007736FE"/>
    <w:rsid w:val="007740D9"/>
    <w:rsid w:val="00774504"/>
    <w:rsid w:val="00774773"/>
    <w:rsid w:val="007756FA"/>
    <w:rsid w:val="00780263"/>
    <w:rsid w:val="00781A3E"/>
    <w:rsid w:val="007837ED"/>
    <w:rsid w:val="007867D9"/>
    <w:rsid w:val="007871F7"/>
    <w:rsid w:val="00787527"/>
    <w:rsid w:val="00787696"/>
    <w:rsid w:val="00787B80"/>
    <w:rsid w:val="00787F1B"/>
    <w:rsid w:val="00790634"/>
    <w:rsid w:val="00790654"/>
    <w:rsid w:val="007907BA"/>
    <w:rsid w:val="007907D0"/>
    <w:rsid w:val="00790A5F"/>
    <w:rsid w:val="007917A2"/>
    <w:rsid w:val="0079345A"/>
    <w:rsid w:val="007935BB"/>
    <w:rsid w:val="00793C62"/>
    <w:rsid w:val="007955D8"/>
    <w:rsid w:val="007965B2"/>
    <w:rsid w:val="00796C6C"/>
    <w:rsid w:val="007977E9"/>
    <w:rsid w:val="007A08A9"/>
    <w:rsid w:val="007A1099"/>
    <w:rsid w:val="007A15EB"/>
    <w:rsid w:val="007A219C"/>
    <w:rsid w:val="007A2250"/>
    <w:rsid w:val="007A43CD"/>
    <w:rsid w:val="007A449F"/>
    <w:rsid w:val="007A57A7"/>
    <w:rsid w:val="007A5FEA"/>
    <w:rsid w:val="007A66C8"/>
    <w:rsid w:val="007A675B"/>
    <w:rsid w:val="007A6FCC"/>
    <w:rsid w:val="007A7CEF"/>
    <w:rsid w:val="007B095C"/>
    <w:rsid w:val="007B0F24"/>
    <w:rsid w:val="007B2BAD"/>
    <w:rsid w:val="007B2D8A"/>
    <w:rsid w:val="007B3684"/>
    <w:rsid w:val="007B38FF"/>
    <w:rsid w:val="007B405D"/>
    <w:rsid w:val="007B5E1C"/>
    <w:rsid w:val="007B63A9"/>
    <w:rsid w:val="007C0399"/>
    <w:rsid w:val="007C0FC3"/>
    <w:rsid w:val="007C132A"/>
    <w:rsid w:val="007C13D8"/>
    <w:rsid w:val="007C2235"/>
    <w:rsid w:val="007C2326"/>
    <w:rsid w:val="007C2500"/>
    <w:rsid w:val="007C2C99"/>
    <w:rsid w:val="007C34A6"/>
    <w:rsid w:val="007C3D05"/>
    <w:rsid w:val="007C4CE3"/>
    <w:rsid w:val="007C51AC"/>
    <w:rsid w:val="007C6C92"/>
    <w:rsid w:val="007C76F1"/>
    <w:rsid w:val="007C785B"/>
    <w:rsid w:val="007C7F3A"/>
    <w:rsid w:val="007D01BA"/>
    <w:rsid w:val="007D041E"/>
    <w:rsid w:val="007D1800"/>
    <w:rsid w:val="007D18E7"/>
    <w:rsid w:val="007D1D67"/>
    <w:rsid w:val="007D1F2B"/>
    <w:rsid w:val="007D276E"/>
    <w:rsid w:val="007D3443"/>
    <w:rsid w:val="007D356D"/>
    <w:rsid w:val="007D454E"/>
    <w:rsid w:val="007D5033"/>
    <w:rsid w:val="007D5B75"/>
    <w:rsid w:val="007E066C"/>
    <w:rsid w:val="007E14EC"/>
    <w:rsid w:val="007E1573"/>
    <w:rsid w:val="007E1FFD"/>
    <w:rsid w:val="007E28E2"/>
    <w:rsid w:val="007E2C87"/>
    <w:rsid w:val="007E3A36"/>
    <w:rsid w:val="007E3CCA"/>
    <w:rsid w:val="007E44D1"/>
    <w:rsid w:val="007E44F7"/>
    <w:rsid w:val="007E4CEC"/>
    <w:rsid w:val="007E55DD"/>
    <w:rsid w:val="007E600B"/>
    <w:rsid w:val="007E6223"/>
    <w:rsid w:val="007E676A"/>
    <w:rsid w:val="007E6A53"/>
    <w:rsid w:val="007E76DA"/>
    <w:rsid w:val="007E79D6"/>
    <w:rsid w:val="007E7EA2"/>
    <w:rsid w:val="007F0012"/>
    <w:rsid w:val="007F00EF"/>
    <w:rsid w:val="007F03C5"/>
    <w:rsid w:val="007F073D"/>
    <w:rsid w:val="007F2BFB"/>
    <w:rsid w:val="007F344C"/>
    <w:rsid w:val="007F36F0"/>
    <w:rsid w:val="007F3D12"/>
    <w:rsid w:val="007F45BB"/>
    <w:rsid w:val="007F475D"/>
    <w:rsid w:val="007F4A29"/>
    <w:rsid w:val="007F64DA"/>
    <w:rsid w:val="007F672C"/>
    <w:rsid w:val="007F742B"/>
    <w:rsid w:val="008002F4"/>
    <w:rsid w:val="00801349"/>
    <w:rsid w:val="008018FD"/>
    <w:rsid w:val="00801F5D"/>
    <w:rsid w:val="00801F82"/>
    <w:rsid w:val="0080258A"/>
    <w:rsid w:val="00802997"/>
    <w:rsid w:val="0080485A"/>
    <w:rsid w:val="00804995"/>
    <w:rsid w:val="008049F8"/>
    <w:rsid w:val="00807097"/>
    <w:rsid w:val="008070CD"/>
    <w:rsid w:val="00811A3E"/>
    <w:rsid w:val="00812477"/>
    <w:rsid w:val="0081276D"/>
    <w:rsid w:val="00813003"/>
    <w:rsid w:val="00813B8A"/>
    <w:rsid w:val="00816FAB"/>
    <w:rsid w:val="008173E5"/>
    <w:rsid w:val="00817E1B"/>
    <w:rsid w:val="00820159"/>
    <w:rsid w:val="00820FAB"/>
    <w:rsid w:val="00821C17"/>
    <w:rsid w:val="00822058"/>
    <w:rsid w:val="00822397"/>
    <w:rsid w:val="00823F62"/>
    <w:rsid w:val="00824B76"/>
    <w:rsid w:val="00825FE1"/>
    <w:rsid w:val="008278AE"/>
    <w:rsid w:val="008300ED"/>
    <w:rsid w:val="008301BD"/>
    <w:rsid w:val="00830FBE"/>
    <w:rsid w:val="0083260C"/>
    <w:rsid w:val="0083269A"/>
    <w:rsid w:val="00832BFF"/>
    <w:rsid w:val="00832C55"/>
    <w:rsid w:val="00833661"/>
    <w:rsid w:val="0083482C"/>
    <w:rsid w:val="00834B98"/>
    <w:rsid w:val="008364B1"/>
    <w:rsid w:val="0084032A"/>
    <w:rsid w:val="00840439"/>
    <w:rsid w:val="00841FE6"/>
    <w:rsid w:val="00842CD6"/>
    <w:rsid w:val="008433CD"/>
    <w:rsid w:val="00843C2D"/>
    <w:rsid w:val="008444BA"/>
    <w:rsid w:val="008454BD"/>
    <w:rsid w:val="00845A25"/>
    <w:rsid w:val="008460EE"/>
    <w:rsid w:val="008461A5"/>
    <w:rsid w:val="00846530"/>
    <w:rsid w:val="00847469"/>
    <w:rsid w:val="00850CA6"/>
    <w:rsid w:val="00853BB1"/>
    <w:rsid w:val="0085437B"/>
    <w:rsid w:val="00855E0D"/>
    <w:rsid w:val="00856F40"/>
    <w:rsid w:val="008577D2"/>
    <w:rsid w:val="0085788A"/>
    <w:rsid w:val="008603BD"/>
    <w:rsid w:val="00860A91"/>
    <w:rsid w:val="00860E78"/>
    <w:rsid w:val="008617F3"/>
    <w:rsid w:val="008619F4"/>
    <w:rsid w:val="00862987"/>
    <w:rsid w:val="00862F95"/>
    <w:rsid w:val="00863323"/>
    <w:rsid w:val="00863D70"/>
    <w:rsid w:val="0086577B"/>
    <w:rsid w:val="008657BE"/>
    <w:rsid w:val="00865B7D"/>
    <w:rsid w:val="00866209"/>
    <w:rsid w:val="00867592"/>
    <w:rsid w:val="00867725"/>
    <w:rsid w:val="00870563"/>
    <w:rsid w:val="0087133A"/>
    <w:rsid w:val="00872A30"/>
    <w:rsid w:val="00872E64"/>
    <w:rsid w:val="0087390D"/>
    <w:rsid w:val="00874862"/>
    <w:rsid w:val="0087651D"/>
    <w:rsid w:val="00876A87"/>
    <w:rsid w:val="00876D13"/>
    <w:rsid w:val="00877264"/>
    <w:rsid w:val="008772A6"/>
    <w:rsid w:val="00880026"/>
    <w:rsid w:val="00881264"/>
    <w:rsid w:val="00881B49"/>
    <w:rsid w:val="00882388"/>
    <w:rsid w:val="0088283F"/>
    <w:rsid w:val="00883441"/>
    <w:rsid w:val="00883754"/>
    <w:rsid w:val="00883CF3"/>
    <w:rsid w:val="008842E1"/>
    <w:rsid w:val="00884B07"/>
    <w:rsid w:val="00885D31"/>
    <w:rsid w:val="008860E8"/>
    <w:rsid w:val="008877EE"/>
    <w:rsid w:val="00890B3F"/>
    <w:rsid w:val="00891CEF"/>
    <w:rsid w:val="0089228B"/>
    <w:rsid w:val="0089338F"/>
    <w:rsid w:val="00893508"/>
    <w:rsid w:val="008935A8"/>
    <w:rsid w:val="00893D55"/>
    <w:rsid w:val="008941F3"/>
    <w:rsid w:val="00894454"/>
    <w:rsid w:val="008973BC"/>
    <w:rsid w:val="00897D1B"/>
    <w:rsid w:val="008A0C4D"/>
    <w:rsid w:val="008A16AD"/>
    <w:rsid w:val="008A245C"/>
    <w:rsid w:val="008A2757"/>
    <w:rsid w:val="008A2B1B"/>
    <w:rsid w:val="008A2BC5"/>
    <w:rsid w:val="008A428C"/>
    <w:rsid w:val="008A44F7"/>
    <w:rsid w:val="008A4F3A"/>
    <w:rsid w:val="008A6525"/>
    <w:rsid w:val="008A729C"/>
    <w:rsid w:val="008B158A"/>
    <w:rsid w:val="008B3096"/>
    <w:rsid w:val="008B3ED6"/>
    <w:rsid w:val="008B470C"/>
    <w:rsid w:val="008B4AAF"/>
    <w:rsid w:val="008B4C74"/>
    <w:rsid w:val="008B4F44"/>
    <w:rsid w:val="008B5247"/>
    <w:rsid w:val="008B5530"/>
    <w:rsid w:val="008B5D8A"/>
    <w:rsid w:val="008B6573"/>
    <w:rsid w:val="008B6BFE"/>
    <w:rsid w:val="008B76B7"/>
    <w:rsid w:val="008B7E5E"/>
    <w:rsid w:val="008C00E6"/>
    <w:rsid w:val="008C120B"/>
    <w:rsid w:val="008C1795"/>
    <w:rsid w:val="008C1F1D"/>
    <w:rsid w:val="008C29EB"/>
    <w:rsid w:val="008C2CE3"/>
    <w:rsid w:val="008C2D35"/>
    <w:rsid w:val="008C5CB3"/>
    <w:rsid w:val="008C5D89"/>
    <w:rsid w:val="008C6333"/>
    <w:rsid w:val="008C6B73"/>
    <w:rsid w:val="008C6F3D"/>
    <w:rsid w:val="008C78E6"/>
    <w:rsid w:val="008C7E4F"/>
    <w:rsid w:val="008D18CB"/>
    <w:rsid w:val="008D1F2A"/>
    <w:rsid w:val="008D2B20"/>
    <w:rsid w:val="008D3018"/>
    <w:rsid w:val="008D388E"/>
    <w:rsid w:val="008D4AA3"/>
    <w:rsid w:val="008D5747"/>
    <w:rsid w:val="008D5934"/>
    <w:rsid w:val="008D5DB9"/>
    <w:rsid w:val="008D652C"/>
    <w:rsid w:val="008D6D1D"/>
    <w:rsid w:val="008D6DFB"/>
    <w:rsid w:val="008E026A"/>
    <w:rsid w:val="008E0388"/>
    <w:rsid w:val="008E07E1"/>
    <w:rsid w:val="008E0E99"/>
    <w:rsid w:val="008E279B"/>
    <w:rsid w:val="008E31D3"/>
    <w:rsid w:val="008E334C"/>
    <w:rsid w:val="008E35C4"/>
    <w:rsid w:val="008E66F1"/>
    <w:rsid w:val="008E6FD3"/>
    <w:rsid w:val="008F01CE"/>
    <w:rsid w:val="008F05BC"/>
    <w:rsid w:val="008F13BB"/>
    <w:rsid w:val="008F18C2"/>
    <w:rsid w:val="008F1CA0"/>
    <w:rsid w:val="008F1FF6"/>
    <w:rsid w:val="008F22CF"/>
    <w:rsid w:val="008F3B79"/>
    <w:rsid w:val="008F3F5F"/>
    <w:rsid w:val="008F4C21"/>
    <w:rsid w:val="008F5075"/>
    <w:rsid w:val="008F5403"/>
    <w:rsid w:val="008F5D96"/>
    <w:rsid w:val="008F5E94"/>
    <w:rsid w:val="008F67BB"/>
    <w:rsid w:val="008F7A0C"/>
    <w:rsid w:val="009013CF"/>
    <w:rsid w:val="0090185D"/>
    <w:rsid w:val="00901B72"/>
    <w:rsid w:val="009022E3"/>
    <w:rsid w:val="00902FC9"/>
    <w:rsid w:val="00903043"/>
    <w:rsid w:val="00904AD2"/>
    <w:rsid w:val="00904FD7"/>
    <w:rsid w:val="00905267"/>
    <w:rsid w:val="00906130"/>
    <w:rsid w:val="00911074"/>
    <w:rsid w:val="0091185F"/>
    <w:rsid w:val="00911A8A"/>
    <w:rsid w:val="00913220"/>
    <w:rsid w:val="0091495E"/>
    <w:rsid w:val="00915ABE"/>
    <w:rsid w:val="009160B0"/>
    <w:rsid w:val="009165F2"/>
    <w:rsid w:val="00916664"/>
    <w:rsid w:val="00917CBA"/>
    <w:rsid w:val="00921453"/>
    <w:rsid w:val="00922142"/>
    <w:rsid w:val="009227DE"/>
    <w:rsid w:val="00922C00"/>
    <w:rsid w:val="009236B9"/>
    <w:rsid w:val="00923E45"/>
    <w:rsid w:val="00924321"/>
    <w:rsid w:val="00924D22"/>
    <w:rsid w:val="00925CF9"/>
    <w:rsid w:val="00925D39"/>
    <w:rsid w:val="009260F3"/>
    <w:rsid w:val="00927600"/>
    <w:rsid w:val="00930006"/>
    <w:rsid w:val="00930F62"/>
    <w:rsid w:val="00931D63"/>
    <w:rsid w:val="0093254F"/>
    <w:rsid w:val="00933786"/>
    <w:rsid w:val="00933A30"/>
    <w:rsid w:val="009347B2"/>
    <w:rsid w:val="009354BC"/>
    <w:rsid w:val="0093564A"/>
    <w:rsid w:val="0093588B"/>
    <w:rsid w:val="00936034"/>
    <w:rsid w:val="0093604B"/>
    <w:rsid w:val="009368A3"/>
    <w:rsid w:val="00936CB5"/>
    <w:rsid w:val="00937BC8"/>
    <w:rsid w:val="009416A9"/>
    <w:rsid w:val="009434F0"/>
    <w:rsid w:val="009438F7"/>
    <w:rsid w:val="009444F2"/>
    <w:rsid w:val="00944B73"/>
    <w:rsid w:val="009450C2"/>
    <w:rsid w:val="00946330"/>
    <w:rsid w:val="00947A77"/>
    <w:rsid w:val="009519AB"/>
    <w:rsid w:val="009544FE"/>
    <w:rsid w:val="0095465C"/>
    <w:rsid w:val="00954888"/>
    <w:rsid w:val="00954B97"/>
    <w:rsid w:val="0095628E"/>
    <w:rsid w:val="009570F8"/>
    <w:rsid w:val="00957E24"/>
    <w:rsid w:val="00960208"/>
    <w:rsid w:val="00960500"/>
    <w:rsid w:val="009615CB"/>
    <w:rsid w:val="009627C8"/>
    <w:rsid w:val="00962800"/>
    <w:rsid w:val="00962BC8"/>
    <w:rsid w:val="00962EAC"/>
    <w:rsid w:val="0096475C"/>
    <w:rsid w:val="00964C22"/>
    <w:rsid w:val="00965FEE"/>
    <w:rsid w:val="00966507"/>
    <w:rsid w:val="00966C68"/>
    <w:rsid w:val="0097049F"/>
    <w:rsid w:val="009704F6"/>
    <w:rsid w:val="009709C1"/>
    <w:rsid w:val="00970F9F"/>
    <w:rsid w:val="00971779"/>
    <w:rsid w:val="00971A4F"/>
    <w:rsid w:val="00971D14"/>
    <w:rsid w:val="00972108"/>
    <w:rsid w:val="00974388"/>
    <w:rsid w:val="009753D1"/>
    <w:rsid w:val="009760C4"/>
    <w:rsid w:val="0097696C"/>
    <w:rsid w:val="00976D25"/>
    <w:rsid w:val="00976E57"/>
    <w:rsid w:val="00977416"/>
    <w:rsid w:val="0097747C"/>
    <w:rsid w:val="00977ACB"/>
    <w:rsid w:val="00977F3C"/>
    <w:rsid w:val="009805FD"/>
    <w:rsid w:val="009811E4"/>
    <w:rsid w:val="00981D8F"/>
    <w:rsid w:val="0098216E"/>
    <w:rsid w:val="00982F21"/>
    <w:rsid w:val="00983E40"/>
    <w:rsid w:val="00985267"/>
    <w:rsid w:val="00985EC0"/>
    <w:rsid w:val="00986168"/>
    <w:rsid w:val="009865D1"/>
    <w:rsid w:val="009866AB"/>
    <w:rsid w:val="009867FC"/>
    <w:rsid w:val="00990D26"/>
    <w:rsid w:val="0099125C"/>
    <w:rsid w:val="009918D2"/>
    <w:rsid w:val="00991E38"/>
    <w:rsid w:val="009947B9"/>
    <w:rsid w:val="00994981"/>
    <w:rsid w:val="00994CA8"/>
    <w:rsid w:val="00994CED"/>
    <w:rsid w:val="00994D36"/>
    <w:rsid w:val="00995C1A"/>
    <w:rsid w:val="009971AC"/>
    <w:rsid w:val="009A19DE"/>
    <w:rsid w:val="009A1F74"/>
    <w:rsid w:val="009A241D"/>
    <w:rsid w:val="009A3F97"/>
    <w:rsid w:val="009A4416"/>
    <w:rsid w:val="009A47D4"/>
    <w:rsid w:val="009A508E"/>
    <w:rsid w:val="009A5D68"/>
    <w:rsid w:val="009A60C0"/>
    <w:rsid w:val="009A7FE9"/>
    <w:rsid w:val="009B0EC3"/>
    <w:rsid w:val="009B1071"/>
    <w:rsid w:val="009B2001"/>
    <w:rsid w:val="009B4312"/>
    <w:rsid w:val="009B4BF7"/>
    <w:rsid w:val="009B57F2"/>
    <w:rsid w:val="009B5D2F"/>
    <w:rsid w:val="009B63CE"/>
    <w:rsid w:val="009B6DC2"/>
    <w:rsid w:val="009C018C"/>
    <w:rsid w:val="009C0F68"/>
    <w:rsid w:val="009C1E2A"/>
    <w:rsid w:val="009C2645"/>
    <w:rsid w:val="009C2A4B"/>
    <w:rsid w:val="009C3698"/>
    <w:rsid w:val="009C4407"/>
    <w:rsid w:val="009C462D"/>
    <w:rsid w:val="009C4F3E"/>
    <w:rsid w:val="009C54CB"/>
    <w:rsid w:val="009C5BC5"/>
    <w:rsid w:val="009C6457"/>
    <w:rsid w:val="009C64F8"/>
    <w:rsid w:val="009C72B9"/>
    <w:rsid w:val="009C75F8"/>
    <w:rsid w:val="009C7D26"/>
    <w:rsid w:val="009D0759"/>
    <w:rsid w:val="009D0E4B"/>
    <w:rsid w:val="009D1396"/>
    <w:rsid w:val="009D1739"/>
    <w:rsid w:val="009D22DE"/>
    <w:rsid w:val="009D2423"/>
    <w:rsid w:val="009D3D7A"/>
    <w:rsid w:val="009D48B6"/>
    <w:rsid w:val="009D492A"/>
    <w:rsid w:val="009D5A5F"/>
    <w:rsid w:val="009D6BC2"/>
    <w:rsid w:val="009D6F9B"/>
    <w:rsid w:val="009E03BF"/>
    <w:rsid w:val="009E18DA"/>
    <w:rsid w:val="009E2965"/>
    <w:rsid w:val="009E3E67"/>
    <w:rsid w:val="009E4FC8"/>
    <w:rsid w:val="009E5286"/>
    <w:rsid w:val="009E5DF1"/>
    <w:rsid w:val="009E7955"/>
    <w:rsid w:val="009F3218"/>
    <w:rsid w:val="009F410A"/>
    <w:rsid w:val="009F49DE"/>
    <w:rsid w:val="009F5627"/>
    <w:rsid w:val="009F7280"/>
    <w:rsid w:val="009F77CE"/>
    <w:rsid w:val="009F7DBB"/>
    <w:rsid w:val="00A0041F"/>
    <w:rsid w:val="00A01390"/>
    <w:rsid w:val="00A045D0"/>
    <w:rsid w:val="00A04AC8"/>
    <w:rsid w:val="00A04C42"/>
    <w:rsid w:val="00A04F1B"/>
    <w:rsid w:val="00A068A5"/>
    <w:rsid w:val="00A0769C"/>
    <w:rsid w:val="00A07747"/>
    <w:rsid w:val="00A10172"/>
    <w:rsid w:val="00A10364"/>
    <w:rsid w:val="00A10CED"/>
    <w:rsid w:val="00A11196"/>
    <w:rsid w:val="00A126BE"/>
    <w:rsid w:val="00A136EB"/>
    <w:rsid w:val="00A14504"/>
    <w:rsid w:val="00A148F9"/>
    <w:rsid w:val="00A14C43"/>
    <w:rsid w:val="00A17388"/>
    <w:rsid w:val="00A17DA2"/>
    <w:rsid w:val="00A2161D"/>
    <w:rsid w:val="00A22979"/>
    <w:rsid w:val="00A23952"/>
    <w:rsid w:val="00A24642"/>
    <w:rsid w:val="00A26213"/>
    <w:rsid w:val="00A269C4"/>
    <w:rsid w:val="00A2748D"/>
    <w:rsid w:val="00A27A77"/>
    <w:rsid w:val="00A30B2D"/>
    <w:rsid w:val="00A30D7D"/>
    <w:rsid w:val="00A33343"/>
    <w:rsid w:val="00A33600"/>
    <w:rsid w:val="00A346CE"/>
    <w:rsid w:val="00A36A36"/>
    <w:rsid w:val="00A36C45"/>
    <w:rsid w:val="00A3702B"/>
    <w:rsid w:val="00A37467"/>
    <w:rsid w:val="00A375C1"/>
    <w:rsid w:val="00A37B4D"/>
    <w:rsid w:val="00A40C68"/>
    <w:rsid w:val="00A40CF5"/>
    <w:rsid w:val="00A41291"/>
    <w:rsid w:val="00A422FC"/>
    <w:rsid w:val="00A4294A"/>
    <w:rsid w:val="00A43334"/>
    <w:rsid w:val="00A437F1"/>
    <w:rsid w:val="00A44E42"/>
    <w:rsid w:val="00A467B7"/>
    <w:rsid w:val="00A47EA1"/>
    <w:rsid w:val="00A50C90"/>
    <w:rsid w:val="00A51089"/>
    <w:rsid w:val="00A51720"/>
    <w:rsid w:val="00A51F47"/>
    <w:rsid w:val="00A52AB7"/>
    <w:rsid w:val="00A5310F"/>
    <w:rsid w:val="00A53698"/>
    <w:rsid w:val="00A53BDB"/>
    <w:rsid w:val="00A5497C"/>
    <w:rsid w:val="00A54E3B"/>
    <w:rsid w:val="00A57E6F"/>
    <w:rsid w:val="00A60416"/>
    <w:rsid w:val="00A6063E"/>
    <w:rsid w:val="00A60D1D"/>
    <w:rsid w:val="00A610FA"/>
    <w:rsid w:val="00A611B6"/>
    <w:rsid w:val="00A63581"/>
    <w:rsid w:val="00A637ED"/>
    <w:rsid w:val="00A645E3"/>
    <w:rsid w:val="00A6575F"/>
    <w:rsid w:val="00A66055"/>
    <w:rsid w:val="00A6628D"/>
    <w:rsid w:val="00A671E4"/>
    <w:rsid w:val="00A67369"/>
    <w:rsid w:val="00A67B5D"/>
    <w:rsid w:val="00A70B96"/>
    <w:rsid w:val="00A71564"/>
    <w:rsid w:val="00A7171A"/>
    <w:rsid w:val="00A7286F"/>
    <w:rsid w:val="00A73C33"/>
    <w:rsid w:val="00A73FE4"/>
    <w:rsid w:val="00A749E2"/>
    <w:rsid w:val="00A74A78"/>
    <w:rsid w:val="00A7681B"/>
    <w:rsid w:val="00A7799C"/>
    <w:rsid w:val="00A77D4B"/>
    <w:rsid w:val="00A80B99"/>
    <w:rsid w:val="00A80CD5"/>
    <w:rsid w:val="00A80E0A"/>
    <w:rsid w:val="00A81297"/>
    <w:rsid w:val="00A81CC0"/>
    <w:rsid w:val="00A823A0"/>
    <w:rsid w:val="00A8250A"/>
    <w:rsid w:val="00A82641"/>
    <w:rsid w:val="00A82E40"/>
    <w:rsid w:val="00A83D2F"/>
    <w:rsid w:val="00A8431D"/>
    <w:rsid w:val="00A849B2"/>
    <w:rsid w:val="00A85F82"/>
    <w:rsid w:val="00A86573"/>
    <w:rsid w:val="00A8664D"/>
    <w:rsid w:val="00A87E18"/>
    <w:rsid w:val="00A87E9D"/>
    <w:rsid w:val="00A90117"/>
    <w:rsid w:val="00A9051E"/>
    <w:rsid w:val="00A90C50"/>
    <w:rsid w:val="00A913A9"/>
    <w:rsid w:val="00A917AF"/>
    <w:rsid w:val="00A92ABC"/>
    <w:rsid w:val="00A9444A"/>
    <w:rsid w:val="00A958E5"/>
    <w:rsid w:val="00A95B0D"/>
    <w:rsid w:val="00A96B3D"/>
    <w:rsid w:val="00A97447"/>
    <w:rsid w:val="00AA059B"/>
    <w:rsid w:val="00AA181B"/>
    <w:rsid w:val="00AA1C1A"/>
    <w:rsid w:val="00AA1D48"/>
    <w:rsid w:val="00AA3212"/>
    <w:rsid w:val="00AA3914"/>
    <w:rsid w:val="00AA44D6"/>
    <w:rsid w:val="00AA4526"/>
    <w:rsid w:val="00AA4D83"/>
    <w:rsid w:val="00AA6247"/>
    <w:rsid w:val="00AA6C3F"/>
    <w:rsid w:val="00AA6C5A"/>
    <w:rsid w:val="00AA6EDA"/>
    <w:rsid w:val="00AA707C"/>
    <w:rsid w:val="00AB051D"/>
    <w:rsid w:val="00AB188E"/>
    <w:rsid w:val="00AB2BCA"/>
    <w:rsid w:val="00AB3B92"/>
    <w:rsid w:val="00AB3C6C"/>
    <w:rsid w:val="00AB3D88"/>
    <w:rsid w:val="00AB50A5"/>
    <w:rsid w:val="00AB5101"/>
    <w:rsid w:val="00AB5A7E"/>
    <w:rsid w:val="00AB6B42"/>
    <w:rsid w:val="00AB7174"/>
    <w:rsid w:val="00AB74A1"/>
    <w:rsid w:val="00AB7B57"/>
    <w:rsid w:val="00AC0179"/>
    <w:rsid w:val="00AC1123"/>
    <w:rsid w:val="00AC1964"/>
    <w:rsid w:val="00AC1A09"/>
    <w:rsid w:val="00AC1AB7"/>
    <w:rsid w:val="00AC22EE"/>
    <w:rsid w:val="00AC3587"/>
    <w:rsid w:val="00AC4014"/>
    <w:rsid w:val="00AC44FB"/>
    <w:rsid w:val="00AC51D1"/>
    <w:rsid w:val="00AC5E32"/>
    <w:rsid w:val="00AC652B"/>
    <w:rsid w:val="00AC65AC"/>
    <w:rsid w:val="00AD017B"/>
    <w:rsid w:val="00AD071A"/>
    <w:rsid w:val="00AD3BF4"/>
    <w:rsid w:val="00AD41A0"/>
    <w:rsid w:val="00AD44F3"/>
    <w:rsid w:val="00AD4F75"/>
    <w:rsid w:val="00AD53B6"/>
    <w:rsid w:val="00AD5E95"/>
    <w:rsid w:val="00AD6559"/>
    <w:rsid w:val="00AD6E57"/>
    <w:rsid w:val="00AD6EED"/>
    <w:rsid w:val="00AD7D78"/>
    <w:rsid w:val="00AE015F"/>
    <w:rsid w:val="00AE3603"/>
    <w:rsid w:val="00AE3645"/>
    <w:rsid w:val="00AE3FC2"/>
    <w:rsid w:val="00AE4200"/>
    <w:rsid w:val="00AE51D7"/>
    <w:rsid w:val="00AE5355"/>
    <w:rsid w:val="00AE5A68"/>
    <w:rsid w:val="00AE729F"/>
    <w:rsid w:val="00AE7E9E"/>
    <w:rsid w:val="00AF02AB"/>
    <w:rsid w:val="00AF0574"/>
    <w:rsid w:val="00AF0F72"/>
    <w:rsid w:val="00AF1984"/>
    <w:rsid w:val="00AF2054"/>
    <w:rsid w:val="00AF3300"/>
    <w:rsid w:val="00AF440C"/>
    <w:rsid w:val="00AF44F3"/>
    <w:rsid w:val="00AF4B14"/>
    <w:rsid w:val="00AF521C"/>
    <w:rsid w:val="00AF63F7"/>
    <w:rsid w:val="00AF7033"/>
    <w:rsid w:val="00AF7BD5"/>
    <w:rsid w:val="00AF7E2D"/>
    <w:rsid w:val="00B00316"/>
    <w:rsid w:val="00B02CB1"/>
    <w:rsid w:val="00B0383F"/>
    <w:rsid w:val="00B04684"/>
    <w:rsid w:val="00B0488B"/>
    <w:rsid w:val="00B04981"/>
    <w:rsid w:val="00B063B0"/>
    <w:rsid w:val="00B06673"/>
    <w:rsid w:val="00B06F0E"/>
    <w:rsid w:val="00B070A4"/>
    <w:rsid w:val="00B070B1"/>
    <w:rsid w:val="00B071B4"/>
    <w:rsid w:val="00B10C4E"/>
    <w:rsid w:val="00B120DA"/>
    <w:rsid w:val="00B132BA"/>
    <w:rsid w:val="00B13D2C"/>
    <w:rsid w:val="00B1406D"/>
    <w:rsid w:val="00B143DB"/>
    <w:rsid w:val="00B14BB2"/>
    <w:rsid w:val="00B1686D"/>
    <w:rsid w:val="00B2199C"/>
    <w:rsid w:val="00B220BD"/>
    <w:rsid w:val="00B2260B"/>
    <w:rsid w:val="00B22B26"/>
    <w:rsid w:val="00B22E67"/>
    <w:rsid w:val="00B23018"/>
    <w:rsid w:val="00B23A12"/>
    <w:rsid w:val="00B23AFE"/>
    <w:rsid w:val="00B24215"/>
    <w:rsid w:val="00B24356"/>
    <w:rsid w:val="00B24427"/>
    <w:rsid w:val="00B255E2"/>
    <w:rsid w:val="00B26849"/>
    <w:rsid w:val="00B26A2F"/>
    <w:rsid w:val="00B30DBC"/>
    <w:rsid w:val="00B311FD"/>
    <w:rsid w:val="00B31520"/>
    <w:rsid w:val="00B32EBE"/>
    <w:rsid w:val="00B3312E"/>
    <w:rsid w:val="00B3382D"/>
    <w:rsid w:val="00B3530A"/>
    <w:rsid w:val="00B36C0D"/>
    <w:rsid w:val="00B37093"/>
    <w:rsid w:val="00B40070"/>
    <w:rsid w:val="00B40A60"/>
    <w:rsid w:val="00B429E3"/>
    <w:rsid w:val="00B4485C"/>
    <w:rsid w:val="00B44A18"/>
    <w:rsid w:val="00B45134"/>
    <w:rsid w:val="00B45E58"/>
    <w:rsid w:val="00B46BB3"/>
    <w:rsid w:val="00B46E61"/>
    <w:rsid w:val="00B50CD8"/>
    <w:rsid w:val="00B513A4"/>
    <w:rsid w:val="00B51C05"/>
    <w:rsid w:val="00B528C2"/>
    <w:rsid w:val="00B54083"/>
    <w:rsid w:val="00B54451"/>
    <w:rsid w:val="00B55337"/>
    <w:rsid w:val="00B56600"/>
    <w:rsid w:val="00B57A7A"/>
    <w:rsid w:val="00B57A95"/>
    <w:rsid w:val="00B57BFE"/>
    <w:rsid w:val="00B60639"/>
    <w:rsid w:val="00B615E0"/>
    <w:rsid w:val="00B620E3"/>
    <w:rsid w:val="00B62154"/>
    <w:rsid w:val="00B631D1"/>
    <w:rsid w:val="00B63F11"/>
    <w:rsid w:val="00B6591E"/>
    <w:rsid w:val="00B6611A"/>
    <w:rsid w:val="00B66452"/>
    <w:rsid w:val="00B6674E"/>
    <w:rsid w:val="00B669A0"/>
    <w:rsid w:val="00B66AF2"/>
    <w:rsid w:val="00B7012C"/>
    <w:rsid w:val="00B70141"/>
    <w:rsid w:val="00B71DF0"/>
    <w:rsid w:val="00B75284"/>
    <w:rsid w:val="00B75346"/>
    <w:rsid w:val="00B7635B"/>
    <w:rsid w:val="00B77221"/>
    <w:rsid w:val="00B80647"/>
    <w:rsid w:val="00B81287"/>
    <w:rsid w:val="00B820CC"/>
    <w:rsid w:val="00B82500"/>
    <w:rsid w:val="00B8308C"/>
    <w:rsid w:val="00B846C6"/>
    <w:rsid w:val="00B847B9"/>
    <w:rsid w:val="00B84E43"/>
    <w:rsid w:val="00B85344"/>
    <w:rsid w:val="00B853A6"/>
    <w:rsid w:val="00B879A8"/>
    <w:rsid w:val="00B87B36"/>
    <w:rsid w:val="00B92115"/>
    <w:rsid w:val="00B94F3C"/>
    <w:rsid w:val="00B94F4D"/>
    <w:rsid w:val="00B954AB"/>
    <w:rsid w:val="00B95BEE"/>
    <w:rsid w:val="00B9677A"/>
    <w:rsid w:val="00B96C80"/>
    <w:rsid w:val="00B96E3C"/>
    <w:rsid w:val="00B97613"/>
    <w:rsid w:val="00B97843"/>
    <w:rsid w:val="00B97CE2"/>
    <w:rsid w:val="00BA007A"/>
    <w:rsid w:val="00BA00AF"/>
    <w:rsid w:val="00BA0975"/>
    <w:rsid w:val="00BA123C"/>
    <w:rsid w:val="00BA2185"/>
    <w:rsid w:val="00BA3621"/>
    <w:rsid w:val="00BA38A1"/>
    <w:rsid w:val="00BA3DAC"/>
    <w:rsid w:val="00BA3F3F"/>
    <w:rsid w:val="00BA4123"/>
    <w:rsid w:val="00BA528B"/>
    <w:rsid w:val="00BA534D"/>
    <w:rsid w:val="00BA70B7"/>
    <w:rsid w:val="00BA7B40"/>
    <w:rsid w:val="00BA7DB6"/>
    <w:rsid w:val="00BB0427"/>
    <w:rsid w:val="00BB07DB"/>
    <w:rsid w:val="00BB38BA"/>
    <w:rsid w:val="00BB3B0D"/>
    <w:rsid w:val="00BB43E6"/>
    <w:rsid w:val="00BB55D9"/>
    <w:rsid w:val="00BB57FA"/>
    <w:rsid w:val="00BB6436"/>
    <w:rsid w:val="00BB67FA"/>
    <w:rsid w:val="00BB6B85"/>
    <w:rsid w:val="00BB6E22"/>
    <w:rsid w:val="00BB730A"/>
    <w:rsid w:val="00BC0AD1"/>
    <w:rsid w:val="00BC2263"/>
    <w:rsid w:val="00BC3EB9"/>
    <w:rsid w:val="00BC49D0"/>
    <w:rsid w:val="00BC4BF4"/>
    <w:rsid w:val="00BC5B8F"/>
    <w:rsid w:val="00BC6879"/>
    <w:rsid w:val="00BC73FB"/>
    <w:rsid w:val="00BD0AA9"/>
    <w:rsid w:val="00BD13A2"/>
    <w:rsid w:val="00BD1967"/>
    <w:rsid w:val="00BD1E75"/>
    <w:rsid w:val="00BD2CBE"/>
    <w:rsid w:val="00BD3AB4"/>
    <w:rsid w:val="00BD3C38"/>
    <w:rsid w:val="00BD50CF"/>
    <w:rsid w:val="00BD5C64"/>
    <w:rsid w:val="00BD65CB"/>
    <w:rsid w:val="00BD664A"/>
    <w:rsid w:val="00BD7BA3"/>
    <w:rsid w:val="00BE059E"/>
    <w:rsid w:val="00BE0695"/>
    <w:rsid w:val="00BE0C17"/>
    <w:rsid w:val="00BE1E3F"/>
    <w:rsid w:val="00BE2299"/>
    <w:rsid w:val="00BE2538"/>
    <w:rsid w:val="00BE26D1"/>
    <w:rsid w:val="00BE2AFC"/>
    <w:rsid w:val="00BE4050"/>
    <w:rsid w:val="00BE43FD"/>
    <w:rsid w:val="00BE499F"/>
    <w:rsid w:val="00BE5B31"/>
    <w:rsid w:val="00BE6292"/>
    <w:rsid w:val="00BE6E21"/>
    <w:rsid w:val="00BE6EF4"/>
    <w:rsid w:val="00BE798A"/>
    <w:rsid w:val="00BE7A5B"/>
    <w:rsid w:val="00BE7BFF"/>
    <w:rsid w:val="00BF04E9"/>
    <w:rsid w:val="00BF0F7E"/>
    <w:rsid w:val="00BF1F4D"/>
    <w:rsid w:val="00BF2905"/>
    <w:rsid w:val="00BF2C23"/>
    <w:rsid w:val="00BF2EB3"/>
    <w:rsid w:val="00BF34E9"/>
    <w:rsid w:val="00BF35A9"/>
    <w:rsid w:val="00BF435B"/>
    <w:rsid w:val="00BF5164"/>
    <w:rsid w:val="00BF7548"/>
    <w:rsid w:val="00C00740"/>
    <w:rsid w:val="00C027A7"/>
    <w:rsid w:val="00C03367"/>
    <w:rsid w:val="00C03BF4"/>
    <w:rsid w:val="00C057FD"/>
    <w:rsid w:val="00C05D2C"/>
    <w:rsid w:val="00C05EC9"/>
    <w:rsid w:val="00C074E0"/>
    <w:rsid w:val="00C07A46"/>
    <w:rsid w:val="00C10953"/>
    <w:rsid w:val="00C10E66"/>
    <w:rsid w:val="00C11D67"/>
    <w:rsid w:val="00C12729"/>
    <w:rsid w:val="00C14DA2"/>
    <w:rsid w:val="00C15934"/>
    <w:rsid w:val="00C15FAF"/>
    <w:rsid w:val="00C16106"/>
    <w:rsid w:val="00C17BE6"/>
    <w:rsid w:val="00C22197"/>
    <w:rsid w:val="00C22D58"/>
    <w:rsid w:val="00C233BC"/>
    <w:rsid w:val="00C24514"/>
    <w:rsid w:val="00C24794"/>
    <w:rsid w:val="00C25FE5"/>
    <w:rsid w:val="00C26309"/>
    <w:rsid w:val="00C265FA"/>
    <w:rsid w:val="00C26DFA"/>
    <w:rsid w:val="00C274D9"/>
    <w:rsid w:val="00C279E0"/>
    <w:rsid w:val="00C27D77"/>
    <w:rsid w:val="00C308AA"/>
    <w:rsid w:val="00C30A8D"/>
    <w:rsid w:val="00C310B4"/>
    <w:rsid w:val="00C3494F"/>
    <w:rsid w:val="00C34BD8"/>
    <w:rsid w:val="00C34C94"/>
    <w:rsid w:val="00C350D7"/>
    <w:rsid w:val="00C362D1"/>
    <w:rsid w:val="00C363D4"/>
    <w:rsid w:val="00C37BD2"/>
    <w:rsid w:val="00C37D81"/>
    <w:rsid w:val="00C401A7"/>
    <w:rsid w:val="00C4051E"/>
    <w:rsid w:val="00C4057A"/>
    <w:rsid w:val="00C41902"/>
    <w:rsid w:val="00C419C9"/>
    <w:rsid w:val="00C41DED"/>
    <w:rsid w:val="00C425EE"/>
    <w:rsid w:val="00C43400"/>
    <w:rsid w:val="00C43EEF"/>
    <w:rsid w:val="00C44856"/>
    <w:rsid w:val="00C44D37"/>
    <w:rsid w:val="00C45361"/>
    <w:rsid w:val="00C45663"/>
    <w:rsid w:val="00C46A7A"/>
    <w:rsid w:val="00C46ED1"/>
    <w:rsid w:val="00C474A4"/>
    <w:rsid w:val="00C50F65"/>
    <w:rsid w:val="00C5126C"/>
    <w:rsid w:val="00C51A18"/>
    <w:rsid w:val="00C51D6B"/>
    <w:rsid w:val="00C52560"/>
    <w:rsid w:val="00C55497"/>
    <w:rsid w:val="00C5651D"/>
    <w:rsid w:val="00C5657F"/>
    <w:rsid w:val="00C56E32"/>
    <w:rsid w:val="00C57444"/>
    <w:rsid w:val="00C602FA"/>
    <w:rsid w:val="00C603E6"/>
    <w:rsid w:val="00C609F6"/>
    <w:rsid w:val="00C6140C"/>
    <w:rsid w:val="00C61D40"/>
    <w:rsid w:val="00C6394E"/>
    <w:rsid w:val="00C64315"/>
    <w:rsid w:val="00C644A7"/>
    <w:rsid w:val="00C6500F"/>
    <w:rsid w:val="00C654D9"/>
    <w:rsid w:val="00C6697D"/>
    <w:rsid w:val="00C66AFB"/>
    <w:rsid w:val="00C66BDE"/>
    <w:rsid w:val="00C675B8"/>
    <w:rsid w:val="00C679FD"/>
    <w:rsid w:val="00C67D28"/>
    <w:rsid w:val="00C67FE0"/>
    <w:rsid w:val="00C700DA"/>
    <w:rsid w:val="00C71E24"/>
    <w:rsid w:val="00C72E01"/>
    <w:rsid w:val="00C73A00"/>
    <w:rsid w:val="00C743B2"/>
    <w:rsid w:val="00C751E0"/>
    <w:rsid w:val="00C75C44"/>
    <w:rsid w:val="00C75D62"/>
    <w:rsid w:val="00C76EF4"/>
    <w:rsid w:val="00C7718A"/>
    <w:rsid w:val="00C7749E"/>
    <w:rsid w:val="00C77B00"/>
    <w:rsid w:val="00C77E1C"/>
    <w:rsid w:val="00C77FDE"/>
    <w:rsid w:val="00C807FA"/>
    <w:rsid w:val="00C8083D"/>
    <w:rsid w:val="00C80BC8"/>
    <w:rsid w:val="00C8122D"/>
    <w:rsid w:val="00C817C3"/>
    <w:rsid w:val="00C817E0"/>
    <w:rsid w:val="00C835A4"/>
    <w:rsid w:val="00C83EB3"/>
    <w:rsid w:val="00C8482D"/>
    <w:rsid w:val="00C84A69"/>
    <w:rsid w:val="00C86625"/>
    <w:rsid w:val="00C86739"/>
    <w:rsid w:val="00C86C87"/>
    <w:rsid w:val="00C8774B"/>
    <w:rsid w:val="00C91EFB"/>
    <w:rsid w:val="00C93DFC"/>
    <w:rsid w:val="00C93F4D"/>
    <w:rsid w:val="00C941AF"/>
    <w:rsid w:val="00C94649"/>
    <w:rsid w:val="00C946C7"/>
    <w:rsid w:val="00C95E94"/>
    <w:rsid w:val="00C96B98"/>
    <w:rsid w:val="00C96F58"/>
    <w:rsid w:val="00CA0D22"/>
    <w:rsid w:val="00CA0F5B"/>
    <w:rsid w:val="00CA0F82"/>
    <w:rsid w:val="00CA3BFE"/>
    <w:rsid w:val="00CA3C34"/>
    <w:rsid w:val="00CA4473"/>
    <w:rsid w:val="00CA677E"/>
    <w:rsid w:val="00CA6DB3"/>
    <w:rsid w:val="00CA753E"/>
    <w:rsid w:val="00CA7FEF"/>
    <w:rsid w:val="00CB00E4"/>
    <w:rsid w:val="00CB083D"/>
    <w:rsid w:val="00CB29BF"/>
    <w:rsid w:val="00CB308A"/>
    <w:rsid w:val="00CB35BE"/>
    <w:rsid w:val="00CB5238"/>
    <w:rsid w:val="00CB5E78"/>
    <w:rsid w:val="00CB6319"/>
    <w:rsid w:val="00CB69DE"/>
    <w:rsid w:val="00CB6ADD"/>
    <w:rsid w:val="00CB7F89"/>
    <w:rsid w:val="00CC0581"/>
    <w:rsid w:val="00CC11A5"/>
    <w:rsid w:val="00CC2100"/>
    <w:rsid w:val="00CC2C30"/>
    <w:rsid w:val="00CC2E7A"/>
    <w:rsid w:val="00CC3CB5"/>
    <w:rsid w:val="00CC3D68"/>
    <w:rsid w:val="00CC42ED"/>
    <w:rsid w:val="00CC45E3"/>
    <w:rsid w:val="00CC5B12"/>
    <w:rsid w:val="00CC5DF3"/>
    <w:rsid w:val="00CD232C"/>
    <w:rsid w:val="00CD2AB6"/>
    <w:rsid w:val="00CD3800"/>
    <w:rsid w:val="00CD4890"/>
    <w:rsid w:val="00CD722F"/>
    <w:rsid w:val="00CD7B33"/>
    <w:rsid w:val="00CE0363"/>
    <w:rsid w:val="00CE1EF7"/>
    <w:rsid w:val="00CE2135"/>
    <w:rsid w:val="00CE33BF"/>
    <w:rsid w:val="00CE4FDC"/>
    <w:rsid w:val="00CE6E99"/>
    <w:rsid w:val="00CF1404"/>
    <w:rsid w:val="00CF20A5"/>
    <w:rsid w:val="00CF21BD"/>
    <w:rsid w:val="00CF230D"/>
    <w:rsid w:val="00CF28BD"/>
    <w:rsid w:val="00CF3336"/>
    <w:rsid w:val="00CF43D7"/>
    <w:rsid w:val="00CF4B8D"/>
    <w:rsid w:val="00CF4F3A"/>
    <w:rsid w:val="00CF51E4"/>
    <w:rsid w:val="00CF56AB"/>
    <w:rsid w:val="00CF5E4D"/>
    <w:rsid w:val="00CF5E75"/>
    <w:rsid w:val="00CF6063"/>
    <w:rsid w:val="00CF67C4"/>
    <w:rsid w:val="00CF74EF"/>
    <w:rsid w:val="00CF775B"/>
    <w:rsid w:val="00CF7889"/>
    <w:rsid w:val="00CF7CF7"/>
    <w:rsid w:val="00D01331"/>
    <w:rsid w:val="00D031F6"/>
    <w:rsid w:val="00D03886"/>
    <w:rsid w:val="00D0388A"/>
    <w:rsid w:val="00D038FA"/>
    <w:rsid w:val="00D03ED7"/>
    <w:rsid w:val="00D05253"/>
    <w:rsid w:val="00D07B6D"/>
    <w:rsid w:val="00D109A8"/>
    <w:rsid w:val="00D126B7"/>
    <w:rsid w:val="00D131C4"/>
    <w:rsid w:val="00D13524"/>
    <w:rsid w:val="00D13FBE"/>
    <w:rsid w:val="00D14FEF"/>
    <w:rsid w:val="00D15526"/>
    <w:rsid w:val="00D16176"/>
    <w:rsid w:val="00D16D3E"/>
    <w:rsid w:val="00D16F6D"/>
    <w:rsid w:val="00D1782A"/>
    <w:rsid w:val="00D178A3"/>
    <w:rsid w:val="00D17BBD"/>
    <w:rsid w:val="00D20B3A"/>
    <w:rsid w:val="00D20E4D"/>
    <w:rsid w:val="00D21BF1"/>
    <w:rsid w:val="00D224BE"/>
    <w:rsid w:val="00D22648"/>
    <w:rsid w:val="00D227E9"/>
    <w:rsid w:val="00D2305E"/>
    <w:rsid w:val="00D23A20"/>
    <w:rsid w:val="00D2417F"/>
    <w:rsid w:val="00D25F19"/>
    <w:rsid w:val="00D26CD3"/>
    <w:rsid w:val="00D2749F"/>
    <w:rsid w:val="00D2794A"/>
    <w:rsid w:val="00D307B5"/>
    <w:rsid w:val="00D30829"/>
    <w:rsid w:val="00D30E4F"/>
    <w:rsid w:val="00D31ADA"/>
    <w:rsid w:val="00D31B6B"/>
    <w:rsid w:val="00D31CB8"/>
    <w:rsid w:val="00D32529"/>
    <w:rsid w:val="00D32B8D"/>
    <w:rsid w:val="00D33A0F"/>
    <w:rsid w:val="00D344C2"/>
    <w:rsid w:val="00D35694"/>
    <w:rsid w:val="00D364F5"/>
    <w:rsid w:val="00D37364"/>
    <w:rsid w:val="00D37ABC"/>
    <w:rsid w:val="00D37DDA"/>
    <w:rsid w:val="00D40482"/>
    <w:rsid w:val="00D42EEA"/>
    <w:rsid w:val="00D452C9"/>
    <w:rsid w:val="00D4536F"/>
    <w:rsid w:val="00D4720C"/>
    <w:rsid w:val="00D47C1D"/>
    <w:rsid w:val="00D50767"/>
    <w:rsid w:val="00D50EDE"/>
    <w:rsid w:val="00D51582"/>
    <w:rsid w:val="00D51A24"/>
    <w:rsid w:val="00D52694"/>
    <w:rsid w:val="00D52B88"/>
    <w:rsid w:val="00D53449"/>
    <w:rsid w:val="00D536BC"/>
    <w:rsid w:val="00D538AE"/>
    <w:rsid w:val="00D53E94"/>
    <w:rsid w:val="00D54917"/>
    <w:rsid w:val="00D55F2E"/>
    <w:rsid w:val="00D574E7"/>
    <w:rsid w:val="00D5786C"/>
    <w:rsid w:val="00D57F4A"/>
    <w:rsid w:val="00D60F33"/>
    <w:rsid w:val="00D60F4A"/>
    <w:rsid w:val="00D62375"/>
    <w:rsid w:val="00D62C2F"/>
    <w:rsid w:val="00D64E30"/>
    <w:rsid w:val="00D64EDF"/>
    <w:rsid w:val="00D65B29"/>
    <w:rsid w:val="00D666B1"/>
    <w:rsid w:val="00D668BA"/>
    <w:rsid w:val="00D67C8A"/>
    <w:rsid w:val="00D70C6F"/>
    <w:rsid w:val="00D7165A"/>
    <w:rsid w:val="00D75259"/>
    <w:rsid w:val="00D75777"/>
    <w:rsid w:val="00D7590B"/>
    <w:rsid w:val="00D761D0"/>
    <w:rsid w:val="00D76A80"/>
    <w:rsid w:val="00D76D32"/>
    <w:rsid w:val="00D771A9"/>
    <w:rsid w:val="00D8037A"/>
    <w:rsid w:val="00D80D08"/>
    <w:rsid w:val="00D82387"/>
    <w:rsid w:val="00D82E5C"/>
    <w:rsid w:val="00D849EF"/>
    <w:rsid w:val="00D84BFA"/>
    <w:rsid w:val="00D8543E"/>
    <w:rsid w:val="00D87118"/>
    <w:rsid w:val="00D87732"/>
    <w:rsid w:val="00D9023E"/>
    <w:rsid w:val="00D9077B"/>
    <w:rsid w:val="00D908A9"/>
    <w:rsid w:val="00D9091E"/>
    <w:rsid w:val="00D917CD"/>
    <w:rsid w:val="00D92598"/>
    <w:rsid w:val="00D9277A"/>
    <w:rsid w:val="00D92C01"/>
    <w:rsid w:val="00D9307C"/>
    <w:rsid w:val="00D93876"/>
    <w:rsid w:val="00D93B54"/>
    <w:rsid w:val="00D9442C"/>
    <w:rsid w:val="00D94D78"/>
    <w:rsid w:val="00D94EA6"/>
    <w:rsid w:val="00D95A75"/>
    <w:rsid w:val="00D95B21"/>
    <w:rsid w:val="00D96110"/>
    <w:rsid w:val="00D9618B"/>
    <w:rsid w:val="00D96F97"/>
    <w:rsid w:val="00D97350"/>
    <w:rsid w:val="00D9755D"/>
    <w:rsid w:val="00D97A6C"/>
    <w:rsid w:val="00DA01EE"/>
    <w:rsid w:val="00DA091F"/>
    <w:rsid w:val="00DA0BA5"/>
    <w:rsid w:val="00DA1529"/>
    <w:rsid w:val="00DA1CB0"/>
    <w:rsid w:val="00DA2D48"/>
    <w:rsid w:val="00DA31B6"/>
    <w:rsid w:val="00DA516E"/>
    <w:rsid w:val="00DA5370"/>
    <w:rsid w:val="00DA578E"/>
    <w:rsid w:val="00DA653A"/>
    <w:rsid w:val="00DA7995"/>
    <w:rsid w:val="00DB0876"/>
    <w:rsid w:val="00DB0BEB"/>
    <w:rsid w:val="00DB1452"/>
    <w:rsid w:val="00DB21C6"/>
    <w:rsid w:val="00DB30CD"/>
    <w:rsid w:val="00DB36EF"/>
    <w:rsid w:val="00DB43D5"/>
    <w:rsid w:val="00DB5052"/>
    <w:rsid w:val="00DC01AA"/>
    <w:rsid w:val="00DC0F7B"/>
    <w:rsid w:val="00DC1047"/>
    <w:rsid w:val="00DC177C"/>
    <w:rsid w:val="00DC1888"/>
    <w:rsid w:val="00DC1951"/>
    <w:rsid w:val="00DC25CE"/>
    <w:rsid w:val="00DC270C"/>
    <w:rsid w:val="00DC436C"/>
    <w:rsid w:val="00DC4665"/>
    <w:rsid w:val="00DC5036"/>
    <w:rsid w:val="00DC5718"/>
    <w:rsid w:val="00DC602F"/>
    <w:rsid w:val="00DC6405"/>
    <w:rsid w:val="00DC663E"/>
    <w:rsid w:val="00DD0ECC"/>
    <w:rsid w:val="00DD106B"/>
    <w:rsid w:val="00DD1861"/>
    <w:rsid w:val="00DD1A5A"/>
    <w:rsid w:val="00DD2E81"/>
    <w:rsid w:val="00DD3A2F"/>
    <w:rsid w:val="00DD3D01"/>
    <w:rsid w:val="00DD5258"/>
    <w:rsid w:val="00DD5560"/>
    <w:rsid w:val="00DD5C71"/>
    <w:rsid w:val="00DD62C9"/>
    <w:rsid w:val="00DD7538"/>
    <w:rsid w:val="00DE2AF1"/>
    <w:rsid w:val="00DE3424"/>
    <w:rsid w:val="00DE3697"/>
    <w:rsid w:val="00DE3C95"/>
    <w:rsid w:val="00DE3FFD"/>
    <w:rsid w:val="00DE4294"/>
    <w:rsid w:val="00DE493A"/>
    <w:rsid w:val="00DE50F0"/>
    <w:rsid w:val="00DE60B7"/>
    <w:rsid w:val="00DE7B88"/>
    <w:rsid w:val="00DF08EA"/>
    <w:rsid w:val="00DF0A20"/>
    <w:rsid w:val="00DF0BE8"/>
    <w:rsid w:val="00DF2925"/>
    <w:rsid w:val="00DF2C8F"/>
    <w:rsid w:val="00DF2F1D"/>
    <w:rsid w:val="00DF343A"/>
    <w:rsid w:val="00DF3803"/>
    <w:rsid w:val="00DF3B47"/>
    <w:rsid w:val="00DF3E12"/>
    <w:rsid w:val="00DF446B"/>
    <w:rsid w:val="00DF5745"/>
    <w:rsid w:val="00DF5E2D"/>
    <w:rsid w:val="00DF72B3"/>
    <w:rsid w:val="00DF7E3B"/>
    <w:rsid w:val="00E00224"/>
    <w:rsid w:val="00E00720"/>
    <w:rsid w:val="00E007E8"/>
    <w:rsid w:val="00E00DE4"/>
    <w:rsid w:val="00E013CA"/>
    <w:rsid w:val="00E01AA7"/>
    <w:rsid w:val="00E021F0"/>
    <w:rsid w:val="00E02918"/>
    <w:rsid w:val="00E02E0D"/>
    <w:rsid w:val="00E0353E"/>
    <w:rsid w:val="00E04FFD"/>
    <w:rsid w:val="00E0573F"/>
    <w:rsid w:val="00E05B12"/>
    <w:rsid w:val="00E06C2C"/>
    <w:rsid w:val="00E074E6"/>
    <w:rsid w:val="00E078E6"/>
    <w:rsid w:val="00E108B6"/>
    <w:rsid w:val="00E11B5E"/>
    <w:rsid w:val="00E11D10"/>
    <w:rsid w:val="00E1314B"/>
    <w:rsid w:val="00E133F0"/>
    <w:rsid w:val="00E1368C"/>
    <w:rsid w:val="00E14C38"/>
    <w:rsid w:val="00E14F21"/>
    <w:rsid w:val="00E153FE"/>
    <w:rsid w:val="00E2054E"/>
    <w:rsid w:val="00E209D9"/>
    <w:rsid w:val="00E214AD"/>
    <w:rsid w:val="00E223D0"/>
    <w:rsid w:val="00E22C5D"/>
    <w:rsid w:val="00E23D9B"/>
    <w:rsid w:val="00E2587D"/>
    <w:rsid w:val="00E27CC4"/>
    <w:rsid w:val="00E27CE9"/>
    <w:rsid w:val="00E30F0B"/>
    <w:rsid w:val="00E31A27"/>
    <w:rsid w:val="00E32904"/>
    <w:rsid w:val="00E332C9"/>
    <w:rsid w:val="00E34202"/>
    <w:rsid w:val="00E352BC"/>
    <w:rsid w:val="00E35F52"/>
    <w:rsid w:val="00E4030A"/>
    <w:rsid w:val="00E40543"/>
    <w:rsid w:val="00E405D6"/>
    <w:rsid w:val="00E405FA"/>
    <w:rsid w:val="00E40A52"/>
    <w:rsid w:val="00E427D3"/>
    <w:rsid w:val="00E43442"/>
    <w:rsid w:val="00E44CB7"/>
    <w:rsid w:val="00E45B67"/>
    <w:rsid w:val="00E470FB"/>
    <w:rsid w:val="00E47C67"/>
    <w:rsid w:val="00E51BF9"/>
    <w:rsid w:val="00E51FDD"/>
    <w:rsid w:val="00E5242A"/>
    <w:rsid w:val="00E53298"/>
    <w:rsid w:val="00E5537E"/>
    <w:rsid w:val="00E60E8C"/>
    <w:rsid w:val="00E613BF"/>
    <w:rsid w:val="00E61EA0"/>
    <w:rsid w:val="00E62067"/>
    <w:rsid w:val="00E62997"/>
    <w:rsid w:val="00E62AAA"/>
    <w:rsid w:val="00E634C4"/>
    <w:rsid w:val="00E639BA"/>
    <w:rsid w:val="00E63F33"/>
    <w:rsid w:val="00E64752"/>
    <w:rsid w:val="00E66A2E"/>
    <w:rsid w:val="00E66C61"/>
    <w:rsid w:val="00E67AD5"/>
    <w:rsid w:val="00E70236"/>
    <w:rsid w:val="00E70478"/>
    <w:rsid w:val="00E70A8A"/>
    <w:rsid w:val="00E70C44"/>
    <w:rsid w:val="00E70EE9"/>
    <w:rsid w:val="00E71662"/>
    <w:rsid w:val="00E74564"/>
    <w:rsid w:val="00E757E8"/>
    <w:rsid w:val="00E75970"/>
    <w:rsid w:val="00E75DC3"/>
    <w:rsid w:val="00E7662F"/>
    <w:rsid w:val="00E76632"/>
    <w:rsid w:val="00E77424"/>
    <w:rsid w:val="00E80957"/>
    <w:rsid w:val="00E80CD5"/>
    <w:rsid w:val="00E80DA8"/>
    <w:rsid w:val="00E80E64"/>
    <w:rsid w:val="00E82E72"/>
    <w:rsid w:val="00E835CF"/>
    <w:rsid w:val="00E83FAD"/>
    <w:rsid w:val="00E843DC"/>
    <w:rsid w:val="00E84612"/>
    <w:rsid w:val="00E84CD2"/>
    <w:rsid w:val="00E84CF1"/>
    <w:rsid w:val="00E853BA"/>
    <w:rsid w:val="00E86148"/>
    <w:rsid w:val="00E861F4"/>
    <w:rsid w:val="00E862D7"/>
    <w:rsid w:val="00E8648D"/>
    <w:rsid w:val="00E86E03"/>
    <w:rsid w:val="00E873D9"/>
    <w:rsid w:val="00E87987"/>
    <w:rsid w:val="00E87B89"/>
    <w:rsid w:val="00E906EA"/>
    <w:rsid w:val="00E91231"/>
    <w:rsid w:val="00E9129A"/>
    <w:rsid w:val="00E918DA"/>
    <w:rsid w:val="00E91A40"/>
    <w:rsid w:val="00E92DCF"/>
    <w:rsid w:val="00E932F6"/>
    <w:rsid w:val="00E93308"/>
    <w:rsid w:val="00E94E50"/>
    <w:rsid w:val="00E958DD"/>
    <w:rsid w:val="00E95B78"/>
    <w:rsid w:val="00E96D33"/>
    <w:rsid w:val="00E97726"/>
    <w:rsid w:val="00E97CED"/>
    <w:rsid w:val="00EA0264"/>
    <w:rsid w:val="00EA0CAA"/>
    <w:rsid w:val="00EA14C7"/>
    <w:rsid w:val="00EA1E8F"/>
    <w:rsid w:val="00EA23F0"/>
    <w:rsid w:val="00EA3D27"/>
    <w:rsid w:val="00EA3ECA"/>
    <w:rsid w:val="00EA42AD"/>
    <w:rsid w:val="00EA4E4F"/>
    <w:rsid w:val="00EA4EE2"/>
    <w:rsid w:val="00EA5FED"/>
    <w:rsid w:val="00EA60A4"/>
    <w:rsid w:val="00EA66A9"/>
    <w:rsid w:val="00EB07CB"/>
    <w:rsid w:val="00EB0A3D"/>
    <w:rsid w:val="00EB0BAF"/>
    <w:rsid w:val="00EB11AF"/>
    <w:rsid w:val="00EB15E5"/>
    <w:rsid w:val="00EB3AA1"/>
    <w:rsid w:val="00EB412C"/>
    <w:rsid w:val="00EB439F"/>
    <w:rsid w:val="00EB4C2F"/>
    <w:rsid w:val="00EB53D6"/>
    <w:rsid w:val="00EB696D"/>
    <w:rsid w:val="00EB6A55"/>
    <w:rsid w:val="00EB6DC4"/>
    <w:rsid w:val="00EC06BA"/>
    <w:rsid w:val="00EC0970"/>
    <w:rsid w:val="00EC183C"/>
    <w:rsid w:val="00EC1DAC"/>
    <w:rsid w:val="00EC363F"/>
    <w:rsid w:val="00EC41A9"/>
    <w:rsid w:val="00EC4444"/>
    <w:rsid w:val="00EC44B7"/>
    <w:rsid w:val="00EC4845"/>
    <w:rsid w:val="00EC491D"/>
    <w:rsid w:val="00EC5043"/>
    <w:rsid w:val="00EC6CCF"/>
    <w:rsid w:val="00ED060C"/>
    <w:rsid w:val="00ED09FE"/>
    <w:rsid w:val="00ED10B8"/>
    <w:rsid w:val="00ED1227"/>
    <w:rsid w:val="00ED1D20"/>
    <w:rsid w:val="00ED2AC2"/>
    <w:rsid w:val="00ED465D"/>
    <w:rsid w:val="00ED6295"/>
    <w:rsid w:val="00ED7965"/>
    <w:rsid w:val="00EE039D"/>
    <w:rsid w:val="00EE09B5"/>
    <w:rsid w:val="00EE0C6F"/>
    <w:rsid w:val="00EE1307"/>
    <w:rsid w:val="00EE15C7"/>
    <w:rsid w:val="00EE1EFA"/>
    <w:rsid w:val="00EE2B97"/>
    <w:rsid w:val="00EE44CA"/>
    <w:rsid w:val="00EE4C2C"/>
    <w:rsid w:val="00EE5213"/>
    <w:rsid w:val="00EE66DA"/>
    <w:rsid w:val="00EE670F"/>
    <w:rsid w:val="00EE6E52"/>
    <w:rsid w:val="00EE72B0"/>
    <w:rsid w:val="00EE7889"/>
    <w:rsid w:val="00EE7BD6"/>
    <w:rsid w:val="00EE7CED"/>
    <w:rsid w:val="00EF011F"/>
    <w:rsid w:val="00EF0255"/>
    <w:rsid w:val="00EF0F94"/>
    <w:rsid w:val="00EF10D1"/>
    <w:rsid w:val="00EF2168"/>
    <w:rsid w:val="00EF2551"/>
    <w:rsid w:val="00EF3FF7"/>
    <w:rsid w:val="00EF42D7"/>
    <w:rsid w:val="00EF4B0D"/>
    <w:rsid w:val="00EF5022"/>
    <w:rsid w:val="00EF5AA6"/>
    <w:rsid w:val="00EF6029"/>
    <w:rsid w:val="00EF75C0"/>
    <w:rsid w:val="00EF7894"/>
    <w:rsid w:val="00EF7CA3"/>
    <w:rsid w:val="00EF7FE2"/>
    <w:rsid w:val="00F00519"/>
    <w:rsid w:val="00F0084C"/>
    <w:rsid w:val="00F012BE"/>
    <w:rsid w:val="00F026F2"/>
    <w:rsid w:val="00F04467"/>
    <w:rsid w:val="00F05801"/>
    <w:rsid w:val="00F05A54"/>
    <w:rsid w:val="00F05EFC"/>
    <w:rsid w:val="00F06B5C"/>
    <w:rsid w:val="00F07012"/>
    <w:rsid w:val="00F073B1"/>
    <w:rsid w:val="00F0798A"/>
    <w:rsid w:val="00F102CC"/>
    <w:rsid w:val="00F10849"/>
    <w:rsid w:val="00F109DD"/>
    <w:rsid w:val="00F115BC"/>
    <w:rsid w:val="00F11609"/>
    <w:rsid w:val="00F1187B"/>
    <w:rsid w:val="00F123C2"/>
    <w:rsid w:val="00F12955"/>
    <w:rsid w:val="00F13919"/>
    <w:rsid w:val="00F15282"/>
    <w:rsid w:val="00F158AB"/>
    <w:rsid w:val="00F165CA"/>
    <w:rsid w:val="00F166AB"/>
    <w:rsid w:val="00F17307"/>
    <w:rsid w:val="00F17C84"/>
    <w:rsid w:val="00F20B6E"/>
    <w:rsid w:val="00F21536"/>
    <w:rsid w:val="00F2217B"/>
    <w:rsid w:val="00F228D7"/>
    <w:rsid w:val="00F22A31"/>
    <w:rsid w:val="00F2623B"/>
    <w:rsid w:val="00F2754B"/>
    <w:rsid w:val="00F3264D"/>
    <w:rsid w:val="00F33D3C"/>
    <w:rsid w:val="00F34CD2"/>
    <w:rsid w:val="00F35814"/>
    <w:rsid w:val="00F35DA6"/>
    <w:rsid w:val="00F36FC3"/>
    <w:rsid w:val="00F37625"/>
    <w:rsid w:val="00F403CF"/>
    <w:rsid w:val="00F41765"/>
    <w:rsid w:val="00F41BE4"/>
    <w:rsid w:val="00F42094"/>
    <w:rsid w:val="00F4306D"/>
    <w:rsid w:val="00F4338E"/>
    <w:rsid w:val="00F437EF"/>
    <w:rsid w:val="00F444C0"/>
    <w:rsid w:val="00F44722"/>
    <w:rsid w:val="00F44DCC"/>
    <w:rsid w:val="00F454E5"/>
    <w:rsid w:val="00F465D7"/>
    <w:rsid w:val="00F46CA1"/>
    <w:rsid w:val="00F476D8"/>
    <w:rsid w:val="00F477B4"/>
    <w:rsid w:val="00F47C71"/>
    <w:rsid w:val="00F47CAB"/>
    <w:rsid w:val="00F507F1"/>
    <w:rsid w:val="00F50DB7"/>
    <w:rsid w:val="00F52562"/>
    <w:rsid w:val="00F52B82"/>
    <w:rsid w:val="00F545C0"/>
    <w:rsid w:val="00F55C23"/>
    <w:rsid w:val="00F564CD"/>
    <w:rsid w:val="00F604A5"/>
    <w:rsid w:val="00F60E77"/>
    <w:rsid w:val="00F611F4"/>
    <w:rsid w:val="00F61756"/>
    <w:rsid w:val="00F617F7"/>
    <w:rsid w:val="00F61F70"/>
    <w:rsid w:val="00F62457"/>
    <w:rsid w:val="00F64C63"/>
    <w:rsid w:val="00F65AC6"/>
    <w:rsid w:val="00F66546"/>
    <w:rsid w:val="00F67146"/>
    <w:rsid w:val="00F671E6"/>
    <w:rsid w:val="00F70E9C"/>
    <w:rsid w:val="00F7118F"/>
    <w:rsid w:val="00F71838"/>
    <w:rsid w:val="00F71C72"/>
    <w:rsid w:val="00F72226"/>
    <w:rsid w:val="00F7301A"/>
    <w:rsid w:val="00F73223"/>
    <w:rsid w:val="00F73B5B"/>
    <w:rsid w:val="00F73E4D"/>
    <w:rsid w:val="00F74883"/>
    <w:rsid w:val="00F75C7B"/>
    <w:rsid w:val="00F764CB"/>
    <w:rsid w:val="00F766E7"/>
    <w:rsid w:val="00F80309"/>
    <w:rsid w:val="00F80C8D"/>
    <w:rsid w:val="00F83DA8"/>
    <w:rsid w:val="00F84AAD"/>
    <w:rsid w:val="00F85085"/>
    <w:rsid w:val="00F85667"/>
    <w:rsid w:val="00F85C45"/>
    <w:rsid w:val="00F86038"/>
    <w:rsid w:val="00F86346"/>
    <w:rsid w:val="00F86EA6"/>
    <w:rsid w:val="00F8709E"/>
    <w:rsid w:val="00F874C7"/>
    <w:rsid w:val="00F8768F"/>
    <w:rsid w:val="00F87E9F"/>
    <w:rsid w:val="00F905E8"/>
    <w:rsid w:val="00F90A6A"/>
    <w:rsid w:val="00F912AE"/>
    <w:rsid w:val="00F91901"/>
    <w:rsid w:val="00F919E5"/>
    <w:rsid w:val="00F92112"/>
    <w:rsid w:val="00F924BF"/>
    <w:rsid w:val="00F92775"/>
    <w:rsid w:val="00F936A3"/>
    <w:rsid w:val="00F93C52"/>
    <w:rsid w:val="00F94288"/>
    <w:rsid w:val="00F9470E"/>
    <w:rsid w:val="00F950BB"/>
    <w:rsid w:val="00F952C8"/>
    <w:rsid w:val="00F95A24"/>
    <w:rsid w:val="00F95E12"/>
    <w:rsid w:val="00F96850"/>
    <w:rsid w:val="00F96E25"/>
    <w:rsid w:val="00F96E40"/>
    <w:rsid w:val="00F97954"/>
    <w:rsid w:val="00FA1284"/>
    <w:rsid w:val="00FA21A9"/>
    <w:rsid w:val="00FA2B5B"/>
    <w:rsid w:val="00FA3B5A"/>
    <w:rsid w:val="00FA4C6B"/>
    <w:rsid w:val="00FA4F17"/>
    <w:rsid w:val="00FA5084"/>
    <w:rsid w:val="00FA5258"/>
    <w:rsid w:val="00FA74B4"/>
    <w:rsid w:val="00FB047C"/>
    <w:rsid w:val="00FB0664"/>
    <w:rsid w:val="00FB2555"/>
    <w:rsid w:val="00FB28EC"/>
    <w:rsid w:val="00FB29F6"/>
    <w:rsid w:val="00FB4DA9"/>
    <w:rsid w:val="00FB5E4E"/>
    <w:rsid w:val="00FB657F"/>
    <w:rsid w:val="00FB6A12"/>
    <w:rsid w:val="00FB7DC4"/>
    <w:rsid w:val="00FC15E9"/>
    <w:rsid w:val="00FC16A7"/>
    <w:rsid w:val="00FC17AF"/>
    <w:rsid w:val="00FC1B9B"/>
    <w:rsid w:val="00FC216F"/>
    <w:rsid w:val="00FC2666"/>
    <w:rsid w:val="00FC312A"/>
    <w:rsid w:val="00FC408B"/>
    <w:rsid w:val="00FC4FAD"/>
    <w:rsid w:val="00FC7406"/>
    <w:rsid w:val="00FC7583"/>
    <w:rsid w:val="00FC76C5"/>
    <w:rsid w:val="00FC7DD7"/>
    <w:rsid w:val="00FD06E3"/>
    <w:rsid w:val="00FD0777"/>
    <w:rsid w:val="00FD1EA9"/>
    <w:rsid w:val="00FD275E"/>
    <w:rsid w:val="00FD2BE5"/>
    <w:rsid w:val="00FD3467"/>
    <w:rsid w:val="00FD3A49"/>
    <w:rsid w:val="00FD4160"/>
    <w:rsid w:val="00FD48A4"/>
    <w:rsid w:val="00FD6446"/>
    <w:rsid w:val="00FD6606"/>
    <w:rsid w:val="00FD6A69"/>
    <w:rsid w:val="00FE0F58"/>
    <w:rsid w:val="00FE3359"/>
    <w:rsid w:val="00FE4167"/>
    <w:rsid w:val="00FE4FB4"/>
    <w:rsid w:val="00FE5001"/>
    <w:rsid w:val="00FE500D"/>
    <w:rsid w:val="00FE52F5"/>
    <w:rsid w:val="00FE5AF0"/>
    <w:rsid w:val="00FF030B"/>
    <w:rsid w:val="00FF0560"/>
    <w:rsid w:val="00FF0D01"/>
    <w:rsid w:val="00FF18CB"/>
    <w:rsid w:val="00FF1B27"/>
    <w:rsid w:val="00FF43D9"/>
    <w:rsid w:val="00FF5420"/>
    <w:rsid w:val="00FF7DC8"/>
    <w:rsid w:val="214749C6"/>
    <w:rsid w:val="385BF9C7"/>
    <w:rsid w:val="3F5E9820"/>
    <w:rsid w:val="5112FE08"/>
    <w:rsid w:val="627562D8"/>
    <w:rsid w:val="6F533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D1E9"/>
  <w15:chartTrackingRefBased/>
  <w15:docId w15:val="{1AF642CA-4FB2-4AC3-8E8B-6E8B7901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4A6"/>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uiPriority w:val="39"/>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243172"/>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50019B"/>
    <w:pPr>
      <w:tabs>
        <w:tab w:val="right" w:leader="dot" w:pos="8505"/>
      </w:tabs>
      <w:spacing w:after="0" w:line="240" w:lineRule="auto"/>
      <w:ind w:left="198"/>
      <w:jc w:val="both"/>
    </w:pPr>
    <w:rPr>
      <w:b/>
      <w:bCs/>
      <w:noProof/>
      <w:sz w:val="18"/>
      <w:szCs w:val="18"/>
      <w:u w:val="single"/>
    </w:r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customStyle="1" w:styleId="normaltextrun">
    <w:name w:val="normaltextrun"/>
    <w:basedOn w:val="Fuentedeprrafopredeter"/>
    <w:rsid w:val="002C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5131">
      <w:bodyDiv w:val="1"/>
      <w:marLeft w:val="0"/>
      <w:marRight w:val="0"/>
      <w:marTop w:val="0"/>
      <w:marBottom w:val="0"/>
      <w:divBdr>
        <w:top w:val="none" w:sz="0" w:space="0" w:color="auto"/>
        <w:left w:val="none" w:sz="0" w:space="0" w:color="auto"/>
        <w:bottom w:val="none" w:sz="0" w:space="0" w:color="auto"/>
        <w:right w:val="none" w:sz="0" w:space="0" w:color="auto"/>
      </w:divBdr>
    </w:div>
    <w:div w:id="273287197">
      <w:bodyDiv w:val="1"/>
      <w:marLeft w:val="0"/>
      <w:marRight w:val="0"/>
      <w:marTop w:val="0"/>
      <w:marBottom w:val="0"/>
      <w:divBdr>
        <w:top w:val="none" w:sz="0" w:space="0" w:color="auto"/>
        <w:left w:val="none" w:sz="0" w:space="0" w:color="auto"/>
        <w:bottom w:val="none" w:sz="0" w:space="0" w:color="auto"/>
        <w:right w:val="none" w:sz="0" w:space="0" w:color="auto"/>
      </w:divBdr>
    </w:div>
    <w:div w:id="543519116">
      <w:bodyDiv w:val="1"/>
      <w:marLeft w:val="0"/>
      <w:marRight w:val="0"/>
      <w:marTop w:val="0"/>
      <w:marBottom w:val="0"/>
      <w:divBdr>
        <w:top w:val="none" w:sz="0" w:space="0" w:color="auto"/>
        <w:left w:val="none" w:sz="0" w:space="0" w:color="auto"/>
        <w:bottom w:val="none" w:sz="0" w:space="0" w:color="auto"/>
        <w:right w:val="none" w:sz="0" w:space="0" w:color="auto"/>
      </w:divBdr>
    </w:div>
    <w:div w:id="655648984">
      <w:bodyDiv w:val="1"/>
      <w:marLeft w:val="0"/>
      <w:marRight w:val="0"/>
      <w:marTop w:val="0"/>
      <w:marBottom w:val="0"/>
      <w:divBdr>
        <w:top w:val="none" w:sz="0" w:space="0" w:color="auto"/>
        <w:left w:val="none" w:sz="0" w:space="0" w:color="auto"/>
        <w:bottom w:val="none" w:sz="0" w:space="0" w:color="auto"/>
        <w:right w:val="none" w:sz="0" w:space="0" w:color="auto"/>
      </w:divBdr>
    </w:div>
    <w:div w:id="694572827">
      <w:bodyDiv w:val="1"/>
      <w:marLeft w:val="0"/>
      <w:marRight w:val="0"/>
      <w:marTop w:val="0"/>
      <w:marBottom w:val="0"/>
      <w:divBdr>
        <w:top w:val="none" w:sz="0" w:space="0" w:color="auto"/>
        <w:left w:val="none" w:sz="0" w:space="0" w:color="auto"/>
        <w:bottom w:val="none" w:sz="0" w:space="0" w:color="auto"/>
        <w:right w:val="none" w:sz="0" w:space="0" w:color="auto"/>
      </w:divBdr>
    </w:div>
    <w:div w:id="718669792">
      <w:bodyDiv w:val="1"/>
      <w:marLeft w:val="0"/>
      <w:marRight w:val="0"/>
      <w:marTop w:val="0"/>
      <w:marBottom w:val="0"/>
      <w:divBdr>
        <w:top w:val="none" w:sz="0" w:space="0" w:color="auto"/>
        <w:left w:val="none" w:sz="0" w:space="0" w:color="auto"/>
        <w:bottom w:val="none" w:sz="0" w:space="0" w:color="auto"/>
        <w:right w:val="none" w:sz="0" w:space="0" w:color="auto"/>
      </w:divBdr>
    </w:div>
    <w:div w:id="796525750">
      <w:bodyDiv w:val="1"/>
      <w:marLeft w:val="0"/>
      <w:marRight w:val="0"/>
      <w:marTop w:val="0"/>
      <w:marBottom w:val="0"/>
      <w:divBdr>
        <w:top w:val="none" w:sz="0" w:space="0" w:color="auto"/>
        <w:left w:val="none" w:sz="0" w:space="0" w:color="auto"/>
        <w:bottom w:val="none" w:sz="0" w:space="0" w:color="auto"/>
        <w:right w:val="none" w:sz="0" w:space="0" w:color="auto"/>
      </w:divBdr>
    </w:div>
    <w:div w:id="804396365">
      <w:bodyDiv w:val="1"/>
      <w:marLeft w:val="0"/>
      <w:marRight w:val="0"/>
      <w:marTop w:val="0"/>
      <w:marBottom w:val="0"/>
      <w:divBdr>
        <w:top w:val="none" w:sz="0" w:space="0" w:color="auto"/>
        <w:left w:val="none" w:sz="0" w:space="0" w:color="auto"/>
        <w:bottom w:val="none" w:sz="0" w:space="0" w:color="auto"/>
        <w:right w:val="none" w:sz="0" w:space="0" w:color="auto"/>
      </w:divBdr>
    </w:div>
    <w:div w:id="852495043">
      <w:bodyDiv w:val="1"/>
      <w:marLeft w:val="0"/>
      <w:marRight w:val="0"/>
      <w:marTop w:val="0"/>
      <w:marBottom w:val="0"/>
      <w:divBdr>
        <w:top w:val="none" w:sz="0" w:space="0" w:color="auto"/>
        <w:left w:val="none" w:sz="0" w:space="0" w:color="auto"/>
        <w:bottom w:val="none" w:sz="0" w:space="0" w:color="auto"/>
        <w:right w:val="none" w:sz="0" w:space="0" w:color="auto"/>
      </w:divBdr>
    </w:div>
    <w:div w:id="998771131">
      <w:bodyDiv w:val="1"/>
      <w:marLeft w:val="0"/>
      <w:marRight w:val="0"/>
      <w:marTop w:val="0"/>
      <w:marBottom w:val="0"/>
      <w:divBdr>
        <w:top w:val="none" w:sz="0" w:space="0" w:color="auto"/>
        <w:left w:val="none" w:sz="0" w:space="0" w:color="auto"/>
        <w:bottom w:val="none" w:sz="0" w:space="0" w:color="auto"/>
        <w:right w:val="none" w:sz="0" w:space="0" w:color="auto"/>
      </w:divBdr>
    </w:div>
    <w:div w:id="1102798194">
      <w:bodyDiv w:val="1"/>
      <w:marLeft w:val="0"/>
      <w:marRight w:val="0"/>
      <w:marTop w:val="0"/>
      <w:marBottom w:val="0"/>
      <w:divBdr>
        <w:top w:val="none" w:sz="0" w:space="0" w:color="auto"/>
        <w:left w:val="none" w:sz="0" w:space="0" w:color="auto"/>
        <w:bottom w:val="none" w:sz="0" w:space="0" w:color="auto"/>
        <w:right w:val="none" w:sz="0" w:space="0" w:color="auto"/>
      </w:divBdr>
    </w:div>
    <w:div w:id="1174151095">
      <w:bodyDiv w:val="1"/>
      <w:marLeft w:val="0"/>
      <w:marRight w:val="0"/>
      <w:marTop w:val="0"/>
      <w:marBottom w:val="0"/>
      <w:divBdr>
        <w:top w:val="none" w:sz="0" w:space="0" w:color="auto"/>
        <w:left w:val="none" w:sz="0" w:space="0" w:color="auto"/>
        <w:bottom w:val="none" w:sz="0" w:space="0" w:color="auto"/>
        <w:right w:val="none" w:sz="0" w:space="0" w:color="auto"/>
      </w:divBdr>
    </w:div>
    <w:div w:id="1180462480">
      <w:bodyDiv w:val="1"/>
      <w:marLeft w:val="0"/>
      <w:marRight w:val="0"/>
      <w:marTop w:val="0"/>
      <w:marBottom w:val="0"/>
      <w:divBdr>
        <w:top w:val="none" w:sz="0" w:space="0" w:color="auto"/>
        <w:left w:val="none" w:sz="0" w:space="0" w:color="auto"/>
        <w:bottom w:val="none" w:sz="0" w:space="0" w:color="auto"/>
        <w:right w:val="none" w:sz="0" w:space="0" w:color="auto"/>
      </w:divBdr>
    </w:div>
    <w:div w:id="1333025261">
      <w:bodyDiv w:val="1"/>
      <w:marLeft w:val="0"/>
      <w:marRight w:val="0"/>
      <w:marTop w:val="0"/>
      <w:marBottom w:val="0"/>
      <w:divBdr>
        <w:top w:val="none" w:sz="0" w:space="0" w:color="auto"/>
        <w:left w:val="none" w:sz="0" w:space="0" w:color="auto"/>
        <w:bottom w:val="none" w:sz="0" w:space="0" w:color="auto"/>
        <w:right w:val="none" w:sz="0" w:space="0" w:color="auto"/>
      </w:divBdr>
    </w:div>
    <w:div w:id="1438452176">
      <w:bodyDiv w:val="1"/>
      <w:marLeft w:val="0"/>
      <w:marRight w:val="0"/>
      <w:marTop w:val="0"/>
      <w:marBottom w:val="0"/>
      <w:divBdr>
        <w:top w:val="none" w:sz="0" w:space="0" w:color="auto"/>
        <w:left w:val="none" w:sz="0" w:space="0" w:color="auto"/>
        <w:bottom w:val="none" w:sz="0" w:space="0" w:color="auto"/>
        <w:right w:val="none" w:sz="0" w:space="0" w:color="auto"/>
      </w:divBdr>
    </w:div>
    <w:div w:id="1458135846">
      <w:bodyDiv w:val="1"/>
      <w:marLeft w:val="0"/>
      <w:marRight w:val="0"/>
      <w:marTop w:val="0"/>
      <w:marBottom w:val="0"/>
      <w:divBdr>
        <w:top w:val="none" w:sz="0" w:space="0" w:color="auto"/>
        <w:left w:val="none" w:sz="0" w:space="0" w:color="auto"/>
        <w:bottom w:val="none" w:sz="0" w:space="0" w:color="auto"/>
        <w:right w:val="none" w:sz="0" w:space="0" w:color="auto"/>
      </w:divBdr>
    </w:div>
    <w:div w:id="1471750636">
      <w:bodyDiv w:val="1"/>
      <w:marLeft w:val="0"/>
      <w:marRight w:val="0"/>
      <w:marTop w:val="0"/>
      <w:marBottom w:val="0"/>
      <w:divBdr>
        <w:top w:val="none" w:sz="0" w:space="0" w:color="auto"/>
        <w:left w:val="none" w:sz="0" w:space="0" w:color="auto"/>
        <w:bottom w:val="none" w:sz="0" w:space="0" w:color="auto"/>
        <w:right w:val="none" w:sz="0" w:space="0" w:color="auto"/>
      </w:divBdr>
    </w:div>
    <w:div w:id="1491212428">
      <w:bodyDiv w:val="1"/>
      <w:marLeft w:val="0"/>
      <w:marRight w:val="0"/>
      <w:marTop w:val="0"/>
      <w:marBottom w:val="0"/>
      <w:divBdr>
        <w:top w:val="none" w:sz="0" w:space="0" w:color="auto"/>
        <w:left w:val="none" w:sz="0" w:space="0" w:color="auto"/>
        <w:bottom w:val="none" w:sz="0" w:space="0" w:color="auto"/>
        <w:right w:val="none" w:sz="0" w:space="0" w:color="auto"/>
      </w:divBdr>
    </w:div>
    <w:div w:id="1513102197">
      <w:bodyDiv w:val="1"/>
      <w:marLeft w:val="0"/>
      <w:marRight w:val="0"/>
      <w:marTop w:val="0"/>
      <w:marBottom w:val="0"/>
      <w:divBdr>
        <w:top w:val="none" w:sz="0" w:space="0" w:color="auto"/>
        <w:left w:val="none" w:sz="0" w:space="0" w:color="auto"/>
        <w:bottom w:val="none" w:sz="0" w:space="0" w:color="auto"/>
        <w:right w:val="none" w:sz="0" w:space="0" w:color="auto"/>
      </w:divBdr>
    </w:div>
    <w:div w:id="1553272127">
      <w:bodyDiv w:val="1"/>
      <w:marLeft w:val="0"/>
      <w:marRight w:val="0"/>
      <w:marTop w:val="0"/>
      <w:marBottom w:val="0"/>
      <w:divBdr>
        <w:top w:val="none" w:sz="0" w:space="0" w:color="auto"/>
        <w:left w:val="none" w:sz="0" w:space="0" w:color="auto"/>
        <w:bottom w:val="none" w:sz="0" w:space="0" w:color="auto"/>
        <w:right w:val="none" w:sz="0" w:space="0" w:color="auto"/>
      </w:divBdr>
    </w:div>
    <w:div w:id="1610968155">
      <w:bodyDiv w:val="1"/>
      <w:marLeft w:val="0"/>
      <w:marRight w:val="0"/>
      <w:marTop w:val="0"/>
      <w:marBottom w:val="0"/>
      <w:divBdr>
        <w:top w:val="none" w:sz="0" w:space="0" w:color="auto"/>
        <w:left w:val="none" w:sz="0" w:space="0" w:color="auto"/>
        <w:bottom w:val="none" w:sz="0" w:space="0" w:color="auto"/>
        <w:right w:val="none" w:sz="0" w:space="0" w:color="auto"/>
      </w:divBdr>
    </w:div>
    <w:div w:id="1616643152">
      <w:bodyDiv w:val="1"/>
      <w:marLeft w:val="0"/>
      <w:marRight w:val="0"/>
      <w:marTop w:val="0"/>
      <w:marBottom w:val="0"/>
      <w:divBdr>
        <w:top w:val="none" w:sz="0" w:space="0" w:color="auto"/>
        <w:left w:val="none" w:sz="0" w:space="0" w:color="auto"/>
        <w:bottom w:val="none" w:sz="0" w:space="0" w:color="auto"/>
        <w:right w:val="none" w:sz="0" w:space="0" w:color="auto"/>
      </w:divBdr>
    </w:div>
    <w:div w:id="1869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EFC42AABBB0F4A99872D95A049BC55" ma:contentTypeVersion="5" ma:contentTypeDescription="Crear nuevo documento." ma:contentTypeScope="" ma:versionID="0a85e153dc49e845e8c1d3dcf2732c29">
  <xsd:schema xmlns:xsd="http://www.w3.org/2001/XMLSchema" xmlns:xs="http://www.w3.org/2001/XMLSchema" xmlns:p="http://schemas.microsoft.com/office/2006/metadata/properties" xmlns:ns3="27f62114-d54c-460e-b0f6-6c60c68f4387" xmlns:ns4="df9c979e-023c-481e-9844-42ff7b70630c" targetNamespace="http://schemas.microsoft.com/office/2006/metadata/properties" ma:root="true" ma:fieldsID="280b8289b7cb066644e057aa604bf2ab" ns3:_="" ns4:_="">
    <xsd:import namespace="27f62114-d54c-460e-b0f6-6c60c68f4387"/>
    <xsd:import namespace="df9c979e-023c-481e-9844-42ff7b706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14-d54c-460e-b0f6-6c60c68f4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c979e-023c-481e-9844-42ff7b70630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8341-ADF8-498D-8571-0D7FC778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14-d54c-460e-b0f6-6c60c68f4387"/>
    <ds:schemaRef ds:uri="df9c979e-023c-481e-9844-42ff7b70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ECF22-262B-4CCE-BCF1-10F22D2B80B2}">
  <ds:schemaRefs>
    <ds:schemaRef ds:uri="http://schemas.microsoft.com/sharepoint/v3/contenttype/forms"/>
  </ds:schemaRefs>
</ds:datastoreItem>
</file>

<file path=customXml/itemProps3.xml><?xml version="1.0" encoding="utf-8"?>
<ds:datastoreItem xmlns:ds="http://schemas.openxmlformats.org/officeDocument/2006/customXml" ds:itemID="{AF93A24B-3370-4ED1-9FEB-D08D331C1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76DC96-46CC-4B02-B0EF-377B64E2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2793</Words>
  <Characters>15365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18122</CharactersWithSpaces>
  <SharedDoc>false</SharedDoc>
  <HLinks>
    <vt:vector size="66" baseType="variant">
      <vt:variant>
        <vt:i4>1179708</vt:i4>
      </vt:variant>
      <vt:variant>
        <vt:i4>62</vt:i4>
      </vt:variant>
      <vt:variant>
        <vt:i4>0</vt:i4>
      </vt:variant>
      <vt:variant>
        <vt:i4>5</vt:i4>
      </vt:variant>
      <vt:variant>
        <vt:lpwstr/>
      </vt:variant>
      <vt:variant>
        <vt:lpwstr>_Toc73062696</vt:lpwstr>
      </vt:variant>
      <vt:variant>
        <vt:i4>1114172</vt:i4>
      </vt:variant>
      <vt:variant>
        <vt:i4>56</vt:i4>
      </vt:variant>
      <vt:variant>
        <vt:i4>0</vt:i4>
      </vt:variant>
      <vt:variant>
        <vt:i4>5</vt:i4>
      </vt:variant>
      <vt:variant>
        <vt:lpwstr/>
      </vt:variant>
      <vt:variant>
        <vt:lpwstr>_Toc73062695</vt:lpwstr>
      </vt:variant>
      <vt:variant>
        <vt:i4>1048636</vt:i4>
      </vt:variant>
      <vt:variant>
        <vt:i4>50</vt:i4>
      </vt:variant>
      <vt:variant>
        <vt:i4>0</vt:i4>
      </vt:variant>
      <vt:variant>
        <vt:i4>5</vt:i4>
      </vt:variant>
      <vt:variant>
        <vt:lpwstr/>
      </vt:variant>
      <vt:variant>
        <vt:lpwstr>_Toc73062694</vt:lpwstr>
      </vt:variant>
      <vt:variant>
        <vt:i4>1507388</vt:i4>
      </vt:variant>
      <vt:variant>
        <vt:i4>44</vt:i4>
      </vt:variant>
      <vt:variant>
        <vt:i4>0</vt:i4>
      </vt:variant>
      <vt:variant>
        <vt:i4>5</vt:i4>
      </vt:variant>
      <vt:variant>
        <vt:lpwstr/>
      </vt:variant>
      <vt:variant>
        <vt:lpwstr>_Toc73062693</vt:lpwstr>
      </vt:variant>
      <vt:variant>
        <vt:i4>1441852</vt:i4>
      </vt:variant>
      <vt:variant>
        <vt:i4>38</vt:i4>
      </vt:variant>
      <vt:variant>
        <vt:i4>0</vt:i4>
      </vt:variant>
      <vt:variant>
        <vt:i4>5</vt:i4>
      </vt:variant>
      <vt:variant>
        <vt:lpwstr/>
      </vt:variant>
      <vt:variant>
        <vt:lpwstr>_Toc73062692</vt:lpwstr>
      </vt:variant>
      <vt:variant>
        <vt:i4>1376316</vt:i4>
      </vt:variant>
      <vt:variant>
        <vt:i4>32</vt:i4>
      </vt:variant>
      <vt:variant>
        <vt:i4>0</vt:i4>
      </vt:variant>
      <vt:variant>
        <vt:i4>5</vt:i4>
      </vt:variant>
      <vt:variant>
        <vt:lpwstr/>
      </vt:variant>
      <vt:variant>
        <vt:lpwstr>_Toc73062691</vt:lpwstr>
      </vt:variant>
      <vt:variant>
        <vt:i4>1310780</vt:i4>
      </vt:variant>
      <vt:variant>
        <vt:i4>26</vt:i4>
      </vt:variant>
      <vt:variant>
        <vt:i4>0</vt:i4>
      </vt:variant>
      <vt:variant>
        <vt:i4>5</vt:i4>
      </vt:variant>
      <vt:variant>
        <vt:lpwstr/>
      </vt:variant>
      <vt:variant>
        <vt:lpwstr>_Toc73062690</vt:lpwstr>
      </vt:variant>
      <vt:variant>
        <vt:i4>1900605</vt:i4>
      </vt:variant>
      <vt:variant>
        <vt:i4>20</vt:i4>
      </vt:variant>
      <vt:variant>
        <vt:i4>0</vt:i4>
      </vt:variant>
      <vt:variant>
        <vt:i4>5</vt:i4>
      </vt:variant>
      <vt:variant>
        <vt:lpwstr/>
      </vt:variant>
      <vt:variant>
        <vt:lpwstr>_Toc73062689</vt:lpwstr>
      </vt:variant>
      <vt:variant>
        <vt:i4>1835069</vt:i4>
      </vt:variant>
      <vt:variant>
        <vt:i4>14</vt:i4>
      </vt:variant>
      <vt:variant>
        <vt:i4>0</vt:i4>
      </vt:variant>
      <vt:variant>
        <vt:i4>5</vt:i4>
      </vt:variant>
      <vt:variant>
        <vt:lpwstr/>
      </vt:variant>
      <vt:variant>
        <vt:lpwstr>_Toc73062688</vt:lpwstr>
      </vt:variant>
      <vt:variant>
        <vt:i4>1245245</vt:i4>
      </vt:variant>
      <vt:variant>
        <vt:i4>8</vt:i4>
      </vt:variant>
      <vt:variant>
        <vt:i4>0</vt:i4>
      </vt:variant>
      <vt:variant>
        <vt:i4>5</vt:i4>
      </vt:variant>
      <vt:variant>
        <vt:lpwstr/>
      </vt:variant>
      <vt:variant>
        <vt:lpwstr>_Toc73062687</vt:lpwstr>
      </vt:variant>
      <vt:variant>
        <vt:i4>1179709</vt:i4>
      </vt:variant>
      <vt:variant>
        <vt:i4>2</vt:i4>
      </vt:variant>
      <vt:variant>
        <vt:i4>0</vt:i4>
      </vt:variant>
      <vt:variant>
        <vt:i4>5</vt:i4>
      </vt:variant>
      <vt:variant>
        <vt:lpwstr/>
      </vt:variant>
      <vt:variant>
        <vt:lpwstr>_Toc73062686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dc:description/>
  <cp:lastModifiedBy>Sergio Carlos Robles Gutiérrez</cp:lastModifiedBy>
  <cp:revision>12</cp:revision>
  <cp:lastPrinted>2021-06-25T07:11:00Z</cp:lastPrinted>
  <dcterms:created xsi:type="dcterms:W3CDTF">2021-06-25T07:33:00Z</dcterms:created>
  <dcterms:modified xsi:type="dcterms:W3CDTF">2021-07-01T00:05:00Z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0x01010020EFC42AABBB0F4A99872D95A049BC55</vt:lpwstr>
  </property>
</Properties>
</file>